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7C77" w14:textId="364AB444" w:rsidR="00C21BD1" w:rsidRDefault="00704034" w:rsidP="00704034">
      <w:pPr>
        <w:widowControl w:val="0"/>
        <w:pBdr>
          <w:top w:val="nil"/>
          <w:left w:val="nil"/>
          <w:bottom w:val="nil"/>
          <w:right w:val="nil"/>
          <w:between w:val="nil"/>
        </w:pBdr>
        <w:spacing w:after="0" w:line="240" w:lineRule="auto"/>
        <w:jc w:val="center"/>
        <w:rPr>
          <w:rFonts w:ascii="Times New Roman" w:hAnsi="Times New Roman" w:cs="Times New Roman"/>
          <w:b/>
          <w:bCs/>
          <w:sz w:val="28"/>
          <w:szCs w:val="28"/>
        </w:rPr>
      </w:pPr>
      <w:r w:rsidRPr="00704034">
        <w:rPr>
          <w:rFonts w:ascii="Times New Roman" w:hAnsi="Times New Roman" w:cs="Times New Roman"/>
          <w:b/>
          <w:bCs/>
          <w:sz w:val="28"/>
          <w:szCs w:val="28"/>
        </w:rPr>
        <w:t>Ulusal Enerji Denge Tabloları Kapsamında Türkiye’nin Enerji Arz ve Talep Yapısının İncelenmesi</w:t>
      </w:r>
    </w:p>
    <w:p w14:paraId="72ACCEF9" w14:textId="77777777" w:rsidR="00704034" w:rsidRDefault="00704034" w:rsidP="00704034">
      <w:pPr>
        <w:widowControl w:val="0"/>
        <w:pBdr>
          <w:top w:val="nil"/>
          <w:left w:val="nil"/>
          <w:bottom w:val="nil"/>
          <w:right w:val="nil"/>
          <w:between w:val="nil"/>
        </w:pBdr>
        <w:spacing w:after="0" w:line="240" w:lineRule="auto"/>
        <w:jc w:val="center"/>
        <w:rPr>
          <w:rFonts w:ascii="Times New Roman" w:hAnsi="Times New Roman" w:cs="Times New Roman"/>
          <w:b/>
          <w:bCs/>
          <w:sz w:val="28"/>
          <w:szCs w:val="28"/>
        </w:rPr>
      </w:pPr>
    </w:p>
    <w:p w14:paraId="443EF112" w14:textId="328196DC" w:rsidR="00704034" w:rsidRPr="00704034" w:rsidRDefault="00704034" w:rsidP="00704034">
      <w:pPr>
        <w:widowControl w:val="0"/>
        <w:pBdr>
          <w:top w:val="nil"/>
          <w:left w:val="nil"/>
          <w:bottom w:val="nil"/>
          <w:right w:val="nil"/>
          <w:between w:val="nil"/>
        </w:pBdr>
        <w:spacing w:after="0" w:line="240" w:lineRule="auto"/>
        <w:jc w:val="right"/>
        <w:rPr>
          <w:rFonts w:ascii="Times New Roman" w:hAnsi="Times New Roman" w:cs="Times New Roman"/>
          <w:b/>
          <w:bCs/>
          <w:sz w:val="20"/>
          <w:szCs w:val="20"/>
        </w:rPr>
      </w:pPr>
      <w:r w:rsidRPr="00704034">
        <w:rPr>
          <w:rFonts w:ascii="Times New Roman" w:hAnsi="Times New Roman" w:cs="Times New Roman"/>
          <w:b/>
          <w:bCs/>
          <w:sz w:val="20"/>
          <w:szCs w:val="20"/>
        </w:rPr>
        <w:t>Muhammet Rıdvan İNCE</w:t>
      </w:r>
    </w:p>
    <w:p w14:paraId="28EC784A" w14:textId="77777777" w:rsidR="00C21BD1" w:rsidRDefault="00C21BD1" w:rsidP="00FB4800">
      <w:pPr>
        <w:spacing w:line="240" w:lineRule="auto"/>
      </w:pPr>
    </w:p>
    <w:p w14:paraId="12CF76AB" w14:textId="77777777" w:rsidR="00C21BD1" w:rsidRDefault="00C21BD1" w:rsidP="00FB4800">
      <w:pPr>
        <w:spacing w:line="240" w:lineRule="auto"/>
      </w:pPr>
    </w:p>
    <w:p w14:paraId="09FA9CCF" w14:textId="6FF6DB91" w:rsidR="00C21BD1" w:rsidRDefault="004E6DAC" w:rsidP="00FB4800">
      <w:pPr>
        <w:pStyle w:val="Balk3"/>
        <w:numPr>
          <w:ilvl w:val="0"/>
          <w:numId w:val="18"/>
        </w:numPr>
        <w:spacing w:line="240" w:lineRule="auto"/>
      </w:pPr>
      <w:r>
        <w:t>Giriş</w:t>
      </w:r>
    </w:p>
    <w:p w14:paraId="6E5E67D2" w14:textId="77777777"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Ekonomik büyüklük ilgili ekonominin toplam mal ve hizmet üretiminin ölçülmesi ile hesaplanmaktadır. Mal ve hizmet üretimi sürecinde ise üretim faktörleri ve ara girdiler kullanılmaktadır. Üretim süreçlerinde kullanılan en önemli ara girdilerden bir tanesi enerjidir </w:t>
      </w:r>
      <w:r>
        <w:rPr>
          <w:rFonts w:ascii="Times New Roman" w:eastAsia="Times New Roman" w:hAnsi="Times New Roman" w:cs="Times New Roman"/>
          <w:color w:val="FF0000"/>
          <w:sz w:val="24"/>
          <w:szCs w:val="24"/>
        </w:rPr>
        <w:t>(Ersoy, 2010: 2)</w:t>
      </w:r>
      <w:r>
        <w:rPr>
          <w:rFonts w:ascii="Times New Roman" w:eastAsia="Times New Roman" w:hAnsi="Times New Roman" w:cs="Times New Roman"/>
          <w:sz w:val="24"/>
          <w:szCs w:val="24"/>
        </w:rPr>
        <w:t>.  Dolayısıyla sürdürülebilir bir ekonomik büyüme ve kalkınmanın olmazsa olmaz unsurlarından birisi sürdürülebilir enerji arzı ve enerji güvenliğidir.</w:t>
      </w:r>
    </w:p>
    <w:p w14:paraId="36C1CD17" w14:textId="63288874"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Enerji kaynakları elde ediliş şekillerine göre </w:t>
      </w:r>
      <w:r>
        <w:rPr>
          <w:rFonts w:ascii="Times New Roman" w:eastAsia="Times New Roman" w:hAnsi="Times New Roman" w:cs="Times New Roman"/>
          <w:b/>
          <w:i/>
          <w:sz w:val="24"/>
          <w:szCs w:val="24"/>
        </w:rPr>
        <w:t>birincil enerji kaynakları</w:t>
      </w:r>
      <w:r>
        <w:rPr>
          <w:rFonts w:ascii="Times New Roman" w:eastAsia="Times New Roman" w:hAnsi="Times New Roman" w:cs="Times New Roman"/>
          <w:sz w:val="24"/>
          <w:szCs w:val="24"/>
        </w:rPr>
        <w:t xml:space="preserve"> ve </w:t>
      </w:r>
      <w:r>
        <w:rPr>
          <w:rFonts w:ascii="Times New Roman" w:eastAsia="Times New Roman" w:hAnsi="Times New Roman" w:cs="Times New Roman"/>
          <w:b/>
          <w:i/>
          <w:sz w:val="24"/>
          <w:szCs w:val="24"/>
        </w:rPr>
        <w:t>ikincil enerji kaynakları</w:t>
      </w:r>
      <w:r>
        <w:rPr>
          <w:rFonts w:ascii="Times New Roman" w:eastAsia="Times New Roman" w:hAnsi="Times New Roman" w:cs="Times New Roman"/>
          <w:sz w:val="24"/>
          <w:szCs w:val="24"/>
        </w:rPr>
        <w:t xml:space="preserve"> olarak iki kısma ayrılmaktadır </w:t>
      </w:r>
      <w:r>
        <w:rPr>
          <w:rFonts w:ascii="Times New Roman" w:eastAsia="Times New Roman" w:hAnsi="Times New Roman" w:cs="Times New Roman"/>
          <w:color w:val="FF0000"/>
          <w:sz w:val="24"/>
          <w:szCs w:val="24"/>
        </w:rPr>
        <w:t xml:space="preserve">(Aydın, 2010: 319). </w:t>
      </w:r>
      <w:r>
        <w:rPr>
          <w:rFonts w:ascii="Times New Roman" w:eastAsia="Times New Roman" w:hAnsi="Times New Roman" w:cs="Times New Roman"/>
          <w:sz w:val="24"/>
          <w:szCs w:val="24"/>
        </w:rPr>
        <w:t xml:space="preserve">Petrol, kömür, doğalgaz hidrolik, güneş, rüzgâr, biyokütle, dalga-gelgit, nükleer gibi herhangi bir değişim ya da dönüşüm işlemine tabi tutulmayan ve doğrudan doğadan temin edilebilen enerji türleri </w:t>
      </w:r>
      <w:r>
        <w:rPr>
          <w:rFonts w:ascii="Times New Roman" w:eastAsia="Times New Roman" w:hAnsi="Times New Roman" w:cs="Times New Roman"/>
          <w:i/>
          <w:sz w:val="24"/>
          <w:szCs w:val="24"/>
        </w:rPr>
        <w:t>birincil enerji kaynaklarıdır</w:t>
      </w:r>
      <w:r>
        <w:rPr>
          <w:rFonts w:ascii="Times New Roman" w:eastAsia="Times New Roman" w:hAnsi="Times New Roman" w:cs="Times New Roman"/>
          <w:sz w:val="24"/>
          <w:szCs w:val="24"/>
        </w:rPr>
        <w:t xml:space="preserve">. Petrol ürünleri, elektrik, sıvılaştırılmış doğal gaz (LPG), kok kömürü, petrokok, hava gazı gibi birincil enerji kaynaklarının çeşitli işlemler neticesinde dönüştürülmesi sonucunda elde edilen enerji türleri ise </w:t>
      </w:r>
      <w:r>
        <w:rPr>
          <w:rFonts w:ascii="Times New Roman" w:eastAsia="Times New Roman" w:hAnsi="Times New Roman" w:cs="Times New Roman"/>
          <w:i/>
          <w:sz w:val="24"/>
          <w:szCs w:val="24"/>
        </w:rPr>
        <w:t>ikincil enerji kaynakları</w:t>
      </w:r>
      <w:r>
        <w:rPr>
          <w:rFonts w:ascii="Times New Roman" w:eastAsia="Times New Roman" w:hAnsi="Times New Roman" w:cs="Times New Roman"/>
          <w:sz w:val="24"/>
          <w:szCs w:val="24"/>
        </w:rPr>
        <w:t xml:space="preserve"> olarak adlandırılmaktadır. Bu dönüşüm işlemleri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’lerde </w:t>
      </w:r>
      <w:r w:rsidR="00E7672E">
        <w:rPr>
          <w:rFonts w:ascii="Times New Roman" w:eastAsia="Times New Roman" w:hAnsi="Times New Roman" w:cs="Times New Roman"/>
          <w:sz w:val="24"/>
          <w:szCs w:val="24"/>
        </w:rPr>
        <w:t>de detaylı</w:t>
      </w:r>
      <w:r>
        <w:rPr>
          <w:rFonts w:ascii="Times New Roman" w:eastAsia="Times New Roman" w:hAnsi="Times New Roman" w:cs="Times New Roman"/>
          <w:sz w:val="24"/>
          <w:szCs w:val="24"/>
        </w:rPr>
        <w:t xml:space="preserve"> bir şekilde raporlanan </w:t>
      </w:r>
      <w:r>
        <w:rPr>
          <w:rFonts w:ascii="Times New Roman" w:eastAsia="Times New Roman" w:hAnsi="Times New Roman" w:cs="Times New Roman"/>
          <w:i/>
          <w:sz w:val="24"/>
          <w:szCs w:val="24"/>
        </w:rPr>
        <w:t>çevrim ve enerji sektöründe</w:t>
      </w:r>
      <w:r>
        <w:rPr>
          <w:rFonts w:ascii="Times New Roman" w:eastAsia="Times New Roman" w:hAnsi="Times New Roman" w:cs="Times New Roman"/>
          <w:sz w:val="24"/>
          <w:szCs w:val="24"/>
        </w:rPr>
        <w:t xml:space="preserve"> yapılmaktadır. Enerji kaynakları yenilenebilir olup olmama durumuna göre ikinci bir sınıflandırmaya da tabi tutulmaktadır. Birincil enerji kaynakları içerisinde yer alan kömür, petrol, doğalgaz gibi fosil kaynaklı enerjiler ve uranyum, toryum gibi çekirdek kaynaklı enerjiler yenilenemez enerji kaynaklarıdır. Bu enerji türleri bir kez kullanıldıklarında kendilerini yenileyememektedir. Hidrolik, güneş, rüzgâr, jeotermal, </w:t>
      </w:r>
      <w:r>
        <w:rPr>
          <w:rFonts w:ascii="Times New Roman" w:eastAsia="Times New Roman" w:hAnsi="Times New Roman" w:cs="Times New Roman"/>
          <w:sz w:val="24"/>
          <w:szCs w:val="24"/>
        </w:rPr>
        <w:lastRenderedPageBreak/>
        <w:t xml:space="preserve">biokütle gibi bir kez kullanıldıklarında tükenmeyen enerji kaynakları ise yenilenebilir enerji kaynaklarıdır </w:t>
      </w:r>
      <w:r>
        <w:rPr>
          <w:rFonts w:ascii="Times New Roman" w:eastAsia="Times New Roman" w:hAnsi="Times New Roman" w:cs="Times New Roman"/>
          <w:color w:val="FF0000"/>
          <w:sz w:val="24"/>
          <w:szCs w:val="24"/>
        </w:rPr>
        <w:t>(Koç ve Kaya, 2015: 37).</w:t>
      </w:r>
    </w:p>
    <w:p w14:paraId="43E5B11D" w14:textId="77777777"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Enerji arzı; yurtiçi üretim, ithalat ve çevrim ve enerji sektörü (ÇES) üretimi olmak üzere 3 şekilde sağlanmaktadır. Enerji kullanımı açısından yurt içi kaynakları yeterli olmayan ülkeler enerji ithal etmektedirler. Enerjide ithalat bağımlılığı ise enerji arz güvenliği için bir dezavantaj oluşturmaktadır. Çünkü her türlü uluslararası ekonomik, siyasi askeri vb. olumsuzluk enerji arz güvenliği üzerinde; ya enerji fiyatları üzerinde bir baskı oluşturmak suretiyle enerji ithalatını daha maliyetli hale getirerek dolaylı yönden ya da siyasi, askeri vb. birtakım sebeplerle enerji ambargosu uygulamak suretiyle doğrudan bir tehlike oluşturabilmektedir.</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Dolayısıyla enerji arz güvenliği için yurtiçi kaynaklara yönelmek önem arz etmektedir. </w:t>
      </w:r>
    </w:p>
    <w:p w14:paraId="5DC8837E" w14:textId="6B196898"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Diğer taraftan kömür, petrol ve doğalgaz gibi fosil tabanlı enerji kaynaklarının ülkeler bazında dağılımının eşit olmaması bazı ülkelerin kaçınılmaz olarak enerji ithalatçısı konumunda olmasına sebep olmaktadır. Bu konumdaki ülkeler açısından iki çözüm yolu bulunur. Bunlardan ilki fosil tabanlı enerji kaynaklarının kullanımının azaltılarak yenilenebilir enerji kaynaklarının kullanımının artırılmasıdır. İkinci çözüm yolu ise egemenliği altında bulunan kara ve deniz sahalarında fosil tabanlı enerji kaynaklarının bulunabilmesi için çeşitli araştırmalar yapmaktır. Yenilenebilir enerji kaynaklarının kullanımının artırılması </w:t>
      </w:r>
      <w:r w:rsidR="00E7672E">
        <w:rPr>
          <w:rFonts w:ascii="Times New Roman" w:eastAsia="Times New Roman" w:hAnsi="Times New Roman" w:cs="Times New Roman"/>
          <w:sz w:val="24"/>
          <w:szCs w:val="24"/>
        </w:rPr>
        <w:t xml:space="preserve">geçmişten günümüze </w:t>
      </w:r>
      <w:r>
        <w:rPr>
          <w:rFonts w:ascii="Times New Roman" w:eastAsia="Times New Roman" w:hAnsi="Times New Roman" w:cs="Times New Roman"/>
          <w:sz w:val="24"/>
          <w:szCs w:val="24"/>
        </w:rPr>
        <w:t xml:space="preserve">uzunca bir süredir tüm ülkeler tarafından teşvik edilen bir çözüm yolu olmakla birlikte aynı zamanda </w:t>
      </w:r>
      <w:r w:rsidR="00E7672E">
        <w:rPr>
          <w:rFonts w:ascii="Times New Roman" w:eastAsia="Times New Roman" w:hAnsi="Times New Roman" w:cs="Times New Roman"/>
          <w:sz w:val="24"/>
          <w:szCs w:val="24"/>
        </w:rPr>
        <w:t>gelecek</w:t>
      </w:r>
      <w:r>
        <w:rPr>
          <w:rFonts w:ascii="Times New Roman" w:eastAsia="Times New Roman" w:hAnsi="Times New Roman" w:cs="Times New Roman"/>
          <w:sz w:val="24"/>
          <w:szCs w:val="24"/>
        </w:rPr>
        <w:t xml:space="preserve"> dönem</w:t>
      </w:r>
      <w:r w:rsidR="00E7672E">
        <w:rPr>
          <w:rFonts w:ascii="Times New Roman" w:eastAsia="Times New Roman" w:hAnsi="Times New Roman" w:cs="Times New Roman"/>
          <w:sz w:val="24"/>
          <w:szCs w:val="24"/>
        </w:rPr>
        <w:t>ler için de</w:t>
      </w:r>
      <w:r>
        <w:rPr>
          <w:rFonts w:ascii="Times New Roman" w:eastAsia="Times New Roman" w:hAnsi="Times New Roman" w:cs="Times New Roman"/>
          <w:sz w:val="24"/>
          <w:szCs w:val="24"/>
        </w:rPr>
        <w:t xml:space="preserve"> tek çözüm yoludur. Çünkü fosil tabanlı enerji kaynaklarının tam olarak bilinmeyen yakın bir gelecekte tükeneceği, konu ile ilgili birçok </w:t>
      </w:r>
      <w:r>
        <w:rPr>
          <w:rFonts w:ascii="Times New Roman" w:eastAsia="Times New Roman" w:hAnsi="Times New Roman" w:cs="Times New Roman"/>
          <w:sz w:val="24"/>
          <w:szCs w:val="24"/>
        </w:rPr>
        <w:lastRenderedPageBreak/>
        <w:t xml:space="preserve">kurum, kuruluş ve araştırmacı tarafından dillendirilmektedir. </w:t>
      </w:r>
      <w:r w:rsidR="001B0C21">
        <w:rPr>
          <w:rFonts w:ascii="Times New Roman" w:eastAsia="Times New Roman" w:hAnsi="Times New Roman" w:cs="Times New Roman"/>
          <w:sz w:val="24"/>
          <w:szCs w:val="24"/>
        </w:rPr>
        <w:t xml:space="preserve">Türkiye’de de son yıllarda yenilenebilir enerji kaynaklarına yapılan yatırımlar önemli ölçüde artırılmıştır. </w:t>
      </w:r>
      <w:r>
        <w:rPr>
          <w:rFonts w:ascii="Times New Roman" w:eastAsia="Times New Roman" w:hAnsi="Times New Roman" w:cs="Times New Roman"/>
          <w:sz w:val="24"/>
          <w:szCs w:val="24"/>
        </w:rPr>
        <w:t xml:space="preserve">Nitekim 2015 yılı ve sonrasındaki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 incelendiğinde Türkiye’de de toplam enerji arzı içerisinde yenilenebilir enerji kaynaklarının payının arttığı görülebilmektedir (Şekil 12). </w:t>
      </w:r>
    </w:p>
    <w:p w14:paraId="7069706E" w14:textId="08BCD741" w:rsidR="00C21BD1" w:rsidRDefault="001B0C21"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Günümüz</w:t>
      </w:r>
      <w:r w:rsidR="008A2C1B">
        <w:rPr>
          <w:rFonts w:ascii="Times New Roman" w:eastAsia="Times New Roman" w:hAnsi="Times New Roman" w:cs="Times New Roman"/>
          <w:sz w:val="24"/>
          <w:szCs w:val="24"/>
        </w:rPr>
        <w:t xml:space="preserve"> küresel enerji kullanımı içerisinde</w:t>
      </w:r>
      <w:r>
        <w:rPr>
          <w:rFonts w:ascii="Times New Roman" w:eastAsia="Times New Roman" w:hAnsi="Times New Roman" w:cs="Times New Roman"/>
          <w:sz w:val="24"/>
          <w:szCs w:val="24"/>
        </w:rPr>
        <w:t xml:space="preserve"> ise</w:t>
      </w:r>
      <w:r w:rsidR="008A2C1B">
        <w:rPr>
          <w:rFonts w:ascii="Times New Roman" w:eastAsia="Times New Roman" w:hAnsi="Times New Roman" w:cs="Times New Roman"/>
          <w:sz w:val="24"/>
          <w:szCs w:val="24"/>
        </w:rPr>
        <w:t xml:space="preserve"> fosil tabanlı enerji kaynaklarının ağırlığı halen devam etmektedir. Uluslararası Enerji Ajansı verilerine göre küresel çapta yenilenebilir enerji kaynaklarının toplam enerji tüketimi içerisindeki payı sırasıyla 2015 yılında %9,8 iken 4 yıl sonra 2019 yılında ancak %11,2 olmuştur. Türkiye’de ise bu oranlar 2015 yılı için %13,8 iken 2019 yılında %18 olarak gerçekleşmiştir</w:t>
      </w:r>
      <w:r w:rsidR="00E315F2">
        <w:rPr>
          <w:rFonts w:ascii="Times New Roman" w:eastAsia="Times New Roman" w:hAnsi="Times New Roman" w:cs="Times New Roman"/>
          <w:sz w:val="24"/>
          <w:szCs w:val="24"/>
        </w:rPr>
        <w:t xml:space="preserve"> (EIA). </w:t>
      </w:r>
      <w:r w:rsidR="008A2C1B">
        <w:rPr>
          <w:rFonts w:ascii="Times New Roman" w:eastAsia="Times New Roman" w:hAnsi="Times New Roman" w:cs="Times New Roman"/>
          <w:sz w:val="24"/>
          <w:szCs w:val="24"/>
        </w:rPr>
        <w:t>Tüm bu sebeplerle fosil tabanlı enerji kaynaklarının bulunup çıkartılarak tüketilebilir forma getirilmesi, günümüzde birçok devlet ve şirketin en önemli uğraş alanı ve gündem maddelerinden birisidir. Dolayısıyla</w:t>
      </w:r>
      <w:r>
        <w:rPr>
          <w:rFonts w:ascii="Times New Roman" w:eastAsia="Times New Roman" w:hAnsi="Times New Roman" w:cs="Times New Roman"/>
          <w:sz w:val="24"/>
          <w:szCs w:val="24"/>
        </w:rPr>
        <w:t xml:space="preserve"> küresel çapta</w:t>
      </w:r>
      <w:r w:rsidR="008A2C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sürdürülebilir ve güvenli enerji arzı açısından </w:t>
      </w:r>
      <w:r w:rsidR="008A2C1B">
        <w:rPr>
          <w:rFonts w:ascii="Times New Roman" w:eastAsia="Times New Roman" w:hAnsi="Times New Roman" w:cs="Times New Roman"/>
          <w:sz w:val="24"/>
          <w:szCs w:val="24"/>
        </w:rPr>
        <w:t>uzun dönemde yenilenebilir enerji kaynakları tek ve en verimli çözüm yolu olarak görülse de kısa dönemde fosil tabanlı kaynaklara dayalı</w:t>
      </w:r>
      <w:r>
        <w:rPr>
          <w:rFonts w:ascii="Times New Roman" w:eastAsia="Times New Roman" w:hAnsi="Times New Roman" w:cs="Times New Roman"/>
          <w:sz w:val="24"/>
          <w:szCs w:val="24"/>
        </w:rPr>
        <w:t xml:space="preserve"> </w:t>
      </w:r>
      <w:r w:rsidR="008A2C1B">
        <w:rPr>
          <w:rFonts w:ascii="Times New Roman" w:eastAsia="Times New Roman" w:hAnsi="Times New Roman" w:cs="Times New Roman"/>
          <w:sz w:val="24"/>
          <w:szCs w:val="24"/>
        </w:rPr>
        <w:t xml:space="preserve">çözüm yolu da önemini korumaktadır. Toplam enerji kullanımının yaklaşık olarak %80’inin fosil tabanlı enerji kaynaklarına bağlı olması, Türkiye’de de egemenlik sahası içerisindeki enerji kaynaklarının yer altından yer üstüne çıkarılması yönündeki çözüm </w:t>
      </w:r>
      <w:r w:rsidR="0068328A">
        <w:rPr>
          <w:rFonts w:ascii="Times New Roman" w:eastAsia="Times New Roman" w:hAnsi="Times New Roman" w:cs="Times New Roman"/>
          <w:sz w:val="24"/>
          <w:szCs w:val="24"/>
        </w:rPr>
        <w:t xml:space="preserve">yolunun </w:t>
      </w:r>
      <w:r>
        <w:rPr>
          <w:rFonts w:ascii="Times New Roman" w:eastAsia="Times New Roman" w:hAnsi="Times New Roman" w:cs="Times New Roman"/>
          <w:sz w:val="24"/>
          <w:szCs w:val="24"/>
        </w:rPr>
        <w:t xml:space="preserve">en azından kısa dönemde </w:t>
      </w:r>
      <w:r w:rsidR="0068328A">
        <w:rPr>
          <w:rFonts w:ascii="Times New Roman" w:eastAsia="Times New Roman" w:hAnsi="Times New Roman" w:cs="Times New Roman"/>
          <w:sz w:val="24"/>
          <w:szCs w:val="24"/>
        </w:rPr>
        <w:t>geçerli</w:t>
      </w:r>
      <w:r w:rsidR="008A2C1B">
        <w:rPr>
          <w:rFonts w:ascii="Times New Roman" w:eastAsia="Times New Roman" w:hAnsi="Times New Roman" w:cs="Times New Roman"/>
          <w:sz w:val="24"/>
          <w:szCs w:val="24"/>
        </w:rPr>
        <w:t xml:space="preserve"> olacağını</w:t>
      </w:r>
      <w:r>
        <w:rPr>
          <w:rFonts w:ascii="Times New Roman" w:eastAsia="Times New Roman" w:hAnsi="Times New Roman" w:cs="Times New Roman"/>
          <w:sz w:val="24"/>
          <w:szCs w:val="24"/>
        </w:rPr>
        <w:t xml:space="preserve"> ve önemini koruyacağını</w:t>
      </w:r>
      <w:r w:rsidR="008A2C1B">
        <w:rPr>
          <w:rFonts w:ascii="Times New Roman" w:eastAsia="Times New Roman" w:hAnsi="Times New Roman" w:cs="Times New Roman"/>
          <w:sz w:val="24"/>
          <w:szCs w:val="24"/>
        </w:rPr>
        <w:t xml:space="preserve"> göstermektedir. </w:t>
      </w:r>
    </w:p>
    <w:p w14:paraId="180B2F3D" w14:textId="11BC1283"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 kapsamda enerji arz ve kullanımının detaylı bir şekilde incelenip zayıf yönlerin güçlendirilmesi ve güçlü yönlerin mevcut durumunun korunarak enerji arz güvenliğinin sağlanması ulusal çıkarlar açısından </w:t>
      </w:r>
      <w:r w:rsidR="001B0C21">
        <w:rPr>
          <w:rFonts w:ascii="Times New Roman" w:eastAsia="Times New Roman" w:hAnsi="Times New Roman" w:cs="Times New Roman"/>
          <w:sz w:val="24"/>
          <w:szCs w:val="24"/>
        </w:rPr>
        <w:t>öncelikli bir konudur</w:t>
      </w:r>
      <w:r>
        <w:rPr>
          <w:rFonts w:ascii="Times New Roman" w:eastAsia="Times New Roman" w:hAnsi="Times New Roman" w:cs="Times New Roman"/>
          <w:sz w:val="24"/>
          <w:szCs w:val="24"/>
        </w:rPr>
        <w:t xml:space="preserve">. Bunun yapılabilmesi için de ilgili ülkelerin enerji istatistiklerinin ilgili birimlerce doğru ve güvenilir bir şekilde hazırlanması ve araştırmacılarca bu istatistiklere dayalı çeşitli araştırma ve incelemelerin yapılması gerekmektedir. Ülkelerin enerji istatistiklerinin raporlandığı en detaylı tablolar </w:t>
      </w:r>
      <w:r w:rsidR="001B0C21">
        <w:rPr>
          <w:rFonts w:ascii="Times New Roman" w:eastAsia="Times New Roman" w:hAnsi="Times New Roman" w:cs="Times New Roman"/>
          <w:sz w:val="24"/>
          <w:szCs w:val="24"/>
        </w:rPr>
        <w:t xml:space="preserve">ulusal </w:t>
      </w:r>
      <w:r>
        <w:rPr>
          <w:rFonts w:ascii="Times New Roman" w:eastAsia="Times New Roman" w:hAnsi="Times New Roman" w:cs="Times New Roman"/>
          <w:sz w:val="24"/>
          <w:szCs w:val="24"/>
        </w:rPr>
        <w:t>enerji denge tablolarıdır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 Türkiye’de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’lerin hazırlanması ve yayınlanması ile ilgili görevli ve yetkili kurum </w:t>
      </w:r>
      <w:r>
        <w:rPr>
          <w:rFonts w:ascii="Times New Roman" w:eastAsia="Times New Roman" w:hAnsi="Times New Roman" w:cs="Times New Roman"/>
          <w:sz w:val="24"/>
          <w:szCs w:val="24"/>
        </w:rPr>
        <w:lastRenderedPageBreak/>
        <w:t xml:space="preserve">Enerji ve Tabi Kaynaklar Bakanlığına bağlı Enerji İşleri Genel Müdürlüğü birimidir. Türkiye için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’ler 1972 – 202</w:t>
      </w:r>
      <w:r w:rsidR="00715137">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yılları arası için ulaşılabilir durumdadır.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 kapsamlı ve karmaşık tablolar olduğundan öncelikle genel yapısının anlaşılması önem arz etmektedir. </w:t>
      </w:r>
    </w:p>
    <w:p w14:paraId="001FF3A2" w14:textId="3467D995" w:rsidR="00C21BD1" w:rsidRDefault="008A2C1B" w:rsidP="00FB4800">
      <w:pPr>
        <w:pStyle w:val="Balk4"/>
        <w:numPr>
          <w:ilvl w:val="0"/>
          <w:numId w:val="18"/>
        </w:numPr>
        <w:spacing w:line="240" w:lineRule="auto"/>
      </w:pPr>
      <w:bookmarkStart w:id="0" w:name="_Toc124959697"/>
      <w:r>
        <w:t>Türkiye Enerji Denge Tablolarının Genel Yapısı</w:t>
      </w:r>
      <w:bookmarkEnd w:id="0"/>
    </w:p>
    <w:p w14:paraId="64D2315E" w14:textId="6E3D842D" w:rsidR="00C21BD1" w:rsidRDefault="00715137" w:rsidP="00FB4800">
      <w:pPr>
        <w:spacing w:before="24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Ulusal e</w:t>
      </w:r>
      <w:r w:rsidR="008A2C1B">
        <w:rPr>
          <w:rFonts w:ascii="Times New Roman" w:eastAsia="Times New Roman" w:hAnsi="Times New Roman" w:cs="Times New Roman"/>
          <w:sz w:val="24"/>
          <w:szCs w:val="24"/>
        </w:rPr>
        <w:t>nerji denge tabloları (</w:t>
      </w:r>
      <w:r>
        <w:rPr>
          <w:rFonts w:ascii="Times New Roman" w:eastAsia="Times New Roman" w:hAnsi="Times New Roman" w:cs="Times New Roman"/>
          <w:sz w:val="24"/>
          <w:szCs w:val="24"/>
        </w:rPr>
        <w:t>UEDT</w:t>
      </w:r>
      <w:r w:rsidR="008A2C1B">
        <w:rPr>
          <w:rFonts w:ascii="Times New Roman" w:eastAsia="Times New Roman" w:hAnsi="Times New Roman" w:cs="Times New Roman"/>
          <w:sz w:val="24"/>
          <w:szCs w:val="24"/>
        </w:rPr>
        <w:t xml:space="preserve">), ulusal sınırlar içerisinde tüm enerji çeşitleri ile ilgili arz ve talep akımlarının yanı sıra; üretim, ithalat, ihracat çevrim ve tüketim ile ilgili detaylı bilgiler sunmaktadır </w:t>
      </w:r>
      <w:r w:rsidR="008A2C1B">
        <w:rPr>
          <w:rFonts w:ascii="Times New Roman" w:eastAsia="Times New Roman" w:hAnsi="Times New Roman" w:cs="Times New Roman"/>
          <w:color w:val="FF0000"/>
          <w:sz w:val="24"/>
          <w:szCs w:val="24"/>
        </w:rPr>
        <w:t xml:space="preserve">(ERIA, 2016:17). </w:t>
      </w:r>
      <w:r>
        <w:rPr>
          <w:rFonts w:ascii="Times New Roman" w:eastAsia="Times New Roman" w:hAnsi="Times New Roman" w:cs="Times New Roman"/>
          <w:sz w:val="24"/>
          <w:szCs w:val="24"/>
        </w:rPr>
        <w:t>UEDT</w:t>
      </w:r>
      <w:r w:rsidR="008A2C1B">
        <w:rPr>
          <w:rFonts w:ascii="Times New Roman" w:eastAsia="Times New Roman" w:hAnsi="Times New Roman" w:cs="Times New Roman"/>
          <w:sz w:val="24"/>
          <w:szCs w:val="24"/>
        </w:rPr>
        <w:t xml:space="preserve">’ler,  orijinal birimler ve ton eşdeğer petrol (tep) olmak üzere iki tablo şeklinde hazırlanmaktadır. Tablo </w:t>
      </w:r>
      <w:r>
        <w:rPr>
          <w:rFonts w:ascii="Times New Roman" w:eastAsia="Times New Roman" w:hAnsi="Times New Roman" w:cs="Times New Roman"/>
          <w:sz w:val="24"/>
          <w:szCs w:val="24"/>
        </w:rPr>
        <w:t>1</w:t>
      </w:r>
      <w:r w:rsidR="008A2C1B">
        <w:rPr>
          <w:rFonts w:ascii="Times New Roman" w:eastAsia="Times New Roman" w:hAnsi="Times New Roman" w:cs="Times New Roman"/>
          <w:sz w:val="24"/>
          <w:szCs w:val="24"/>
        </w:rPr>
        <w:t>’</w:t>
      </w:r>
      <w:r>
        <w:rPr>
          <w:rFonts w:ascii="Times New Roman" w:eastAsia="Times New Roman" w:hAnsi="Times New Roman" w:cs="Times New Roman"/>
          <w:sz w:val="24"/>
          <w:szCs w:val="24"/>
        </w:rPr>
        <w:t>de</w:t>
      </w:r>
      <w:r w:rsidR="008A2C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UEDT</w:t>
      </w:r>
      <w:r w:rsidR="008A2C1B">
        <w:rPr>
          <w:rFonts w:ascii="Times New Roman" w:eastAsia="Times New Roman" w:hAnsi="Times New Roman" w:cs="Times New Roman"/>
          <w:sz w:val="24"/>
          <w:szCs w:val="24"/>
        </w:rPr>
        <w:t xml:space="preserve">’lerin genel yapısı gösterilmekte olup 2012 yılına ait orijinal birimler kapsamında hazırlanan </w:t>
      </w:r>
      <w:r>
        <w:rPr>
          <w:rFonts w:ascii="Times New Roman" w:eastAsia="Times New Roman" w:hAnsi="Times New Roman" w:cs="Times New Roman"/>
          <w:sz w:val="24"/>
          <w:szCs w:val="24"/>
        </w:rPr>
        <w:t>UEDT</w:t>
      </w:r>
      <w:r w:rsidR="008A2C1B">
        <w:rPr>
          <w:rFonts w:ascii="Times New Roman" w:eastAsia="Times New Roman" w:hAnsi="Times New Roman" w:cs="Times New Roman"/>
          <w:sz w:val="24"/>
          <w:szCs w:val="24"/>
        </w:rPr>
        <w:t xml:space="preserve"> tablosu baz alınarak derlenmiştir. </w:t>
      </w:r>
      <w:r>
        <w:rPr>
          <w:rFonts w:ascii="Times New Roman" w:eastAsia="Times New Roman" w:hAnsi="Times New Roman" w:cs="Times New Roman"/>
          <w:sz w:val="24"/>
          <w:szCs w:val="24"/>
        </w:rPr>
        <w:t>UEDT</w:t>
      </w:r>
      <w:r w:rsidR="008A2C1B">
        <w:rPr>
          <w:rFonts w:ascii="Times New Roman" w:eastAsia="Times New Roman" w:hAnsi="Times New Roman" w:cs="Times New Roman"/>
          <w:sz w:val="24"/>
          <w:szCs w:val="24"/>
        </w:rPr>
        <w:t>’ler</w:t>
      </w:r>
      <w:r w:rsidR="001B0C21">
        <w:rPr>
          <w:rFonts w:ascii="Times New Roman" w:eastAsia="Times New Roman" w:hAnsi="Times New Roman" w:cs="Times New Roman"/>
          <w:sz w:val="24"/>
          <w:szCs w:val="24"/>
        </w:rPr>
        <w:t xml:space="preserve"> ile</w:t>
      </w:r>
      <w:r w:rsidR="008A2C1B">
        <w:rPr>
          <w:rFonts w:ascii="Times New Roman" w:eastAsia="Times New Roman" w:hAnsi="Times New Roman" w:cs="Times New Roman"/>
          <w:sz w:val="24"/>
          <w:szCs w:val="24"/>
        </w:rPr>
        <w:t xml:space="preserve"> ilgili temel eşitlikler ise denklem (</w:t>
      </w:r>
      <w:r>
        <w:rPr>
          <w:rFonts w:ascii="Times New Roman" w:eastAsia="Times New Roman" w:hAnsi="Times New Roman" w:cs="Times New Roman"/>
          <w:sz w:val="24"/>
          <w:szCs w:val="24"/>
        </w:rPr>
        <w:t>1</w:t>
      </w:r>
      <w:r w:rsidR="008A2C1B">
        <w:rPr>
          <w:rFonts w:ascii="Times New Roman" w:eastAsia="Times New Roman" w:hAnsi="Times New Roman" w:cs="Times New Roman"/>
          <w:sz w:val="24"/>
          <w:szCs w:val="24"/>
        </w:rPr>
        <w:t>) – (</w:t>
      </w:r>
      <w:r>
        <w:rPr>
          <w:rFonts w:ascii="Times New Roman" w:eastAsia="Times New Roman" w:hAnsi="Times New Roman" w:cs="Times New Roman"/>
          <w:sz w:val="24"/>
          <w:szCs w:val="24"/>
        </w:rPr>
        <w:t>6</w:t>
      </w:r>
      <w:r w:rsidR="008A2C1B">
        <w:rPr>
          <w:rFonts w:ascii="Times New Roman" w:eastAsia="Times New Roman" w:hAnsi="Times New Roman" w:cs="Times New Roman"/>
          <w:sz w:val="24"/>
          <w:szCs w:val="24"/>
        </w:rPr>
        <w:t xml:space="preserve">) arasında verilmiştir.  </w:t>
      </w:r>
    </w:p>
    <w:p w14:paraId="6EBCC0BC" w14:textId="7E28FCB8" w:rsidR="00C21BD1" w:rsidRDefault="0068328A" w:rsidP="00FB4800">
      <w:pPr>
        <w:pStyle w:val="ResimYazs"/>
        <w:spacing w:line="240" w:lineRule="auto"/>
        <w:rPr>
          <w:rFonts w:eastAsia="Times New Roman" w:cs="Times New Roman"/>
          <w:color w:val="000000"/>
          <w:szCs w:val="24"/>
        </w:rPr>
      </w:pPr>
      <w:bookmarkStart w:id="1" w:name="_heading=h.23ckvvd" w:colFirst="0" w:colLast="0"/>
      <w:bookmarkStart w:id="2" w:name="_Toc124962995"/>
      <w:bookmarkEnd w:id="1"/>
      <w:r>
        <w:t xml:space="preserve">Tablo </w:t>
      </w:r>
      <w:fldSimple w:instr=" SEQ Tablo \* ARABIC ">
        <w:r w:rsidR="00715137">
          <w:rPr>
            <w:noProof/>
          </w:rPr>
          <w:t>1</w:t>
        </w:r>
      </w:fldSimple>
      <w:r>
        <w:rPr>
          <w:rFonts w:eastAsia="Times New Roman" w:cs="Times New Roman"/>
          <w:color w:val="000000"/>
          <w:szCs w:val="24"/>
        </w:rPr>
        <w:t>: Enerji Denge Tablolarının Genel Yapısı</w:t>
      </w:r>
      <w:bookmarkEnd w:id="2"/>
    </w:p>
    <w:tbl>
      <w:tblPr>
        <w:tblStyle w:val="81"/>
        <w:tblW w:w="6242" w:type="dxa"/>
        <w:jc w:val="center"/>
        <w:tblInd w:w="0" w:type="dxa"/>
        <w:tblBorders>
          <w:top w:val="single" w:sz="4" w:space="0" w:color="000000"/>
          <w:bottom w:val="single" w:sz="4" w:space="0" w:color="000000"/>
        </w:tblBorders>
        <w:tblLayout w:type="fixed"/>
        <w:tblLook w:val="0400" w:firstRow="0" w:lastRow="0" w:firstColumn="0" w:lastColumn="0" w:noHBand="0" w:noVBand="1"/>
      </w:tblPr>
      <w:tblGrid>
        <w:gridCol w:w="1204"/>
        <w:gridCol w:w="842"/>
        <w:gridCol w:w="292"/>
        <w:gridCol w:w="814"/>
        <w:gridCol w:w="709"/>
        <w:gridCol w:w="1001"/>
        <w:gridCol w:w="283"/>
        <w:gridCol w:w="805"/>
        <w:gridCol w:w="292"/>
      </w:tblGrid>
      <w:tr w:rsidR="00362911" w:rsidRPr="00362911" w14:paraId="250AC8AA" w14:textId="77777777" w:rsidTr="00362911">
        <w:trPr>
          <w:trHeight w:val="274"/>
          <w:jc w:val="center"/>
        </w:trPr>
        <w:tc>
          <w:tcPr>
            <w:tcW w:w="1204" w:type="dxa"/>
            <w:tcBorders>
              <w:top w:val="single" w:sz="4" w:space="0" w:color="000000"/>
              <w:bottom w:val="single" w:sz="4" w:space="0" w:color="000000"/>
            </w:tcBorders>
            <w:shd w:val="clear" w:color="auto" w:fill="D0CECE"/>
            <w:vAlign w:val="center"/>
          </w:tcPr>
          <w:p w14:paraId="3A3F9B6A" w14:textId="77777777" w:rsidR="00362911" w:rsidRPr="00362911" w:rsidRDefault="00362911" w:rsidP="001D7821">
            <w:pPr>
              <w:spacing w:after="0" w:line="240" w:lineRule="auto"/>
              <w:jc w:val="right"/>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Enerji Kaynak Türleri</w:t>
            </w:r>
          </w:p>
        </w:tc>
        <w:tc>
          <w:tcPr>
            <w:tcW w:w="842" w:type="dxa"/>
            <w:tcBorders>
              <w:top w:val="single" w:sz="4" w:space="0" w:color="000000"/>
              <w:bottom w:val="single" w:sz="4" w:space="0" w:color="000000"/>
            </w:tcBorders>
            <w:shd w:val="clear" w:color="auto" w:fill="D0CECE"/>
            <w:vAlign w:val="center"/>
          </w:tcPr>
          <w:p w14:paraId="353A14CA" w14:textId="77777777" w:rsidR="00362911" w:rsidRPr="00362911" w:rsidRDefault="00362911" w:rsidP="001D7821">
            <w:pPr>
              <w:spacing w:after="0" w:line="240" w:lineRule="auto"/>
              <w:jc w:val="center"/>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Taş Kömürü</w:t>
            </w:r>
          </w:p>
        </w:tc>
        <w:tc>
          <w:tcPr>
            <w:tcW w:w="292" w:type="dxa"/>
            <w:tcBorders>
              <w:top w:val="single" w:sz="4" w:space="0" w:color="000000"/>
              <w:bottom w:val="single" w:sz="4" w:space="0" w:color="000000"/>
            </w:tcBorders>
            <w:shd w:val="clear" w:color="auto" w:fill="D0CECE"/>
            <w:vAlign w:val="center"/>
          </w:tcPr>
          <w:p w14:paraId="103C56B6" w14:textId="77777777" w:rsidR="00362911" w:rsidRPr="00362911" w:rsidRDefault="00362911" w:rsidP="001D7821">
            <w:pPr>
              <w:spacing w:after="0" w:line="240" w:lineRule="auto"/>
              <w:jc w:val="center"/>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c>
          <w:tcPr>
            <w:tcW w:w="814" w:type="dxa"/>
            <w:tcBorders>
              <w:top w:val="single" w:sz="4" w:space="0" w:color="000000"/>
              <w:bottom w:val="single" w:sz="4" w:space="0" w:color="000000"/>
            </w:tcBorders>
            <w:shd w:val="clear" w:color="auto" w:fill="D0CECE"/>
            <w:vAlign w:val="center"/>
          </w:tcPr>
          <w:p w14:paraId="75D748F9" w14:textId="77777777" w:rsidR="00362911" w:rsidRPr="00362911" w:rsidRDefault="00362911" w:rsidP="001D7821">
            <w:pPr>
              <w:spacing w:after="0" w:line="240" w:lineRule="auto"/>
              <w:jc w:val="center"/>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Ham Petrol</w:t>
            </w:r>
          </w:p>
        </w:tc>
        <w:tc>
          <w:tcPr>
            <w:tcW w:w="709" w:type="dxa"/>
            <w:tcBorders>
              <w:top w:val="single" w:sz="4" w:space="0" w:color="000000"/>
              <w:bottom w:val="single" w:sz="4" w:space="0" w:color="000000"/>
            </w:tcBorders>
            <w:shd w:val="clear" w:color="auto" w:fill="D0CECE"/>
            <w:vAlign w:val="center"/>
          </w:tcPr>
          <w:p w14:paraId="5F1775E3" w14:textId="77777777" w:rsidR="00362911" w:rsidRPr="00362911" w:rsidRDefault="00362911" w:rsidP="001D7821">
            <w:pPr>
              <w:spacing w:after="0" w:line="240" w:lineRule="auto"/>
              <w:jc w:val="center"/>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Petrol Ürünleri</w:t>
            </w:r>
          </w:p>
        </w:tc>
        <w:tc>
          <w:tcPr>
            <w:tcW w:w="1001" w:type="dxa"/>
            <w:tcBorders>
              <w:top w:val="single" w:sz="4" w:space="0" w:color="000000"/>
              <w:bottom w:val="single" w:sz="4" w:space="0" w:color="000000"/>
            </w:tcBorders>
            <w:shd w:val="clear" w:color="auto" w:fill="D0CECE"/>
            <w:vAlign w:val="center"/>
          </w:tcPr>
          <w:p w14:paraId="22126201" w14:textId="77777777" w:rsidR="00362911" w:rsidRPr="00362911" w:rsidRDefault="00362911" w:rsidP="001D7821">
            <w:pPr>
              <w:spacing w:after="0" w:line="240" w:lineRule="auto"/>
              <w:jc w:val="center"/>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Doğalgaz</w:t>
            </w:r>
          </w:p>
        </w:tc>
        <w:tc>
          <w:tcPr>
            <w:tcW w:w="283" w:type="dxa"/>
            <w:tcBorders>
              <w:top w:val="single" w:sz="4" w:space="0" w:color="000000"/>
              <w:bottom w:val="single" w:sz="4" w:space="0" w:color="000000"/>
            </w:tcBorders>
            <w:shd w:val="clear" w:color="auto" w:fill="D0CECE"/>
            <w:vAlign w:val="center"/>
          </w:tcPr>
          <w:p w14:paraId="3646805A" w14:textId="77777777" w:rsidR="00362911" w:rsidRPr="00362911" w:rsidRDefault="00362911" w:rsidP="001D7821">
            <w:pPr>
              <w:spacing w:after="0" w:line="240" w:lineRule="auto"/>
              <w:jc w:val="center"/>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c>
          <w:tcPr>
            <w:tcW w:w="805" w:type="dxa"/>
            <w:tcBorders>
              <w:top w:val="single" w:sz="4" w:space="0" w:color="000000"/>
              <w:bottom w:val="single" w:sz="4" w:space="0" w:color="000000"/>
            </w:tcBorders>
            <w:shd w:val="clear" w:color="auto" w:fill="D0CECE"/>
            <w:vAlign w:val="center"/>
          </w:tcPr>
          <w:p w14:paraId="49B6DB2E" w14:textId="77777777" w:rsidR="00362911" w:rsidRPr="00362911" w:rsidRDefault="00362911" w:rsidP="001D7821">
            <w:pPr>
              <w:spacing w:after="0" w:line="240" w:lineRule="auto"/>
              <w:jc w:val="center"/>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Elektrik</w:t>
            </w:r>
          </w:p>
        </w:tc>
        <w:tc>
          <w:tcPr>
            <w:tcW w:w="292" w:type="dxa"/>
            <w:tcBorders>
              <w:top w:val="single" w:sz="4" w:space="0" w:color="000000"/>
              <w:bottom w:val="single" w:sz="4" w:space="0" w:color="000000"/>
            </w:tcBorders>
            <w:shd w:val="clear" w:color="auto" w:fill="D0CECE"/>
            <w:vAlign w:val="center"/>
          </w:tcPr>
          <w:p w14:paraId="07034F6D" w14:textId="77777777" w:rsidR="00362911" w:rsidRPr="00362911" w:rsidRDefault="00362911" w:rsidP="001D7821">
            <w:pPr>
              <w:spacing w:after="0" w:line="240" w:lineRule="auto"/>
              <w:jc w:val="center"/>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r>
      <w:tr w:rsidR="00362911" w:rsidRPr="00362911" w14:paraId="388AE0D0" w14:textId="77777777" w:rsidTr="00362911">
        <w:trPr>
          <w:trHeight w:val="447"/>
          <w:jc w:val="center"/>
        </w:trPr>
        <w:tc>
          <w:tcPr>
            <w:tcW w:w="1204" w:type="dxa"/>
            <w:tcBorders>
              <w:top w:val="single" w:sz="4" w:space="0" w:color="000000"/>
            </w:tcBorders>
            <w:shd w:val="clear" w:color="auto" w:fill="auto"/>
            <w:vAlign w:val="center"/>
          </w:tcPr>
          <w:p w14:paraId="29C0E0D9" w14:textId="77777777" w:rsidR="00362911" w:rsidRPr="00362911" w:rsidRDefault="00362911" w:rsidP="001D7821">
            <w:pPr>
              <w:spacing w:after="0" w:line="240" w:lineRule="auto"/>
              <w:jc w:val="right"/>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Enerji Arz Talep Dağılımı / Birim</w:t>
            </w:r>
          </w:p>
        </w:tc>
        <w:tc>
          <w:tcPr>
            <w:tcW w:w="842" w:type="dxa"/>
            <w:tcBorders>
              <w:top w:val="single" w:sz="4" w:space="0" w:color="000000"/>
            </w:tcBorders>
            <w:shd w:val="clear" w:color="auto" w:fill="auto"/>
            <w:vAlign w:val="center"/>
          </w:tcPr>
          <w:p w14:paraId="677EBC6C" w14:textId="77777777" w:rsidR="00362911" w:rsidRPr="00362911" w:rsidRDefault="00362911" w:rsidP="001D7821">
            <w:pPr>
              <w:spacing w:after="0" w:line="240" w:lineRule="auto"/>
              <w:jc w:val="center"/>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(Bin Ton)</w:t>
            </w:r>
          </w:p>
        </w:tc>
        <w:tc>
          <w:tcPr>
            <w:tcW w:w="292" w:type="dxa"/>
            <w:tcBorders>
              <w:top w:val="single" w:sz="4" w:space="0" w:color="000000"/>
            </w:tcBorders>
            <w:shd w:val="clear" w:color="auto" w:fill="auto"/>
            <w:vAlign w:val="center"/>
          </w:tcPr>
          <w:p w14:paraId="040F620A" w14:textId="77777777" w:rsidR="00362911" w:rsidRPr="00362911" w:rsidRDefault="00362911" w:rsidP="001D7821">
            <w:pPr>
              <w:spacing w:after="0" w:line="240" w:lineRule="auto"/>
              <w:jc w:val="center"/>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14" w:type="dxa"/>
            <w:tcBorders>
              <w:top w:val="single" w:sz="4" w:space="0" w:color="000000"/>
            </w:tcBorders>
            <w:shd w:val="clear" w:color="auto" w:fill="auto"/>
            <w:vAlign w:val="center"/>
          </w:tcPr>
          <w:p w14:paraId="5D30D533" w14:textId="77777777" w:rsidR="00362911" w:rsidRPr="00362911" w:rsidRDefault="00362911" w:rsidP="001D7821">
            <w:pPr>
              <w:spacing w:after="0" w:line="240" w:lineRule="auto"/>
              <w:jc w:val="center"/>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(Bin Ton)</w:t>
            </w:r>
          </w:p>
        </w:tc>
        <w:tc>
          <w:tcPr>
            <w:tcW w:w="709" w:type="dxa"/>
            <w:tcBorders>
              <w:top w:val="single" w:sz="4" w:space="0" w:color="000000"/>
            </w:tcBorders>
            <w:shd w:val="clear" w:color="auto" w:fill="auto"/>
            <w:vAlign w:val="center"/>
          </w:tcPr>
          <w:p w14:paraId="356FEEE1" w14:textId="77777777" w:rsidR="00362911" w:rsidRPr="00362911" w:rsidRDefault="00362911" w:rsidP="001D7821">
            <w:pPr>
              <w:spacing w:after="0" w:line="240" w:lineRule="auto"/>
              <w:jc w:val="center"/>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(Bin Ton)</w:t>
            </w:r>
          </w:p>
        </w:tc>
        <w:tc>
          <w:tcPr>
            <w:tcW w:w="1001" w:type="dxa"/>
            <w:tcBorders>
              <w:top w:val="single" w:sz="4" w:space="0" w:color="000000"/>
            </w:tcBorders>
            <w:shd w:val="clear" w:color="auto" w:fill="auto"/>
            <w:vAlign w:val="center"/>
          </w:tcPr>
          <w:p w14:paraId="222BF00D" w14:textId="77777777" w:rsidR="00362911" w:rsidRPr="00362911" w:rsidRDefault="00362911" w:rsidP="001D7821">
            <w:pPr>
              <w:spacing w:after="0" w:line="240" w:lineRule="auto"/>
              <w:jc w:val="center"/>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(10</w:t>
            </w:r>
            <w:r w:rsidRPr="00362911">
              <w:rPr>
                <w:rFonts w:ascii="Trebuchet MS" w:eastAsia="Trebuchet MS" w:hAnsi="Trebuchet MS" w:cs="Trebuchet MS"/>
                <w:sz w:val="14"/>
                <w:szCs w:val="14"/>
                <w:vertAlign w:val="superscript"/>
              </w:rPr>
              <w:t>6</w:t>
            </w:r>
            <w:r w:rsidRPr="00362911">
              <w:rPr>
                <w:rFonts w:ascii="Times New Roman" w:eastAsia="Times New Roman" w:hAnsi="Times New Roman" w:cs="Times New Roman"/>
                <w:sz w:val="14"/>
                <w:szCs w:val="14"/>
              </w:rPr>
              <w:t>Sm</w:t>
            </w:r>
            <w:r w:rsidRPr="00362911">
              <w:rPr>
                <w:rFonts w:ascii="Times New Roman" w:eastAsia="Times New Roman" w:hAnsi="Times New Roman" w:cs="Times New Roman"/>
                <w:sz w:val="14"/>
                <w:szCs w:val="14"/>
                <w:vertAlign w:val="superscript"/>
              </w:rPr>
              <w:t>3</w:t>
            </w:r>
            <w:r w:rsidRPr="00362911">
              <w:rPr>
                <w:rFonts w:ascii="Times New Roman" w:eastAsia="Times New Roman" w:hAnsi="Times New Roman" w:cs="Times New Roman"/>
                <w:sz w:val="14"/>
                <w:szCs w:val="14"/>
              </w:rPr>
              <w:t>)</w:t>
            </w:r>
          </w:p>
        </w:tc>
        <w:tc>
          <w:tcPr>
            <w:tcW w:w="283" w:type="dxa"/>
            <w:tcBorders>
              <w:top w:val="single" w:sz="4" w:space="0" w:color="000000"/>
            </w:tcBorders>
            <w:shd w:val="clear" w:color="auto" w:fill="auto"/>
            <w:vAlign w:val="center"/>
          </w:tcPr>
          <w:p w14:paraId="0AA4F30D" w14:textId="77777777" w:rsidR="00362911" w:rsidRPr="00362911" w:rsidRDefault="00362911" w:rsidP="001D7821">
            <w:pPr>
              <w:spacing w:after="0" w:line="240" w:lineRule="auto"/>
              <w:jc w:val="center"/>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05" w:type="dxa"/>
            <w:tcBorders>
              <w:top w:val="single" w:sz="4" w:space="0" w:color="000000"/>
            </w:tcBorders>
            <w:shd w:val="clear" w:color="auto" w:fill="auto"/>
            <w:vAlign w:val="center"/>
          </w:tcPr>
          <w:p w14:paraId="750CE268" w14:textId="77777777" w:rsidR="00362911" w:rsidRPr="00362911" w:rsidRDefault="00362911" w:rsidP="001D7821">
            <w:pPr>
              <w:spacing w:after="0" w:line="240" w:lineRule="auto"/>
              <w:jc w:val="center"/>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(GWh)</w:t>
            </w:r>
          </w:p>
        </w:tc>
        <w:tc>
          <w:tcPr>
            <w:tcW w:w="292" w:type="dxa"/>
            <w:tcBorders>
              <w:top w:val="single" w:sz="4" w:space="0" w:color="000000"/>
            </w:tcBorders>
            <w:shd w:val="clear" w:color="auto" w:fill="auto"/>
            <w:vAlign w:val="center"/>
          </w:tcPr>
          <w:p w14:paraId="0A56A1D3" w14:textId="77777777" w:rsidR="00362911" w:rsidRPr="00362911" w:rsidRDefault="00362911" w:rsidP="001D7821">
            <w:pPr>
              <w:spacing w:after="0" w:line="240" w:lineRule="auto"/>
              <w:jc w:val="center"/>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r>
      <w:tr w:rsidR="00362911" w:rsidRPr="00362911" w14:paraId="061C9FD3" w14:textId="77777777" w:rsidTr="00362911">
        <w:trPr>
          <w:trHeight w:val="227"/>
          <w:jc w:val="center"/>
        </w:trPr>
        <w:tc>
          <w:tcPr>
            <w:tcW w:w="1204" w:type="dxa"/>
            <w:shd w:val="clear" w:color="auto" w:fill="auto"/>
            <w:vAlign w:val="center"/>
          </w:tcPr>
          <w:p w14:paraId="42DF5824"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Yerli Üretim (+)</w:t>
            </w:r>
          </w:p>
        </w:tc>
        <w:tc>
          <w:tcPr>
            <w:tcW w:w="842" w:type="dxa"/>
            <w:shd w:val="clear" w:color="auto" w:fill="auto"/>
            <w:vAlign w:val="center"/>
          </w:tcPr>
          <w:p w14:paraId="0D4528FC"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2,292.26</w:t>
            </w:r>
          </w:p>
        </w:tc>
        <w:tc>
          <w:tcPr>
            <w:tcW w:w="292" w:type="dxa"/>
            <w:shd w:val="clear" w:color="auto" w:fill="auto"/>
            <w:vAlign w:val="center"/>
          </w:tcPr>
          <w:p w14:paraId="3141FF19"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14" w:type="dxa"/>
            <w:shd w:val="clear" w:color="auto" w:fill="auto"/>
            <w:vAlign w:val="center"/>
          </w:tcPr>
          <w:p w14:paraId="4BE43AB9"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2,338.00</w:t>
            </w:r>
          </w:p>
        </w:tc>
        <w:tc>
          <w:tcPr>
            <w:tcW w:w="709" w:type="dxa"/>
            <w:shd w:val="clear" w:color="auto" w:fill="auto"/>
            <w:vAlign w:val="center"/>
          </w:tcPr>
          <w:p w14:paraId="0DADA07B"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1001" w:type="dxa"/>
            <w:shd w:val="clear" w:color="auto" w:fill="auto"/>
            <w:vAlign w:val="center"/>
          </w:tcPr>
          <w:p w14:paraId="58F236EB"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632.37</w:t>
            </w:r>
          </w:p>
        </w:tc>
        <w:tc>
          <w:tcPr>
            <w:tcW w:w="283" w:type="dxa"/>
            <w:shd w:val="clear" w:color="auto" w:fill="auto"/>
            <w:vAlign w:val="center"/>
          </w:tcPr>
          <w:p w14:paraId="5F31C3F7"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05" w:type="dxa"/>
            <w:shd w:val="clear" w:color="auto" w:fill="auto"/>
            <w:vAlign w:val="center"/>
          </w:tcPr>
          <w:p w14:paraId="1337B878"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292" w:type="dxa"/>
            <w:shd w:val="clear" w:color="auto" w:fill="auto"/>
            <w:vAlign w:val="center"/>
          </w:tcPr>
          <w:p w14:paraId="5BAC8FFC"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r>
      <w:tr w:rsidR="00362911" w:rsidRPr="00362911" w14:paraId="630EEF7D" w14:textId="77777777" w:rsidTr="00362911">
        <w:trPr>
          <w:trHeight w:val="227"/>
          <w:jc w:val="center"/>
        </w:trPr>
        <w:tc>
          <w:tcPr>
            <w:tcW w:w="1204" w:type="dxa"/>
            <w:shd w:val="clear" w:color="auto" w:fill="auto"/>
            <w:vAlign w:val="center"/>
          </w:tcPr>
          <w:p w14:paraId="132C1D00"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İthalat (+)</w:t>
            </w:r>
          </w:p>
        </w:tc>
        <w:tc>
          <w:tcPr>
            <w:tcW w:w="842" w:type="dxa"/>
            <w:shd w:val="clear" w:color="auto" w:fill="auto"/>
            <w:vAlign w:val="center"/>
          </w:tcPr>
          <w:p w14:paraId="1E613715"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29,195.00</w:t>
            </w:r>
          </w:p>
        </w:tc>
        <w:tc>
          <w:tcPr>
            <w:tcW w:w="292" w:type="dxa"/>
            <w:shd w:val="clear" w:color="auto" w:fill="auto"/>
            <w:vAlign w:val="center"/>
          </w:tcPr>
          <w:p w14:paraId="128AEF4F"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14" w:type="dxa"/>
            <w:shd w:val="clear" w:color="auto" w:fill="auto"/>
            <w:vAlign w:val="center"/>
          </w:tcPr>
          <w:p w14:paraId="770B5288"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19,485.00</w:t>
            </w:r>
          </w:p>
        </w:tc>
        <w:tc>
          <w:tcPr>
            <w:tcW w:w="709" w:type="dxa"/>
            <w:shd w:val="clear" w:color="auto" w:fill="auto"/>
            <w:vAlign w:val="center"/>
          </w:tcPr>
          <w:p w14:paraId="086A2B63"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16,714.00</w:t>
            </w:r>
          </w:p>
        </w:tc>
        <w:tc>
          <w:tcPr>
            <w:tcW w:w="1001" w:type="dxa"/>
            <w:shd w:val="clear" w:color="auto" w:fill="auto"/>
            <w:vAlign w:val="center"/>
          </w:tcPr>
          <w:p w14:paraId="6C0F31BB"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45,922.19</w:t>
            </w:r>
          </w:p>
        </w:tc>
        <w:tc>
          <w:tcPr>
            <w:tcW w:w="283" w:type="dxa"/>
            <w:shd w:val="clear" w:color="auto" w:fill="auto"/>
            <w:vAlign w:val="center"/>
          </w:tcPr>
          <w:p w14:paraId="1DF3B8B0"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05" w:type="dxa"/>
            <w:shd w:val="clear" w:color="auto" w:fill="auto"/>
            <w:vAlign w:val="center"/>
          </w:tcPr>
          <w:p w14:paraId="2A010531"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5,826.70</w:t>
            </w:r>
          </w:p>
        </w:tc>
        <w:tc>
          <w:tcPr>
            <w:tcW w:w="292" w:type="dxa"/>
            <w:shd w:val="clear" w:color="auto" w:fill="auto"/>
            <w:vAlign w:val="center"/>
          </w:tcPr>
          <w:p w14:paraId="0430E6B2"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r>
      <w:tr w:rsidR="00362911" w:rsidRPr="00362911" w14:paraId="0CCB65B7" w14:textId="77777777" w:rsidTr="00362911">
        <w:trPr>
          <w:trHeight w:val="227"/>
          <w:jc w:val="center"/>
        </w:trPr>
        <w:tc>
          <w:tcPr>
            <w:tcW w:w="1204" w:type="dxa"/>
            <w:shd w:val="clear" w:color="auto" w:fill="auto"/>
            <w:vAlign w:val="center"/>
          </w:tcPr>
          <w:p w14:paraId="4F066A6C"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İhracat (-)</w:t>
            </w:r>
          </w:p>
        </w:tc>
        <w:tc>
          <w:tcPr>
            <w:tcW w:w="842" w:type="dxa"/>
            <w:shd w:val="clear" w:color="auto" w:fill="auto"/>
            <w:vAlign w:val="center"/>
          </w:tcPr>
          <w:p w14:paraId="442D8D2C"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7.04</w:t>
            </w:r>
          </w:p>
        </w:tc>
        <w:tc>
          <w:tcPr>
            <w:tcW w:w="292" w:type="dxa"/>
            <w:shd w:val="clear" w:color="auto" w:fill="auto"/>
            <w:vAlign w:val="center"/>
          </w:tcPr>
          <w:p w14:paraId="228DA5F5"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14" w:type="dxa"/>
            <w:shd w:val="clear" w:color="auto" w:fill="auto"/>
            <w:vAlign w:val="center"/>
          </w:tcPr>
          <w:p w14:paraId="2F245ABB"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709" w:type="dxa"/>
            <w:shd w:val="clear" w:color="auto" w:fill="auto"/>
            <w:vAlign w:val="center"/>
          </w:tcPr>
          <w:p w14:paraId="20B990A7"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5,919.00</w:t>
            </w:r>
          </w:p>
        </w:tc>
        <w:tc>
          <w:tcPr>
            <w:tcW w:w="1001" w:type="dxa"/>
            <w:shd w:val="clear" w:color="auto" w:fill="auto"/>
            <w:vAlign w:val="center"/>
          </w:tcPr>
          <w:p w14:paraId="09EF0C8C"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611.12</w:t>
            </w:r>
          </w:p>
        </w:tc>
        <w:tc>
          <w:tcPr>
            <w:tcW w:w="283" w:type="dxa"/>
            <w:shd w:val="clear" w:color="auto" w:fill="auto"/>
            <w:vAlign w:val="center"/>
          </w:tcPr>
          <w:p w14:paraId="32C0FAFA"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05" w:type="dxa"/>
            <w:shd w:val="clear" w:color="auto" w:fill="auto"/>
            <w:vAlign w:val="center"/>
          </w:tcPr>
          <w:p w14:paraId="3069116D"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2,953.60</w:t>
            </w:r>
          </w:p>
        </w:tc>
        <w:tc>
          <w:tcPr>
            <w:tcW w:w="292" w:type="dxa"/>
            <w:shd w:val="clear" w:color="auto" w:fill="auto"/>
            <w:vAlign w:val="center"/>
          </w:tcPr>
          <w:p w14:paraId="49CE5CD0"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r>
      <w:tr w:rsidR="00362911" w:rsidRPr="00362911" w14:paraId="69FA0873" w14:textId="77777777" w:rsidTr="00362911">
        <w:trPr>
          <w:trHeight w:val="227"/>
          <w:jc w:val="center"/>
        </w:trPr>
        <w:tc>
          <w:tcPr>
            <w:tcW w:w="1204" w:type="dxa"/>
            <w:shd w:val="clear" w:color="auto" w:fill="auto"/>
            <w:vAlign w:val="center"/>
          </w:tcPr>
          <w:p w14:paraId="7209E243"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İhrakiye (-)</w:t>
            </w:r>
          </w:p>
        </w:tc>
        <w:tc>
          <w:tcPr>
            <w:tcW w:w="842" w:type="dxa"/>
            <w:shd w:val="clear" w:color="auto" w:fill="auto"/>
            <w:vAlign w:val="center"/>
          </w:tcPr>
          <w:p w14:paraId="003A1ACE"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292" w:type="dxa"/>
            <w:shd w:val="clear" w:color="auto" w:fill="auto"/>
            <w:vAlign w:val="center"/>
          </w:tcPr>
          <w:p w14:paraId="50230B0E"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14" w:type="dxa"/>
            <w:shd w:val="clear" w:color="auto" w:fill="auto"/>
            <w:vAlign w:val="center"/>
          </w:tcPr>
          <w:p w14:paraId="6B6BF718"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709" w:type="dxa"/>
            <w:shd w:val="clear" w:color="auto" w:fill="auto"/>
            <w:vAlign w:val="center"/>
          </w:tcPr>
          <w:p w14:paraId="27F3483C"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3,266.00</w:t>
            </w:r>
          </w:p>
        </w:tc>
        <w:tc>
          <w:tcPr>
            <w:tcW w:w="1001" w:type="dxa"/>
            <w:shd w:val="clear" w:color="auto" w:fill="auto"/>
            <w:vAlign w:val="center"/>
          </w:tcPr>
          <w:p w14:paraId="3B26EAA8"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283" w:type="dxa"/>
            <w:shd w:val="clear" w:color="auto" w:fill="auto"/>
            <w:vAlign w:val="center"/>
          </w:tcPr>
          <w:p w14:paraId="5F050619"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05" w:type="dxa"/>
            <w:shd w:val="clear" w:color="auto" w:fill="auto"/>
            <w:vAlign w:val="center"/>
          </w:tcPr>
          <w:p w14:paraId="5EC7C978"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292" w:type="dxa"/>
            <w:shd w:val="clear" w:color="auto" w:fill="auto"/>
            <w:vAlign w:val="center"/>
          </w:tcPr>
          <w:p w14:paraId="3188D903"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r>
      <w:tr w:rsidR="00362911" w:rsidRPr="00362911" w14:paraId="527FD8DB" w14:textId="77777777" w:rsidTr="00362911">
        <w:trPr>
          <w:trHeight w:val="227"/>
          <w:jc w:val="center"/>
        </w:trPr>
        <w:tc>
          <w:tcPr>
            <w:tcW w:w="1204" w:type="dxa"/>
            <w:shd w:val="clear" w:color="auto" w:fill="auto"/>
            <w:vAlign w:val="center"/>
          </w:tcPr>
          <w:p w14:paraId="3823251B"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Stok Değişimi (+/-)</w:t>
            </w:r>
          </w:p>
        </w:tc>
        <w:tc>
          <w:tcPr>
            <w:tcW w:w="842" w:type="dxa"/>
            <w:shd w:val="clear" w:color="auto" w:fill="auto"/>
            <w:vAlign w:val="center"/>
          </w:tcPr>
          <w:p w14:paraId="375343EB"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-556.00</w:t>
            </w:r>
          </w:p>
        </w:tc>
        <w:tc>
          <w:tcPr>
            <w:tcW w:w="292" w:type="dxa"/>
            <w:shd w:val="clear" w:color="auto" w:fill="auto"/>
            <w:vAlign w:val="center"/>
          </w:tcPr>
          <w:p w14:paraId="10615050"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14" w:type="dxa"/>
            <w:shd w:val="clear" w:color="auto" w:fill="auto"/>
            <w:vAlign w:val="center"/>
          </w:tcPr>
          <w:p w14:paraId="0052BA8C"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-112.00</w:t>
            </w:r>
          </w:p>
        </w:tc>
        <w:tc>
          <w:tcPr>
            <w:tcW w:w="709" w:type="dxa"/>
            <w:shd w:val="clear" w:color="auto" w:fill="auto"/>
            <w:vAlign w:val="center"/>
          </w:tcPr>
          <w:p w14:paraId="00CB4A28"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39.00</w:t>
            </w:r>
          </w:p>
        </w:tc>
        <w:tc>
          <w:tcPr>
            <w:tcW w:w="1001" w:type="dxa"/>
            <w:shd w:val="clear" w:color="auto" w:fill="auto"/>
            <w:vAlign w:val="center"/>
          </w:tcPr>
          <w:p w14:paraId="11E883FA"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-684.85</w:t>
            </w:r>
          </w:p>
        </w:tc>
        <w:tc>
          <w:tcPr>
            <w:tcW w:w="283" w:type="dxa"/>
            <w:shd w:val="clear" w:color="auto" w:fill="auto"/>
            <w:vAlign w:val="center"/>
          </w:tcPr>
          <w:p w14:paraId="201BCC73"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05" w:type="dxa"/>
            <w:shd w:val="clear" w:color="auto" w:fill="auto"/>
            <w:vAlign w:val="center"/>
          </w:tcPr>
          <w:p w14:paraId="657F2088"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292" w:type="dxa"/>
            <w:shd w:val="clear" w:color="auto" w:fill="auto"/>
            <w:vAlign w:val="center"/>
          </w:tcPr>
          <w:p w14:paraId="590FE98E"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r>
      <w:tr w:rsidR="00362911" w:rsidRPr="00362911" w14:paraId="6374AC0D" w14:textId="77777777" w:rsidTr="00362911">
        <w:trPr>
          <w:trHeight w:val="227"/>
          <w:jc w:val="center"/>
        </w:trPr>
        <w:tc>
          <w:tcPr>
            <w:tcW w:w="1204" w:type="dxa"/>
            <w:tcBorders>
              <w:bottom w:val="single" w:sz="4" w:space="0" w:color="auto"/>
            </w:tcBorders>
            <w:shd w:val="clear" w:color="auto" w:fill="auto"/>
            <w:vAlign w:val="center"/>
          </w:tcPr>
          <w:p w14:paraId="0DAF3575"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İstatistiksel Fark (+/-)</w:t>
            </w:r>
          </w:p>
        </w:tc>
        <w:tc>
          <w:tcPr>
            <w:tcW w:w="842" w:type="dxa"/>
            <w:tcBorders>
              <w:bottom w:val="single" w:sz="4" w:space="0" w:color="auto"/>
            </w:tcBorders>
            <w:shd w:val="clear" w:color="auto" w:fill="auto"/>
            <w:vAlign w:val="center"/>
          </w:tcPr>
          <w:p w14:paraId="15A29290"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292" w:type="dxa"/>
            <w:tcBorders>
              <w:bottom w:val="single" w:sz="4" w:space="0" w:color="auto"/>
            </w:tcBorders>
            <w:shd w:val="clear" w:color="auto" w:fill="auto"/>
            <w:vAlign w:val="center"/>
          </w:tcPr>
          <w:p w14:paraId="18DD559D"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w:t>
            </w:r>
          </w:p>
        </w:tc>
        <w:tc>
          <w:tcPr>
            <w:tcW w:w="814" w:type="dxa"/>
            <w:tcBorders>
              <w:bottom w:val="single" w:sz="4" w:space="0" w:color="auto"/>
            </w:tcBorders>
            <w:shd w:val="clear" w:color="auto" w:fill="auto"/>
            <w:vAlign w:val="center"/>
          </w:tcPr>
          <w:p w14:paraId="7E2A1D75"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709" w:type="dxa"/>
            <w:tcBorders>
              <w:bottom w:val="single" w:sz="4" w:space="0" w:color="auto"/>
            </w:tcBorders>
            <w:shd w:val="clear" w:color="auto" w:fill="auto"/>
            <w:vAlign w:val="center"/>
          </w:tcPr>
          <w:p w14:paraId="30B8FEE7"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140</w:t>
            </w:r>
          </w:p>
        </w:tc>
        <w:tc>
          <w:tcPr>
            <w:tcW w:w="1001" w:type="dxa"/>
            <w:tcBorders>
              <w:bottom w:val="single" w:sz="4" w:space="0" w:color="auto"/>
            </w:tcBorders>
            <w:shd w:val="clear" w:color="auto" w:fill="auto"/>
            <w:vAlign w:val="center"/>
          </w:tcPr>
          <w:p w14:paraId="44179EE3"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27 </w:t>
            </w:r>
          </w:p>
        </w:tc>
        <w:tc>
          <w:tcPr>
            <w:tcW w:w="283" w:type="dxa"/>
            <w:tcBorders>
              <w:bottom w:val="single" w:sz="4" w:space="0" w:color="auto"/>
            </w:tcBorders>
            <w:shd w:val="clear" w:color="auto" w:fill="auto"/>
            <w:vAlign w:val="center"/>
          </w:tcPr>
          <w:p w14:paraId="5937426E"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w:t>
            </w:r>
          </w:p>
        </w:tc>
        <w:tc>
          <w:tcPr>
            <w:tcW w:w="805" w:type="dxa"/>
            <w:tcBorders>
              <w:bottom w:val="single" w:sz="4" w:space="0" w:color="auto"/>
            </w:tcBorders>
            <w:shd w:val="clear" w:color="auto" w:fill="auto"/>
            <w:vAlign w:val="center"/>
          </w:tcPr>
          <w:p w14:paraId="37FC593E"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-0.45</w:t>
            </w:r>
          </w:p>
        </w:tc>
        <w:tc>
          <w:tcPr>
            <w:tcW w:w="292" w:type="dxa"/>
            <w:tcBorders>
              <w:bottom w:val="single" w:sz="4" w:space="0" w:color="auto"/>
            </w:tcBorders>
            <w:shd w:val="clear" w:color="auto" w:fill="auto"/>
            <w:vAlign w:val="center"/>
          </w:tcPr>
          <w:p w14:paraId="66F86CD9"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w:t>
            </w:r>
          </w:p>
        </w:tc>
      </w:tr>
      <w:tr w:rsidR="00E315F2" w:rsidRPr="00362911" w14:paraId="25E25E4E" w14:textId="77777777" w:rsidTr="00362911">
        <w:trPr>
          <w:trHeight w:val="227"/>
          <w:jc w:val="center"/>
        </w:trPr>
        <w:tc>
          <w:tcPr>
            <w:tcW w:w="1204" w:type="dxa"/>
            <w:tcBorders>
              <w:bottom w:val="single" w:sz="4" w:space="0" w:color="auto"/>
            </w:tcBorders>
            <w:shd w:val="clear" w:color="auto" w:fill="auto"/>
            <w:vAlign w:val="center"/>
          </w:tcPr>
          <w:p w14:paraId="5160B960" w14:textId="77777777" w:rsidR="00E315F2" w:rsidRPr="00362911" w:rsidRDefault="00E315F2" w:rsidP="001D7821">
            <w:pPr>
              <w:spacing w:after="0" w:line="240" w:lineRule="auto"/>
              <w:jc w:val="right"/>
              <w:rPr>
                <w:rFonts w:ascii="Times New Roman" w:eastAsia="Times New Roman" w:hAnsi="Times New Roman" w:cs="Times New Roman"/>
                <w:color w:val="000000"/>
                <w:sz w:val="14"/>
                <w:szCs w:val="14"/>
              </w:rPr>
            </w:pPr>
          </w:p>
        </w:tc>
        <w:tc>
          <w:tcPr>
            <w:tcW w:w="842" w:type="dxa"/>
            <w:tcBorders>
              <w:bottom w:val="single" w:sz="4" w:space="0" w:color="auto"/>
            </w:tcBorders>
            <w:shd w:val="clear" w:color="auto" w:fill="auto"/>
            <w:vAlign w:val="center"/>
          </w:tcPr>
          <w:p w14:paraId="06B484E6" w14:textId="77777777" w:rsidR="00E315F2" w:rsidRPr="00362911" w:rsidRDefault="00E315F2" w:rsidP="001D7821">
            <w:pPr>
              <w:spacing w:after="0" w:line="240" w:lineRule="auto"/>
              <w:rPr>
                <w:rFonts w:ascii="Times New Roman" w:eastAsia="Times New Roman" w:hAnsi="Times New Roman" w:cs="Times New Roman"/>
                <w:color w:val="000000"/>
                <w:sz w:val="14"/>
                <w:szCs w:val="14"/>
              </w:rPr>
            </w:pPr>
          </w:p>
        </w:tc>
        <w:tc>
          <w:tcPr>
            <w:tcW w:w="292" w:type="dxa"/>
            <w:tcBorders>
              <w:bottom w:val="single" w:sz="4" w:space="0" w:color="auto"/>
            </w:tcBorders>
            <w:shd w:val="clear" w:color="auto" w:fill="auto"/>
            <w:vAlign w:val="center"/>
          </w:tcPr>
          <w:p w14:paraId="565B2A0B" w14:textId="77777777" w:rsidR="00E315F2" w:rsidRPr="00362911" w:rsidRDefault="00E315F2" w:rsidP="001D7821">
            <w:pPr>
              <w:spacing w:after="0" w:line="240" w:lineRule="auto"/>
              <w:rPr>
                <w:rFonts w:ascii="Times New Roman" w:eastAsia="Times New Roman" w:hAnsi="Times New Roman" w:cs="Times New Roman"/>
                <w:color w:val="000000"/>
                <w:sz w:val="14"/>
                <w:szCs w:val="14"/>
              </w:rPr>
            </w:pPr>
          </w:p>
        </w:tc>
        <w:tc>
          <w:tcPr>
            <w:tcW w:w="814" w:type="dxa"/>
            <w:tcBorders>
              <w:bottom w:val="single" w:sz="4" w:space="0" w:color="auto"/>
            </w:tcBorders>
            <w:shd w:val="clear" w:color="auto" w:fill="auto"/>
            <w:vAlign w:val="center"/>
          </w:tcPr>
          <w:p w14:paraId="0268D492" w14:textId="77777777" w:rsidR="00E315F2" w:rsidRPr="00362911" w:rsidRDefault="00E315F2" w:rsidP="001D7821">
            <w:pPr>
              <w:spacing w:after="0" w:line="240" w:lineRule="auto"/>
              <w:rPr>
                <w:rFonts w:ascii="Times New Roman" w:eastAsia="Times New Roman" w:hAnsi="Times New Roman" w:cs="Times New Roman"/>
                <w:color w:val="000000"/>
                <w:sz w:val="14"/>
                <w:szCs w:val="14"/>
              </w:rPr>
            </w:pPr>
          </w:p>
        </w:tc>
        <w:tc>
          <w:tcPr>
            <w:tcW w:w="709" w:type="dxa"/>
            <w:tcBorders>
              <w:bottom w:val="single" w:sz="4" w:space="0" w:color="auto"/>
            </w:tcBorders>
            <w:shd w:val="clear" w:color="auto" w:fill="auto"/>
            <w:vAlign w:val="center"/>
          </w:tcPr>
          <w:p w14:paraId="0AAFA016" w14:textId="77777777" w:rsidR="00E315F2" w:rsidRPr="00362911" w:rsidRDefault="00E315F2" w:rsidP="001D7821">
            <w:pPr>
              <w:spacing w:after="0" w:line="240" w:lineRule="auto"/>
              <w:rPr>
                <w:rFonts w:ascii="Times New Roman" w:eastAsia="Times New Roman" w:hAnsi="Times New Roman" w:cs="Times New Roman"/>
                <w:color w:val="000000"/>
                <w:sz w:val="14"/>
                <w:szCs w:val="14"/>
              </w:rPr>
            </w:pPr>
          </w:p>
        </w:tc>
        <w:tc>
          <w:tcPr>
            <w:tcW w:w="1001" w:type="dxa"/>
            <w:tcBorders>
              <w:bottom w:val="single" w:sz="4" w:space="0" w:color="auto"/>
            </w:tcBorders>
            <w:shd w:val="clear" w:color="auto" w:fill="auto"/>
            <w:vAlign w:val="center"/>
          </w:tcPr>
          <w:p w14:paraId="0E9D2492" w14:textId="77777777" w:rsidR="00E315F2" w:rsidRPr="00362911" w:rsidRDefault="00E315F2" w:rsidP="001D7821">
            <w:pPr>
              <w:spacing w:after="0" w:line="240" w:lineRule="auto"/>
              <w:rPr>
                <w:rFonts w:ascii="Times New Roman" w:eastAsia="Times New Roman" w:hAnsi="Times New Roman" w:cs="Times New Roman"/>
                <w:color w:val="000000"/>
                <w:sz w:val="14"/>
                <w:szCs w:val="14"/>
              </w:rPr>
            </w:pPr>
          </w:p>
        </w:tc>
        <w:tc>
          <w:tcPr>
            <w:tcW w:w="283" w:type="dxa"/>
            <w:tcBorders>
              <w:bottom w:val="single" w:sz="4" w:space="0" w:color="auto"/>
            </w:tcBorders>
            <w:shd w:val="clear" w:color="auto" w:fill="auto"/>
            <w:vAlign w:val="center"/>
          </w:tcPr>
          <w:p w14:paraId="3D909E77" w14:textId="77777777" w:rsidR="00E315F2" w:rsidRPr="00362911" w:rsidRDefault="00E315F2" w:rsidP="001D7821">
            <w:pPr>
              <w:spacing w:after="0" w:line="240" w:lineRule="auto"/>
              <w:rPr>
                <w:rFonts w:ascii="Times New Roman" w:eastAsia="Times New Roman" w:hAnsi="Times New Roman" w:cs="Times New Roman"/>
                <w:color w:val="000000"/>
                <w:sz w:val="14"/>
                <w:szCs w:val="14"/>
              </w:rPr>
            </w:pPr>
          </w:p>
        </w:tc>
        <w:tc>
          <w:tcPr>
            <w:tcW w:w="805" w:type="dxa"/>
            <w:tcBorders>
              <w:bottom w:val="single" w:sz="4" w:space="0" w:color="auto"/>
            </w:tcBorders>
            <w:shd w:val="clear" w:color="auto" w:fill="auto"/>
            <w:vAlign w:val="center"/>
          </w:tcPr>
          <w:p w14:paraId="701C16FA" w14:textId="77777777" w:rsidR="00E315F2" w:rsidRPr="00362911" w:rsidRDefault="00E315F2" w:rsidP="001D7821">
            <w:pPr>
              <w:spacing w:after="0" w:line="240" w:lineRule="auto"/>
              <w:rPr>
                <w:rFonts w:ascii="Times New Roman" w:eastAsia="Times New Roman" w:hAnsi="Times New Roman" w:cs="Times New Roman"/>
                <w:color w:val="000000"/>
                <w:sz w:val="14"/>
                <w:szCs w:val="14"/>
              </w:rPr>
            </w:pPr>
          </w:p>
        </w:tc>
        <w:tc>
          <w:tcPr>
            <w:tcW w:w="292" w:type="dxa"/>
            <w:tcBorders>
              <w:bottom w:val="single" w:sz="4" w:space="0" w:color="auto"/>
            </w:tcBorders>
            <w:shd w:val="clear" w:color="auto" w:fill="auto"/>
            <w:vAlign w:val="center"/>
          </w:tcPr>
          <w:p w14:paraId="00AA71F4" w14:textId="77777777" w:rsidR="00E315F2" w:rsidRPr="00362911" w:rsidRDefault="00E315F2" w:rsidP="001D7821">
            <w:pPr>
              <w:spacing w:after="0" w:line="240" w:lineRule="auto"/>
              <w:rPr>
                <w:rFonts w:ascii="Times New Roman" w:eastAsia="Times New Roman" w:hAnsi="Times New Roman" w:cs="Times New Roman"/>
                <w:color w:val="000000"/>
                <w:sz w:val="14"/>
                <w:szCs w:val="14"/>
              </w:rPr>
            </w:pPr>
          </w:p>
        </w:tc>
      </w:tr>
      <w:tr w:rsidR="00362911" w:rsidRPr="00362911" w14:paraId="2A3CF903" w14:textId="77777777" w:rsidTr="00362911">
        <w:trPr>
          <w:trHeight w:val="99"/>
          <w:jc w:val="center"/>
        </w:trPr>
        <w:tc>
          <w:tcPr>
            <w:tcW w:w="1204" w:type="dxa"/>
            <w:tcBorders>
              <w:top w:val="single" w:sz="4" w:space="0" w:color="auto"/>
              <w:bottom w:val="single" w:sz="4" w:space="0" w:color="auto"/>
            </w:tcBorders>
            <w:shd w:val="clear" w:color="auto" w:fill="D0CECE"/>
            <w:vAlign w:val="center"/>
          </w:tcPr>
          <w:p w14:paraId="0DF96C28"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ENERJİ ÜRÜNLERİ ARZI</w:t>
            </w:r>
          </w:p>
        </w:tc>
        <w:tc>
          <w:tcPr>
            <w:tcW w:w="842" w:type="dxa"/>
            <w:tcBorders>
              <w:top w:val="single" w:sz="4" w:space="0" w:color="auto"/>
              <w:bottom w:val="single" w:sz="4" w:space="0" w:color="auto"/>
            </w:tcBorders>
            <w:shd w:val="clear" w:color="auto" w:fill="D0CECE"/>
            <w:vAlign w:val="center"/>
          </w:tcPr>
          <w:p w14:paraId="34B6F08E"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30,924.22</w:t>
            </w:r>
          </w:p>
        </w:tc>
        <w:tc>
          <w:tcPr>
            <w:tcW w:w="292" w:type="dxa"/>
            <w:tcBorders>
              <w:top w:val="single" w:sz="4" w:space="0" w:color="auto"/>
              <w:bottom w:val="single" w:sz="4" w:space="0" w:color="auto"/>
            </w:tcBorders>
            <w:shd w:val="clear" w:color="auto" w:fill="D0CECE"/>
            <w:vAlign w:val="center"/>
          </w:tcPr>
          <w:p w14:paraId="69375000"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c>
          <w:tcPr>
            <w:tcW w:w="814" w:type="dxa"/>
            <w:tcBorders>
              <w:top w:val="single" w:sz="4" w:space="0" w:color="auto"/>
              <w:bottom w:val="single" w:sz="4" w:space="0" w:color="auto"/>
            </w:tcBorders>
            <w:shd w:val="clear" w:color="auto" w:fill="D0CECE"/>
            <w:vAlign w:val="center"/>
          </w:tcPr>
          <w:p w14:paraId="0A04F6BB"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21,711.00</w:t>
            </w:r>
          </w:p>
        </w:tc>
        <w:tc>
          <w:tcPr>
            <w:tcW w:w="709" w:type="dxa"/>
            <w:tcBorders>
              <w:top w:val="single" w:sz="4" w:space="0" w:color="auto"/>
              <w:bottom w:val="single" w:sz="4" w:space="0" w:color="auto"/>
            </w:tcBorders>
            <w:shd w:val="clear" w:color="auto" w:fill="D0CECE"/>
            <w:vAlign w:val="center"/>
          </w:tcPr>
          <w:p w14:paraId="7B7A1888"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7,568.00</w:t>
            </w:r>
          </w:p>
        </w:tc>
        <w:tc>
          <w:tcPr>
            <w:tcW w:w="1001" w:type="dxa"/>
            <w:tcBorders>
              <w:top w:val="single" w:sz="4" w:space="0" w:color="auto"/>
              <w:bottom w:val="single" w:sz="4" w:space="0" w:color="auto"/>
            </w:tcBorders>
            <w:shd w:val="clear" w:color="auto" w:fill="D0CECE"/>
            <w:vAlign w:val="center"/>
          </w:tcPr>
          <w:p w14:paraId="160C06E1"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45,258.59</w:t>
            </w:r>
          </w:p>
        </w:tc>
        <w:tc>
          <w:tcPr>
            <w:tcW w:w="283" w:type="dxa"/>
            <w:tcBorders>
              <w:top w:val="single" w:sz="4" w:space="0" w:color="auto"/>
              <w:bottom w:val="single" w:sz="4" w:space="0" w:color="auto"/>
            </w:tcBorders>
            <w:shd w:val="clear" w:color="auto" w:fill="D0CECE"/>
            <w:vAlign w:val="center"/>
          </w:tcPr>
          <w:p w14:paraId="6670A7C0"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c>
          <w:tcPr>
            <w:tcW w:w="805" w:type="dxa"/>
            <w:tcBorders>
              <w:top w:val="single" w:sz="4" w:space="0" w:color="auto"/>
              <w:bottom w:val="single" w:sz="4" w:space="0" w:color="auto"/>
            </w:tcBorders>
            <w:shd w:val="clear" w:color="auto" w:fill="D0CECE"/>
            <w:vAlign w:val="center"/>
          </w:tcPr>
          <w:p w14:paraId="0AE04B91"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2,873.10</w:t>
            </w:r>
          </w:p>
        </w:tc>
        <w:tc>
          <w:tcPr>
            <w:tcW w:w="292" w:type="dxa"/>
            <w:tcBorders>
              <w:top w:val="single" w:sz="4" w:space="0" w:color="auto"/>
              <w:bottom w:val="single" w:sz="4" w:space="0" w:color="auto"/>
            </w:tcBorders>
            <w:shd w:val="clear" w:color="auto" w:fill="D0CECE"/>
            <w:vAlign w:val="center"/>
          </w:tcPr>
          <w:p w14:paraId="59BFB2D8"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r>
      <w:tr w:rsidR="00362911" w:rsidRPr="00362911" w14:paraId="07AB90C2" w14:textId="77777777" w:rsidTr="00362911">
        <w:trPr>
          <w:trHeight w:val="465"/>
          <w:jc w:val="center"/>
        </w:trPr>
        <w:tc>
          <w:tcPr>
            <w:tcW w:w="1204" w:type="dxa"/>
            <w:tcBorders>
              <w:top w:val="single" w:sz="4" w:space="0" w:color="auto"/>
            </w:tcBorders>
            <w:shd w:val="clear" w:color="auto" w:fill="auto"/>
            <w:vAlign w:val="center"/>
          </w:tcPr>
          <w:p w14:paraId="0029BB31"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ÇEVRİM VE ENERJİ SEKTÖRÜ</w:t>
            </w:r>
          </w:p>
        </w:tc>
        <w:tc>
          <w:tcPr>
            <w:tcW w:w="842" w:type="dxa"/>
            <w:tcBorders>
              <w:top w:val="single" w:sz="4" w:space="0" w:color="auto"/>
            </w:tcBorders>
            <w:shd w:val="clear" w:color="auto" w:fill="auto"/>
            <w:vAlign w:val="center"/>
          </w:tcPr>
          <w:p w14:paraId="5BFEE4C5"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-17,597.98</w:t>
            </w:r>
          </w:p>
        </w:tc>
        <w:tc>
          <w:tcPr>
            <w:tcW w:w="292" w:type="dxa"/>
            <w:tcBorders>
              <w:top w:val="single" w:sz="4" w:space="0" w:color="auto"/>
            </w:tcBorders>
            <w:shd w:val="clear" w:color="auto" w:fill="auto"/>
            <w:vAlign w:val="center"/>
          </w:tcPr>
          <w:p w14:paraId="5C9B4C95"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c>
          <w:tcPr>
            <w:tcW w:w="814" w:type="dxa"/>
            <w:tcBorders>
              <w:top w:val="single" w:sz="4" w:space="0" w:color="auto"/>
            </w:tcBorders>
            <w:shd w:val="clear" w:color="auto" w:fill="auto"/>
            <w:vAlign w:val="center"/>
          </w:tcPr>
          <w:p w14:paraId="4CD5D163"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-21,711.00</w:t>
            </w:r>
          </w:p>
        </w:tc>
        <w:tc>
          <w:tcPr>
            <w:tcW w:w="709" w:type="dxa"/>
            <w:tcBorders>
              <w:top w:val="single" w:sz="4" w:space="0" w:color="auto"/>
            </w:tcBorders>
            <w:shd w:val="clear" w:color="auto" w:fill="auto"/>
            <w:vAlign w:val="center"/>
          </w:tcPr>
          <w:p w14:paraId="41CE93F6"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20,325.00</w:t>
            </w:r>
          </w:p>
        </w:tc>
        <w:tc>
          <w:tcPr>
            <w:tcW w:w="1001" w:type="dxa"/>
            <w:tcBorders>
              <w:top w:val="single" w:sz="4" w:space="0" w:color="auto"/>
            </w:tcBorders>
            <w:shd w:val="clear" w:color="auto" w:fill="auto"/>
            <w:vAlign w:val="center"/>
          </w:tcPr>
          <w:p w14:paraId="2D0F2BC5"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-24,941.64</w:t>
            </w:r>
          </w:p>
        </w:tc>
        <w:tc>
          <w:tcPr>
            <w:tcW w:w="283" w:type="dxa"/>
            <w:tcBorders>
              <w:top w:val="single" w:sz="4" w:space="0" w:color="auto"/>
            </w:tcBorders>
            <w:shd w:val="clear" w:color="auto" w:fill="auto"/>
            <w:vAlign w:val="center"/>
          </w:tcPr>
          <w:p w14:paraId="3A0EF185"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c>
          <w:tcPr>
            <w:tcW w:w="805" w:type="dxa"/>
            <w:tcBorders>
              <w:top w:val="single" w:sz="4" w:space="0" w:color="auto"/>
            </w:tcBorders>
            <w:shd w:val="clear" w:color="auto" w:fill="auto"/>
            <w:vAlign w:val="center"/>
          </w:tcPr>
          <w:p w14:paraId="6A5443B2"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190,906.17</w:t>
            </w:r>
          </w:p>
        </w:tc>
        <w:tc>
          <w:tcPr>
            <w:tcW w:w="292" w:type="dxa"/>
            <w:tcBorders>
              <w:top w:val="single" w:sz="4" w:space="0" w:color="auto"/>
            </w:tcBorders>
            <w:shd w:val="clear" w:color="auto" w:fill="auto"/>
            <w:vAlign w:val="center"/>
          </w:tcPr>
          <w:p w14:paraId="3DB5EF56"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r>
      <w:tr w:rsidR="00362911" w:rsidRPr="00362911" w14:paraId="4C0B7382" w14:textId="77777777" w:rsidTr="00362911">
        <w:trPr>
          <w:trHeight w:val="227"/>
          <w:jc w:val="center"/>
        </w:trPr>
        <w:tc>
          <w:tcPr>
            <w:tcW w:w="1204" w:type="dxa"/>
            <w:shd w:val="clear" w:color="auto" w:fill="auto"/>
            <w:vAlign w:val="center"/>
          </w:tcPr>
          <w:p w14:paraId="5BDD2623"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Elektrik Santralleri</w:t>
            </w:r>
          </w:p>
        </w:tc>
        <w:tc>
          <w:tcPr>
            <w:tcW w:w="842" w:type="dxa"/>
            <w:shd w:val="clear" w:color="auto" w:fill="auto"/>
            <w:vAlign w:val="center"/>
          </w:tcPr>
          <w:p w14:paraId="4E0CE761"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-11,761.00</w:t>
            </w:r>
          </w:p>
        </w:tc>
        <w:tc>
          <w:tcPr>
            <w:tcW w:w="292" w:type="dxa"/>
            <w:shd w:val="clear" w:color="auto" w:fill="auto"/>
            <w:vAlign w:val="center"/>
          </w:tcPr>
          <w:p w14:paraId="601545D5"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14" w:type="dxa"/>
            <w:shd w:val="clear" w:color="auto" w:fill="auto"/>
            <w:vAlign w:val="center"/>
          </w:tcPr>
          <w:p w14:paraId="2B24F52A"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709" w:type="dxa"/>
            <w:shd w:val="clear" w:color="auto" w:fill="auto"/>
            <w:vAlign w:val="center"/>
          </w:tcPr>
          <w:p w14:paraId="43DE1E9B"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-741.00</w:t>
            </w:r>
          </w:p>
        </w:tc>
        <w:tc>
          <w:tcPr>
            <w:tcW w:w="1001" w:type="dxa"/>
            <w:shd w:val="clear" w:color="auto" w:fill="auto"/>
            <w:vAlign w:val="center"/>
          </w:tcPr>
          <w:p w14:paraId="3B48EBB0"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-23,090.00</w:t>
            </w:r>
          </w:p>
        </w:tc>
        <w:tc>
          <w:tcPr>
            <w:tcW w:w="283" w:type="dxa"/>
            <w:shd w:val="clear" w:color="auto" w:fill="auto"/>
            <w:vAlign w:val="center"/>
          </w:tcPr>
          <w:p w14:paraId="77868E6F"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05" w:type="dxa"/>
            <w:shd w:val="clear" w:color="auto" w:fill="auto"/>
            <w:vAlign w:val="center"/>
          </w:tcPr>
          <w:p w14:paraId="00132DD1"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239,496.80</w:t>
            </w:r>
          </w:p>
        </w:tc>
        <w:tc>
          <w:tcPr>
            <w:tcW w:w="292" w:type="dxa"/>
            <w:shd w:val="clear" w:color="auto" w:fill="auto"/>
            <w:vAlign w:val="center"/>
          </w:tcPr>
          <w:p w14:paraId="7AD15735"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r>
      <w:tr w:rsidR="00362911" w:rsidRPr="00362911" w14:paraId="12CF0290" w14:textId="77777777" w:rsidTr="00362911">
        <w:trPr>
          <w:trHeight w:val="227"/>
          <w:jc w:val="center"/>
        </w:trPr>
        <w:tc>
          <w:tcPr>
            <w:tcW w:w="1204" w:type="dxa"/>
            <w:shd w:val="clear" w:color="auto" w:fill="auto"/>
            <w:vAlign w:val="center"/>
          </w:tcPr>
          <w:p w14:paraId="6E5B0F07"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Isı Santralleri</w:t>
            </w:r>
          </w:p>
        </w:tc>
        <w:tc>
          <w:tcPr>
            <w:tcW w:w="842" w:type="dxa"/>
            <w:shd w:val="clear" w:color="auto" w:fill="auto"/>
            <w:vAlign w:val="center"/>
          </w:tcPr>
          <w:p w14:paraId="365C605A"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-94.00</w:t>
            </w:r>
          </w:p>
        </w:tc>
        <w:tc>
          <w:tcPr>
            <w:tcW w:w="292" w:type="dxa"/>
            <w:shd w:val="clear" w:color="auto" w:fill="auto"/>
            <w:vAlign w:val="center"/>
          </w:tcPr>
          <w:p w14:paraId="10E92A40"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14" w:type="dxa"/>
            <w:shd w:val="clear" w:color="auto" w:fill="auto"/>
            <w:vAlign w:val="center"/>
          </w:tcPr>
          <w:p w14:paraId="5C068CA6"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709" w:type="dxa"/>
            <w:shd w:val="clear" w:color="auto" w:fill="auto"/>
            <w:vAlign w:val="center"/>
          </w:tcPr>
          <w:p w14:paraId="024EAD60"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-165.00</w:t>
            </w:r>
          </w:p>
        </w:tc>
        <w:tc>
          <w:tcPr>
            <w:tcW w:w="1001" w:type="dxa"/>
            <w:shd w:val="clear" w:color="auto" w:fill="auto"/>
            <w:vAlign w:val="center"/>
          </w:tcPr>
          <w:p w14:paraId="1F5DF306"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-573.00</w:t>
            </w:r>
          </w:p>
        </w:tc>
        <w:tc>
          <w:tcPr>
            <w:tcW w:w="283" w:type="dxa"/>
            <w:shd w:val="clear" w:color="auto" w:fill="auto"/>
            <w:vAlign w:val="center"/>
          </w:tcPr>
          <w:p w14:paraId="7240FB08"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05" w:type="dxa"/>
            <w:shd w:val="clear" w:color="auto" w:fill="auto"/>
            <w:vAlign w:val="center"/>
          </w:tcPr>
          <w:p w14:paraId="41EB482F"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292" w:type="dxa"/>
            <w:shd w:val="clear" w:color="auto" w:fill="auto"/>
            <w:vAlign w:val="center"/>
          </w:tcPr>
          <w:p w14:paraId="7A3D0AAA"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r>
      <w:tr w:rsidR="00362911" w:rsidRPr="00362911" w14:paraId="3CCA080F" w14:textId="77777777" w:rsidTr="00362911">
        <w:trPr>
          <w:trHeight w:val="227"/>
          <w:jc w:val="center"/>
        </w:trPr>
        <w:tc>
          <w:tcPr>
            <w:tcW w:w="1204" w:type="dxa"/>
            <w:shd w:val="clear" w:color="auto" w:fill="auto"/>
            <w:vAlign w:val="center"/>
          </w:tcPr>
          <w:p w14:paraId="2AA209E2"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Kok Fabrikaları</w:t>
            </w:r>
          </w:p>
        </w:tc>
        <w:tc>
          <w:tcPr>
            <w:tcW w:w="842" w:type="dxa"/>
            <w:shd w:val="clear" w:color="auto" w:fill="auto"/>
            <w:vAlign w:val="center"/>
          </w:tcPr>
          <w:p w14:paraId="2561E617"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-5,391.98</w:t>
            </w:r>
          </w:p>
        </w:tc>
        <w:tc>
          <w:tcPr>
            <w:tcW w:w="292" w:type="dxa"/>
            <w:shd w:val="clear" w:color="auto" w:fill="auto"/>
            <w:vAlign w:val="center"/>
          </w:tcPr>
          <w:p w14:paraId="37C4C2AB"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14" w:type="dxa"/>
            <w:shd w:val="clear" w:color="auto" w:fill="auto"/>
            <w:vAlign w:val="center"/>
          </w:tcPr>
          <w:p w14:paraId="126CEA73"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709" w:type="dxa"/>
            <w:shd w:val="clear" w:color="auto" w:fill="auto"/>
            <w:vAlign w:val="center"/>
          </w:tcPr>
          <w:p w14:paraId="776AE676"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w:t>
            </w:r>
          </w:p>
        </w:tc>
        <w:tc>
          <w:tcPr>
            <w:tcW w:w="1001" w:type="dxa"/>
            <w:shd w:val="clear" w:color="auto" w:fill="auto"/>
            <w:vAlign w:val="center"/>
          </w:tcPr>
          <w:p w14:paraId="5B182EE8"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283" w:type="dxa"/>
            <w:shd w:val="clear" w:color="auto" w:fill="auto"/>
            <w:vAlign w:val="center"/>
          </w:tcPr>
          <w:p w14:paraId="49CC65CE"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05" w:type="dxa"/>
            <w:shd w:val="clear" w:color="auto" w:fill="auto"/>
            <w:vAlign w:val="center"/>
          </w:tcPr>
          <w:p w14:paraId="416A5C6A"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292" w:type="dxa"/>
            <w:shd w:val="clear" w:color="auto" w:fill="auto"/>
            <w:vAlign w:val="center"/>
          </w:tcPr>
          <w:p w14:paraId="28681A69"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r>
      <w:tr w:rsidR="00362911" w:rsidRPr="00362911" w14:paraId="19E81E35" w14:textId="77777777" w:rsidTr="00362911">
        <w:trPr>
          <w:trHeight w:val="227"/>
          <w:jc w:val="center"/>
        </w:trPr>
        <w:tc>
          <w:tcPr>
            <w:tcW w:w="1204" w:type="dxa"/>
            <w:shd w:val="clear" w:color="auto" w:fill="auto"/>
            <w:vAlign w:val="center"/>
          </w:tcPr>
          <w:p w14:paraId="2DA40017"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Rafineriler</w:t>
            </w:r>
          </w:p>
        </w:tc>
        <w:tc>
          <w:tcPr>
            <w:tcW w:w="842" w:type="dxa"/>
            <w:shd w:val="clear" w:color="auto" w:fill="auto"/>
            <w:vAlign w:val="center"/>
          </w:tcPr>
          <w:p w14:paraId="07A447A1"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292" w:type="dxa"/>
            <w:shd w:val="clear" w:color="auto" w:fill="auto"/>
            <w:vAlign w:val="center"/>
          </w:tcPr>
          <w:p w14:paraId="445C93BA"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14" w:type="dxa"/>
            <w:shd w:val="clear" w:color="auto" w:fill="auto"/>
            <w:vAlign w:val="center"/>
          </w:tcPr>
          <w:p w14:paraId="2E9C0ECD"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-21,711.00</w:t>
            </w:r>
          </w:p>
        </w:tc>
        <w:tc>
          <w:tcPr>
            <w:tcW w:w="709" w:type="dxa"/>
            <w:shd w:val="clear" w:color="auto" w:fill="auto"/>
            <w:vAlign w:val="center"/>
          </w:tcPr>
          <w:p w14:paraId="33F0AC36"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22,116.00</w:t>
            </w:r>
          </w:p>
        </w:tc>
        <w:tc>
          <w:tcPr>
            <w:tcW w:w="1001" w:type="dxa"/>
            <w:shd w:val="clear" w:color="auto" w:fill="auto"/>
            <w:vAlign w:val="center"/>
          </w:tcPr>
          <w:p w14:paraId="330B5003"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-1,261.81</w:t>
            </w:r>
          </w:p>
        </w:tc>
        <w:tc>
          <w:tcPr>
            <w:tcW w:w="283" w:type="dxa"/>
            <w:shd w:val="clear" w:color="auto" w:fill="auto"/>
            <w:vAlign w:val="center"/>
          </w:tcPr>
          <w:p w14:paraId="54094600"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05" w:type="dxa"/>
            <w:shd w:val="clear" w:color="auto" w:fill="auto"/>
            <w:vAlign w:val="center"/>
          </w:tcPr>
          <w:p w14:paraId="02CF4FB6"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-1,143.63</w:t>
            </w:r>
          </w:p>
        </w:tc>
        <w:tc>
          <w:tcPr>
            <w:tcW w:w="292" w:type="dxa"/>
            <w:shd w:val="clear" w:color="auto" w:fill="auto"/>
            <w:vAlign w:val="center"/>
          </w:tcPr>
          <w:p w14:paraId="6631A732"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r>
      <w:tr w:rsidR="00362911" w:rsidRPr="00362911" w14:paraId="1F5468DF" w14:textId="77777777" w:rsidTr="00362911">
        <w:trPr>
          <w:trHeight w:val="227"/>
          <w:jc w:val="center"/>
        </w:trPr>
        <w:tc>
          <w:tcPr>
            <w:tcW w:w="1204" w:type="dxa"/>
            <w:tcBorders>
              <w:bottom w:val="single" w:sz="4" w:space="0" w:color="auto"/>
            </w:tcBorders>
            <w:shd w:val="clear" w:color="auto" w:fill="auto"/>
            <w:vAlign w:val="center"/>
          </w:tcPr>
          <w:p w14:paraId="78DB9717"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xml:space="preserve">İç Tüketim ve Kayıp </w:t>
            </w:r>
          </w:p>
        </w:tc>
        <w:tc>
          <w:tcPr>
            <w:tcW w:w="842" w:type="dxa"/>
            <w:tcBorders>
              <w:bottom w:val="single" w:sz="4" w:space="0" w:color="auto"/>
            </w:tcBorders>
            <w:shd w:val="clear" w:color="auto" w:fill="auto"/>
            <w:vAlign w:val="center"/>
          </w:tcPr>
          <w:p w14:paraId="1B404445"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-351.00</w:t>
            </w:r>
          </w:p>
        </w:tc>
        <w:tc>
          <w:tcPr>
            <w:tcW w:w="292" w:type="dxa"/>
            <w:tcBorders>
              <w:bottom w:val="single" w:sz="4" w:space="0" w:color="auto"/>
            </w:tcBorders>
            <w:shd w:val="clear" w:color="auto" w:fill="auto"/>
            <w:vAlign w:val="center"/>
          </w:tcPr>
          <w:p w14:paraId="0B87C8BC"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14" w:type="dxa"/>
            <w:tcBorders>
              <w:bottom w:val="single" w:sz="4" w:space="0" w:color="auto"/>
            </w:tcBorders>
            <w:shd w:val="clear" w:color="auto" w:fill="auto"/>
            <w:vAlign w:val="center"/>
          </w:tcPr>
          <w:p w14:paraId="732C9A94"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0</w:t>
            </w:r>
          </w:p>
        </w:tc>
        <w:tc>
          <w:tcPr>
            <w:tcW w:w="709" w:type="dxa"/>
            <w:tcBorders>
              <w:bottom w:val="single" w:sz="4" w:space="0" w:color="auto"/>
            </w:tcBorders>
            <w:shd w:val="clear" w:color="auto" w:fill="auto"/>
            <w:vAlign w:val="center"/>
          </w:tcPr>
          <w:p w14:paraId="11330825"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-885.00</w:t>
            </w:r>
          </w:p>
        </w:tc>
        <w:tc>
          <w:tcPr>
            <w:tcW w:w="1001" w:type="dxa"/>
            <w:tcBorders>
              <w:bottom w:val="single" w:sz="4" w:space="0" w:color="auto"/>
            </w:tcBorders>
            <w:shd w:val="clear" w:color="auto" w:fill="auto"/>
            <w:vAlign w:val="center"/>
          </w:tcPr>
          <w:p w14:paraId="6DCC27F7"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-16.83</w:t>
            </w:r>
          </w:p>
        </w:tc>
        <w:tc>
          <w:tcPr>
            <w:tcW w:w="283" w:type="dxa"/>
            <w:tcBorders>
              <w:bottom w:val="single" w:sz="4" w:space="0" w:color="auto"/>
            </w:tcBorders>
            <w:shd w:val="clear" w:color="auto" w:fill="auto"/>
            <w:vAlign w:val="center"/>
          </w:tcPr>
          <w:p w14:paraId="4C26153B"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05" w:type="dxa"/>
            <w:tcBorders>
              <w:bottom w:val="single" w:sz="4" w:space="0" w:color="auto"/>
            </w:tcBorders>
            <w:shd w:val="clear" w:color="auto" w:fill="auto"/>
            <w:vAlign w:val="center"/>
          </w:tcPr>
          <w:p w14:paraId="6C0964DA"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-47,447.00</w:t>
            </w:r>
          </w:p>
        </w:tc>
        <w:tc>
          <w:tcPr>
            <w:tcW w:w="292" w:type="dxa"/>
            <w:tcBorders>
              <w:bottom w:val="single" w:sz="4" w:space="0" w:color="auto"/>
            </w:tcBorders>
            <w:shd w:val="clear" w:color="auto" w:fill="auto"/>
            <w:vAlign w:val="center"/>
          </w:tcPr>
          <w:p w14:paraId="3F6EF907" w14:textId="77777777" w:rsidR="00362911" w:rsidRPr="00362911" w:rsidRDefault="00362911" w:rsidP="001D7821">
            <w:pPr>
              <w:spacing w:after="0" w:line="240" w:lineRule="auto"/>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r>
      <w:tr w:rsidR="00362911" w:rsidRPr="00362911" w14:paraId="29456124" w14:textId="77777777" w:rsidTr="00362911">
        <w:trPr>
          <w:trHeight w:val="169"/>
          <w:jc w:val="center"/>
        </w:trPr>
        <w:tc>
          <w:tcPr>
            <w:tcW w:w="1204" w:type="dxa"/>
            <w:tcBorders>
              <w:top w:val="single" w:sz="4" w:space="0" w:color="auto"/>
              <w:bottom w:val="single" w:sz="4" w:space="0" w:color="auto"/>
            </w:tcBorders>
            <w:shd w:val="clear" w:color="auto" w:fill="D0CECE"/>
            <w:vAlign w:val="center"/>
          </w:tcPr>
          <w:p w14:paraId="58C6999F" w14:textId="77777777" w:rsidR="00362911" w:rsidRDefault="00362911" w:rsidP="001D7821">
            <w:pPr>
              <w:spacing w:after="0" w:line="240" w:lineRule="auto"/>
              <w:rPr>
                <w:rFonts w:ascii="Times New Roman" w:eastAsia="Times New Roman" w:hAnsi="Times New Roman" w:cs="Times New Roman"/>
                <w:b/>
                <w:color w:val="000000"/>
                <w:sz w:val="14"/>
                <w:szCs w:val="14"/>
              </w:rPr>
            </w:pPr>
          </w:p>
          <w:p w14:paraId="0447F900" w14:textId="42D74D8B"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 xml:space="preserve">TOPLAM NİHAİ ENERJİ </w:t>
            </w:r>
            <w:r w:rsidRPr="00362911">
              <w:rPr>
                <w:rFonts w:ascii="Times New Roman" w:eastAsia="Times New Roman" w:hAnsi="Times New Roman" w:cs="Times New Roman"/>
                <w:b/>
                <w:color w:val="000000"/>
                <w:sz w:val="14"/>
                <w:szCs w:val="14"/>
              </w:rPr>
              <w:lastRenderedPageBreak/>
              <w:t>TÜKETİMİ</w:t>
            </w:r>
          </w:p>
        </w:tc>
        <w:tc>
          <w:tcPr>
            <w:tcW w:w="842" w:type="dxa"/>
            <w:tcBorders>
              <w:top w:val="single" w:sz="4" w:space="0" w:color="auto"/>
              <w:bottom w:val="single" w:sz="4" w:space="0" w:color="auto"/>
            </w:tcBorders>
            <w:shd w:val="clear" w:color="auto" w:fill="D0CECE"/>
            <w:vAlign w:val="center"/>
          </w:tcPr>
          <w:p w14:paraId="5D1E5B2C" w14:textId="77777777" w:rsidR="00362911" w:rsidRDefault="00362911" w:rsidP="001D7821">
            <w:pPr>
              <w:spacing w:after="0" w:line="240" w:lineRule="auto"/>
              <w:rPr>
                <w:rFonts w:ascii="Times New Roman" w:eastAsia="Times New Roman" w:hAnsi="Times New Roman" w:cs="Times New Roman"/>
                <w:b/>
                <w:color w:val="000000"/>
                <w:sz w:val="14"/>
                <w:szCs w:val="14"/>
              </w:rPr>
            </w:pPr>
          </w:p>
          <w:p w14:paraId="58281B23" w14:textId="56005794" w:rsidR="00362911" w:rsidRPr="00362911" w:rsidRDefault="00362911" w:rsidP="001D7821">
            <w:pPr>
              <w:spacing w:after="0" w:line="240" w:lineRule="auto"/>
              <w:rPr>
                <w:rFonts w:ascii="Times New Roman" w:eastAsia="Times New Roman" w:hAnsi="Times New Roman" w:cs="Times New Roman"/>
                <w:b/>
                <w:color w:val="000000"/>
                <w:sz w:val="14"/>
                <w:szCs w:val="14"/>
              </w:rPr>
            </w:pPr>
          </w:p>
        </w:tc>
        <w:tc>
          <w:tcPr>
            <w:tcW w:w="292" w:type="dxa"/>
            <w:tcBorders>
              <w:top w:val="single" w:sz="4" w:space="0" w:color="auto"/>
              <w:bottom w:val="single" w:sz="4" w:space="0" w:color="auto"/>
            </w:tcBorders>
            <w:shd w:val="clear" w:color="auto" w:fill="D0CECE"/>
            <w:vAlign w:val="center"/>
          </w:tcPr>
          <w:p w14:paraId="15A5F904"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 </w:t>
            </w:r>
          </w:p>
        </w:tc>
        <w:tc>
          <w:tcPr>
            <w:tcW w:w="814" w:type="dxa"/>
            <w:tcBorders>
              <w:top w:val="single" w:sz="4" w:space="0" w:color="auto"/>
              <w:bottom w:val="single" w:sz="4" w:space="0" w:color="auto"/>
            </w:tcBorders>
            <w:shd w:val="clear" w:color="auto" w:fill="D0CECE"/>
            <w:vAlign w:val="center"/>
          </w:tcPr>
          <w:p w14:paraId="418233BE" w14:textId="77777777" w:rsid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 </w:t>
            </w:r>
          </w:p>
          <w:p w14:paraId="1B4EC621" w14:textId="709C9161"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0</w:t>
            </w:r>
          </w:p>
        </w:tc>
        <w:tc>
          <w:tcPr>
            <w:tcW w:w="709" w:type="dxa"/>
            <w:tcBorders>
              <w:top w:val="single" w:sz="4" w:space="0" w:color="auto"/>
              <w:bottom w:val="single" w:sz="4" w:space="0" w:color="auto"/>
            </w:tcBorders>
            <w:shd w:val="clear" w:color="auto" w:fill="D0CECE"/>
            <w:vAlign w:val="center"/>
          </w:tcPr>
          <w:p w14:paraId="38ADB467" w14:textId="77777777" w:rsidR="00362911" w:rsidRDefault="00362911" w:rsidP="001D7821">
            <w:pPr>
              <w:spacing w:after="0" w:line="240" w:lineRule="auto"/>
              <w:rPr>
                <w:rFonts w:ascii="Times New Roman" w:eastAsia="Times New Roman" w:hAnsi="Times New Roman" w:cs="Times New Roman"/>
                <w:b/>
                <w:color w:val="000000"/>
                <w:sz w:val="14"/>
                <w:szCs w:val="14"/>
              </w:rPr>
            </w:pPr>
          </w:p>
          <w:p w14:paraId="381391E4" w14:textId="3B07E374"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27,893.00</w:t>
            </w:r>
          </w:p>
        </w:tc>
        <w:tc>
          <w:tcPr>
            <w:tcW w:w="1001" w:type="dxa"/>
            <w:tcBorders>
              <w:top w:val="single" w:sz="4" w:space="0" w:color="auto"/>
              <w:bottom w:val="single" w:sz="4" w:space="0" w:color="auto"/>
            </w:tcBorders>
            <w:shd w:val="clear" w:color="auto" w:fill="D0CECE"/>
            <w:vAlign w:val="center"/>
          </w:tcPr>
          <w:p w14:paraId="32D83EDF" w14:textId="77777777" w:rsidR="00362911" w:rsidRDefault="00362911" w:rsidP="001D7821">
            <w:pPr>
              <w:spacing w:after="0" w:line="240" w:lineRule="auto"/>
              <w:rPr>
                <w:rFonts w:ascii="Times New Roman" w:eastAsia="Times New Roman" w:hAnsi="Times New Roman" w:cs="Times New Roman"/>
                <w:b/>
                <w:color w:val="000000"/>
                <w:sz w:val="14"/>
                <w:szCs w:val="14"/>
              </w:rPr>
            </w:pPr>
          </w:p>
          <w:p w14:paraId="61D0B09E" w14:textId="7AEEB665"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20,316.95</w:t>
            </w:r>
          </w:p>
        </w:tc>
        <w:tc>
          <w:tcPr>
            <w:tcW w:w="283" w:type="dxa"/>
            <w:tcBorders>
              <w:top w:val="single" w:sz="4" w:space="0" w:color="auto"/>
              <w:bottom w:val="single" w:sz="4" w:space="0" w:color="auto"/>
            </w:tcBorders>
            <w:shd w:val="clear" w:color="auto" w:fill="D0CECE"/>
            <w:vAlign w:val="center"/>
          </w:tcPr>
          <w:p w14:paraId="1E14809B"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 </w:t>
            </w:r>
          </w:p>
        </w:tc>
        <w:tc>
          <w:tcPr>
            <w:tcW w:w="805" w:type="dxa"/>
            <w:tcBorders>
              <w:top w:val="single" w:sz="4" w:space="0" w:color="auto"/>
              <w:bottom w:val="single" w:sz="4" w:space="0" w:color="auto"/>
            </w:tcBorders>
            <w:shd w:val="clear" w:color="auto" w:fill="D0CECE"/>
            <w:vAlign w:val="center"/>
          </w:tcPr>
          <w:p w14:paraId="2BF666A1" w14:textId="77777777" w:rsidR="00362911" w:rsidRDefault="00362911" w:rsidP="001D7821">
            <w:pPr>
              <w:spacing w:after="0" w:line="240" w:lineRule="auto"/>
              <w:rPr>
                <w:rFonts w:ascii="Times New Roman" w:eastAsia="Times New Roman" w:hAnsi="Times New Roman" w:cs="Times New Roman"/>
                <w:b/>
                <w:color w:val="000000"/>
                <w:sz w:val="14"/>
                <w:szCs w:val="14"/>
              </w:rPr>
            </w:pPr>
          </w:p>
          <w:p w14:paraId="139680AB" w14:textId="2CF0C65B"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193,779.27</w:t>
            </w:r>
          </w:p>
        </w:tc>
        <w:tc>
          <w:tcPr>
            <w:tcW w:w="292" w:type="dxa"/>
            <w:tcBorders>
              <w:top w:val="single" w:sz="4" w:space="0" w:color="auto"/>
              <w:bottom w:val="single" w:sz="4" w:space="0" w:color="auto"/>
            </w:tcBorders>
            <w:shd w:val="clear" w:color="auto" w:fill="D0CECE"/>
            <w:vAlign w:val="center"/>
          </w:tcPr>
          <w:p w14:paraId="0FD2E91B"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 </w:t>
            </w:r>
          </w:p>
        </w:tc>
      </w:tr>
      <w:tr w:rsidR="00362911" w:rsidRPr="00362911" w14:paraId="74361D84" w14:textId="77777777" w:rsidTr="00362911">
        <w:trPr>
          <w:trHeight w:val="132"/>
          <w:jc w:val="center"/>
        </w:trPr>
        <w:tc>
          <w:tcPr>
            <w:tcW w:w="1204" w:type="dxa"/>
            <w:tcBorders>
              <w:top w:val="single" w:sz="4" w:space="0" w:color="auto"/>
              <w:bottom w:val="single" w:sz="4" w:space="0" w:color="auto"/>
            </w:tcBorders>
            <w:shd w:val="clear" w:color="auto" w:fill="D0CECE"/>
            <w:vAlign w:val="center"/>
          </w:tcPr>
          <w:p w14:paraId="65AC5B9F"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SEKTÖRLER TOPLAMI</w:t>
            </w:r>
          </w:p>
        </w:tc>
        <w:tc>
          <w:tcPr>
            <w:tcW w:w="842" w:type="dxa"/>
            <w:tcBorders>
              <w:top w:val="single" w:sz="4" w:space="0" w:color="auto"/>
              <w:bottom w:val="single" w:sz="4" w:space="0" w:color="auto"/>
            </w:tcBorders>
            <w:shd w:val="clear" w:color="auto" w:fill="D0CECE"/>
            <w:vAlign w:val="center"/>
          </w:tcPr>
          <w:p w14:paraId="2043CFC9"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13,211.05</w:t>
            </w:r>
          </w:p>
        </w:tc>
        <w:tc>
          <w:tcPr>
            <w:tcW w:w="292" w:type="dxa"/>
            <w:tcBorders>
              <w:top w:val="single" w:sz="4" w:space="0" w:color="auto"/>
              <w:bottom w:val="single" w:sz="4" w:space="0" w:color="auto"/>
            </w:tcBorders>
            <w:shd w:val="clear" w:color="auto" w:fill="D0CECE"/>
            <w:vAlign w:val="center"/>
          </w:tcPr>
          <w:p w14:paraId="64871082"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 </w:t>
            </w:r>
          </w:p>
        </w:tc>
        <w:tc>
          <w:tcPr>
            <w:tcW w:w="814" w:type="dxa"/>
            <w:tcBorders>
              <w:top w:val="single" w:sz="4" w:space="0" w:color="auto"/>
              <w:bottom w:val="single" w:sz="4" w:space="0" w:color="auto"/>
            </w:tcBorders>
            <w:shd w:val="clear" w:color="auto" w:fill="D0CECE"/>
            <w:vAlign w:val="center"/>
          </w:tcPr>
          <w:p w14:paraId="2C9137CD"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 0</w:t>
            </w:r>
          </w:p>
        </w:tc>
        <w:tc>
          <w:tcPr>
            <w:tcW w:w="709" w:type="dxa"/>
            <w:tcBorders>
              <w:top w:val="single" w:sz="4" w:space="0" w:color="auto"/>
              <w:bottom w:val="single" w:sz="4" w:space="0" w:color="auto"/>
            </w:tcBorders>
            <w:shd w:val="clear" w:color="auto" w:fill="D0CECE"/>
            <w:vAlign w:val="center"/>
          </w:tcPr>
          <w:p w14:paraId="5A166E84"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27,753.00</w:t>
            </w:r>
          </w:p>
        </w:tc>
        <w:tc>
          <w:tcPr>
            <w:tcW w:w="1001" w:type="dxa"/>
            <w:tcBorders>
              <w:top w:val="single" w:sz="4" w:space="0" w:color="auto"/>
              <w:bottom w:val="single" w:sz="4" w:space="0" w:color="auto"/>
            </w:tcBorders>
            <w:shd w:val="clear" w:color="auto" w:fill="D0CECE"/>
            <w:vAlign w:val="center"/>
          </w:tcPr>
          <w:p w14:paraId="299A9CE4"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20,290.12</w:t>
            </w:r>
          </w:p>
        </w:tc>
        <w:tc>
          <w:tcPr>
            <w:tcW w:w="283" w:type="dxa"/>
            <w:tcBorders>
              <w:top w:val="single" w:sz="4" w:space="0" w:color="auto"/>
              <w:bottom w:val="single" w:sz="4" w:space="0" w:color="auto"/>
            </w:tcBorders>
            <w:shd w:val="clear" w:color="auto" w:fill="D0CECE"/>
            <w:vAlign w:val="center"/>
          </w:tcPr>
          <w:p w14:paraId="2B818FA0"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 </w:t>
            </w:r>
          </w:p>
        </w:tc>
        <w:tc>
          <w:tcPr>
            <w:tcW w:w="805" w:type="dxa"/>
            <w:tcBorders>
              <w:top w:val="single" w:sz="4" w:space="0" w:color="auto"/>
              <w:bottom w:val="single" w:sz="4" w:space="0" w:color="auto"/>
            </w:tcBorders>
            <w:shd w:val="clear" w:color="auto" w:fill="D0CECE"/>
            <w:vAlign w:val="center"/>
          </w:tcPr>
          <w:p w14:paraId="246FBAD4"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193,779.72</w:t>
            </w:r>
          </w:p>
        </w:tc>
        <w:tc>
          <w:tcPr>
            <w:tcW w:w="292" w:type="dxa"/>
            <w:tcBorders>
              <w:top w:val="single" w:sz="4" w:space="0" w:color="auto"/>
            </w:tcBorders>
            <w:shd w:val="clear" w:color="auto" w:fill="D0CECE"/>
            <w:vAlign w:val="center"/>
          </w:tcPr>
          <w:p w14:paraId="6D5F185A"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 </w:t>
            </w:r>
          </w:p>
        </w:tc>
      </w:tr>
      <w:tr w:rsidR="00362911" w:rsidRPr="00362911" w14:paraId="43498788" w14:textId="77777777" w:rsidTr="00362911">
        <w:trPr>
          <w:trHeight w:val="227"/>
          <w:jc w:val="center"/>
        </w:trPr>
        <w:tc>
          <w:tcPr>
            <w:tcW w:w="1204" w:type="dxa"/>
            <w:tcBorders>
              <w:top w:val="single" w:sz="4" w:space="0" w:color="auto"/>
            </w:tcBorders>
            <w:shd w:val="clear" w:color="auto" w:fill="auto"/>
            <w:vAlign w:val="center"/>
          </w:tcPr>
          <w:p w14:paraId="5B1755A6"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Sanayi Tüketimi</w:t>
            </w:r>
          </w:p>
        </w:tc>
        <w:tc>
          <w:tcPr>
            <w:tcW w:w="842" w:type="dxa"/>
            <w:tcBorders>
              <w:top w:val="single" w:sz="4" w:space="0" w:color="auto"/>
            </w:tcBorders>
            <w:shd w:val="clear" w:color="auto" w:fill="auto"/>
            <w:vAlign w:val="center"/>
          </w:tcPr>
          <w:p w14:paraId="293DB585"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5,657.05</w:t>
            </w:r>
          </w:p>
        </w:tc>
        <w:tc>
          <w:tcPr>
            <w:tcW w:w="292" w:type="dxa"/>
            <w:tcBorders>
              <w:top w:val="single" w:sz="4" w:space="0" w:color="auto"/>
            </w:tcBorders>
            <w:shd w:val="clear" w:color="auto" w:fill="auto"/>
            <w:vAlign w:val="center"/>
          </w:tcPr>
          <w:p w14:paraId="3F697E97"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c>
          <w:tcPr>
            <w:tcW w:w="814" w:type="dxa"/>
            <w:tcBorders>
              <w:top w:val="single" w:sz="4" w:space="0" w:color="auto"/>
            </w:tcBorders>
            <w:shd w:val="clear" w:color="auto" w:fill="auto"/>
            <w:vAlign w:val="center"/>
          </w:tcPr>
          <w:p w14:paraId="4D2A4770"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0</w:t>
            </w:r>
          </w:p>
        </w:tc>
        <w:tc>
          <w:tcPr>
            <w:tcW w:w="709" w:type="dxa"/>
            <w:tcBorders>
              <w:top w:val="single" w:sz="4" w:space="0" w:color="auto"/>
            </w:tcBorders>
            <w:shd w:val="clear" w:color="auto" w:fill="auto"/>
            <w:vAlign w:val="center"/>
          </w:tcPr>
          <w:p w14:paraId="6A0372B2"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917.00</w:t>
            </w:r>
          </w:p>
        </w:tc>
        <w:tc>
          <w:tcPr>
            <w:tcW w:w="1001" w:type="dxa"/>
            <w:tcBorders>
              <w:top w:val="single" w:sz="4" w:space="0" w:color="auto"/>
            </w:tcBorders>
            <w:shd w:val="clear" w:color="auto" w:fill="auto"/>
            <w:vAlign w:val="center"/>
          </w:tcPr>
          <w:p w14:paraId="2153FCCB"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9,245.00</w:t>
            </w:r>
          </w:p>
        </w:tc>
        <w:tc>
          <w:tcPr>
            <w:tcW w:w="283" w:type="dxa"/>
            <w:tcBorders>
              <w:top w:val="single" w:sz="4" w:space="0" w:color="auto"/>
            </w:tcBorders>
            <w:shd w:val="clear" w:color="auto" w:fill="auto"/>
            <w:vAlign w:val="center"/>
          </w:tcPr>
          <w:p w14:paraId="2E15C154"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c>
          <w:tcPr>
            <w:tcW w:w="805" w:type="dxa"/>
            <w:tcBorders>
              <w:top w:val="single" w:sz="4" w:space="0" w:color="auto"/>
            </w:tcBorders>
            <w:shd w:val="clear" w:color="auto" w:fill="auto"/>
            <w:vAlign w:val="center"/>
          </w:tcPr>
          <w:p w14:paraId="13A6753B"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91,158.11</w:t>
            </w:r>
          </w:p>
        </w:tc>
        <w:tc>
          <w:tcPr>
            <w:tcW w:w="292" w:type="dxa"/>
            <w:shd w:val="clear" w:color="auto" w:fill="auto"/>
            <w:vAlign w:val="center"/>
          </w:tcPr>
          <w:p w14:paraId="73EC175F"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r>
      <w:tr w:rsidR="00362911" w:rsidRPr="00362911" w14:paraId="6DF1CCB3" w14:textId="77777777" w:rsidTr="00362911">
        <w:trPr>
          <w:trHeight w:val="227"/>
          <w:jc w:val="center"/>
        </w:trPr>
        <w:tc>
          <w:tcPr>
            <w:tcW w:w="1204" w:type="dxa"/>
            <w:shd w:val="clear" w:color="auto" w:fill="auto"/>
            <w:vAlign w:val="center"/>
          </w:tcPr>
          <w:p w14:paraId="76E13529"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Ulaştırma</w:t>
            </w:r>
          </w:p>
        </w:tc>
        <w:tc>
          <w:tcPr>
            <w:tcW w:w="842" w:type="dxa"/>
            <w:shd w:val="clear" w:color="auto" w:fill="auto"/>
            <w:vAlign w:val="center"/>
          </w:tcPr>
          <w:p w14:paraId="38C14E0C"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0.00</w:t>
            </w:r>
          </w:p>
        </w:tc>
        <w:tc>
          <w:tcPr>
            <w:tcW w:w="292" w:type="dxa"/>
            <w:shd w:val="clear" w:color="auto" w:fill="auto"/>
            <w:vAlign w:val="center"/>
          </w:tcPr>
          <w:p w14:paraId="6ADBE86A"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c>
          <w:tcPr>
            <w:tcW w:w="814" w:type="dxa"/>
            <w:shd w:val="clear" w:color="auto" w:fill="auto"/>
            <w:vAlign w:val="center"/>
          </w:tcPr>
          <w:p w14:paraId="11702458"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0</w:t>
            </w:r>
          </w:p>
        </w:tc>
        <w:tc>
          <w:tcPr>
            <w:tcW w:w="709" w:type="dxa"/>
            <w:shd w:val="clear" w:color="auto" w:fill="auto"/>
            <w:vAlign w:val="center"/>
          </w:tcPr>
          <w:p w14:paraId="162F04EF"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18,136.00</w:t>
            </w:r>
          </w:p>
        </w:tc>
        <w:tc>
          <w:tcPr>
            <w:tcW w:w="1001" w:type="dxa"/>
            <w:shd w:val="clear" w:color="auto" w:fill="auto"/>
            <w:vAlign w:val="center"/>
          </w:tcPr>
          <w:p w14:paraId="24DD0ACF"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361.76</w:t>
            </w:r>
          </w:p>
        </w:tc>
        <w:tc>
          <w:tcPr>
            <w:tcW w:w="283" w:type="dxa"/>
            <w:shd w:val="clear" w:color="auto" w:fill="auto"/>
            <w:vAlign w:val="center"/>
          </w:tcPr>
          <w:p w14:paraId="4EF473B3"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c>
          <w:tcPr>
            <w:tcW w:w="805" w:type="dxa"/>
            <w:shd w:val="clear" w:color="auto" w:fill="auto"/>
            <w:vAlign w:val="center"/>
          </w:tcPr>
          <w:p w14:paraId="13078554"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798.80</w:t>
            </w:r>
          </w:p>
        </w:tc>
        <w:tc>
          <w:tcPr>
            <w:tcW w:w="292" w:type="dxa"/>
            <w:shd w:val="clear" w:color="auto" w:fill="auto"/>
            <w:vAlign w:val="center"/>
          </w:tcPr>
          <w:p w14:paraId="22929F31"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r>
      <w:tr w:rsidR="00362911" w:rsidRPr="00362911" w14:paraId="14BDFD81" w14:textId="77777777" w:rsidTr="00362911">
        <w:trPr>
          <w:trHeight w:val="258"/>
          <w:jc w:val="center"/>
        </w:trPr>
        <w:tc>
          <w:tcPr>
            <w:tcW w:w="1204" w:type="dxa"/>
            <w:shd w:val="clear" w:color="auto" w:fill="auto"/>
            <w:vAlign w:val="center"/>
          </w:tcPr>
          <w:p w14:paraId="7046EE2E"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Diğer Sektörler</w:t>
            </w:r>
          </w:p>
        </w:tc>
        <w:tc>
          <w:tcPr>
            <w:tcW w:w="842" w:type="dxa"/>
            <w:shd w:val="clear" w:color="auto" w:fill="auto"/>
            <w:vAlign w:val="center"/>
          </w:tcPr>
          <w:p w14:paraId="6C2C3DFD"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7,554.00</w:t>
            </w:r>
          </w:p>
        </w:tc>
        <w:tc>
          <w:tcPr>
            <w:tcW w:w="292" w:type="dxa"/>
            <w:shd w:val="clear" w:color="auto" w:fill="auto"/>
            <w:vAlign w:val="center"/>
          </w:tcPr>
          <w:p w14:paraId="785306AC"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c>
          <w:tcPr>
            <w:tcW w:w="814" w:type="dxa"/>
            <w:shd w:val="clear" w:color="auto" w:fill="auto"/>
            <w:vAlign w:val="center"/>
          </w:tcPr>
          <w:p w14:paraId="2433E6C1"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0</w:t>
            </w:r>
          </w:p>
        </w:tc>
        <w:tc>
          <w:tcPr>
            <w:tcW w:w="709" w:type="dxa"/>
            <w:shd w:val="clear" w:color="auto" w:fill="auto"/>
            <w:vAlign w:val="center"/>
          </w:tcPr>
          <w:p w14:paraId="76282DBC"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3,515.00</w:t>
            </w:r>
          </w:p>
        </w:tc>
        <w:tc>
          <w:tcPr>
            <w:tcW w:w="1001" w:type="dxa"/>
            <w:shd w:val="clear" w:color="auto" w:fill="auto"/>
            <w:vAlign w:val="center"/>
          </w:tcPr>
          <w:p w14:paraId="7E6F8B44"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10,683.36</w:t>
            </w:r>
          </w:p>
        </w:tc>
        <w:tc>
          <w:tcPr>
            <w:tcW w:w="283" w:type="dxa"/>
            <w:shd w:val="clear" w:color="auto" w:fill="auto"/>
            <w:vAlign w:val="center"/>
          </w:tcPr>
          <w:p w14:paraId="183EA737"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c>
          <w:tcPr>
            <w:tcW w:w="805" w:type="dxa"/>
            <w:shd w:val="clear" w:color="auto" w:fill="auto"/>
            <w:vAlign w:val="center"/>
          </w:tcPr>
          <w:p w14:paraId="36A1B808"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101,822.82</w:t>
            </w:r>
          </w:p>
        </w:tc>
        <w:tc>
          <w:tcPr>
            <w:tcW w:w="292" w:type="dxa"/>
            <w:shd w:val="clear" w:color="auto" w:fill="auto"/>
            <w:vAlign w:val="center"/>
          </w:tcPr>
          <w:p w14:paraId="751DD695"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r>
      <w:tr w:rsidR="00362911" w:rsidRPr="00362911" w14:paraId="0505FBA4" w14:textId="77777777" w:rsidTr="00362911">
        <w:trPr>
          <w:trHeight w:val="227"/>
          <w:jc w:val="center"/>
        </w:trPr>
        <w:tc>
          <w:tcPr>
            <w:tcW w:w="1204" w:type="dxa"/>
            <w:shd w:val="clear" w:color="auto" w:fill="auto"/>
            <w:vAlign w:val="center"/>
          </w:tcPr>
          <w:p w14:paraId="57B2FC94"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Konut ve Hizmetler</w:t>
            </w:r>
          </w:p>
        </w:tc>
        <w:tc>
          <w:tcPr>
            <w:tcW w:w="842" w:type="dxa"/>
            <w:shd w:val="clear" w:color="auto" w:fill="auto"/>
            <w:vAlign w:val="center"/>
          </w:tcPr>
          <w:p w14:paraId="089094E2"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7,554.00</w:t>
            </w:r>
          </w:p>
        </w:tc>
        <w:tc>
          <w:tcPr>
            <w:tcW w:w="292" w:type="dxa"/>
            <w:shd w:val="clear" w:color="auto" w:fill="auto"/>
            <w:vAlign w:val="center"/>
          </w:tcPr>
          <w:p w14:paraId="2DAC50C9"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14" w:type="dxa"/>
            <w:shd w:val="clear" w:color="auto" w:fill="auto"/>
            <w:vAlign w:val="center"/>
          </w:tcPr>
          <w:p w14:paraId="46A3E8B7"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0</w:t>
            </w:r>
          </w:p>
        </w:tc>
        <w:tc>
          <w:tcPr>
            <w:tcW w:w="709" w:type="dxa"/>
            <w:shd w:val="clear" w:color="auto" w:fill="auto"/>
            <w:vAlign w:val="center"/>
          </w:tcPr>
          <w:p w14:paraId="19238914"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718.00</w:t>
            </w:r>
          </w:p>
        </w:tc>
        <w:tc>
          <w:tcPr>
            <w:tcW w:w="1001" w:type="dxa"/>
            <w:shd w:val="clear" w:color="auto" w:fill="auto"/>
            <w:vAlign w:val="center"/>
          </w:tcPr>
          <w:p w14:paraId="034E7A85"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10,666.00</w:t>
            </w:r>
          </w:p>
        </w:tc>
        <w:tc>
          <w:tcPr>
            <w:tcW w:w="283" w:type="dxa"/>
            <w:shd w:val="clear" w:color="auto" w:fill="auto"/>
            <w:vAlign w:val="center"/>
          </w:tcPr>
          <w:p w14:paraId="74BEE0E8"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05" w:type="dxa"/>
            <w:shd w:val="clear" w:color="auto" w:fill="auto"/>
            <w:vAlign w:val="center"/>
          </w:tcPr>
          <w:p w14:paraId="59C72502"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95,972.95</w:t>
            </w:r>
          </w:p>
        </w:tc>
        <w:tc>
          <w:tcPr>
            <w:tcW w:w="292" w:type="dxa"/>
            <w:shd w:val="clear" w:color="auto" w:fill="auto"/>
            <w:vAlign w:val="center"/>
          </w:tcPr>
          <w:p w14:paraId="47E3B0E4"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r>
      <w:tr w:rsidR="00362911" w:rsidRPr="00362911" w14:paraId="5A2322EA" w14:textId="77777777" w:rsidTr="00362911">
        <w:trPr>
          <w:trHeight w:val="227"/>
          <w:jc w:val="center"/>
        </w:trPr>
        <w:tc>
          <w:tcPr>
            <w:tcW w:w="1204" w:type="dxa"/>
            <w:shd w:val="clear" w:color="auto" w:fill="auto"/>
            <w:vAlign w:val="center"/>
          </w:tcPr>
          <w:p w14:paraId="519369C4"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Tarım</w:t>
            </w:r>
          </w:p>
        </w:tc>
        <w:tc>
          <w:tcPr>
            <w:tcW w:w="842" w:type="dxa"/>
            <w:shd w:val="clear" w:color="auto" w:fill="auto"/>
            <w:vAlign w:val="center"/>
          </w:tcPr>
          <w:p w14:paraId="1F4D5DF8"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 </w:t>
            </w:r>
          </w:p>
        </w:tc>
        <w:tc>
          <w:tcPr>
            <w:tcW w:w="292" w:type="dxa"/>
            <w:shd w:val="clear" w:color="auto" w:fill="auto"/>
            <w:vAlign w:val="center"/>
          </w:tcPr>
          <w:p w14:paraId="761ABDCB"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14" w:type="dxa"/>
            <w:shd w:val="clear" w:color="auto" w:fill="auto"/>
            <w:vAlign w:val="center"/>
          </w:tcPr>
          <w:p w14:paraId="7AF0189E"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0</w:t>
            </w:r>
          </w:p>
        </w:tc>
        <w:tc>
          <w:tcPr>
            <w:tcW w:w="709" w:type="dxa"/>
            <w:shd w:val="clear" w:color="auto" w:fill="auto"/>
            <w:vAlign w:val="center"/>
          </w:tcPr>
          <w:p w14:paraId="67ED599C"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2,797.00</w:t>
            </w:r>
          </w:p>
        </w:tc>
        <w:tc>
          <w:tcPr>
            <w:tcW w:w="1001" w:type="dxa"/>
            <w:shd w:val="clear" w:color="auto" w:fill="auto"/>
            <w:vAlign w:val="center"/>
          </w:tcPr>
          <w:p w14:paraId="1793AB63"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17.36</w:t>
            </w:r>
          </w:p>
        </w:tc>
        <w:tc>
          <w:tcPr>
            <w:tcW w:w="283" w:type="dxa"/>
            <w:shd w:val="clear" w:color="auto" w:fill="auto"/>
            <w:vAlign w:val="center"/>
          </w:tcPr>
          <w:p w14:paraId="1722B628"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c>
          <w:tcPr>
            <w:tcW w:w="805" w:type="dxa"/>
            <w:shd w:val="clear" w:color="auto" w:fill="auto"/>
            <w:vAlign w:val="center"/>
          </w:tcPr>
          <w:p w14:paraId="29B2D10F"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5,849.87</w:t>
            </w:r>
          </w:p>
        </w:tc>
        <w:tc>
          <w:tcPr>
            <w:tcW w:w="292" w:type="dxa"/>
            <w:shd w:val="clear" w:color="auto" w:fill="auto"/>
            <w:vAlign w:val="center"/>
          </w:tcPr>
          <w:p w14:paraId="4C0AEC96" w14:textId="77777777" w:rsidR="00362911" w:rsidRPr="00362911" w:rsidRDefault="00362911" w:rsidP="001D7821">
            <w:pPr>
              <w:spacing w:after="0" w:line="240" w:lineRule="auto"/>
              <w:jc w:val="right"/>
              <w:rPr>
                <w:rFonts w:ascii="Times New Roman" w:eastAsia="Times New Roman" w:hAnsi="Times New Roman" w:cs="Times New Roman"/>
                <w:color w:val="000000"/>
                <w:sz w:val="14"/>
                <w:szCs w:val="14"/>
              </w:rPr>
            </w:pPr>
            <w:r w:rsidRPr="00362911">
              <w:rPr>
                <w:rFonts w:ascii="Times New Roman" w:eastAsia="Times New Roman" w:hAnsi="Times New Roman" w:cs="Times New Roman"/>
                <w:color w:val="000000"/>
                <w:sz w:val="14"/>
                <w:szCs w:val="14"/>
              </w:rPr>
              <w:t>…</w:t>
            </w:r>
          </w:p>
        </w:tc>
      </w:tr>
      <w:tr w:rsidR="00362911" w:rsidRPr="00362911" w14:paraId="768A68BD" w14:textId="77777777" w:rsidTr="00362911">
        <w:trPr>
          <w:trHeight w:val="227"/>
          <w:jc w:val="center"/>
        </w:trPr>
        <w:tc>
          <w:tcPr>
            <w:tcW w:w="1204" w:type="dxa"/>
            <w:shd w:val="clear" w:color="auto" w:fill="auto"/>
            <w:vAlign w:val="center"/>
          </w:tcPr>
          <w:p w14:paraId="10FF3E7B"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Enerji Dışı Kullanım</w:t>
            </w:r>
          </w:p>
        </w:tc>
        <w:tc>
          <w:tcPr>
            <w:tcW w:w="842" w:type="dxa"/>
            <w:shd w:val="clear" w:color="auto" w:fill="auto"/>
            <w:vAlign w:val="center"/>
          </w:tcPr>
          <w:p w14:paraId="2B0CB580"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0</w:t>
            </w:r>
          </w:p>
        </w:tc>
        <w:tc>
          <w:tcPr>
            <w:tcW w:w="292" w:type="dxa"/>
            <w:shd w:val="clear" w:color="auto" w:fill="auto"/>
            <w:vAlign w:val="center"/>
          </w:tcPr>
          <w:p w14:paraId="219BA78C"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w:t>
            </w:r>
          </w:p>
        </w:tc>
        <w:tc>
          <w:tcPr>
            <w:tcW w:w="814" w:type="dxa"/>
            <w:shd w:val="clear" w:color="auto" w:fill="auto"/>
            <w:vAlign w:val="center"/>
          </w:tcPr>
          <w:p w14:paraId="6B777A9A"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0</w:t>
            </w:r>
          </w:p>
        </w:tc>
        <w:tc>
          <w:tcPr>
            <w:tcW w:w="709" w:type="dxa"/>
            <w:shd w:val="clear" w:color="auto" w:fill="auto"/>
            <w:vAlign w:val="center"/>
          </w:tcPr>
          <w:p w14:paraId="61A7507E" w14:textId="77777777" w:rsidR="00362911" w:rsidRPr="00362911" w:rsidRDefault="00362911" w:rsidP="001D7821">
            <w:pPr>
              <w:spacing w:after="0" w:line="240" w:lineRule="auto"/>
              <w:rPr>
                <w:rFonts w:ascii="Times New Roman" w:eastAsia="Times New Roman" w:hAnsi="Times New Roman" w:cs="Times New Roman"/>
                <w:b/>
                <w:color w:val="000000"/>
                <w:sz w:val="14"/>
                <w:szCs w:val="14"/>
              </w:rPr>
            </w:pPr>
            <w:r w:rsidRPr="00362911">
              <w:rPr>
                <w:rFonts w:ascii="Times New Roman" w:eastAsia="Times New Roman" w:hAnsi="Times New Roman" w:cs="Times New Roman"/>
                <w:b/>
                <w:color w:val="000000"/>
                <w:sz w:val="14"/>
                <w:szCs w:val="14"/>
              </w:rPr>
              <w:t>5,185.00</w:t>
            </w:r>
          </w:p>
        </w:tc>
        <w:tc>
          <w:tcPr>
            <w:tcW w:w="1001" w:type="dxa"/>
            <w:shd w:val="clear" w:color="auto" w:fill="auto"/>
            <w:vAlign w:val="center"/>
          </w:tcPr>
          <w:p w14:paraId="6AC7D700" w14:textId="77777777" w:rsidR="00362911" w:rsidRPr="00362911" w:rsidRDefault="00362911" w:rsidP="001D7821">
            <w:pPr>
              <w:spacing w:after="0" w:line="240" w:lineRule="auto"/>
              <w:rPr>
                <w:b/>
                <w:color w:val="000000"/>
                <w:sz w:val="14"/>
                <w:szCs w:val="14"/>
              </w:rPr>
            </w:pPr>
            <w:r w:rsidRPr="00362911">
              <w:rPr>
                <w:b/>
                <w:color w:val="000000"/>
                <w:sz w:val="14"/>
                <w:szCs w:val="14"/>
              </w:rPr>
              <w:t> 0</w:t>
            </w:r>
          </w:p>
        </w:tc>
        <w:tc>
          <w:tcPr>
            <w:tcW w:w="283" w:type="dxa"/>
            <w:shd w:val="clear" w:color="auto" w:fill="auto"/>
            <w:vAlign w:val="center"/>
          </w:tcPr>
          <w:p w14:paraId="0F90040E" w14:textId="77777777" w:rsidR="00362911" w:rsidRPr="00362911" w:rsidRDefault="00362911" w:rsidP="001D7821">
            <w:pPr>
              <w:spacing w:after="0" w:line="240" w:lineRule="auto"/>
              <w:rPr>
                <w:b/>
                <w:color w:val="000000"/>
                <w:sz w:val="14"/>
                <w:szCs w:val="14"/>
              </w:rPr>
            </w:pPr>
            <w:r w:rsidRPr="00362911">
              <w:rPr>
                <w:b/>
                <w:color w:val="000000"/>
                <w:sz w:val="14"/>
                <w:szCs w:val="14"/>
              </w:rPr>
              <w:t>…</w:t>
            </w:r>
          </w:p>
        </w:tc>
        <w:tc>
          <w:tcPr>
            <w:tcW w:w="805" w:type="dxa"/>
            <w:shd w:val="clear" w:color="auto" w:fill="auto"/>
            <w:vAlign w:val="center"/>
          </w:tcPr>
          <w:p w14:paraId="22F833AD" w14:textId="77777777" w:rsidR="00362911" w:rsidRPr="00362911" w:rsidRDefault="00362911" w:rsidP="001D7821">
            <w:pPr>
              <w:spacing w:after="0" w:line="240" w:lineRule="auto"/>
              <w:rPr>
                <w:b/>
                <w:color w:val="000000"/>
                <w:sz w:val="14"/>
                <w:szCs w:val="14"/>
              </w:rPr>
            </w:pPr>
            <w:r w:rsidRPr="00362911">
              <w:rPr>
                <w:b/>
                <w:color w:val="000000"/>
                <w:sz w:val="14"/>
                <w:szCs w:val="14"/>
              </w:rPr>
              <w:t> 0</w:t>
            </w:r>
          </w:p>
        </w:tc>
        <w:tc>
          <w:tcPr>
            <w:tcW w:w="292" w:type="dxa"/>
            <w:shd w:val="clear" w:color="auto" w:fill="auto"/>
            <w:vAlign w:val="center"/>
          </w:tcPr>
          <w:p w14:paraId="26E33C3B" w14:textId="77777777" w:rsidR="00362911" w:rsidRPr="00362911" w:rsidRDefault="00362911" w:rsidP="001D7821">
            <w:pPr>
              <w:spacing w:after="0" w:line="240" w:lineRule="auto"/>
              <w:rPr>
                <w:b/>
                <w:color w:val="000000"/>
                <w:sz w:val="14"/>
                <w:szCs w:val="14"/>
              </w:rPr>
            </w:pPr>
            <w:r w:rsidRPr="00362911">
              <w:rPr>
                <w:b/>
                <w:color w:val="000000"/>
                <w:sz w:val="14"/>
                <w:szCs w:val="14"/>
              </w:rPr>
              <w:t>…</w:t>
            </w:r>
          </w:p>
        </w:tc>
      </w:tr>
    </w:tbl>
    <w:p w14:paraId="2BACA95B" w14:textId="77777777" w:rsidR="00C21BD1" w:rsidRDefault="008A2C1B" w:rsidP="00271D4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Kaynak: EPDK, Enerji Denge Tablosu (2012)</w:t>
      </w:r>
    </w:p>
    <w:tbl>
      <w:tblPr>
        <w:tblStyle w:val="80"/>
        <w:tblW w:w="6476" w:type="dxa"/>
        <w:tblInd w:w="0" w:type="dxa"/>
        <w:tblLayout w:type="fixed"/>
        <w:tblLook w:val="0400" w:firstRow="0" w:lastRow="0" w:firstColumn="0" w:lastColumn="0" w:noHBand="0" w:noVBand="1"/>
      </w:tblPr>
      <w:tblGrid>
        <w:gridCol w:w="5070"/>
        <w:gridCol w:w="1406"/>
      </w:tblGrid>
      <w:tr w:rsidR="00C21BD1" w14:paraId="1AC52A9A" w14:textId="77777777" w:rsidTr="00E315F2">
        <w:tc>
          <w:tcPr>
            <w:tcW w:w="5070" w:type="dxa"/>
          </w:tcPr>
          <w:p w14:paraId="68ADC363" w14:textId="77777777" w:rsidR="00C21BD1" w:rsidRDefault="008A2C1B" w:rsidP="00FB4800">
            <w:pPr>
              <w:ind w:firstLine="34"/>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Enerji Ürünleri Arzı</w:t>
            </w:r>
            <w:r>
              <w:rPr>
                <w:rFonts w:ascii="Times New Roman" w:eastAsia="Times New Roman" w:hAnsi="Times New Roman" w:cs="Times New Roman"/>
                <w:i/>
                <w:sz w:val="24"/>
                <w:szCs w:val="24"/>
              </w:rPr>
              <w:t xml:space="preserve"> = Yerli Üretim + İthalat – İhracat – İhrakiye</w:t>
            </w:r>
            <w:r>
              <w:rPr>
                <w:rFonts w:ascii="Times New Roman" w:eastAsia="Times New Roman" w:hAnsi="Times New Roman" w:cs="Times New Roman"/>
                <w:i/>
                <w:sz w:val="24"/>
                <w:szCs w:val="24"/>
                <w:vertAlign w:val="superscript"/>
              </w:rPr>
              <w:footnoteReference w:id="2"/>
            </w:r>
            <w:r>
              <w:rPr>
                <w:rFonts w:ascii="Times New Roman" w:eastAsia="Times New Roman" w:hAnsi="Times New Roman" w:cs="Times New Roman"/>
                <w:i/>
                <w:sz w:val="24"/>
                <w:szCs w:val="24"/>
              </w:rPr>
              <w:t xml:space="preserve"> + Stok Değişimi</w:t>
            </w:r>
            <w:r>
              <w:rPr>
                <w:rFonts w:ascii="Times New Roman" w:eastAsia="Times New Roman" w:hAnsi="Times New Roman" w:cs="Times New Roman"/>
                <w:i/>
                <w:sz w:val="24"/>
                <w:szCs w:val="24"/>
                <w:vertAlign w:val="superscript"/>
              </w:rPr>
              <w:footnoteReference w:id="3"/>
            </w:r>
            <w:r>
              <w:rPr>
                <w:rFonts w:ascii="Times New Roman" w:eastAsia="Times New Roman" w:hAnsi="Times New Roman" w:cs="Times New Roman"/>
                <w:i/>
                <w:sz w:val="24"/>
                <w:szCs w:val="24"/>
              </w:rPr>
              <w:t xml:space="preserve"> + İstatistiksel Fark</w:t>
            </w:r>
          </w:p>
          <w:p w14:paraId="19E9C248" w14:textId="77777777" w:rsidR="006E1782" w:rsidRDefault="006E1782" w:rsidP="00FB4800">
            <w:pPr>
              <w:ind w:firstLine="34"/>
              <w:jc w:val="both"/>
              <w:rPr>
                <w:rFonts w:ascii="Times New Roman" w:eastAsia="Times New Roman" w:hAnsi="Times New Roman" w:cs="Times New Roman"/>
                <w:i/>
                <w:sz w:val="24"/>
                <w:szCs w:val="24"/>
              </w:rPr>
            </w:pPr>
          </w:p>
        </w:tc>
        <w:tc>
          <w:tcPr>
            <w:tcW w:w="1406" w:type="dxa"/>
          </w:tcPr>
          <w:p w14:paraId="37CEFCCE" w14:textId="7F1838CD" w:rsidR="00C21BD1" w:rsidRDefault="008A2C1B" w:rsidP="00FB48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513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tc>
      </w:tr>
      <w:tr w:rsidR="00C21BD1" w14:paraId="3488B46B" w14:textId="77777777" w:rsidTr="00E315F2">
        <w:tc>
          <w:tcPr>
            <w:tcW w:w="5070" w:type="dxa"/>
          </w:tcPr>
          <w:p w14:paraId="0700D9DB" w14:textId="77777777" w:rsidR="00C21BD1" w:rsidRDefault="008A2C1B" w:rsidP="00FB4800">
            <w:pPr>
              <w:ind w:firstLine="34"/>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Toplam Nihai Enerji Tüketimi</w:t>
            </w:r>
            <w:r>
              <w:rPr>
                <w:rFonts w:ascii="Times New Roman" w:eastAsia="Times New Roman" w:hAnsi="Times New Roman" w:cs="Times New Roman"/>
                <w:i/>
                <w:sz w:val="24"/>
                <w:szCs w:val="24"/>
              </w:rPr>
              <w:t xml:space="preserve"> = </w:t>
            </w:r>
            <w:r>
              <w:rPr>
                <w:rFonts w:ascii="Times New Roman" w:eastAsia="Times New Roman" w:hAnsi="Times New Roman" w:cs="Times New Roman"/>
                <w:b/>
                <w:i/>
                <w:sz w:val="24"/>
                <w:szCs w:val="24"/>
              </w:rPr>
              <w:t>Sektörler Toplamı</w:t>
            </w:r>
            <w:r>
              <w:rPr>
                <w:rFonts w:ascii="Times New Roman" w:eastAsia="Times New Roman" w:hAnsi="Times New Roman" w:cs="Times New Roman"/>
                <w:i/>
                <w:sz w:val="24"/>
                <w:szCs w:val="24"/>
              </w:rPr>
              <w:t xml:space="preserve"> </w:t>
            </w:r>
            <w:r w:rsidR="003F7563">
              <w:rPr>
                <w:rFonts w:ascii="Times New Roman" w:eastAsia="Times New Roman" w:hAnsi="Times New Roman" w:cs="Times New Roman"/>
                <w:i/>
                <w:sz w:val="24"/>
                <w:szCs w:val="24"/>
              </w:rPr>
              <w:t>= Enerji</w:t>
            </w:r>
            <w:r>
              <w:rPr>
                <w:rFonts w:ascii="Times New Roman" w:eastAsia="Times New Roman" w:hAnsi="Times New Roman" w:cs="Times New Roman"/>
                <w:i/>
                <w:sz w:val="24"/>
                <w:szCs w:val="24"/>
              </w:rPr>
              <w:t xml:space="preserve"> Ürünleri Arzı + Çevrim ve Enerji Sektörü </w:t>
            </w:r>
          </w:p>
          <w:p w14:paraId="19001F87" w14:textId="236DDE30" w:rsidR="006E1782" w:rsidRDefault="006E1782" w:rsidP="00FB4800">
            <w:pPr>
              <w:ind w:firstLine="34"/>
              <w:jc w:val="both"/>
              <w:rPr>
                <w:rFonts w:ascii="Times New Roman" w:eastAsia="Times New Roman" w:hAnsi="Times New Roman" w:cs="Times New Roman"/>
                <w:i/>
                <w:sz w:val="24"/>
                <w:szCs w:val="24"/>
              </w:rPr>
            </w:pPr>
          </w:p>
        </w:tc>
        <w:tc>
          <w:tcPr>
            <w:tcW w:w="1406" w:type="dxa"/>
          </w:tcPr>
          <w:p w14:paraId="34C63FC2" w14:textId="688407BC" w:rsidR="00C21BD1" w:rsidRDefault="008A2C1B" w:rsidP="00FB48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5137">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tc>
      </w:tr>
      <w:tr w:rsidR="00C21BD1" w14:paraId="4A8F178A" w14:textId="77777777" w:rsidTr="00E315F2">
        <w:tc>
          <w:tcPr>
            <w:tcW w:w="5070" w:type="dxa"/>
          </w:tcPr>
          <w:p w14:paraId="43ECD4AA" w14:textId="77777777" w:rsidR="00C21BD1" w:rsidRDefault="008A2C1B" w:rsidP="00FB4800">
            <w:pPr>
              <w:ind w:firstLine="34"/>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Sektörler Toplamı</w:t>
            </w:r>
            <w:r>
              <w:rPr>
                <w:rFonts w:ascii="Times New Roman" w:eastAsia="Times New Roman" w:hAnsi="Times New Roman" w:cs="Times New Roman"/>
                <w:i/>
                <w:sz w:val="24"/>
                <w:szCs w:val="24"/>
              </w:rPr>
              <w:t xml:space="preserve"> = Sanayi Tüketimi + Ulaştırma + Diğer Sektörler + Enerji Dışı Kullanım</w:t>
            </w:r>
          </w:p>
          <w:p w14:paraId="7B7E3686" w14:textId="77777777" w:rsidR="006E1782" w:rsidRDefault="006E1782" w:rsidP="00FB4800">
            <w:pPr>
              <w:ind w:firstLine="34"/>
              <w:jc w:val="both"/>
              <w:rPr>
                <w:rFonts w:ascii="Times New Roman" w:eastAsia="Times New Roman" w:hAnsi="Times New Roman" w:cs="Times New Roman"/>
                <w:i/>
                <w:sz w:val="24"/>
                <w:szCs w:val="24"/>
              </w:rPr>
            </w:pPr>
          </w:p>
        </w:tc>
        <w:tc>
          <w:tcPr>
            <w:tcW w:w="1406" w:type="dxa"/>
          </w:tcPr>
          <w:p w14:paraId="33FEA1B9" w14:textId="57129F70" w:rsidR="00C21BD1" w:rsidRDefault="008A2C1B" w:rsidP="00FB48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513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r>
      <w:tr w:rsidR="00C21BD1" w14:paraId="23354030" w14:textId="77777777" w:rsidTr="00E315F2">
        <w:tc>
          <w:tcPr>
            <w:tcW w:w="5070" w:type="dxa"/>
          </w:tcPr>
          <w:p w14:paraId="4B5709F2" w14:textId="77777777" w:rsidR="00C21BD1" w:rsidRDefault="008A2C1B" w:rsidP="00FB4800">
            <w:pPr>
              <w:ind w:firstLine="34"/>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İstatistiksel Fark</w:t>
            </w:r>
            <w:r>
              <w:rPr>
                <w:rFonts w:ascii="Times New Roman" w:eastAsia="Times New Roman" w:hAnsi="Times New Roman" w:cs="Times New Roman"/>
                <w:i/>
                <w:sz w:val="24"/>
                <w:szCs w:val="24"/>
              </w:rPr>
              <w:t xml:space="preserve"> = Toplam Nihai Enerji Tüketimi – Sektörler Toplamı</w:t>
            </w:r>
          </w:p>
          <w:p w14:paraId="6E86E119" w14:textId="77777777" w:rsidR="006E1782" w:rsidRDefault="006E1782" w:rsidP="00FB4800">
            <w:pPr>
              <w:ind w:firstLine="34"/>
              <w:jc w:val="both"/>
              <w:rPr>
                <w:rFonts w:ascii="Times New Roman" w:eastAsia="Times New Roman" w:hAnsi="Times New Roman" w:cs="Times New Roman"/>
                <w:i/>
                <w:sz w:val="24"/>
                <w:szCs w:val="24"/>
              </w:rPr>
            </w:pPr>
          </w:p>
        </w:tc>
        <w:tc>
          <w:tcPr>
            <w:tcW w:w="1406" w:type="dxa"/>
          </w:tcPr>
          <w:p w14:paraId="47765F5D" w14:textId="1C037A69" w:rsidR="00C21BD1" w:rsidRDefault="008A2C1B" w:rsidP="00FB48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5137">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r>
      <w:tr w:rsidR="00C21BD1" w14:paraId="2E78B911" w14:textId="77777777" w:rsidTr="00E315F2">
        <w:tc>
          <w:tcPr>
            <w:tcW w:w="5070" w:type="dxa"/>
          </w:tcPr>
          <w:p w14:paraId="6461ADC5" w14:textId="77777777" w:rsidR="006E1782" w:rsidRDefault="006E1782" w:rsidP="00FB4800">
            <w:pPr>
              <w:ind w:firstLine="34"/>
              <w:jc w:val="both"/>
              <w:rPr>
                <w:rFonts w:ascii="Times New Roman" w:eastAsia="Times New Roman" w:hAnsi="Times New Roman" w:cs="Times New Roman"/>
                <w:b/>
                <w:i/>
                <w:sz w:val="24"/>
                <w:szCs w:val="24"/>
              </w:rPr>
            </w:pPr>
          </w:p>
          <w:p w14:paraId="027F12C2" w14:textId="65255603" w:rsidR="00C21BD1" w:rsidRDefault="008A2C1B" w:rsidP="00FB4800">
            <w:pPr>
              <w:ind w:firstLine="34"/>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Çevrim ve Enerji Sektörü</w:t>
            </w:r>
            <w:r>
              <w:rPr>
                <w:rFonts w:ascii="Times New Roman" w:eastAsia="Times New Roman" w:hAnsi="Times New Roman" w:cs="Times New Roman"/>
                <w:i/>
                <w:sz w:val="24"/>
                <w:szCs w:val="24"/>
              </w:rPr>
              <w:t xml:space="preserve"> = Elektrik Santralleri + Isı Santralleri + Kok Fabrikaları + Rafineriler + İç tüketim ve Kayıp</w:t>
            </w:r>
          </w:p>
          <w:p w14:paraId="4CEC3D44" w14:textId="77777777" w:rsidR="006E1782" w:rsidRDefault="006E1782" w:rsidP="00FB4800">
            <w:pPr>
              <w:ind w:firstLine="34"/>
              <w:jc w:val="both"/>
              <w:rPr>
                <w:rFonts w:ascii="Times New Roman" w:eastAsia="Times New Roman" w:hAnsi="Times New Roman" w:cs="Times New Roman"/>
                <w:i/>
                <w:sz w:val="24"/>
                <w:szCs w:val="24"/>
              </w:rPr>
            </w:pPr>
          </w:p>
        </w:tc>
        <w:tc>
          <w:tcPr>
            <w:tcW w:w="1406" w:type="dxa"/>
          </w:tcPr>
          <w:p w14:paraId="4574AEE6" w14:textId="77777777" w:rsidR="006E1782" w:rsidRDefault="006E1782" w:rsidP="00FB4800">
            <w:pPr>
              <w:jc w:val="right"/>
              <w:rPr>
                <w:rFonts w:ascii="Times New Roman" w:eastAsia="Times New Roman" w:hAnsi="Times New Roman" w:cs="Times New Roman"/>
                <w:sz w:val="24"/>
                <w:szCs w:val="24"/>
              </w:rPr>
            </w:pPr>
          </w:p>
          <w:p w14:paraId="1DF72CA7" w14:textId="12544200" w:rsidR="00C21BD1" w:rsidRDefault="008A2C1B" w:rsidP="00FB48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513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r>
      <w:tr w:rsidR="00C21BD1" w14:paraId="69F4EA3A" w14:textId="77777777" w:rsidTr="00E315F2">
        <w:tc>
          <w:tcPr>
            <w:tcW w:w="5070" w:type="dxa"/>
          </w:tcPr>
          <w:p w14:paraId="68609611" w14:textId="77777777" w:rsidR="00C21BD1" w:rsidRDefault="008A2C1B" w:rsidP="00FB4800">
            <w:pPr>
              <w:ind w:firstLine="34"/>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Diğer Sektörler</w:t>
            </w:r>
            <w:r>
              <w:rPr>
                <w:rFonts w:ascii="Times New Roman" w:eastAsia="Times New Roman" w:hAnsi="Times New Roman" w:cs="Times New Roman"/>
                <w:i/>
                <w:sz w:val="24"/>
                <w:szCs w:val="24"/>
              </w:rPr>
              <w:t xml:space="preserve"> = Konut ve Hizmetler + Tarım</w:t>
            </w:r>
          </w:p>
        </w:tc>
        <w:tc>
          <w:tcPr>
            <w:tcW w:w="1406" w:type="dxa"/>
          </w:tcPr>
          <w:p w14:paraId="5C6A02A9" w14:textId="0B315E99" w:rsidR="00C21BD1" w:rsidRDefault="008A2C1B" w:rsidP="00FB48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5137">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tc>
      </w:tr>
    </w:tbl>
    <w:p w14:paraId="73CAB54B" w14:textId="1C49352E" w:rsidR="00C21BD1" w:rsidRDefault="008A2C1B" w:rsidP="00FB4800">
      <w:pPr>
        <w:spacing w:before="24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Tablo </w:t>
      </w:r>
      <w:r w:rsidR="0071513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715137">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ilk satır (‘</w:t>
      </w:r>
      <w:r>
        <w:rPr>
          <w:rFonts w:ascii="Times New Roman" w:eastAsia="Times New Roman" w:hAnsi="Times New Roman" w:cs="Times New Roman"/>
          <w:i/>
          <w:sz w:val="24"/>
          <w:szCs w:val="24"/>
        </w:rPr>
        <w:t>Enerji Kaynak Türleri’</w:t>
      </w:r>
      <w:r>
        <w:rPr>
          <w:rFonts w:ascii="Times New Roman" w:eastAsia="Times New Roman" w:hAnsi="Times New Roman" w:cs="Times New Roman"/>
          <w:sz w:val="24"/>
          <w:szCs w:val="24"/>
        </w:rPr>
        <w:t xml:space="preserve">) birincil ve ikincil enerji kaynak türlerini göstermektedir. 2012 yılına ait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’de 18 adet enerji türü raporlanmıştır. Bunlardan </w:t>
      </w:r>
      <w:r>
        <w:rPr>
          <w:rFonts w:ascii="Times New Roman" w:eastAsia="Times New Roman" w:hAnsi="Times New Roman" w:cs="Times New Roman"/>
          <w:i/>
          <w:sz w:val="24"/>
          <w:szCs w:val="24"/>
        </w:rPr>
        <w:t xml:space="preserve">taş kömürü, linyit, asfaltit, yakacak odun, hayvan ve bitki artığı, ham petrol, doğalgaz, jeotermal, rüzgâr, jeotermal ısı – </w:t>
      </w:r>
      <w:r w:rsidR="00462D5F">
        <w:rPr>
          <w:rFonts w:ascii="Times New Roman" w:eastAsia="Times New Roman" w:hAnsi="Times New Roman" w:cs="Times New Roman"/>
          <w:i/>
          <w:sz w:val="24"/>
          <w:szCs w:val="24"/>
        </w:rPr>
        <w:t>diğer</w:t>
      </w:r>
      <w:r>
        <w:rPr>
          <w:rFonts w:ascii="Times New Roman" w:eastAsia="Times New Roman" w:hAnsi="Times New Roman" w:cs="Times New Roman"/>
          <w:sz w:val="24"/>
          <w:szCs w:val="24"/>
        </w:rPr>
        <w:t xml:space="preserve"> ve </w:t>
      </w:r>
      <w:r>
        <w:rPr>
          <w:rFonts w:ascii="Times New Roman" w:eastAsia="Times New Roman" w:hAnsi="Times New Roman" w:cs="Times New Roman"/>
          <w:i/>
          <w:sz w:val="24"/>
          <w:szCs w:val="24"/>
        </w:rPr>
        <w:t>güneş</w:t>
      </w:r>
      <w:r>
        <w:rPr>
          <w:rFonts w:ascii="Times New Roman" w:eastAsia="Times New Roman" w:hAnsi="Times New Roman" w:cs="Times New Roman"/>
          <w:sz w:val="24"/>
          <w:szCs w:val="24"/>
        </w:rPr>
        <w:t xml:space="preserve"> olmak üzere 11 adeti birincil enerji kaynaklarıdır. </w:t>
      </w:r>
      <w:r>
        <w:rPr>
          <w:rFonts w:ascii="Times New Roman" w:eastAsia="Times New Roman" w:hAnsi="Times New Roman" w:cs="Times New Roman"/>
          <w:i/>
          <w:sz w:val="24"/>
          <w:szCs w:val="24"/>
        </w:rPr>
        <w:t>Kok, türetilmiş gazlar, petrokok</w:t>
      </w:r>
      <w:r w:rsidR="00462D5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petrol ürünleri, hidrolik</w:t>
      </w:r>
      <w:r w:rsidR="00462D5F">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bioyakıt</w:t>
      </w:r>
      <w:r w:rsidR="00462D5F">
        <w:rPr>
          <w:rFonts w:ascii="Times New Roman" w:eastAsia="Times New Roman" w:hAnsi="Times New Roman" w:cs="Times New Roman"/>
          <w:i/>
          <w:sz w:val="24"/>
          <w:szCs w:val="24"/>
        </w:rPr>
        <w:t xml:space="preserve"> </w:t>
      </w:r>
      <w:r w:rsidR="00462D5F" w:rsidRPr="00462D5F">
        <w:rPr>
          <w:rFonts w:ascii="Times New Roman" w:eastAsia="Times New Roman" w:hAnsi="Times New Roman" w:cs="Times New Roman"/>
          <w:iCs/>
          <w:sz w:val="24"/>
          <w:szCs w:val="24"/>
        </w:rPr>
        <w:t>ve</w:t>
      </w:r>
      <w:r w:rsidR="00462D5F">
        <w:rPr>
          <w:rFonts w:ascii="Times New Roman" w:eastAsia="Times New Roman" w:hAnsi="Times New Roman" w:cs="Times New Roman"/>
          <w:i/>
          <w:sz w:val="24"/>
          <w:szCs w:val="24"/>
        </w:rPr>
        <w:t xml:space="preserve"> elektrik</w:t>
      </w:r>
      <w:r>
        <w:rPr>
          <w:rFonts w:ascii="Times New Roman" w:eastAsia="Times New Roman" w:hAnsi="Times New Roman" w:cs="Times New Roman"/>
          <w:sz w:val="24"/>
          <w:szCs w:val="24"/>
        </w:rPr>
        <w:t xml:space="preserve"> olmak üzere </w:t>
      </w:r>
      <w:r w:rsidR="006E1782">
        <w:rPr>
          <w:rFonts w:ascii="Times New Roman" w:eastAsia="Times New Roman" w:hAnsi="Times New Roman" w:cs="Times New Roman"/>
          <w:sz w:val="24"/>
          <w:szCs w:val="24"/>
        </w:rPr>
        <w:t>yedi</w:t>
      </w:r>
      <w:r>
        <w:rPr>
          <w:rFonts w:ascii="Times New Roman" w:eastAsia="Times New Roman" w:hAnsi="Times New Roman" w:cs="Times New Roman"/>
          <w:sz w:val="24"/>
          <w:szCs w:val="24"/>
        </w:rPr>
        <w:t xml:space="preserve"> adeti ise ikincil enerji kaynaklarıdır. </w:t>
      </w:r>
      <w:r>
        <w:rPr>
          <w:rFonts w:ascii="Times New Roman" w:eastAsia="Times New Roman" w:hAnsi="Times New Roman" w:cs="Times New Roman"/>
          <w:i/>
          <w:sz w:val="24"/>
          <w:szCs w:val="24"/>
        </w:rPr>
        <w:t xml:space="preserve">Yerli Üretim (+) </w:t>
      </w:r>
      <w:r>
        <w:rPr>
          <w:rFonts w:ascii="Times New Roman" w:eastAsia="Times New Roman" w:hAnsi="Times New Roman" w:cs="Times New Roman"/>
          <w:sz w:val="24"/>
          <w:szCs w:val="24"/>
        </w:rPr>
        <w:t xml:space="preserve">satırı birincil enerji kaynaklarının yurtiçi üretim miktarlarını, </w:t>
      </w:r>
      <w:r>
        <w:rPr>
          <w:rFonts w:ascii="Times New Roman" w:eastAsia="Times New Roman" w:hAnsi="Times New Roman" w:cs="Times New Roman"/>
          <w:i/>
          <w:sz w:val="24"/>
          <w:szCs w:val="24"/>
        </w:rPr>
        <w:t xml:space="preserve">İthalat (+) </w:t>
      </w:r>
      <w:r>
        <w:rPr>
          <w:rFonts w:ascii="Times New Roman" w:eastAsia="Times New Roman" w:hAnsi="Times New Roman" w:cs="Times New Roman"/>
          <w:sz w:val="24"/>
          <w:szCs w:val="24"/>
        </w:rPr>
        <w:t xml:space="preserve">satırı ise hem birincil hem de ikincil enerji kaynaklarının ithalatını göstermektedir. Her bir enerji türü için </w:t>
      </w:r>
      <w:r>
        <w:rPr>
          <w:rFonts w:ascii="Times New Roman" w:eastAsia="Times New Roman" w:hAnsi="Times New Roman" w:cs="Times New Roman"/>
          <w:i/>
          <w:sz w:val="24"/>
          <w:szCs w:val="24"/>
        </w:rPr>
        <w:t xml:space="preserve">Yerli Üretim (+) ve İthalat (+) </w:t>
      </w:r>
      <w:r>
        <w:rPr>
          <w:rFonts w:ascii="Times New Roman" w:eastAsia="Times New Roman" w:hAnsi="Times New Roman" w:cs="Times New Roman"/>
          <w:sz w:val="24"/>
          <w:szCs w:val="24"/>
        </w:rPr>
        <w:t>miktarlarının toplamından</w:t>
      </w:r>
      <w:r>
        <w:rPr>
          <w:rFonts w:ascii="Times New Roman" w:eastAsia="Times New Roman" w:hAnsi="Times New Roman" w:cs="Times New Roman"/>
          <w:i/>
          <w:sz w:val="24"/>
          <w:szCs w:val="24"/>
        </w:rPr>
        <w:t xml:space="preserve"> ihracatın (-)</w:t>
      </w:r>
      <w:r>
        <w:rPr>
          <w:rFonts w:ascii="Times New Roman" w:eastAsia="Times New Roman" w:hAnsi="Times New Roman" w:cs="Times New Roman"/>
          <w:sz w:val="24"/>
          <w:szCs w:val="24"/>
        </w:rPr>
        <w:t xml:space="preserve"> ve </w:t>
      </w:r>
      <w:r>
        <w:rPr>
          <w:rFonts w:ascii="Times New Roman" w:eastAsia="Times New Roman" w:hAnsi="Times New Roman" w:cs="Times New Roman"/>
          <w:i/>
          <w:sz w:val="24"/>
          <w:szCs w:val="24"/>
        </w:rPr>
        <w:t>ihrakiye (-)</w:t>
      </w:r>
      <w:r>
        <w:rPr>
          <w:rFonts w:ascii="Times New Roman" w:eastAsia="Times New Roman" w:hAnsi="Times New Roman" w:cs="Times New Roman"/>
          <w:sz w:val="24"/>
          <w:szCs w:val="24"/>
        </w:rPr>
        <w:t xml:space="preserve"> satışlarının çıkarılıp </w:t>
      </w:r>
      <w:r>
        <w:rPr>
          <w:rFonts w:ascii="Times New Roman" w:eastAsia="Times New Roman" w:hAnsi="Times New Roman" w:cs="Times New Roman"/>
          <w:i/>
          <w:sz w:val="24"/>
          <w:szCs w:val="24"/>
        </w:rPr>
        <w:t xml:space="preserve">stok değişiminin (+ / -) </w:t>
      </w:r>
      <w:r>
        <w:rPr>
          <w:rFonts w:ascii="Times New Roman" w:eastAsia="Times New Roman" w:hAnsi="Times New Roman" w:cs="Times New Roman"/>
          <w:sz w:val="24"/>
          <w:szCs w:val="24"/>
        </w:rPr>
        <w:t xml:space="preserve"> eklenmesi suretiyle </w:t>
      </w:r>
      <w:r>
        <w:rPr>
          <w:rFonts w:ascii="Times New Roman" w:eastAsia="Times New Roman" w:hAnsi="Times New Roman" w:cs="Times New Roman"/>
          <w:i/>
          <w:sz w:val="24"/>
          <w:szCs w:val="24"/>
        </w:rPr>
        <w:t>enerji ürünleri arzına</w:t>
      </w:r>
      <w:r>
        <w:rPr>
          <w:rFonts w:ascii="Times New Roman" w:eastAsia="Times New Roman" w:hAnsi="Times New Roman" w:cs="Times New Roman"/>
          <w:sz w:val="24"/>
          <w:szCs w:val="24"/>
        </w:rPr>
        <w:t xml:space="preserve"> ulaşılmaktadır. Arz edilen bu enerji miktarı ya nihai tüketim birimleri (sektörler, hanehalkı vb.) tarafından kullanılmakta ya da </w:t>
      </w:r>
      <w:r>
        <w:rPr>
          <w:rFonts w:ascii="Times New Roman" w:eastAsia="Times New Roman" w:hAnsi="Times New Roman" w:cs="Times New Roman"/>
          <w:i/>
          <w:sz w:val="24"/>
          <w:szCs w:val="24"/>
        </w:rPr>
        <w:t>çevrim ve enerji sektörü</w:t>
      </w:r>
      <w:r>
        <w:rPr>
          <w:rFonts w:ascii="Times New Roman" w:eastAsia="Times New Roman" w:hAnsi="Times New Roman" w:cs="Times New Roman"/>
          <w:sz w:val="24"/>
          <w:szCs w:val="24"/>
        </w:rPr>
        <w:t xml:space="preserve"> içerisinde girdi olarak kullanılarak farklı enerji türlerine dönüştürülmektedir. </w:t>
      </w:r>
    </w:p>
    <w:p w14:paraId="4299F29C" w14:textId="2D5FBFBB" w:rsidR="00C21BD1" w:rsidRDefault="008A2C1B" w:rsidP="00FB4800">
      <w:pPr>
        <w:spacing w:before="24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Çevrim ve enerji sektörünün (ÇES) girdileri </w:t>
      </w:r>
      <w:r>
        <w:rPr>
          <w:rFonts w:ascii="Times New Roman" w:eastAsia="Times New Roman" w:hAnsi="Times New Roman" w:cs="Times New Roman"/>
          <w:i/>
          <w:sz w:val="24"/>
          <w:szCs w:val="24"/>
        </w:rPr>
        <w:t>birincil enerji kaynakları</w:t>
      </w:r>
      <w:r>
        <w:rPr>
          <w:rFonts w:ascii="Times New Roman" w:eastAsia="Times New Roman" w:hAnsi="Times New Roman" w:cs="Times New Roman"/>
          <w:sz w:val="24"/>
          <w:szCs w:val="24"/>
        </w:rPr>
        <w:t xml:space="preserve"> çıktıları ise </w:t>
      </w:r>
      <w:r>
        <w:rPr>
          <w:rFonts w:ascii="Times New Roman" w:eastAsia="Times New Roman" w:hAnsi="Times New Roman" w:cs="Times New Roman"/>
          <w:i/>
          <w:sz w:val="24"/>
          <w:szCs w:val="24"/>
        </w:rPr>
        <w:t>ikincil enerji kaynaklarıdır</w:t>
      </w:r>
      <w:r>
        <w:rPr>
          <w:rFonts w:ascii="Times New Roman" w:eastAsia="Times New Roman" w:hAnsi="Times New Roman" w:cs="Times New Roman"/>
          <w:sz w:val="24"/>
          <w:szCs w:val="24"/>
        </w:rPr>
        <w:t xml:space="preserve">. Tablo </w:t>
      </w:r>
      <w:r w:rsidR="00715137">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71513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 ÇES içerisinde negatif rakamlar girdileri, pozitif rakamlar ise çıktıları ifade etmekte olup enerji bir biçimden (girdiler) diğerine (çıktılar) dönüştürülmektedir. ÇES; elektrik santralleri, Isı santralleri, kok fabrikaları ve rafinerileri içermekte </w:t>
      </w:r>
      <w:r w:rsidRPr="006E1782">
        <w:rPr>
          <w:rFonts w:ascii="Times New Roman" w:eastAsia="Times New Roman" w:hAnsi="Times New Roman" w:cs="Times New Roman"/>
          <w:sz w:val="24"/>
          <w:szCs w:val="24"/>
          <w:highlight w:val="red"/>
        </w:rPr>
        <w:t>olup,</w:t>
      </w:r>
      <w:r>
        <w:rPr>
          <w:rFonts w:ascii="Times New Roman" w:eastAsia="Times New Roman" w:hAnsi="Times New Roman" w:cs="Times New Roman"/>
          <w:sz w:val="24"/>
          <w:szCs w:val="24"/>
        </w:rPr>
        <w:t xml:space="preserve"> bu sektörde bazı gazlar ve ısı enerjisinin yanında ağırlıklı olarak </w:t>
      </w:r>
      <w:r>
        <w:rPr>
          <w:rFonts w:ascii="Times New Roman" w:eastAsia="Times New Roman" w:hAnsi="Times New Roman" w:cs="Times New Roman"/>
          <w:i/>
          <w:sz w:val="24"/>
          <w:szCs w:val="24"/>
        </w:rPr>
        <w:t xml:space="preserve">petrol ürünleri </w:t>
      </w:r>
      <w:r>
        <w:rPr>
          <w:rFonts w:ascii="Times New Roman" w:eastAsia="Times New Roman" w:hAnsi="Times New Roman" w:cs="Times New Roman"/>
          <w:sz w:val="24"/>
          <w:szCs w:val="24"/>
        </w:rPr>
        <w:t xml:space="preserve">ve </w:t>
      </w:r>
      <w:r>
        <w:rPr>
          <w:rFonts w:ascii="Times New Roman" w:eastAsia="Times New Roman" w:hAnsi="Times New Roman" w:cs="Times New Roman"/>
          <w:i/>
          <w:sz w:val="24"/>
          <w:szCs w:val="24"/>
        </w:rPr>
        <w:t>elektrik enerjisi</w:t>
      </w:r>
      <w:r>
        <w:rPr>
          <w:rFonts w:ascii="Times New Roman" w:eastAsia="Times New Roman" w:hAnsi="Times New Roman" w:cs="Times New Roman"/>
          <w:sz w:val="24"/>
          <w:szCs w:val="24"/>
        </w:rPr>
        <w:t xml:space="preserve"> üretilmektedir.  Örneğin; Tablo </w:t>
      </w:r>
      <w:r w:rsidR="00715137">
        <w:rPr>
          <w:rFonts w:ascii="Times New Roman" w:eastAsia="Times New Roman" w:hAnsi="Times New Roman" w:cs="Times New Roman"/>
          <w:sz w:val="24"/>
          <w:szCs w:val="24"/>
        </w:rPr>
        <w:t>1</w:t>
      </w:r>
      <w:r>
        <w:rPr>
          <w:rFonts w:ascii="Times New Roman" w:eastAsia="Times New Roman" w:hAnsi="Times New Roman" w:cs="Times New Roman"/>
          <w:sz w:val="24"/>
          <w:szCs w:val="24"/>
        </w:rPr>
        <w:t>’e göre 2012 yılında Türkiye’de 21 milyon 711</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bin ton </w:t>
      </w:r>
      <w:r>
        <w:rPr>
          <w:rFonts w:ascii="Times New Roman" w:eastAsia="Times New Roman" w:hAnsi="Times New Roman" w:cs="Times New Roman"/>
          <w:i/>
          <w:sz w:val="24"/>
          <w:szCs w:val="24"/>
        </w:rPr>
        <w:t>ham petrolün</w:t>
      </w:r>
      <w:r>
        <w:rPr>
          <w:rFonts w:ascii="Times New Roman" w:eastAsia="Times New Roman" w:hAnsi="Times New Roman" w:cs="Times New Roman"/>
          <w:sz w:val="24"/>
          <w:szCs w:val="24"/>
        </w:rPr>
        <w:t xml:space="preserve"> tamamı ÇES içerisindeki rafineriler tarafından girdi olarak kullanılmış (</w:t>
      </w:r>
      <w:r>
        <w:rPr>
          <w:rFonts w:ascii="Times New Roman" w:eastAsia="Times New Roman" w:hAnsi="Times New Roman" w:cs="Times New Roman"/>
          <w:i/>
          <w:sz w:val="24"/>
          <w:szCs w:val="24"/>
        </w:rPr>
        <w:t>Rafineriler</w:t>
      </w:r>
      <w:r w:rsidR="0020639D">
        <w:rPr>
          <w:rFonts w:ascii="Times New Roman" w:eastAsia="Times New Roman" w:hAnsi="Times New Roman" w:cs="Times New Roman"/>
          <w:sz w:val="24"/>
          <w:szCs w:val="24"/>
        </w:rPr>
        <w:t xml:space="preserve"> </w:t>
      </w:r>
      <w:r w:rsidR="0020639D" w:rsidRPr="0020639D">
        <w:rPr>
          <w:rFonts w:ascii="Times New Roman" w:eastAsia="Times New Roman" w:hAnsi="Times New Roman" w:cs="Times New Roman"/>
          <w:sz w:val="24"/>
          <w:szCs w:val="24"/>
        </w:rPr>
        <w:sym w:font="Wingdings" w:char="F0E0"/>
      </w:r>
      <w:r w:rsidR="0020639D">
        <w:rPr>
          <w:rFonts w:ascii="Times New Roman" w:eastAsia="Times New Roman" w:hAnsi="Times New Roman" w:cs="Times New Roman"/>
          <w:sz w:val="24"/>
          <w:szCs w:val="24"/>
        </w:rPr>
        <w:t xml:space="preserve"> ham petrol </w:t>
      </w:r>
      <w:r>
        <w:rPr>
          <w:rFonts w:ascii="Times New Roman" w:eastAsia="Times New Roman" w:hAnsi="Times New Roman" w:cs="Times New Roman"/>
          <w:sz w:val="24"/>
          <w:szCs w:val="24"/>
        </w:rPr>
        <w:t>hücresindeki negatif değer) ve 22 milyon 116 bin ton petrol ürünü çıktısı (</w:t>
      </w:r>
      <w:r w:rsidR="0020639D">
        <w:rPr>
          <w:rFonts w:ascii="Times New Roman" w:eastAsia="Times New Roman" w:hAnsi="Times New Roman" w:cs="Times New Roman"/>
          <w:i/>
          <w:sz w:val="24"/>
          <w:szCs w:val="24"/>
        </w:rPr>
        <w:t xml:space="preserve">Rafineriler </w:t>
      </w:r>
      <w:r w:rsidR="0020639D" w:rsidRPr="0020639D">
        <w:rPr>
          <w:rFonts w:ascii="Times New Roman" w:eastAsia="Times New Roman" w:hAnsi="Times New Roman" w:cs="Times New Roman"/>
          <w:i/>
          <w:sz w:val="24"/>
          <w:szCs w:val="24"/>
        </w:rPr>
        <w:sym w:font="Wingdings" w:char="F0E0"/>
      </w:r>
      <w:r w:rsidR="0020639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Petrol Ürünleri</w:t>
      </w:r>
      <w:r>
        <w:rPr>
          <w:rFonts w:ascii="Times New Roman" w:eastAsia="Times New Roman" w:hAnsi="Times New Roman" w:cs="Times New Roman"/>
          <w:sz w:val="24"/>
          <w:szCs w:val="24"/>
        </w:rPr>
        <w:t xml:space="preserve"> hücresindeki pozitif değer) elde edilmiştir. Elde edilen bu petrol ürününün 1 milyon 791 bin tonu </w:t>
      </w:r>
      <w:r>
        <w:rPr>
          <w:rFonts w:ascii="Times New Roman" w:eastAsia="Times New Roman" w:hAnsi="Times New Roman" w:cs="Times New Roman"/>
          <w:sz w:val="24"/>
          <w:szCs w:val="24"/>
        </w:rPr>
        <w:lastRenderedPageBreak/>
        <w:t>yine ÇES içerisinde farklı işlemler için kullanılmış</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ve ÇES’in net petrol ürünü üretimi 20 milyon 325 bin ton (</w:t>
      </w:r>
      <w:r>
        <w:rPr>
          <w:rFonts w:ascii="Times New Roman" w:eastAsia="Times New Roman" w:hAnsi="Times New Roman" w:cs="Times New Roman"/>
          <w:i/>
          <w:sz w:val="24"/>
          <w:szCs w:val="24"/>
        </w:rPr>
        <w:t>Çevrim ve Enerji Sektörü</w:t>
      </w:r>
      <w:r w:rsidR="0020639D">
        <w:rPr>
          <w:rFonts w:ascii="Times New Roman" w:eastAsia="Times New Roman" w:hAnsi="Times New Roman" w:cs="Times New Roman"/>
          <w:sz w:val="24"/>
          <w:szCs w:val="24"/>
        </w:rPr>
        <w:t xml:space="preserve"> </w:t>
      </w:r>
      <w:r w:rsidR="0020639D" w:rsidRPr="0020639D">
        <w:rPr>
          <w:rFonts w:ascii="Times New Roman" w:eastAsia="Times New Roman" w:hAnsi="Times New Roman" w:cs="Times New Roman"/>
          <w:sz w:val="24"/>
          <w:szCs w:val="24"/>
        </w:rPr>
        <w:sym w:font="Wingdings" w:char="F0E0"/>
      </w:r>
      <w:r w:rsidR="0020639D">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Petrol Ürünleri </w:t>
      </w:r>
      <w:r>
        <w:rPr>
          <w:rFonts w:ascii="Times New Roman" w:eastAsia="Times New Roman" w:hAnsi="Times New Roman" w:cs="Times New Roman"/>
          <w:sz w:val="24"/>
          <w:szCs w:val="24"/>
        </w:rPr>
        <w:t>hücresi) şeklinde gerçekleşmiştir. Bu miktar 7 milyon 568</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bin tonluk net petrol ürünü ithalatı ile birleşerek </w:t>
      </w:r>
      <w:r>
        <w:rPr>
          <w:rFonts w:ascii="Times New Roman" w:eastAsia="Times New Roman" w:hAnsi="Times New Roman" w:cs="Times New Roman"/>
          <w:i/>
          <w:sz w:val="24"/>
          <w:szCs w:val="24"/>
        </w:rPr>
        <w:t>toplam nihai petrol ürünü tüketimini</w:t>
      </w:r>
      <w:r>
        <w:rPr>
          <w:rFonts w:ascii="Times New Roman" w:eastAsia="Times New Roman" w:hAnsi="Times New Roman" w:cs="Times New Roman"/>
          <w:sz w:val="24"/>
          <w:szCs w:val="24"/>
        </w:rPr>
        <w:t xml:space="preserve"> oluşturmuştur.  Aynı şekilde ÇES içerisindeki elektrik santralleri 11 milyon 761 bin ton taş kömürü, 741 bin ton petrol ürünü ve 23 milyar 90 milyon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m:t>
            </m:r>
          </m:e>
          <m:sup>
            <m:r>
              <w:rPr>
                <w:rFonts w:ascii="Cambria Math" w:eastAsia="Cambria Math" w:hAnsi="Cambria Math" w:cs="Cambria Math"/>
                <w:sz w:val="24"/>
                <w:szCs w:val="24"/>
              </w:rPr>
              <m:t>3</m:t>
            </m:r>
          </m:sup>
        </m:sSup>
      </m:oMath>
      <w:r>
        <w:rPr>
          <w:rFonts w:ascii="Times New Roman" w:eastAsia="Times New Roman" w:hAnsi="Times New Roman" w:cs="Times New Roman"/>
          <w:sz w:val="24"/>
          <w:szCs w:val="24"/>
        </w:rPr>
        <w:t xml:space="preserve"> doğalgaz kullanarak 239 milyon 497 bin GWh elektrik enerjisi üretmiştir</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Bu elektrik enerjisinin 48 milyon 591 bin GWh’ı ÇEŞ içerisinde kullanılmış olup</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net elektrik enerjisi üretimi 190 milyon 906 bin GWh olarak gerçekleşmiştir. ÇES’in net üretim miktarı 2 milyon 873</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bin GWh net elektrik ithalatı ile birleşerek </w:t>
      </w:r>
      <w:r>
        <w:rPr>
          <w:rFonts w:ascii="Times New Roman" w:eastAsia="Times New Roman" w:hAnsi="Times New Roman" w:cs="Times New Roman"/>
          <w:i/>
          <w:sz w:val="24"/>
          <w:szCs w:val="24"/>
        </w:rPr>
        <w:t>toplam nihai elektrik tüketimini</w:t>
      </w:r>
      <w:r>
        <w:rPr>
          <w:rFonts w:ascii="Times New Roman" w:eastAsia="Times New Roman" w:hAnsi="Times New Roman" w:cs="Times New Roman"/>
          <w:sz w:val="24"/>
          <w:szCs w:val="24"/>
        </w:rPr>
        <w:t xml:space="preserve"> oluşturmuştur. Sonuç olarak </w:t>
      </w:r>
      <w:r>
        <w:rPr>
          <w:rFonts w:ascii="Times New Roman" w:eastAsia="Times New Roman" w:hAnsi="Times New Roman" w:cs="Times New Roman"/>
          <w:i/>
          <w:sz w:val="24"/>
          <w:szCs w:val="24"/>
        </w:rPr>
        <w:t>enerji ürünleri arzına</w:t>
      </w:r>
      <w:r>
        <w:rPr>
          <w:rFonts w:ascii="Times New Roman" w:eastAsia="Times New Roman" w:hAnsi="Times New Roman" w:cs="Times New Roman"/>
          <w:sz w:val="24"/>
          <w:szCs w:val="24"/>
        </w:rPr>
        <w:t xml:space="preserve"> ÇES tarafından kullanılan (-) ya da üretilen (+) enerji miktarı eklenerek </w:t>
      </w:r>
      <w:r>
        <w:rPr>
          <w:rFonts w:ascii="Times New Roman" w:eastAsia="Times New Roman" w:hAnsi="Times New Roman" w:cs="Times New Roman"/>
          <w:i/>
          <w:sz w:val="24"/>
          <w:szCs w:val="24"/>
        </w:rPr>
        <w:t>toplam nihai enerji tüketim</w:t>
      </w:r>
      <w:r>
        <w:rPr>
          <w:rFonts w:ascii="Times New Roman" w:eastAsia="Times New Roman" w:hAnsi="Times New Roman" w:cs="Times New Roman"/>
          <w:sz w:val="24"/>
          <w:szCs w:val="24"/>
        </w:rPr>
        <w:t xml:space="preserve"> miktarına yani yurtiçi iktisadi birimlerin kullanabileceği enerji miktarına ulaşılmaktadır. </w:t>
      </w:r>
    </w:p>
    <w:p w14:paraId="26FD27F6" w14:textId="2064E699" w:rsidR="00C21BD1" w:rsidRDefault="008A2C1B" w:rsidP="00FB4800">
      <w:pPr>
        <w:spacing w:before="24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1972 – 202</w:t>
      </w:r>
      <w:r w:rsidR="00715137">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yılları arasındaki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 incelendiğinde genel yapı aynı kalmakla birlikte zamanın şartları ve gereksinimleri gereği tabloların raporlamış oldukları enerji türlerinde de farklılıklar görülmektedir. Örneğin 1972 – 1987 yılları arasındaki tabloların içermiş oldukları enerji ürünleri tamamen aynı iken, 1988 ve 1989 yıllarındaki tablolarda önceki yıllardan farklı olarak </w:t>
      </w:r>
      <w:r w:rsidR="00343631">
        <w:rPr>
          <w:rFonts w:ascii="Times New Roman" w:eastAsia="Times New Roman" w:hAnsi="Times New Roman" w:cs="Times New Roman"/>
          <w:i/>
          <w:sz w:val="24"/>
          <w:szCs w:val="24"/>
        </w:rPr>
        <w:t>şehirgazı</w:t>
      </w:r>
      <w:r>
        <w:rPr>
          <w:rFonts w:ascii="Times New Roman" w:eastAsia="Times New Roman" w:hAnsi="Times New Roman" w:cs="Times New Roman"/>
          <w:sz w:val="24"/>
          <w:szCs w:val="24"/>
        </w:rPr>
        <w:t xml:space="preserve"> yerine </w:t>
      </w:r>
      <w:r>
        <w:rPr>
          <w:rFonts w:ascii="Times New Roman" w:eastAsia="Times New Roman" w:hAnsi="Times New Roman" w:cs="Times New Roman"/>
          <w:i/>
          <w:sz w:val="24"/>
          <w:szCs w:val="24"/>
        </w:rPr>
        <w:t>havagazının</w:t>
      </w:r>
      <w:r>
        <w:rPr>
          <w:rFonts w:ascii="Times New Roman" w:eastAsia="Times New Roman" w:hAnsi="Times New Roman" w:cs="Times New Roman"/>
          <w:sz w:val="24"/>
          <w:szCs w:val="24"/>
        </w:rPr>
        <w:t xml:space="preserve"> raporlandığı görülmektedir. Aynı şekilde 1990 – 1994 arasındaki tablolarda önceki yıl tablolarında bulunan </w:t>
      </w:r>
      <w:r>
        <w:rPr>
          <w:rFonts w:ascii="Times New Roman" w:eastAsia="Times New Roman" w:hAnsi="Times New Roman" w:cs="Times New Roman"/>
          <w:i/>
          <w:sz w:val="24"/>
          <w:szCs w:val="24"/>
        </w:rPr>
        <w:t>briket,</w:t>
      </w:r>
      <w:r>
        <w:rPr>
          <w:rFonts w:ascii="Times New Roman" w:eastAsia="Times New Roman" w:hAnsi="Times New Roman" w:cs="Times New Roman"/>
          <w:sz w:val="24"/>
          <w:szCs w:val="24"/>
        </w:rPr>
        <w:t xml:space="preserve"> </w:t>
      </w:r>
      <w:r w:rsidR="00343631">
        <w:rPr>
          <w:rFonts w:ascii="Times New Roman" w:eastAsia="Times New Roman" w:hAnsi="Times New Roman" w:cs="Times New Roman"/>
          <w:i/>
          <w:sz w:val="24"/>
          <w:szCs w:val="24"/>
        </w:rPr>
        <w:t>bioyakıt</w:t>
      </w:r>
      <w:r>
        <w:rPr>
          <w:rFonts w:ascii="Times New Roman" w:eastAsia="Times New Roman" w:hAnsi="Times New Roman" w:cs="Times New Roman"/>
          <w:sz w:val="24"/>
          <w:szCs w:val="24"/>
        </w:rPr>
        <w:t xml:space="preserve"> ve </w:t>
      </w:r>
      <w:r>
        <w:rPr>
          <w:rFonts w:ascii="Times New Roman" w:eastAsia="Times New Roman" w:hAnsi="Times New Roman" w:cs="Times New Roman"/>
          <w:i/>
          <w:sz w:val="24"/>
          <w:szCs w:val="24"/>
        </w:rPr>
        <w:t>rüzgâr</w:t>
      </w:r>
      <w:r>
        <w:rPr>
          <w:rFonts w:ascii="Times New Roman" w:eastAsia="Times New Roman" w:hAnsi="Times New Roman" w:cs="Times New Roman"/>
          <w:sz w:val="24"/>
          <w:szCs w:val="24"/>
        </w:rPr>
        <w:t xml:space="preserve"> enerjisi bulunmamakta ve önceki yıl tablolarında bulunmayan </w:t>
      </w:r>
      <w:r>
        <w:rPr>
          <w:rFonts w:ascii="Times New Roman" w:eastAsia="Times New Roman" w:hAnsi="Times New Roman" w:cs="Times New Roman"/>
          <w:i/>
          <w:sz w:val="24"/>
          <w:szCs w:val="24"/>
        </w:rPr>
        <w:t>türetilmiş gazlar</w:t>
      </w:r>
      <w:r>
        <w:rPr>
          <w:rFonts w:ascii="Times New Roman" w:eastAsia="Times New Roman" w:hAnsi="Times New Roman" w:cs="Times New Roman"/>
          <w:sz w:val="24"/>
          <w:szCs w:val="24"/>
        </w:rPr>
        <w:t xml:space="preserve"> raporlanmaktadır. 1995 – 1997 yılları </w:t>
      </w:r>
      <w:r>
        <w:rPr>
          <w:rFonts w:ascii="Times New Roman" w:eastAsia="Times New Roman" w:hAnsi="Times New Roman" w:cs="Times New Roman"/>
          <w:sz w:val="24"/>
          <w:szCs w:val="24"/>
        </w:rPr>
        <w:lastRenderedPageBreak/>
        <w:t xml:space="preserve">arasındaki tablolarda ise önceki yıl tablolarında bulunan </w:t>
      </w:r>
      <w:r>
        <w:rPr>
          <w:rFonts w:ascii="Times New Roman" w:eastAsia="Times New Roman" w:hAnsi="Times New Roman" w:cs="Times New Roman"/>
          <w:i/>
          <w:sz w:val="24"/>
          <w:szCs w:val="24"/>
        </w:rPr>
        <w:t>havagazı</w:t>
      </w:r>
      <w:r>
        <w:rPr>
          <w:rFonts w:ascii="Times New Roman" w:eastAsia="Times New Roman" w:hAnsi="Times New Roman" w:cs="Times New Roman"/>
          <w:sz w:val="24"/>
          <w:szCs w:val="24"/>
        </w:rPr>
        <w:t xml:space="preserve"> çıkarılmıştır. 1998 – 2005 yılları arasında, 1990 yılında raporlanmamaya başlayan </w:t>
      </w:r>
      <w:r>
        <w:rPr>
          <w:rFonts w:ascii="Times New Roman" w:eastAsia="Times New Roman" w:hAnsi="Times New Roman" w:cs="Times New Roman"/>
          <w:i/>
          <w:sz w:val="24"/>
          <w:szCs w:val="24"/>
        </w:rPr>
        <w:t>rüzgâr</w:t>
      </w:r>
      <w:r>
        <w:rPr>
          <w:rFonts w:ascii="Times New Roman" w:eastAsia="Times New Roman" w:hAnsi="Times New Roman" w:cs="Times New Roman"/>
          <w:sz w:val="24"/>
          <w:szCs w:val="24"/>
        </w:rPr>
        <w:t xml:space="preserve"> enerjisinin tablolara tekrar dahil edildiği görülmektedir. 2006 ve 2007 yıllarında ise önceki dönemde raporlanan </w:t>
      </w:r>
      <w:r>
        <w:rPr>
          <w:rFonts w:ascii="Times New Roman" w:eastAsia="Times New Roman" w:hAnsi="Times New Roman" w:cs="Times New Roman"/>
          <w:i/>
          <w:sz w:val="24"/>
          <w:szCs w:val="24"/>
        </w:rPr>
        <w:t>jeotermal</w:t>
      </w:r>
      <w:r>
        <w:rPr>
          <w:rFonts w:ascii="Times New Roman" w:eastAsia="Times New Roman" w:hAnsi="Times New Roman" w:cs="Times New Roman"/>
          <w:sz w:val="24"/>
          <w:szCs w:val="24"/>
        </w:rPr>
        <w:t xml:space="preserve"> enerji çıkarılarak yine 1990 yılında tablolardan çıkarılan </w:t>
      </w:r>
      <w:r>
        <w:rPr>
          <w:rFonts w:ascii="Times New Roman" w:eastAsia="Times New Roman" w:hAnsi="Times New Roman" w:cs="Times New Roman"/>
          <w:i/>
          <w:sz w:val="24"/>
          <w:szCs w:val="24"/>
        </w:rPr>
        <w:t xml:space="preserve">bioyakıt </w:t>
      </w:r>
      <w:r>
        <w:rPr>
          <w:rFonts w:ascii="Times New Roman" w:eastAsia="Times New Roman" w:hAnsi="Times New Roman" w:cs="Times New Roman"/>
          <w:sz w:val="24"/>
          <w:szCs w:val="24"/>
        </w:rPr>
        <w:t>enerjisi raporlanmaya başlanmıştır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2008 yılında ise </w:t>
      </w:r>
      <w:r>
        <w:rPr>
          <w:rFonts w:ascii="Times New Roman" w:eastAsia="Times New Roman" w:hAnsi="Times New Roman" w:cs="Times New Roman"/>
          <w:i/>
          <w:sz w:val="24"/>
          <w:szCs w:val="24"/>
        </w:rPr>
        <w:t>jeotermal</w:t>
      </w:r>
      <w:r>
        <w:rPr>
          <w:rFonts w:ascii="Times New Roman" w:eastAsia="Times New Roman" w:hAnsi="Times New Roman" w:cs="Times New Roman"/>
          <w:sz w:val="24"/>
          <w:szCs w:val="24"/>
        </w:rPr>
        <w:t xml:space="preserve"> enerji tekrar raporlamaya dahil edilmiştir.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’lerin yapısındaki en kapsamlı değişimler 2008 </w:t>
      </w:r>
      <w:r w:rsidR="00343631">
        <w:rPr>
          <w:rFonts w:ascii="Times New Roman" w:eastAsia="Times New Roman" w:hAnsi="Times New Roman" w:cs="Times New Roman"/>
          <w:sz w:val="24"/>
          <w:szCs w:val="24"/>
        </w:rPr>
        <w:t>yılından sonra</w:t>
      </w:r>
      <w:r>
        <w:rPr>
          <w:rFonts w:ascii="Times New Roman" w:eastAsia="Times New Roman" w:hAnsi="Times New Roman" w:cs="Times New Roman"/>
          <w:sz w:val="24"/>
          <w:szCs w:val="24"/>
        </w:rPr>
        <w:t xml:space="preserve"> yapılmıştır. </w:t>
      </w:r>
      <w:r w:rsidR="002E1438">
        <w:rPr>
          <w:rFonts w:ascii="Times New Roman" w:eastAsia="Times New Roman" w:hAnsi="Times New Roman" w:cs="Times New Roman"/>
          <w:sz w:val="24"/>
          <w:szCs w:val="24"/>
        </w:rPr>
        <w:t>Ö</w:t>
      </w:r>
      <w:r>
        <w:rPr>
          <w:rFonts w:ascii="Times New Roman" w:eastAsia="Times New Roman" w:hAnsi="Times New Roman" w:cs="Times New Roman"/>
          <w:sz w:val="24"/>
          <w:szCs w:val="24"/>
        </w:rPr>
        <w:t>nceki yıllarda toplulaştırılmış şekilde</w:t>
      </w:r>
      <w:r w:rsidR="002E1438">
        <w:rPr>
          <w:rFonts w:ascii="Times New Roman" w:eastAsia="Times New Roman" w:hAnsi="Times New Roman" w:cs="Times New Roman"/>
          <w:sz w:val="24"/>
          <w:szCs w:val="24"/>
        </w:rPr>
        <w:t xml:space="preserve"> raporlanan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petrol</w:t>
      </w:r>
      <w:r w:rsidR="002E1438">
        <w:rPr>
          <w:rFonts w:ascii="Times New Roman" w:eastAsia="Times New Roman" w:hAnsi="Times New Roman" w:cs="Times New Roman"/>
          <w:i/>
          <w:sz w:val="24"/>
          <w:szCs w:val="24"/>
        </w:rPr>
        <w:t xml:space="preserve"> </w:t>
      </w:r>
      <w:r w:rsidR="002E1438">
        <w:rPr>
          <w:rFonts w:ascii="Times New Roman" w:eastAsia="Times New Roman" w:hAnsi="Times New Roman" w:cs="Times New Roman"/>
          <w:sz w:val="24"/>
          <w:szCs w:val="24"/>
        </w:rPr>
        <w:t>2009 yılı ve devamında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ham petrol</w:t>
      </w:r>
      <w:r>
        <w:rPr>
          <w:rFonts w:ascii="Times New Roman" w:eastAsia="Times New Roman" w:hAnsi="Times New Roman" w:cs="Times New Roman"/>
          <w:sz w:val="24"/>
          <w:szCs w:val="24"/>
        </w:rPr>
        <w:t xml:space="preserve"> ve </w:t>
      </w:r>
      <w:r>
        <w:rPr>
          <w:rFonts w:ascii="Times New Roman" w:eastAsia="Times New Roman" w:hAnsi="Times New Roman" w:cs="Times New Roman"/>
          <w:i/>
          <w:sz w:val="24"/>
          <w:szCs w:val="24"/>
        </w:rPr>
        <w:t>petrol ürünleri</w:t>
      </w:r>
      <w:r w:rsidR="002E1438">
        <w:rPr>
          <w:rFonts w:ascii="Times New Roman" w:eastAsia="Times New Roman" w:hAnsi="Times New Roman" w:cs="Times New Roman"/>
          <w:i/>
          <w:sz w:val="24"/>
          <w:szCs w:val="24"/>
        </w:rPr>
        <w:t xml:space="preserve"> </w:t>
      </w:r>
      <w:r w:rsidR="002E1438" w:rsidRPr="002E1438">
        <w:rPr>
          <w:rFonts w:ascii="Times New Roman" w:eastAsia="Times New Roman" w:hAnsi="Times New Roman" w:cs="Times New Roman"/>
          <w:iCs/>
          <w:sz w:val="24"/>
          <w:szCs w:val="24"/>
        </w:rPr>
        <w:t>şeklinde</w:t>
      </w:r>
      <w:r>
        <w:rPr>
          <w:rFonts w:ascii="Times New Roman" w:eastAsia="Times New Roman" w:hAnsi="Times New Roman" w:cs="Times New Roman"/>
          <w:sz w:val="24"/>
          <w:szCs w:val="24"/>
        </w:rPr>
        <w:t xml:space="preserve"> ayrıştırılmıştır. 2015 yılı ve devamında ise </w:t>
      </w:r>
      <w:r>
        <w:rPr>
          <w:rFonts w:ascii="Times New Roman" w:eastAsia="Times New Roman" w:hAnsi="Times New Roman" w:cs="Times New Roman"/>
          <w:i/>
          <w:sz w:val="24"/>
          <w:szCs w:val="24"/>
        </w:rPr>
        <w:t>türetilmiş gazlar</w:t>
      </w:r>
      <w:r>
        <w:rPr>
          <w:rFonts w:ascii="Times New Roman" w:eastAsia="Times New Roman" w:hAnsi="Times New Roman" w:cs="Times New Roman"/>
          <w:i/>
          <w:sz w:val="24"/>
          <w:szCs w:val="24"/>
          <w:vertAlign w:val="superscript"/>
        </w:rPr>
        <w:footnoteReference w:id="10"/>
      </w:r>
      <w:r>
        <w:rPr>
          <w:rFonts w:ascii="Times New Roman" w:eastAsia="Times New Roman" w:hAnsi="Times New Roman" w:cs="Times New Roman"/>
          <w:sz w:val="24"/>
          <w:szCs w:val="24"/>
        </w:rPr>
        <w:t xml:space="preserve"> ve </w:t>
      </w:r>
      <w:r>
        <w:rPr>
          <w:rFonts w:ascii="Times New Roman" w:eastAsia="Times New Roman" w:hAnsi="Times New Roman" w:cs="Times New Roman"/>
          <w:i/>
          <w:sz w:val="24"/>
          <w:szCs w:val="24"/>
        </w:rPr>
        <w:t>petrol ürünlerinin</w:t>
      </w:r>
      <w:r>
        <w:rPr>
          <w:rFonts w:ascii="Times New Roman" w:eastAsia="Times New Roman" w:hAnsi="Times New Roman" w:cs="Times New Roman"/>
          <w:i/>
          <w:sz w:val="24"/>
          <w:szCs w:val="24"/>
          <w:vertAlign w:val="superscript"/>
        </w:rPr>
        <w:footnoteReference w:id="11"/>
      </w:r>
      <w:r>
        <w:rPr>
          <w:rFonts w:ascii="Times New Roman" w:eastAsia="Times New Roman" w:hAnsi="Times New Roman" w:cs="Times New Roman"/>
          <w:sz w:val="24"/>
          <w:szCs w:val="24"/>
        </w:rPr>
        <w:t xml:space="preserve"> alt bileşenleri de raporlanmaya başlanmış aynı zamanda 2009 – 2014 yılları arasında </w:t>
      </w:r>
      <w:r>
        <w:rPr>
          <w:rFonts w:ascii="Times New Roman" w:eastAsia="Times New Roman" w:hAnsi="Times New Roman" w:cs="Times New Roman"/>
          <w:i/>
          <w:sz w:val="24"/>
          <w:szCs w:val="24"/>
        </w:rPr>
        <w:t>petrol ürünleri</w:t>
      </w:r>
      <w:r>
        <w:rPr>
          <w:rFonts w:ascii="Times New Roman" w:eastAsia="Times New Roman" w:hAnsi="Times New Roman" w:cs="Times New Roman"/>
          <w:sz w:val="24"/>
          <w:szCs w:val="24"/>
        </w:rPr>
        <w:t xml:space="preserve"> haricinde raporlanan </w:t>
      </w:r>
      <w:r>
        <w:rPr>
          <w:rFonts w:ascii="Times New Roman" w:eastAsia="Times New Roman" w:hAnsi="Times New Roman" w:cs="Times New Roman"/>
          <w:i/>
          <w:sz w:val="24"/>
          <w:szCs w:val="24"/>
        </w:rPr>
        <w:t>petrokok</w:t>
      </w:r>
      <w:r>
        <w:rPr>
          <w:rFonts w:ascii="Times New Roman" w:eastAsia="Times New Roman" w:hAnsi="Times New Roman" w:cs="Times New Roman"/>
          <w:sz w:val="24"/>
          <w:szCs w:val="24"/>
        </w:rPr>
        <w:t xml:space="preserve"> 2015 yılı ve devamında </w:t>
      </w:r>
      <w:r>
        <w:rPr>
          <w:rFonts w:ascii="Times New Roman" w:eastAsia="Times New Roman" w:hAnsi="Times New Roman" w:cs="Times New Roman"/>
          <w:i/>
          <w:sz w:val="24"/>
          <w:szCs w:val="24"/>
        </w:rPr>
        <w:t>petrol ürünlerinin</w:t>
      </w:r>
      <w:r>
        <w:rPr>
          <w:rFonts w:ascii="Times New Roman" w:eastAsia="Times New Roman" w:hAnsi="Times New Roman" w:cs="Times New Roman"/>
          <w:sz w:val="24"/>
          <w:szCs w:val="24"/>
        </w:rPr>
        <w:t xml:space="preserve"> bir alt bileşeni olarak raporlanmaya başlanmıştır.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’lerin sütunlarında raporlanan enerji türlerinden başka iktisadi birimlerin raporlandığı satır verilerindeki değişiklikler </w:t>
      </w:r>
      <w:r w:rsidR="002E1438">
        <w:rPr>
          <w:rFonts w:ascii="Times New Roman" w:eastAsia="Times New Roman" w:hAnsi="Times New Roman" w:cs="Times New Roman"/>
          <w:sz w:val="24"/>
          <w:szCs w:val="24"/>
        </w:rPr>
        <w:t>olmuştur.</w:t>
      </w:r>
      <w:r>
        <w:rPr>
          <w:rFonts w:ascii="Times New Roman" w:eastAsia="Times New Roman" w:hAnsi="Times New Roman" w:cs="Times New Roman"/>
          <w:sz w:val="24"/>
          <w:szCs w:val="24"/>
        </w:rPr>
        <w:t xml:space="preserve"> </w:t>
      </w:r>
      <w:r w:rsidR="002E1438">
        <w:rPr>
          <w:rFonts w:ascii="Times New Roman" w:eastAsia="Times New Roman" w:hAnsi="Times New Roman" w:cs="Times New Roman"/>
          <w:sz w:val="24"/>
          <w:szCs w:val="24"/>
        </w:rPr>
        <w:t>Ö</w:t>
      </w:r>
      <w:r>
        <w:rPr>
          <w:rFonts w:ascii="Times New Roman" w:eastAsia="Times New Roman" w:hAnsi="Times New Roman" w:cs="Times New Roman"/>
          <w:sz w:val="24"/>
          <w:szCs w:val="24"/>
        </w:rPr>
        <w:t xml:space="preserve">ncesinde </w:t>
      </w:r>
      <w:r>
        <w:rPr>
          <w:rFonts w:ascii="Times New Roman" w:eastAsia="Times New Roman" w:hAnsi="Times New Roman" w:cs="Times New Roman"/>
          <w:i/>
          <w:sz w:val="24"/>
          <w:szCs w:val="24"/>
        </w:rPr>
        <w:t>konut ve hizmetler</w:t>
      </w:r>
      <w:r>
        <w:rPr>
          <w:rFonts w:ascii="Times New Roman" w:eastAsia="Times New Roman" w:hAnsi="Times New Roman" w:cs="Times New Roman"/>
          <w:sz w:val="24"/>
          <w:szCs w:val="24"/>
        </w:rPr>
        <w:t xml:space="preserve"> ile </w:t>
      </w:r>
      <w:r w:rsidR="00343631">
        <w:rPr>
          <w:rFonts w:ascii="Times New Roman" w:eastAsia="Times New Roman" w:hAnsi="Times New Roman" w:cs="Times New Roman"/>
          <w:i/>
          <w:sz w:val="24"/>
          <w:szCs w:val="24"/>
        </w:rPr>
        <w:t>tarım</w:t>
      </w:r>
      <w:r w:rsidR="00343631">
        <w:rPr>
          <w:rFonts w:ascii="Times New Roman" w:eastAsia="Times New Roman" w:hAnsi="Times New Roman" w:cs="Times New Roman"/>
          <w:sz w:val="24"/>
          <w:szCs w:val="24"/>
        </w:rPr>
        <w:t xml:space="preserve"> şeklinde</w:t>
      </w:r>
      <w:r>
        <w:rPr>
          <w:rFonts w:ascii="Times New Roman" w:eastAsia="Times New Roman" w:hAnsi="Times New Roman" w:cs="Times New Roman"/>
          <w:sz w:val="24"/>
          <w:szCs w:val="24"/>
        </w:rPr>
        <w:t xml:space="preserve"> </w:t>
      </w:r>
      <w:r w:rsidR="00715137">
        <w:rPr>
          <w:rFonts w:ascii="Times New Roman" w:eastAsia="Times New Roman" w:hAnsi="Times New Roman" w:cs="Times New Roman"/>
          <w:sz w:val="24"/>
          <w:szCs w:val="24"/>
        </w:rPr>
        <w:t>iki</w:t>
      </w:r>
      <w:r>
        <w:rPr>
          <w:rFonts w:ascii="Times New Roman" w:eastAsia="Times New Roman" w:hAnsi="Times New Roman" w:cs="Times New Roman"/>
          <w:sz w:val="24"/>
          <w:szCs w:val="24"/>
        </w:rPr>
        <w:t xml:space="preserve"> alt bileşen olarak raporlanan </w:t>
      </w:r>
      <w:r>
        <w:rPr>
          <w:rFonts w:ascii="Times New Roman" w:eastAsia="Times New Roman" w:hAnsi="Times New Roman" w:cs="Times New Roman"/>
          <w:i/>
          <w:sz w:val="24"/>
          <w:szCs w:val="24"/>
        </w:rPr>
        <w:t xml:space="preserve">diğer sektörler, </w:t>
      </w:r>
      <w:r>
        <w:rPr>
          <w:rFonts w:ascii="Times New Roman" w:eastAsia="Times New Roman" w:hAnsi="Times New Roman" w:cs="Times New Roman"/>
          <w:sz w:val="24"/>
          <w:szCs w:val="24"/>
        </w:rPr>
        <w:t xml:space="preserve">2015 yılından sonra </w:t>
      </w:r>
      <w:r>
        <w:rPr>
          <w:rFonts w:ascii="Times New Roman" w:eastAsia="Times New Roman" w:hAnsi="Times New Roman" w:cs="Times New Roman"/>
          <w:i/>
          <w:sz w:val="24"/>
          <w:szCs w:val="24"/>
        </w:rPr>
        <w:t>konut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ticaret ve hizmet</w:t>
      </w:r>
      <w:r>
        <w:rPr>
          <w:rFonts w:ascii="Times New Roman" w:eastAsia="Times New Roman" w:hAnsi="Times New Roman" w:cs="Times New Roman"/>
          <w:sz w:val="24"/>
          <w:szCs w:val="24"/>
        </w:rPr>
        <w:t xml:space="preserve"> ile </w:t>
      </w:r>
      <w:r>
        <w:rPr>
          <w:rFonts w:ascii="Times New Roman" w:eastAsia="Times New Roman" w:hAnsi="Times New Roman" w:cs="Times New Roman"/>
          <w:i/>
          <w:sz w:val="24"/>
          <w:szCs w:val="24"/>
        </w:rPr>
        <w:t>tarım ve hayvancılık</w:t>
      </w:r>
      <w:r>
        <w:rPr>
          <w:rFonts w:ascii="Times New Roman" w:eastAsia="Times New Roman" w:hAnsi="Times New Roman" w:cs="Times New Roman"/>
          <w:sz w:val="24"/>
          <w:szCs w:val="24"/>
        </w:rPr>
        <w:t xml:space="preserve"> olmak üzere </w:t>
      </w:r>
      <w:r w:rsidR="00715137">
        <w:rPr>
          <w:rFonts w:ascii="Times New Roman" w:eastAsia="Times New Roman" w:hAnsi="Times New Roman" w:cs="Times New Roman"/>
          <w:sz w:val="24"/>
          <w:szCs w:val="24"/>
        </w:rPr>
        <w:t>üç</w:t>
      </w:r>
      <w:r>
        <w:rPr>
          <w:rFonts w:ascii="Times New Roman" w:eastAsia="Times New Roman" w:hAnsi="Times New Roman" w:cs="Times New Roman"/>
          <w:sz w:val="24"/>
          <w:szCs w:val="24"/>
        </w:rPr>
        <w:t xml:space="preserve"> alt </w:t>
      </w:r>
      <w:r w:rsidR="00343631">
        <w:rPr>
          <w:rFonts w:ascii="Times New Roman" w:eastAsia="Times New Roman" w:hAnsi="Times New Roman" w:cs="Times New Roman"/>
          <w:sz w:val="24"/>
          <w:szCs w:val="24"/>
        </w:rPr>
        <w:t>bileşen şeklinde</w:t>
      </w:r>
      <w:r>
        <w:rPr>
          <w:rFonts w:ascii="Times New Roman" w:eastAsia="Times New Roman" w:hAnsi="Times New Roman" w:cs="Times New Roman"/>
          <w:sz w:val="24"/>
          <w:szCs w:val="24"/>
        </w:rPr>
        <w:t xml:space="preserve"> raporlanmaya başlan</w:t>
      </w:r>
      <w:r w:rsidR="002E1438">
        <w:rPr>
          <w:rFonts w:ascii="Times New Roman" w:eastAsia="Times New Roman" w:hAnsi="Times New Roman" w:cs="Times New Roman"/>
          <w:sz w:val="24"/>
          <w:szCs w:val="24"/>
        </w:rPr>
        <w:t>mış</w:t>
      </w:r>
      <w:r>
        <w:rPr>
          <w:rFonts w:ascii="Times New Roman" w:eastAsia="Times New Roman" w:hAnsi="Times New Roman" w:cs="Times New Roman"/>
          <w:sz w:val="24"/>
          <w:szCs w:val="24"/>
        </w:rPr>
        <w:t xml:space="preserve"> ve sanayi sektörünün alt bileşenleri dönemler itibariyle genişletil</w:t>
      </w:r>
      <w:r w:rsidR="002E1438">
        <w:rPr>
          <w:rFonts w:ascii="Times New Roman" w:eastAsia="Times New Roman" w:hAnsi="Times New Roman" w:cs="Times New Roman"/>
          <w:sz w:val="24"/>
          <w:szCs w:val="24"/>
        </w:rPr>
        <w:t>miştir.</w:t>
      </w:r>
    </w:p>
    <w:p w14:paraId="58F2C150" w14:textId="5E1C2A4B" w:rsidR="00C21BD1" w:rsidRDefault="00715137" w:rsidP="00FB4800">
      <w:pPr>
        <w:pStyle w:val="Balk4"/>
        <w:numPr>
          <w:ilvl w:val="0"/>
          <w:numId w:val="18"/>
        </w:numPr>
        <w:spacing w:line="240" w:lineRule="auto"/>
      </w:pPr>
      <w:bookmarkStart w:id="3" w:name="_Toc124959698"/>
      <w:r>
        <w:t>UEDT</w:t>
      </w:r>
      <w:r w:rsidR="008A2C1B">
        <w:t>’ler Kapsamında Türkiye’de Enerji Arzının Analizi</w:t>
      </w:r>
      <w:bookmarkEnd w:id="3"/>
    </w:p>
    <w:p w14:paraId="73EEF5B2" w14:textId="604EE736" w:rsidR="00C21BD1" w:rsidRDefault="00715137"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UEDT</w:t>
      </w:r>
      <w:r w:rsidR="008A2C1B">
        <w:rPr>
          <w:rFonts w:ascii="Times New Roman" w:eastAsia="Times New Roman" w:hAnsi="Times New Roman" w:cs="Times New Roman"/>
          <w:sz w:val="24"/>
          <w:szCs w:val="24"/>
        </w:rPr>
        <w:t xml:space="preserve">’lerin yapısına göre ulusal ekonomilerde enerji arzı </w:t>
      </w:r>
      <w:r>
        <w:rPr>
          <w:rFonts w:ascii="Times New Roman" w:eastAsia="Times New Roman" w:hAnsi="Times New Roman" w:cs="Times New Roman"/>
          <w:sz w:val="24"/>
          <w:szCs w:val="24"/>
        </w:rPr>
        <w:t>üç</w:t>
      </w:r>
      <w:r w:rsidR="008A2C1B">
        <w:rPr>
          <w:rFonts w:ascii="Times New Roman" w:eastAsia="Times New Roman" w:hAnsi="Times New Roman" w:cs="Times New Roman"/>
          <w:sz w:val="24"/>
          <w:szCs w:val="24"/>
        </w:rPr>
        <w:t xml:space="preserve"> şekilde sağlanmaktadır. Bunlardan ilki yerli üretimdir. Yerli üretim </w:t>
      </w:r>
      <w:r w:rsidR="008A2C1B">
        <w:rPr>
          <w:rFonts w:ascii="Times New Roman" w:eastAsia="Times New Roman" w:hAnsi="Times New Roman" w:cs="Times New Roman"/>
          <w:i/>
          <w:sz w:val="24"/>
          <w:szCs w:val="24"/>
        </w:rPr>
        <w:t>birincil enerji kaynaklarının</w:t>
      </w:r>
      <w:r w:rsidR="008A2C1B">
        <w:rPr>
          <w:rFonts w:ascii="Times New Roman" w:eastAsia="Times New Roman" w:hAnsi="Times New Roman" w:cs="Times New Roman"/>
          <w:sz w:val="24"/>
          <w:szCs w:val="24"/>
        </w:rPr>
        <w:t xml:space="preserve"> yurtiçinde üretimini ifade etmektedir. Enerji arzının ikinci şekli enerjinin ithal edilmesidir. İthalat yolu ile hem </w:t>
      </w:r>
      <w:r w:rsidR="008A2C1B">
        <w:rPr>
          <w:rFonts w:ascii="Times New Roman" w:eastAsia="Times New Roman" w:hAnsi="Times New Roman" w:cs="Times New Roman"/>
          <w:i/>
          <w:sz w:val="24"/>
          <w:szCs w:val="24"/>
        </w:rPr>
        <w:t>birincil enerji kaynakları</w:t>
      </w:r>
      <w:r w:rsidR="008A2C1B">
        <w:rPr>
          <w:rFonts w:ascii="Times New Roman" w:eastAsia="Times New Roman" w:hAnsi="Times New Roman" w:cs="Times New Roman"/>
          <w:sz w:val="24"/>
          <w:szCs w:val="24"/>
        </w:rPr>
        <w:t xml:space="preserve"> hem de </w:t>
      </w:r>
      <w:r w:rsidR="008A2C1B">
        <w:rPr>
          <w:rFonts w:ascii="Times New Roman" w:eastAsia="Times New Roman" w:hAnsi="Times New Roman" w:cs="Times New Roman"/>
          <w:i/>
          <w:sz w:val="24"/>
          <w:szCs w:val="24"/>
        </w:rPr>
        <w:t>ikincil enerji kaynakları</w:t>
      </w:r>
      <w:r w:rsidR="008A2C1B">
        <w:rPr>
          <w:rFonts w:ascii="Times New Roman" w:eastAsia="Times New Roman" w:hAnsi="Times New Roman" w:cs="Times New Roman"/>
          <w:sz w:val="24"/>
          <w:szCs w:val="24"/>
        </w:rPr>
        <w:t xml:space="preserve"> yurtiçine arz edilmektedir. Enerji arzının üçüncü ve son şekli ise </w:t>
      </w:r>
      <w:r w:rsidR="008A2C1B">
        <w:rPr>
          <w:rFonts w:ascii="Times New Roman" w:eastAsia="Times New Roman" w:hAnsi="Times New Roman" w:cs="Times New Roman"/>
          <w:i/>
          <w:sz w:val="24"/>
          <w:szCs w:val="24"/>
        </w:rPr>
        <w:t>çevrim ve enerji sektörünün</w:t>
      </w:r>
      <w:r w:rsidR="008A2C1B">
        <w:rPr>
          <w:rFonts w:ascii="Times New Roman" w:eastAsia="Times New Roman" w:hAnsi="Times New Roman" w:cs="Times New Roman"/>
          <w:sz w:val="24"/>
          <w:szCs w:val="24"/>
        </w:rPr>
        <w:t xml:space="preserve"> (ÇES) </w:t>
      </w:r>
      <w:r w:rsidR="008A2C1B">
        <w:rPr>
          <w:rFonts w:ascii="Times New Roman" w:eastAsia="Times New Roman" w:hAnsi="Times New Roman" w:cs="Times New Roman"/>
          <w:sz w:val="24"/>
          <w:szCs w:val="24"/>
        </w:rPr>
        <w:lastRenderedPageBreak/>
        <w:t xml:space="preserve">çıktılarıdır. ÇES, birincil enerji kaynaklarını girdi olarak kullanmakta ve ikincil enerji kaynaklarını çıktı olarak yurtiçine arz etmektedir. </w:t>
      </w:r>
    </w:p>
    <w:tbl>
      <w:tblPr>
        <w:tblStyle w:val="79"/>
        <w:tblW w:w="877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650"/>
        <w:gridCol w:w="1127"/>
      </w:tblGrid>
      <w:tr w:rsidR="00C21BD1" w14:paraId="72F6BBB8" w14:textId="77777777">
        <w:tc>
          <w:tcPr>
            <w:tcW w:w="7650" w:type="dxa"/>
          </w:tcPr>
          <w:p w14:paraId="3154B37D" w14:textId="1EDE1B03" w:rsidR="00C21BD1" w:rsidRDefault="008A2C1B" w:rsidP="00FB4800">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Toplam Enerji Arzı</w:t>
            </w:r>
            <w:r>
              <w:rPr>
                <w:rFonts w:ascii="Times New Roman" w:eastAsia="Times New Roman" w:hAnsi="Times New Roman" w:cs="Times New Roman"/>
                <w:i/>
                <w:sz w:val="24"/>
                <w:szCs w:val="24"/>
              </w:rPr>
              <w:t xml:space="preserve"> = Yerli Üretim + </w:t>
            </w:r>
            <w:r w:rsidR="00343631">
              <w:rPr>
                <w:rFonts w:ascii="Times New Roman" w:eastAsia="Times New Roman" w:hAnsi="Times New Roman" w:cs="Times New Roman"/>
                <w:i/>
                <w:sz w:val="24"/>
                <w:szCs w:val="24"/>
              </w:rPr>
              <w:t>İthalat +</w:t>
            </w:r>
            <w:r>
              <w:rPr>
                <w:rFonts w:ascii="Times New Roman" w:eastAsia="Times New Roman" w:hAnsi="Times New Roman" w:cs="Times New Roman"/>
                <w:i/>
                <w:sz w:val="24"/>
                <w:szCs w:val="24"/>
              </w:rPr>
              <w:t xml:space="preserve"> Çevrim ve Enerji Sektörü</w:t>
            </w:r>
          </w:p>
        </w:tc>
        <w:tc>
          <w:tcPr>
            <w:tcW w:w="1127" w:type="dxa"/>
          </w:tcPr>
          <w:p w14:paraId="197685C6" w14:textId="482EA172" w:rsidR="00C21BD1" w:rsidRDefault="008A2C1B" w:rsidP="00FB48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5137">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p>
        </w:tc>
      </w:tr>
    </w:tbl>
    <w:p w14:paraId="7E8C63EC" w14:textId="67828008" w:rsidR="00C21BD1" w:rsidRDefault="008A2C1B" w:rsidP="00FB4800">
      <w:pPr>
        <w:spacing w:before="24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Şekil </w:t>
      </w:r>
      <w:r w:rsidR="00715137">
        <w:rPr>
          <w:rFonts w:ascii="Times New Roman" w:eastAsia="Times New Roman" w:hAnsi="Times New Roman" w:cs="Times New Roman"/>
          <w:sz w:val="24"/>
          <w:szCs w:val="24"/>
        </w:rPr>
        <w:t>1</w:t>
      </w:r>
      <w:r>
        <w:rPr>
          <w:rFonts w:ascii="Times New Roman" w:eastAsia="Times New Roman" w:hAnsi="Times New Roman" w:cs="Times New Roman"/>
          <w:sz w:val="24"/>
          <w:szCs w:val="24"/>
        </w:rPr>
        <w:t>’de 1972 – 202</w:t>
      </w:r>
      <w:r w:rsidR="00715137">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yılları arasında </w:t>
      </w:r>
      <w:r>
        <w:rPr>
          <w:rFonts w:ascii="Times New Roman" w:eastAsia="Times New Roman" w:hAnsi="Times New Roman" w:cs="Times New Roman"/>
          <w:b/>
          <w:i/>
          <w:sz w:val="24"/>
          <w:szCs w:val="24"/>
        </w:rPr>
        <w:t>ton eşdeğer petrol (TEP)</w:t>
      </w:r>
      <w:r>
        <w:rPr>
          <w:rFonts w:ascii="Times New Roman" w:eastAsia="Times New Roman" w:hAnsi="Times New Roman" w:cs="Times New Roman"/>
          <w:sz w:val="24"/>
          <w:szCs w:val="24"/>
        </w:rPr>
        <w:t xml:space="preserve"> cinsinden </w:t>
      </w:r>
      <w:r>
        <w:rPr>
          <w:rFonts w:ascii="Times New Roman" w:eastAsia="Times New Roman" w:hAnsi="Times New Roman" w:cs="Times New Roman"/>
          <w:i/>
          <w:sz w:val="24"/>
          <w:szCs w:val="24"/>
        </w:rPr>
        <w:t>birincil</w:t>
      </w:r>
      <w:r>
        <w:rPr>
          <w:rFonts w:ascii="Times New Roman" w:eastAsia="Times New Roman" w:hAnsi="Times New Roman" w:cs="Times New Roman"/>
          <w:sz w:val="24"/>
          <w:szCs w:val="24"/>
        </w:rPr>
        <w:t xml:space="preserve"> ve </w:t>
      </w:r>
      <w:r>
        <w:rPr>
          <w:rFonts w:ascii="Times New Roman" w:eastAsia="Times New Roman" w:hAnsi="Times New Roman" w:cs="Times New Roman"/>
          <w:i/>
          <w:sz w:val="24"/>
          <w:szCs w:val="24"/>
        </w:rPr>
        <w:t>ikincil</w:t>
      </w:r>
      <w:r>
        <w:rPr>
          <w:rFonts w:ascii="Times New Roman" w:eastAsia="Times New Roman" w:hAnsi="Times New Roman" w:cs="Times New Roman"/>
          <w:sz w:val="24"/>
          <w:szCs w:val="24"/>
        </w:rPr>
        <w:t xml:space="preserve"> enerji arzına ait </w:t>
      </w:r>
      <w:r>
        <w:rPr>
          <w:rFonts w:ascii="Times New Roman" w:eastAsia="Times New Roman" w:hAnsi="Times New Roman" w:cs="Times New Roman"/>
          <w:i/>
          <w:sz w:val="24"/>
          <w:szCs w:val="24"/>
        </w:rPr>
        <w:t>yerli üretim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ithalat</w:t>
      </w:r>
      <w:r>
        <w:rPr>
          <w:rFonts w:ascii="Times New Roman" w:eastAsia="Times New Roman" w:hAnsi="Times New Roman" w:cs="Times New Roman"/>
          <w:sz w:val="24"/>
          <w:szCs w:val="24"/>
        </w:rPr>
        <w:t xml:space="preserve"> ve </w:t>
      </w:r>
      <w:r>
        <w:rPr>
          <w:rFonts w:ascii="Times New Roman" w:eastAsia="Times New Roman" w:hAnsi="Times New Roman" w:cs="Times New Roman"/>
          <w:i/>
          <w:sz w:val="24"/>
          <w:szCs w:val="24"/>
        </w:rPr>
        <w:t xml:space="preserve">çevrim ve enerji sektörü </w:t>
      </w:r>
      <w:r>
        <w:rPr>
          <w:rFonts w:ascii="Times New Roman" w:eastAsia="Times New Roman" w:hAnsi="Times New Roman" w:cs="Times New Roman"/>
          <w:sz w:val="24"/>
          <w:szCs w:val="24"/>
        </w:rPr>
        <w:t>(ÇES)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çıktısının toplam enerji arzı içerisindeki payları gösterilmektedir.  </w:t>
      </w:r>
    </w:p>
    <w:p w14:paraId="21ACEB79" w14:textId="77777777" w:rsidR="00715137" w:rsidRDefault="00715137" w:rsidP="00FB4800">
      <w:pPr>
        <w:spacing w:before="240" w:line="240" w:lineRule="auto"/>
        <w:ind w:firstLine="567"/>
        <w:jc w:val="both"/>
        <w:rPr>
          <w:rFonts w:ascii="Times New Roman" w:eastAsia="Times New Roman" w:hAnsi="Times New Roman" w:cs="Times New Roman"/>
          <w:sz w:val="24"/>
          <w:szCs w:val="24"/>
        </w:rPr>
      </w:pPr>
    </w:p>
    <w:p w14:paraId="7B6E32BF" w14:textId="77777777" w:rsidR="00715137" w:rsidRDefault="00715137" w:rsidP="00FB4800">
      <w:pPr>
        <w:spacing w:before="240" w:line="240" w:lineRule="auto"/>
        <w:ind w:firstLine="567"/>
        <w:jc w:val="both"/>
        <w:rPr>
          <w:rFonts w:ascii="Times New Roman" w:eastAsia="Times New Roman" w:hAnsi="Times New Roman" w:cs="Times New Roman"/>
          <w:sz w:val="24"/>
          <w:szCs w:val="24"/>
        </w:rPr>
      </w:pPr>
    </w:p>
    <w:p w14:paraId="6AE24C18" w14:textId="2820D986" w:rsidR="00C21BD1" w:rsidRDefault="005F54D1" w:rsidP="00FB4800">
      <w:pPr>
        <w:pStyle w:val="ResimYazs"/>
        <w:spacing w:line="240" w:lineRule="auto"/>
        <w:rPr>
          <w:rFonts w:eastAsia="Times New Roman" w:cs="Times New Roman"/>
          <w:color w:val="000000"/>
          <w:szCs w:val="24"/>
        </w:rPr>
      </w:pPr>
      <w:bookmarkStart w:id="4" w:name="_heading=h.32hioqz" w:colFirst="0" w:colLast="0"/>
      <w:bookmarkStart w:id="5" w:name="_Toc124962540"/>
      <w:bookmarkEnd w:id="4"/>
      <w:r>
        <w:t xml:space="preserve">Şekil </w:t>
      </w:r>
      <w:fldSimple w:instr=" SEQ Şekil \* ARABIC ">
        <w:r w:rsidR="00715137">
          <w:rPr>
            <w:noProof/>
          </w:rPr>
          <w:t>1</w:t>
        </w:r>
      </w:fldSimple>
      <w:r>
        <w:rPr>
          <w:rFonts w:eastAsia="Times New Roman" w:cs="Times New Roman"/>
          <w:color w:val="000000"/>
          <w:szCs w:val="24"/>
        </w:rPr>
        <w:t>: Enerji Arz Türlerinin Toplam Enerji Arzı İçerisindeki Payı (1972 - 202</w:t>
      </w:r>
      <w:r w:rsidR="00715137">
        <w:rPr>
          <w:rFonts w:eastAsia="Times New Roman" w:cs="Times New Roman"/>
          <w:color w:val="000000"/>
          <w:szCs w:val="24"/>
        </w:rPr>
        <w:t>2</w:t>
      </w:r>
      <w:r>
        <w:rPr>
          <w:rFonts w:eastAsia="Times New Roman" w:cs="Times New Roman"/>
          <w:color w:val="000000"/>
          <w:szCs w:val="24"/>
        </w:rPr>
        <w:t>)</w:t>
      </w:r>
      <w:bookmarkEnd w:id="5"/>
      <w:r>
        <w:rPr>
          <w:rFonts w:eastAsia="Times New Roman" w:cs="Times New Roman"/>
          <w:color w:val="000000"/>
          <w:szCs w:val="24"/>
        </w:rPr>
        <w:t xml:space="preserve"> </w:t>
      </w:r>
    </w:p>
    <w:p w14:paraId="4A123205" w14:textId="178AAFA3" w:rsidR="00343631" w:rsidRDefault="00641382" w:rsidP="00FB4800">
      <w:pPr>
        <w:spacing w:after="0" w:line="240" w:lineRule="auto"/>
      </w:pPr>
      <w:r w:rsidRPr="00641382">
        <w:rPr>
          <w:noProof/>
        </w:rPr>
        <w:drawing>
          <wp:inline distT="0" distB="0" distL="0" distR="0" wp14:anchorId="3E80B87D" wp14:editId="6EABBC7F">
            <wp:extent cx="3937635" cy="1652270"/>
            <wp:effectExtent l="19050" t="19050" r="5715" b="5080"/>
            <wp:docPr id="836242313" name="Resim 1" descr="metin,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42313" name="Resim 1" descr="metin, çizgi, öykü gelişim çizgisi; kumpas; grafiğini çıkarma içeren bir resim&#10;&#10;Açıklama otomatik olarak oluşturuldu"/>
                    <pic:cNvPicPr/>
                  </pic:nvPicPr>
                  <pic:blipFill>
                    <a:blip r:embed="rId9"/>
                    <a:stretch>
                      <a:fillRect/>
                    </a:stretch>
                  </pic:blipFill>
                  <pic:spPr>
                    <a:xfrm>
                      <a:off x="0" y="0"/>
                      <a:ext cx="3937635" cy="1652270"/>
                    </a:xfrm>
                    <a:prstGeom prst="rect">
                      <a:avLst/>
                    </a:prstGeom>
                    <a:ln w="6350">
                      <a:solidFill>
                        <a:schemeClr val="tx1"/>
                      </a:solidFill>
                    </a:ln>
                  </pic:spPr>
                </pic:pic>
              </a:graphicData>
            </a:graphic>
          </wp:inline>
        </w:drawing>
      </w:r>
    </w:p>
    <w:p w14:paraId="14DC7E29" w14:textId="4208E7A5" w:rsidR="00C21BD1" w:rsidRDefault="008A2C1B" w:rsidP="00FB48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Kaynak: 1972 – 202</w:t>
      </w:r>
      <w:r w:rsidR="00B1278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Enerji Denge Tablolarından (Ton Eşdeğer Petrol) Derlenmiştir.</w:t>
      </w:r>
    </w:p>
    <w:p w14:paraId="69E0B61F" w14:textId="399A21FB"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Şekil 1’e göre </w:t>
      </w:r>
      <w:r>
        <w:rPr>
          <w:rFonts w:ascii="Times New Roman" w:eastAsia="Times New Roman" w:hAnsi="Times New Roman" w:cs="Times New Roman"/>
          <w:i/>
          <w:sz w:val="24"/>
          <w:szCs w:val="24"/>
        </w:rPr>
        <w:t>yerli üretim</w:t>
      </w:r>
      <w:r>
        <w:rPr>
          <w:rFonts w:ascii="Times New Roman" w:eastAsia="Times New Roman" w:hAnsi="Times New Roman" w:cs="Times New Roman"/>
          <w:sz w:val="24"/>
          <w:szCs w:val="24"/>
        </w:rPr>
        <w:t xml:space="preserve"> ve </w:t>
      </w:r>
      <w:r>
        <w:rPr>
          <w:rFonts w:ascii="Times New Roman" w:eastAsia="Times New Roman" w:hAnsi="Times New Roman" w:cs="Times New Roman"/>
          <w:i/>
          <w:sz w:val="24"/>
          <w:szCs w:val="24"/>
        </w:rPr>
        <w:t>ithalat</w:t>
      </w:r>
      <w:r>
        <w:rPr>
          <w:rFonts w:ascii="Times New Roman" w:eastAsia="Times New Roman" w:hAnsi="Times New Roman" w:cs="Times New Roman"/>
          <w:sz w:val="24"/>
          <w:szCs w:val="24"/>
        </w:rPr>
        <w:t xml:space="preserve"> toplamı içerisinde </w:t>
      </w:r>
      <w:r>
        <w:rPr>
          <w:rFonts w:ascii="Times New Roman" w:eastAsia="Times New Roman" w:hAnsi="Times New Roman" w:cs="Times New Roman"/>
          <w:i/>
          <w:sz w:val="24"/>
          <w:szCs w:val="24"/>
        </w:rPr>
        <w:t>ithalatın</w:t>
      </w:r>
      <w:r>
        <w:rPr>
          <w:rFonts w:ascii="Times New Roman" w:eastAsia="Times New Roman" w:hAnsi="Times New Roman" w:cs="Times New Roman"/>
          <w:sz w:val="24"/>
          <w:szCs w:val="24"/>
        </w:rPr>
        <w:t xml:space="preserve"> payı giderek artmıştır. Diğer taraftan 1986 yılına kadar </w:t>
      </w:r>
      <w:r>
        <w:rPr>
          <w:rFonts w:ascii="Times New Roman" w:eastAsia="Times New Roman" w:hAnsi="Times New Roman" w:cs="Times New Roman"/>
          <w:i/>
          <w:sz w:val="24"/>
          <w:szCs w:val="24"/>
        </w:rPr>
        <w:t>yerli üretimin</w:t>
      </w:r>
      <w:r>
        <w:rPr>
          <w:rFonts w:ascii="Times New Roman" w:eastAsia="Times New Roman" w:hAnsi="Times New Roman" w:cs="Times New Roman"/>
          <w:sz w:val="24"/>
          <w:szCs w:val="24"/>
        </w:rPr>
        <w:t xml:space="preserve"> toplam enerji arzı içerisindeki payı </w:t>
      </w:r>
      <w:r>
        <w:rPr>
          <w:rFonts w:ascii="Times New Roman" w:eastAsia="Times New Roman" w:hAnsi="Times New Roman" w:cs="Times New Roman"/>
          <w:i/>
          <w:sz w:val="24"/>
          <w:szCs w:val="24"/>
        </w:rPr>
        <w:t>ithalatın</w:t>
      </w:r>
      <w:r>
        <w:rPr>
          <w:rFonts w:ascii="Times New Roman" w:eastAsia="Times New Roman" w:hAnsi="Times New Roman" w:cs="Times New Roman"/>
          <w:sz w:val="24"/>
          <w:szCs w:val="24"/>
        </w:rPr>
        <w:t xml:space="preserve"> payından büyük olduğu görülmektedir. 202</w:t>
      </w:r>
      <w:r w:rsidR="0028123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yılına bakıldığında ise </w:t>
      </w:r>
      <w:r>
        <w:rPr>
          <w:rFonts w:ascii="Times New Roman" w:eastAsia="Times New Roman" w:hAnsi="Times New Roman" w:cs="Times New Roman"/>
          <w:i/>
          <w:sz w:val="24"/>
          <w:szCs w:val="24"/>
        </w:rPr>
        <w:t>yerli üretimin</w:t>
      </w:r>
      <w:r>
        <w:rPr>
          <w:rFonts w:ascii="Times New Roman" w:eastAsia="Times New Roman" w:hAnsi="Times New Roman" w:cs="Times New Roman"/>
          <w:sz w:val="24"/>
          <w:szCs w:val="24"/>
        </w:rPr>
        <w:t xml:space="preserve"> toplam enerji arzı içerisindeki payı %</w:t>
      </w:r>
      <w:r w:rsidR="0028123B">
        <w:rPr>
          <w:rFonts w:ascii="Times New Roman" w:eastAsia="Times New Roman" w:hAnsi="Times New Roman" w:cs="Times New Roman"/>
          <w:sz w:val="24"/>
          <w:szCs w:val="24"/>
        </w:rPr>
        <w:t>20,9</w:t>
      </w:r>
      <w:r>
        <w:rPr>
          <w:rFonts w:ascii="Times New Roman" w:eastAsia="Times New Roman" w:hAnsi="Times New Roman" w:cs="Times New Roman"/>
          <w:sz w:val="24"/>
          <w:szCs w:val="24"/>
        </w:rPr>
        <w:t xml:space="preserve"> iken, ithalatın payı ise %</w:t>
      </w:r>
      <w:r w:rsidR="00B12781">
        <w:rPr>
          <w:rFonts w:ascii="Times New Roman" w:eastAsia="Times New Roman" w:hAnsi="Times New Roman" w:cs="Times New Roman"/>
          <w:sz w:val="24"/>
          <w:szCs w:val="24"/>
        </w:rPr>
        <w:t>5</w:t>
      </w:r>
      <w:r w:rsidR="0028123B">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olarak gerçekleşmiştir. Burada, yerli üretim rakamlarının sadece </w:t>
      </w:r>
      <w:r>
        <w:rPr>
          <w:rFonts w:ascii="Times New Roman" w:eastAsia="Times New Roman" w:hAnsi="Times New Roman" w:cs="Times New Roman"/>
          <w:i/>
          <w:sz w:val="24"/>
          <w:szCs w:val="24"/>
        </w:rPr>
        <w:t>birincil enerji kaynaklarını</w:t>
      </w:r>
      <w:r>
        <w:rPr>
          <w:rFonts w:ascii="Times New Roman" w:eastAsia="Times New Roman" w:hAnsi="Times New Roman" w:cs="Times New Roman"/>
          <w:sz w:val="24"/>
          <w:szCs w:val="24"/>
        </w:rPr>
        <w:t xml:space="preserve"> yansıttığı, </w:t>
      </w:r>
      <w:r>
        <w:rPr>
          <w:rFonts w:ascii="Times New Roman" w:eastAsia="Times New Roman" w:hAnsi="Times New Roman" w:cs="Times New Roman"/>
          <w:i/>
          <w:sz w:val="24"/>
          <w:szCs w:val="24"/>
        </w:rPr>
        <w:t>ithalat</w:t>
      </w:r>
      <w:r>
        <w:rPr>
          <w:rFonts w:ascii="Times New Roman" w:eastAsia="Times New Roman" w:hAnsi="Times New Roman" w:cs="Times New Roman"/>
          <w:sz w:val="24"/>
          <w:szCs w:val="24"/>
        </w:rPr>
        <w:t xml:space="preserve"> içerisinde ise hem birincil hem de ikincil enerji kaynaklarının bulunduğunun ifade edilmesi gerekmektedir. Çünkü ikincil enerji kaynaklarının yurt içi üretimi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’lerin </w:t>
      </w:r>
      <w:r>
        <w:rPr>
          <w:rFonts w:ascii="Times New Roman" w:eastAsia="Times New Roman" w:hAnsi="Times New Roman" w:cs="Times New Roman"/>
          <w:i/>
          <w:sz w:val="24"/>
          <w:szCs w:val="24"/>
        </w:rPr>
        <w:t>ÇES</w:t>
      </w:r>
      <w:r>
        <w:rPr>
          <w:rFonts w:ascii="Times New Roman" w:eastAsia="Times New Roman" w:hAnsi="Times New Roman" w:cs="Times New Roman"/>
          <w:sz w:val="24"/>
          <w:szCs w:val="24"/>
        </w:rPr>
        <w:t xml:space="preserve"> kısmında raporlanmaktadır. </w:t>
      </w:r>
      <w:r w:rsidR="00B12781">
        <w:rPr>
          <w:rFonts w:ascii="Times New Roman" w:eastAsia="Times New Roman" w:hAnsi="Times New Roman" w:cs="Times New Roman"/>
          <w:sz w:val="24"/>
          <w:szCs w:val="24"/>
        </w:rPr>
        <w:t>ÇES’in toplam</w:t>
      </w:r>
      <w:r>
        <w:rPr>
          <w:rFonts w:ascii="Times New Roman" w:eastAsia="Times New Roman" w:hAnsi="Times New Roman" w:cs="Times New Roman"/>
          <w:sz w:val="24"/>
          <w:szCs w:val="24"/>
        </w:rPr>
        <w:t xml:space="preserve"> enerji arzı </w:t>
      </w:r>
      <w:r>
        <w:rPr>
          <w:rFonts w:ascii="Times New Roman" w:eastAsia="Times New Roman" w:hAnsi="Times New Roman" w:cs="Times New Roman"/>
          <w:sz w:val="24"/>
          <w:szCs w:val="24"/>
        </w:rPr>
        <w:lastRenderedPageBreak/>
        <w:t xml:space="preserve">içerisindeki payı ise 2008 yılına kadar %12’ler civarında iken 2008 yılından sonra ise yaklaşık %25’ler civarındadır. 2008 yılından sonraki bu </w:t>
      </w:r>
      <w:r w:rsidR="00B12781">
        <w:rPr>
          <w:rFonts w:ascii="Times New Roman" w:eastAsia="Times New Roman" w:hAnsi="Times New Roman" w:cs="Times New Roman"/>
          <w:sz w:val="24"/>
          <w:szCs w:val="24"/>
        </w:rPr>
        <w:t>kırılmanın</w:t>
      </w:r>
      <w:r>
        <w:rPr>
          <w:rFonts w:ascii="Times New Roman" w:eastAsia="Times New Roman" w:hAnsi="Times New Roman" w:cs="Times New Roman"/>
          <w:sz w:val="24"/>
          <w:szCs w:val="24"/>
        </w:rPr>
        <w:t xml:space="preserve"> sebebi 2008 yılından önce </w:t>
      </w:r>
      <w:r>
        <w:rPr>
          <w:rFonts w:ascii="Times New Roman" w:eastAsia="Times New Roman" w:hAnsi="Times New Roman" w:cs="Times New Roman"/>
          <w:i/>
          <w:sz w:val="24"/>
          <w:szCs w:val="24"/>
        </w:rPr>
        <w:t>ÇES’in</w:t>
      </w:r>
      <w:r>
        <w:rPr>
          <w:rFonts w:ascii="Times New Roman" w:eastAsia="Times New Roman" w:hAnsi="Times New Roman" w:cs="Times New Roman"/>
          <w:sz w:val="24"/>
          <w:szCs w:val="24"/>
        </w:rPr>
        <w:t xml:space="preserve"> en önemli çıktılarından birisi olan </w:t>
      </w:r>
      <w:r>
        <w:rPr>
          <w:rFonts w:ascii="Times New Roman" w:eastAsia="Times New Roman" w:hAnsi="Times New Roman" w:cs="Times New Roman"/>
          <w:i/>
          <w:sz w:val="24"/>
          <w:szCs w:val="24"/>
        </w:rPr>
        <w:t>petrol ürünlerinin</w:t>
      </w:r>
      <w:r>
        <w:rPr>
          <w:rFonts w:ascii="Times New Roman" w:eastAsia="Times New Roman" w:hAnsi="Times New Roman" w:cs="Times New Roman"/>
          <w:sz w:val="24"/>
          <w:szCs w:val="24"/>
        </w:rPr>
        <w:t xml:space="preserve">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’lerde ayrı bir şekilde değil de ham petrol ile birlikte </w:t>
      </w:r>
      <w:r>
        <w:rPr>
          <w:rFonts w:ascii="Times New Roman" w:eastAsia="Times New Roman" w:hAnsi="Times New Roman" w:cs="Times New Roman"/>
          <w:i/>
          <w:sz w:val="24"/>
          <w:szCs w:val="24"/>
        </w:rPr>
        <w:t>petrol</w:t>
      </w:r>
      <w:r>
        <w:rPr>
          <w:rFonts w:ascii="Times New Roman" w:eastAsia="Times New Roman" w:hAnsi="Times New Roman" w:cs="Times New Roman"/>
          <w:sz w:val="24"/>
          <w:szCs w:val="24"/>
        </w:rPr>
        <w:t xml:space="preserve"> başlığı altında raporlanmasından kaynaklanmaktadır.</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Dolayısıyla 2008 yılı sonrası veriler toplam arzın değerlendirilmesi açısından daha sağlıklıdır. Bununla birlikte </w:t>
      </w:r>
      <w:r w:rsidR="00B12781">
        <w:rPr>
          <w:rFonts w:ascii="Times New Roman" w:eastAsia="Times New Roman" w:hAnsi="Times New Roman" w:cs="Times New Roman"/>
          <w:sz w:val="24"/>
          <w:szCs w:val="24"/>
        </w:rPr>
        <w:t xml:space="preserve">dönemsel olarak bakılacak olur ise </w:t>
      </w:r>
      <w:r>
        <w:rPr>
          <w:rFonts w:ascii="Times New Roman" w:eastAsia="Times New Roman" w:hAnsi="Times New Roman" w:cs="Times New Roman"/>
          <w:sz w:val="24"/>
          <w:szCs w:val="24"/>
        </w:rPr>
        <w:t>gerek 2008 öncesi</w:t>
      </w:r>
      <w:r w:rsidR="00B12781">
        <w:rPr>
          <w:rFonts w:ascii="Times New Roman" w:eastAsia="Times New Roman" w:hAnsi="Times New Roman" w:cs="Times New Roman"/>
          <w:sz w:val="24"/>
          <w:szCs w:val="24"/>
        </w:rPr>
        <w:t xml:space="preserve"> dönemde</w:t>
      </w:r>
      <w:r>
        <w:rPr>
          <w:rFonts w:ascii="Times New Roman" w:eastAsia="Times New Roman" w:hAnsi="Times New Roman" w:cs="Times New Roman"/>
          <w:sz w:val="24"/>
          <w:szCs w:val="24"/>
        </w:rPr>
        <w:t xml:space="preserve"> gerekse de 2008 sonrası verilerde ÇES’in çıktısının toplam arz içerisindeki payı yıllar itibariyle yaklaşık olarak sabittir. 2008 yılı sonrası veriler kapsamında değerlendirildiğinde Türkiye’de toplam enerji arzının yaklaşık olarak dörtte biri ÇES tarafından karşılanmaktadır. </w:t>
      </w:r>
    </w:p>
    <w:p w14:paraId="6CB7AB2F" w14:textId="06A1C741"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Toplam enerji arzının hangi yollarla gerçekleştirildiğinin yanı sıra bu enerji arz yolları vasıtasıyla hangi enerji türlerinin üretildiği de önem arz eden bir bilgidir. Enerji arz türlerinden ilki </w:t>
      </w:r>
      <w:r>
        <w:rPr>
          <w:rFonts w:ascii="Times New Roman" w:eastAsia="Times New Roman" w:hAnsi="Times New Roman" w:cs="Times New Roman"/>
          <w:i/>
          <w:sz w:val="24"/>
          <w:szCs w:val="24"/>
        </w:rPr>
        <w:t>yerli üretim</w:t>
      </w:r>
      <w:r>
        <w:rPr>
          <w:rFonts w:ascii="Times New Roman" w:eastAsia="Times New Roman" w:hAnsi="Times New Roman" w:cs="Times New Roman"/>
          <w:sz w:val="24"/>
          <w:szCs w:val="24"/>
        </w:rPr>
        <w:t xml:space="preserve"> yani enerjisinin yurtiçinde üretilmesidir. </w:t>
      </w:r>
      <w:r>
        <w:rPr>
          <w:rFonts w:ascii="Times New Roman" w:eastAsia="Times New Roman" w:hAnsi="Times New Roman" w:cs="Times New Roman"/>
          <w:i/>
          <w:sz w:val="24"/>
          <w:szCs w:val="24"/>
        </w:rPr>
        <w:t>Yerli üretim</w:t>
      </w:r>
      <w:r>
        <w:rPr>
          <w:rFonts w:ascii="Times New Roman" w:eastAsia="Times New Roman" w:hAnsi="Times New Roman" w:cs="Times New Roman"/>
          <w:sz w:val="24"/>
          <w:szCs w:val="24"/>
        </w:rPr>
        <w:t xml:space="preserve"> yolu ile sadece birincil enerji kaynakları üretilmektedir. Şekil 2’de 1972 – 202</w:t>
      </w:r>
      <w:r w:rsidR="0028123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yılları arasında </w:t>
      </w:r>
      <w:r>
        <w:rPr>
          <w:rFonts w:ascii="Times New Roman" w:eastAsia="Times New Roman" w:hAnsi="Times New Roman" w:cs="Times New Roman"/>
          <w:b/>
          <w:i/>
          <w:sz w:val="24"/>
          <w:szCs w:val="24"/>
        </w:rPr>
        <w:t>TEP</w:t>
      </w:r>
      <w:r>
        <w:rPr>
          <w:rFonts w:ascii="Times New Roman" w:eastAsia="Times New Roman" w:hAnsi="Times New Roman" w:cs="Times New Roman"/>
          <w:sz w:val="24"/>
          <w:szCs w:val="24"/>
        </w:rPr>
        <w:t xml:space="preserve"> cinsinden yurtiçinde üretilen enerji türlerinin toplam yerli üretim</w:t>
      </w:r>
      <w:r w:rsidR="0028123B">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içerisindeki payları gösterilmektedir. </w:t>
      </w:r>
    </w:p>
    <w:p w14:paraId="5D2F27CD" w14:textId="62A04A8A" w:rsidR="00C21BD1" w:rsidRDefault="005F54D1" w:rsidP="00FB4800">
      <w:pPr>
        <w:pStyle w:val="ResimYazs"/>
        <w:spacing w:line="240" w:lineRule="auto"/>
        <w:rPr>
          <w:rFonts w:eastAsia="Times New Roman" w:cs="Times New Roman"/>
          <w:color w:val="000000"/>
          <w:szCs w:val="24"/>
        </w:rPr>
      </w:pPr>
      <w:bookmarkStart w:id="6" w:name="_heading=h.1hmsyys" w:colFirst="0" w:colLast="0"/>
      <w:bookmarkStart w:id="7" w:name="_Toc124962541"/>
      <w:bookmarkEnd w:id="6"/>
      <w:r>
        <w:t xml:space="preserve">Şekil </w:t>
      </w:r>
      <w:fldSimple w:instr=" SEQ Şekil \* ARABIC ">
        <w:r w:rsidR="0028123B">
          <w:rPr>
            <w:noProof/>
          </w:rPr>
          <w:t>2</w:t>
        </w:r>
      </w:fldSimple>
      <w:r>
        <w:rPr>
          <w:rFonts w:eastAsia="Times New Roman" w:cs="Times New Roman"/>
          <w:color w:val="000000"/>
          <w:szCs w:val="24"/>
        </w:rPr>
        <w:t>: Toplam Yurt İçi Enerji Üretiminin Enerji Türlerine Göre Dağılımı (1972-202</w:t>
      </w:r>
      <w:r w:rsidR="0028123B">
        <w:rPr>
          <w:rFonts w:eastAsia="Times New Roman" w:cs="Times New Roman"/>
          <w:color w:val="000000"/>
          <w:szCs w:val="24"/>
        </w:rPr>
        <w:t>2</w:t>
      </w:r>
      <w:r>
        <w:rPr>
          <w:rFonts w:eastAsia="Times New Roman" w:cs="Times New Roman"/>
          <w:color w:val="000000"/>
          <w:szCs w:val="24"/>
        </w:rPr>
        <w:t>)</w:t>
      </w:r>
      <w:bookmarkEnd w:id="7"/>
      <w:r>
        <w:rPr>
          <w:rFonts w:eastAsia="Times New Roman" w:cs="Times New Roman"/>
          <w:color w:val="000000"/>
          <w:szCs w:val="24"/>
        </w:rPr>
        <w:t xml:space="preserve"> </w:t>
      </w:r>
    </w:p>
    <w:p w14:paraId="7516DBE1" w14:textId="488D856A" w:rsidR="00C21BD1" w:rsidRDefault="00641382" w:rsidP="00FB4800">
      <w:pPr>
        <w:spacing w:after="0" w:line="240" w:lineRule="auto"/>
        <w:rPr>
          <w:rFonts w:ascii="Times New Roman" w:eastAsia="Times New Roman" w:hAnsi="Times New Roman" w:cs="Times New Roman"/>
        </w:rPr>
      </w:pPr>
      <w:r w:rsidRPr="00641382">
        <w:rPr>
          <w:rFonts w:ascii="Times New Roman" w:eastAsia="Times New Roman" w:hAnsi="Times New Roman" w:cs="Times New Roman"/>
          <w:noProof/>
        </w:rPr>
        <w:drawing>
          <wp:inline distT="0" distB="0" distL="0" distR="0" wp14:anchorId="784403AE" wp14:editId="559D9CF1">
            <wp:extent cx="3947160" cy="1637030"/>
            <wp:effectExtent l="19050" t="19050" r="0" b="1270"/>
            <wp:docPr id="774711544"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11544" name="Resim 1" descr="metin, ekran görüntüsü, çizgi, öykü gelişim çizgisi; kumpas; grafiğini çıkarma içeren bir resim&#10;&#10;Açıklama otomatik olarak oluşturuldu"/>
                    <pic:cNvPicPr/>
                  </pic:nvPicPr>
                  <pic:blipFill>
                    <a:blip r:embed="rId10"/>
                    <a:stretch>
                      <a:fillRect/>
                    </a:stretch>
                  </pic:blipFill>
                  <pic:spPr>
                    <a:xfrm>
                      <a:off x="0" y="0"/>
                      <a:ext cx="3947160" cy="1637030"/>
                    </a:xfrm>
                    <a:prstGeom prst="rect">
                      <a:avLst/>
                    </a:prstGeom>
                    <a:ln w="6350">
                      <a:solidFill>
                        <a:schemeClr val="tx1"/>
                      </a:solidFill>
                    </a:ln>
                  </pic:spPr>
                </pic:pic>
              </a:graphicData>
            </a:graphic>
          </wp:inline>
        </w:drawing>
      </w:r>
    </w:p>
    <w:p w14:paraId="08FE42F9" w14:textId="09EFF693" w:rsidR="00C21BD1" w:rsidRDefault="008A2C1B" w:rsidP="00FB48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Kaynak: 1972 – 202</w:t>
      </w:r>
      <w:r w:rsidR="0028123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Enerji Denge Tablolarından (Ton Eşdeğer Petrol) Derlenmiştir.</w:t>
      </w:r>
    </w:p>
    <w:p w14:paraId="1D5C043B" w14:textId="312E1386" w:rsidR="00C21BD1" w:rsidRDefault="00B12781"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sidR="00947844">
        <w:rPr>
          <w:rFonts w:ascii="Times New Roman" w:eastAsia="Times New Roman" w:hAnsi="Times New Roman" w:cs="Times New Roman"/>
          <w:sz w:val="24"/>
          <w:szCs w:val="24"/>
        </w:rPr>
        <w:t>1</w:t>
      </w:r>
      <w:r w:rsidR="008A2C1B">
        <w:rPr>
          <w:rFonts w:ascii="Times New Roman" w:eastAsia="Times New Roman" w:hAnsi="Times New Roman" w:cs="Times New Roman"/>
          <w:sz w:val="24"/>
          <w:szCs w:val="24"/>
        </w:rPr>
        <w:t xml:space="preserve"> yıllık süreç içerisinde linyit, bioenerji ve atık, ham petrol</w:t>
      </w:r>
      <w:r w:rsidR="008A2C1B">
        <w:rPr>
          <w:rFonts w:ascii="Times New Roman" w:eastAsia="Times New Roman" w:hAnsi="Times New Roman" w:cs="Times New Roman"/>
          <w:sz w:val="24"/>
          <w:szCs w:val="24"/>
          <w:vertAlign w:val="superscript"/>
        </w:rPr>
        <w:footnoteReference w:id="13"/>
      </w:r>
      <w:r w:rsidR="008A2C1B">
        <w:rPr>
          <w:rFonts w:ascii="Times New Roman" w:eastAsia="Times New Roman" w:hAnsi="Times New Roman" w:cs="Times New Roman"/>
          <w:sz w:val="24"/>
          <w:szCs w:val="24"/>
        </w:rPr>
        <w:t>, hidrolik, taş kömürü, jeotermal, güneş, doğalgaz, asfaltit ve rüzgâr olmak üzere 10 farklı enerji türünün yurtiçinde üretimi gerçekleştirilmiştir.  Toplam açısından değerlendirildiğinde 1972 – 202</w:t>
      </w:r>
      <w:r w:rsidR="00947844">
        <w:rPr>
          <w:rFonts w:ascii="Times New Roman" w:eastAsia="Times New Roman" w:hAnsi="Times New Roman" w:cs="Times New Roman"/>
          <w:sz w:val="24"/>
          <w:szCs w:val="24"/>
        </w:rPr>
        <w:t>2</w:t>
      </w:r>
      <w:r w:rsidR="008A2C1B">
        <w:rPr>
          <w:rFonts w:ascii="Times New Roman" w:eastAsia="Times New Roman" w:hAnsi="Times New Roman" w:cs="Times New Roman"/>
          <w:sz w:val="24"/>
          <w:szCs w:val="24"/>
        </w:rPr>
        <w:t xml:space="preserve"> yılları arasında linyit üretimi %37’lik oran ile ilk sıradadır. Linyit üretiminin toplam üretim içerisindeki payı 2008 yılına kadar artmış ve 2008 yılında %51 ile zirve noktasına ulaşmıştır. 2008 yılından sonra ise düşüş eğilimine girmiş olup, 2020 yılı itibariyle toplam üretim içerisindeki payı %32</w:t>
      </w:r>
      <w:r w:rsidR="00E06C0C">
        <w:rPr>
          <w:rFonts w:ascii="Times New Roman" w:eastAsia="Times New Roman" w:hAnsi="Times New Roman" w:cs="Times New Roman"/>
          <w:sz w:val="24"/>
          <w:szCs w:val="24"/>
        </w:rPr>
        <w:t>’dir. Bununla birlikte 2021 yılında toplam enerji üretimi içerisindeki payı bir önceki yıla göre yaklaşık %3 artarak %35,2</w:t>
      </w:r>
      <w:r w:rsidR="00947844">
        <w:rPr>
          <w:rFonts w:ascii="Times New Roman" w:eastAsia="Times New Roman" w:hAnsi="Times New Roman" w:cs="Times New Roman"/>
          <w:sz w:val="24"/>
          <w:szCs w:val="24"/>
        </w:rPr>
        <w:t xml:space="preserve"> ve 2022 yılında ise %35,7’ye çıkmıştır.</w:t>
      </w:r>
      <w:r w:rsidR="008A2C1B">
        <w:rPr>
          <w:rFonts w:ascii="Times New Roman" w:eastAsia="Times New Roman" w:hAnsi="Times New Roman" w:cs="Times New Roman"/>
          <w:sz w:val="24"/>
          <w:szCs w:val="24"/>
        </w:rPr>
        <w:t xml:space="preserve"> Linyit üretiminden hemen sonra %2</w:t>
      </w:r>
      <w:r w:rsidR="00947844">
        <w:rPr>
          <w:rFonts w:ascii="Times New Roman" w:eastAsia="Times New Roman" w:hAnsi="Times New Roman" w:cs="Times New Roman"/>
          <w:sz w:val="24"/>
          <w:szCs w:val="24"/>
        </w:rPr>
        <w:t>2,4</w:t>
      </w:r>
      <w:r w:rsidR="008A2C1B">
        <w:rPr>
          <w:rFonts w:ascii="Times New Roman" w:eastAsia="Times New Roman" w:hAnsi="Times New Roman" w:cs="Times New Roman"/>
          <w:sz w:val="24"/>
          <w:szCs w:val="24"/>
        </w:rPr>
        <w:t>’lük oran ile bioenerji ve atıklar</w:t>
      </w:r>
      <w:r w:rsidR="008A2C1B">
        <w:rPr>
          <w:rFonts w:ascii="Times New Roman" w:eastAsia="Times New Roman" w:hAnsi="Times New Roman" w:cs="Times New Roman"/>
          <w:sz w:val="24"/>
          <w:szCs w:val="24"/>
          <w:vertAlign w:val="superscript"/>
        </w:rPr>
        <w:footnoteReference w:id="14"/>
      </w:r>
      <w:r w:rsidR="008A2C1B">
        <w:rPr>
          <w:rFonts w:ascii="Times New Roman" w:eastAsia="Times New Roman" w:hAnsi="Times New Roman" w:cs="Times New Roman"/>
          <w:sz w:val="24"/>
          <w:szCs w:val="24"/>
        </w:rPr>
        <w:t xml:space="preserve"> gelmektedir. Bioenerji ve atıklar 1972 – 1984 yılları arasında Türkiye’de en çok üretilen enerji türü olmuştur. Bununla birlikte 1972 – 202</w:t>
      </w:r>
      <w:r w:rsidR="00947844">
        <w:rPr>
          <w:rFonts w:ascii="Times New Roman" w:eastAsia="Times New Roman" w:hAnsi="Times New Roman" w:cs="Times New Roman"/>
          <w:sz w:val="24"/>
          <w:szCs w:val="24"/>
        </w:rPr>
        <w:t>2</w:t>
      </w:r>
      <w:r w:rsidR="008A2C1B">
        <w:rPr>
          <w:rFonts w:ascii="Times New Roman" w:eastAsia="Times New Roman" w:hAnsi="Times New Roman" w:cs="Times New Roman"/>
          <w:sz w:val="24"/>
          <w:szCs w:val="24"/>
        </w:rPr>
        <w:t xml:space="preserve"> yılları arasında sürekli düşüş eğiliminde olan bioenerji ve atık üretiminin toplam enerji üretimi içerisindeki payı 2014 yılından sonra %10’un altına düşmüştür. </w:t>
      </w:r>
      <w:r w:rsidR="00E06C0C">
        <w:rPr>
          <w:rFonts w:ascii="Times New Roman" w:eastAsia="Times New Roman" w:hAnsi="Times New Roman" w:cs="Times New Roman"/>
          <w:sz w:val="24"/>
          <w:szCs w:val="24"/>
        </w:rPr>
        <w:t xml:space="preserve">Gözlem dönemi boyunca hidrolik ve ham petrol üretimlerinin toplam enerji üretimi içerisindeki payları birbirine yakın olup ortalama olarak %10 civarındadır. </w:t>
      </w:r>
      <w:r w:rsidR="008A2C1B">
        <w:rPr>
          <w:rFonts w:ascii="Times New Roman" w:eastAsia="Times New Roman" w:hAnsi="Times New Roman" w:cs="Times New Roman"/>
          <w:sz w:val="24"/>
          <w:szCs w:val="24"/>
        </w:rPr>
        <w:t xml:space="preserve"> Ham petrol üretiminin toplam üretim içerisindeki payı 1972 yılında %23 iken 2003 yılından sonra %10’un altına düşmüştür. Hidrolik enerji ise süreç içerisinde her yıl üretilmekle birlikte toplam enerji üretimi içerisindeki payı ancak 1993 yılından sonra %10’un üstüne çıkabilmiş 2015 yılında %19’a kadar yükselmiş</w:t>
      </w:r>
      <w:r w:rsidR="009E17D1">
        <w:rPr>
          <w:rFonts w:ascii="Times New Roman" w:eastAsia="Times New Roman" w:hAnsi="Times New Roman" w:cs="Times New Roman"/>
          <w:sz w:val="24"/>
          <w:szCs w:val="24"/>
        </w:rPr>
        <w:t xml:space="preserve">, </w:t>
      </w:r>
      <w:r w:rsidR="008A2C1B">
        <w:rPr>
          <w:rFonts w:ascii="Times New Roman" w:eastAsia="Times New Roman" w:hAnsi="Times New Roman" w:cs="Times New Roman"/>
          <w:sz w:val="24"/>
          <w:szCs w:val="24"/>
        </w:rPr>
        <w:t>2020 yılında %15</w:t>
      </w:r>
      <w:r w:rsidR="00947844">
        <w:rPr>
          <w:rFonts w:ascii="Times New Roman" w:eastAsia="Times New Roman" w:hAnsi="Times New Roman" w:cs="Times New Roman"/>
          <w:sz w:val="24"/>
          <w:szCs w:val="24"/>
        </w:rPr>
        <w:t>,</w:t>
      </w:r>
      <w:r w:rsidR="009E17D1">
        <w:rPr>
          <w:rFonts w:ascii="Times New Roman" w:eastAsia="Times New Roman" w:hAnsi="Times New Roman" w:cs="Times New Roman"/>
          <w:sz w:val="24"/>
          <w:szCs w:val="24"/>
        </w:rPr>
        <w:t xml:space="preserve"> 2021 yılında %10,3</w:t>
      </w:r>
      <w:r w:rsidR="00947844">
        <w:rPr>
          <w:rFonts w:ascii="Times New Roman" w:eastAsia="Times New Roman" w:hAnsi="Times New Roman" w:cs="Times New Roman"/>
          <w:sz w:val="24"/>
          <w:szCs w:val="24"/>
        </w:rPr>
        <w:t xml:space="preserve"> ve 2022 %11,3</w:t>
      </w:r>
      <w:r w:rsidR="008A2C1B">
        <w:rPr>
          <w:rFonts w:ascii="Times New Roman" w:eastAsia="Times New Roman" w:hAnsi="Times New Roman" w:cs="Times New Roman"/>
          <w:sz w:val="24"/>
          <w:szCs w:val="24"/>
        </w:rPr>
        <w:t xml:space="preserve"> olarak </w:t>
      </w:r>
      <w:r w:rsidR="008A2C1B">
        <w:rPr>
          <w:rFonts w:ascii="Times New Roman" w:eastAsia="Times New Roman" w:hAnsi="Times New Roman" w:cs="Times New Roman"/>
          <w:sz w:val="24"/>
          <w:szCs w:val="24"/>
        </w:rPr>
        <w:lastRenderedPageBreak/>
        <w:t>gerçekleşmiştir. Diğer enerji türlerinin üretiminin toplam içerisindeki payları %10’dan daha düşük</w:t>
      </w:r>
      <w:r w:rsidR="00764F29">
        <w:rPr>
          <w:rFonts w:ascii="Times New Roman" w:eastAsia="Times New Roman" w:hAnsi="Times New Roman" w:cs="Times New Roman"/>
          <w:sz w:val="24"/>
          <w:szCs w:val="24"/>
        </w:rPr>
        <w:t>tür.</w:t>
      </w:r>
      <w:r w:rsidR="008A2C1B">
        <w:rPr>
          <w:rFonts w:ascii="Times New Roman" w:eastAsia="Times New Roman" w:hAnsi="Times New Roman" w:cs="Times New Roman"/>
          <w:sz w:val="24"/>
          <w:szCs w:val="24"/>
          <w:vertAlign w:val="superscript"/>
        </w:rPr>
        <w:footnoteReference w:id="15"/>
      </w:r>
      <w:r w:rsidR="009E17D1">
        <w:rPr>
          <w:rFonts w:ascii="Times New Roman" w:eastAsia="Times New Roman" w:hAnsi="Times New Roman" w:cs="Times New Roman"/>
          <w:sz w:val="24"/>
          <w:szCs w:val="24"/>
        </w:rPr>
        <w:t xml:space="preserve"> </w:t>
      </w:r>
      <w:r w:rsidR="00764F29">
        <w:rPr>
          <w:rFonts w:ascii="Times New Roman" w:eastAsia="Times New Roman" w:hAnsi="Times New Roman" w:cs="Times New Roman"/>
          <w:sz w:val="24"/>
          <w:szCs w:val="24"/>
        </w:rPr>
        <w:t xml:space="preserve">Bununla </w:t>
      </w:r>
      <w:r w:rsidR="009E17D1">
        <w:rPr>
          <w:rFonts w:ascii="Times New Roman" w:eastAsia="Times New Roman" w:hAnsi="Times New Roman" w:cs="Times New Roman"/>
          <w:sz w:val="24"/>
          <w:szCs w:val="24"/>
        </w:rPr>
        <w:t xml:space="preserve">birlikte </w:t>
      </w:r>
      <w:r w:rsidR="00764F29">
        <w:rPr>
          <w:rFonts w:ascii="Times New Roman" w:eastAsia="Times New Roman" w:hAnsi="Times New Roman" w:cs="Times New Roman"/>
          <w:sz w:val="24"/>
          <w:szCs w:val="24"/>
        </w:rPr>
        <w:t xml:space="preserve">yenilenebilir enerji kaynakları içerisinde yer alan hidrolik, jeotermal, güneş ve </w:t>
      </w:r>
      <w:r w:rsidR="00DB7196">
        <w:rPr>
          <w:rFonts w:ascii="Times New Roman" w:eastAsia="Times New Roman" w:hAnsi="Times New Roman" w:cs="Times New Roman"/>
          <w:sz w:val="24"/>
          <w:szCs w:val="24"/>
        </w:rPr>
        <w:t>rüzgâr</w:t>
      </w:r>
      <w:r w:rsidR="00764F29">
        <w:rPr>
          <w:rFonts w:ascii="Times New Roman" w:eastAsia="Times New Roman" w:hAnsi="Times New Roman" w:cs="Times New Roman"/>
          <w:sz w:val="24"/>
          <w:szCs w:val="24"/>
        </w:rPr>
        <w:t xml:space="preserve"> enerjilerinin yurtiçi enerji üretimi içerisindeki payları özellikle 2014 yılından sonra önemli ölçüde artış eğilimine girmiştir. </w:t>
      </w:r>
      <w:r w:rsidR="008A2C1B">
        <w:rPr>
          <w:rFonts w:ascii="Times New Roman" w:eastAsia="Times New Roman" w:hAnsi="Times New Roman" w:cs="Times New Roman"/>
          <w:sz w:val="24"/>
          <w:szCs w:val="24"/>
        </w:rPr>
        <w:t xml:space="preserve"> </w:t>
      </w:r>
    </w:p>
    <w:p w14:paraId="6E1B00A1" w14:textId="4A4C9433"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Günümüzde hem üretim süreçleri hem de hanehalkı kullanımı açısından çok önemli bir enerji türü olan doğalgaz ilk olarak 1970 yılında Kırklareli’nde tespit edilmiş ve tespit edilen bu doğalgaz 1976 yılında kullanılmaya başlanmıştır. Bu tarihten sonra 1975 yılında Mardin’de tespit edilen doğalgaz ise 1982 yılında Mardin çimento fabrikasında kullanılmaya başlanmıştır </w:t>
      </w:r>
      <w:r w:rsidRPr="009E17D1">
        <w:rPr>
          <w:rFonts w:ascii="Times New Roman" w:eastAsia="Times New Roman" w:hAnsi="Times New Roman" w:cs="Times New Roman"/>
          <w:color w:val="FF0000"/>
          <w:sz w:val="24"/>
          <w:szCs w:val="24"/>
        </w:rPr>
        <w:t xml:space="preserve">(Yardımcı, 2011: 160). </w:t>
      </w:r>
      <w:r>
        <w:rPr>
          <w:rFonts w:ascii="Times New Roman" w:eastAsia="Times New Roman" w:hAnsi="Times New Roman" w:cs="Times New Roman"/>
          <w:sz w:val="24"/>
          <w:szCs w:val="24"/>
        </w:rPr>
        <w:t xml:space="preserve">Şekil </w:t>
      </w:r>
      <w:r w:rsidR="0094784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incelendiğinde doğalgaz üretiminin toplam enerji üretimi içerisindeki payının en yüksek olduğu yıl 2005 olup, yaklaşık olarak %3’tür. </w:t>
      </w:r>
    </w:p>
    <w:p w14:paraId="1CF41F58" w14:textId="788D4305"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Enerji arz yollarının ikincisi enerjinin ithal edilmesidir. İthalat yolu ile hem </w:t>
      </w:r>
      <w:r>
        <w:rPr>
          <w:rFonts w:ascii="Times New Roman" w:eastAsia="Times New Roman" w:hAnsi="Times New Roman" w:cs="Times New Roman"/>
          <w:i/>
          <w:sz w:val="24"/>
          <w:szCs w:val="24"/>
        </w:rPr>
        <w:t>birincil enerji kaynakları</w:t>
      </w:r>
      <w:r>
        <w:rPr>
          <w:rFonts w:ascii="Times New Roman" w:eastAsia="Times New Roman" w:hAnsi="Times New Roman" w:cs="Times New Roman"/>
          <w:sz w:val="24"/>
          <w:szCs w:val="24"/>
        </w:rPr>
        <w:t xml:space="preserve"> hem de </w:t>
      </w:r>
      <w:r>
        <w:rPr>
          <w:rFonts w:ascii="Times New Roman" w:eastAsia="Times New Roman" w:hAnsi="Times New Roman" w:cs="Times New Roman"/>
          <w:i/>
          <w:sz w:val="24"/>
          <w:szCs w:val="24"/>
        </w:rPr>
        <w:t>ikincil enerji kaynakları</w:t>
      </w:r>
      <w:r>
        <w:rPr>
          <w:rFonts w:ascii="Times New Roman" w:eastAsia="Times New Roman" w:hAnsi="Times New Roman" w:cs="Times New Roman"/>
          <w:sz w:val="24"/>
          <w:szCs w:val="24"/>
        </w:rPr>
        <w:t xml:space="preserve"> yurtiçine arz edilebilmektedir. Şekil 3’te 1972 – 202</w:t>
      </w:r>
      <w:r w:rsidR="0094784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yılları arasında </w:t>
      </w:r>
      <w:r>
        <w:rPr>
          <w:rFonts w:ascii="Times New Roman" w:eastAsia="Times New Roman" w:hAnsi="Times New Roman" w:cs="Times New Roman"/>
          <w:b/>
          <w:i/>
          <w:sz w:val="24"/>
          <w:szCs w:val="24"/>
        </w:rPr>
        <w:t>TEP cinsinden</w:t>
      </w:r>
      <w:r>
        <w:rPr>
          <w:rFonts w:ascii="Times New Roman" w:eastAsia="Times New Roman" w:hAnsi="Times New Roman" w:cs="Times New Roman"/>
          <w:sz w:val="24"/>
          <w:szCs w:val="24"/>
        </w:rPr>
        <w:t xml:space="preserve"> ithal edilen tüm enerji türlerinin toplam enerji ithalatı içerisindeki payları gösterilmektedir. Gözlem dönemi içerisinde Ham petrol, petrol ürünleri, doğalgaz, taş kömürü, petro kok, kok, Elektrik, İkincil </w:t>
      </w:r>
      <w:r w:rsidR="00764F29">
        <w:rPr>
          <w:rFonts w:ascii="Times New Roman" w:eastAsia="Times New Roman" w:hAnsi="Times New Roman" w:cs="Times New Roman"/>
          <w:sz w:val="24"/>
          <w:szCs w:val="24"/>
        </w:rPr>
        <w:t>kömür</w:t>
      </w:r>
      <w:r>
        <w:rPr>
          <w:rFonts w:ascii="Times New Roman" w:eastAsia="Times New Roman" w:hAnsi="Times New Roman" w:cs="Times New Roman"/>
          <w:sz w:val="24"/>
          <w:szCs w:val="24"/>
        </w:rPr>
        <w:t xml:space="preserve"> ve Linyit olmak üzere </w:t>
      </w:r>
      <w:r w:rsidR="00947844">
        <w:rPr>
          <w:rFonts w:ascii="Times New Roman" w:eastAsia="Times New Roman" w:hAnsi="Times New Roman" w:cs="Times New Roman"/>
          <w:sz w:val="24"/>
          <w:szCs w:val="24"/>
        </w:rPr>
        <w:t>dokuz</w:t>
      </w:r>
      <w:r>
        <w:rPr>
          <w:rFonts w:ascii="Times New Roman" w:eastAsia="Times New Roman" w:hAnsi="Times New Roman" w:cs="Times New Roman"/>
          <w:sz w:val="24"/>
          <w:szCs w:val="24"/>
        </w:rPr>
        <w:t xml:space="preserve"> adet enerji türü ithal edilmiştir. Şekil 3 incelendiğinde 1980’li yılların sonuna kadar toplam enerji ithalatının %85’ten fazlasının ham petrol ve petrol ürünlerine</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ait olduğu görülmektedir. Günümüzde toplam enerji ithalatının önemli bir kısmını oluşturan doğalgaz ise ilk olarak 1987 yılında ithal edilmeye başlanmış ve 1991 yılı </w:t>
      </w:r>
      <w:r w:rsidR="00764F29">
        <w:rPr>
          <w:rFonts w:ascii="Times New Roman" w:eastAsia="Times New Roman" w:hAnsi="Times New Roman" w:cs="Times New Roman"/>
          <w:sz w:val="24"/>
          <w:szCs w:val="24"/>
        </w:rPr>
        <w:t>ile birlikte</w:t>
      </w:r>
      <w:r>
        <w:rPr>
          <w:rFonts w:ascii="Times New Roman" w:eastAsia="Times New Roman" w:hAnsi="Times New Roman" w:cs="Times New Roman"/>
          <w:sz w:val="24"/>
          <w:szCs w:val="24"/>
        </w:rPr>
        <w:t xml:space="preserve"> toplam enerji ithalatı içerisindeki payı %10’un üzerine çıkmıştır. 202</w:t>
      </w:r>
      <w:r w:rsidR="0094784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yılı itibariyle ise toplam enerji ithalatı içerisinde doğalgazın payı %3</w:t>
      </w:r>
      <w:r w:rsidR="00947844">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olarak gerçekleşmiştir. Enerji ithalatının diğer önemli bileşeni ise taş kömürüdür. Toplam enerji ithalatı içerisindeki payı ilk olarak 1988 yılında %10’un üzerine çıkan taş kömürünün 202</w:t>
      </w:r>
      <w:r w:rsidR="0094784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yılı itibariyle toplam enerji ithalatı </w:t>
      </w:r>
      <w:r>
        <w:rPr>
          <w:rFonts w:ascii="Times New Roman" w:eastAsia="Times New Roman" w:hAnsi="Times New Roman" w:cs="Times New Roman"/>
          <w:sz w:val="24"/>
          <w:szCs w:val="24"/>
        </w:rPr>
        <w:lastRenderedPageBreak/>
        <w:t>içerisindeki payı ise %</w:t>
      </w:r>
      <w:r w:rsidR="00764F29">
        <w:rPr>
          <w:rFonts w:ascii="Times New Roman" w:eastAsia="Times New Roman" w:hAnsi="Times New Roman" w:cs="Times New Roman"/>
          <w:sz w:val="24"/>
          <w:szCs w:val="24"/>
        </w:rPr>
        <w:t>18,</w:t>
      </w:r>
      <w:r w:rsidR="0094784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764F29">
        <w:rPr>
          <w:rFonts w:ascii="Times New Roman" w:eastAsia="Times New Roman" w:hAnsi="Times New Roman" w:cs="Times New Roman"/>
          <w:sz w:val="24"/>
          <w:szCs w:val="24"/>
        </w:rPr>
        <w:t>tür</w:t>
      </w:r>
      <w:r>
        <w:rPr>
          <w:rFonts w:ascii="Times New Roman" w:eastAsia="Times New Roman" w:hAnsi="Times New Roman" w:cs="Times New Roman"/>
          <w:sz w:val="24"/>
          <w:szCs w:val="24"/>
        </w:rPr>
        <w:t>. Taş kömürü ithalatındaki artışın en önemli sebeplerinden birisi de elektrik üretiminde doğrudan girdi olarak kullanılmasıdır.</w:t>
      </w:r>
      <w:r>
        <w:rPr>
          <w:rFonts w:ascii="Times New Roman" w:eastAsia="Times New Roman" w:hAnsi="Times New Roman" w:cs="Times New Roman"/>
          <w:sz w:val="24"/>
          <w:szCs w:val="24"/>
          <w:vertAlign w:val="superscript"/>
        </w:rPr>
        <w:footnoteReference w:id="17"/>
      </w:r>
    </w:p>
    <w:p w14:paraId="5C633A60" w14:textId="0ACD7149" w:rsidR="00C21BD1" w:rsidRDefault="005F54D1" w:rsidP="00FB4800">
      <w:pPr>
        <w:pStyle w:val="ResimYazs"/>
        <w:spacing w:line="240" w:lineRule="auto"/>
        <w:rPr>
          <w:rFonts w:eastAsia="Times New Roman" w:cs="Times New Roman"/>
          <w:color w:val="000000"/>
          <w:szCs w:val="24"/>
        </w:rPr>
      </w:pPr>
      <w:bookmarkStart w:id="8" w:name="_heading=h.41mghml" w:colFirst="0" w:colLast="0"/>
      <w:bookmarkStart w:id="9" w:name="_Toc124962542"/>
      <w:bookmarkEnd w:id="8"/>
      <w:r>
        <w:t xml:space="preserve">Şekil </w:t>
      </w:r>
      <w:fldSimple w:instr=" SEQ Şekil \* ARABIC ">
        <w:r w:rsidR="00947844">
          <w:rPr>
            <w:noProof/>
          </w:rPr>
          <w:t>3</w:t>
        </w:r>
      </w:fldSimple>
      <w:r>
        <w:rPr>
          <w:rFonts w:eastAsia="Times New Roman" w:cs="Times New Roman"/>
          <w:color w:val="000000"/>
          <w:szCs w:val="24"/>
        </w:rPr>
        <w:t>: Toplam Enerji İthalatın Enerji Türlerine Göre Dağılımı (1972-202</w:t>
      </w:r>
      <w:r w:rsidR="001012A5">
        <w:rPr>
          <w:rFonts w:eastAsia="Times New Roman" w:cs="Times New Roman"/>
          <w:color w:val="000000"/>
          <w:szCs w:val="24"/>
        </w:rPr>
        <w:t>1</w:t>
      </w:r>
      <w:r>
        <w:rPr>
          <w:rFonts w:eastAsia="Times New Roman" w:cs="Times New Roman"/>
          <w:color w:val="000000"/>
          <w:szCs w:val="24"/>
        </w:rPr>
        <w:t>)</w:t>
      </w:r>
      <w:r>
        <w:rPr>
          <w:rFonts w:eastAsia="Times New Roman" w:cs="Times New Roman"/>
          <w:color w:val="000000"/>
          <w:szCs w:val="24"/>
          <w:vertAlign w:val="superscript"/>
        </w:rPr>
        <w:footnoteReference w:id="18"/>
      </w:r>
      <w:bookmarkEnd w:id="9"/>
      <w:r>
        <w:rPr>
          <w:rFonts w:eastAsia="Times New Roman" w:cs="Times New Roman"/>
          <w:color w:val="000000"/>
          <w:szCs w:val="24"/>
        </w:rPr>
        <w:t xml:space="preserve"> </w:t>
      </w:r>
    </w:p>
    <w:p w14:paraId="65C352AF" w14:textId="2439F822" w:rsidR="00C21BD1" w:rsidRDefault="00641382" w:rsidP="00FB4800">
      <w:pPr>
        <w:spacing w:after="0" w:line="240" w:lineRule="auto"/>
        <w:rPr>
          <w:rFonts w:ascii="Times New Roman" w:eastAsia="Times New Roman" w:hAnsi="Times New Roman" w:cs="Times New Roman"/>
        </w:rPr>
      </w:pPr>
      <w:r w:rsidRPr="00641382">
        <w:rPr>
          <w:rFonts w:ascii="Times New Roman" w:eastAsia="Times New Roman" w:hAnsi="Times New Roman" w:cs="Times New Roman"/>
          <w:noProof/>
        </w:rPr>
        <w:drawing>
          <wp:inline distT="0" distB="0" distL="0" distR="0" wp14:anchorId="5EF0F783" wp14:editId="149BB199">
            <wp:extent cx="3964305" cy="1606550"/>
            <wp:effectExtent l="19050" t="19050" r="0" b="0"/>
            <wp:docPr id="1952830800" name="Resim 1" descr="metin, çizgi,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30800" name="Resim 1" descr="metin, çizgi, ekran görüntüsü, öykü gelişim çizgisi; kumpas; grafiğini çıkarma içeren bir resim&#10;&#10;Açıklama otomatik olarak oluşturuldu"/>
                    <pic:cNvPicPr/>
                  </pic:nvPicPr>
                  <pic:blipFill>
                    <a:blip r:embed="rId11"/>
                    <a:stretch>
                      <a:fillRect/>
                    </a:stretch>
                  </pic:blipFill>
                  <pic:spPr>
                    <a:xfrm>
                      <a:off x="0" y="0"/>
                      <a:ext cx="3979747" cy="1612808"/>
                    </a:xfrm>
                    <a:prstGeom prst="rect">
                      <a:avLst/>
                    </a:prstGeom>
                    <a:ln w="6350">
                      <a:solidFill>
                        <a:schemeClr val="tx1"/>
                      </a:solidFill>
                    </a:ln>
                  </pic:spPr>
                </pic:pic>
              </a:graphicData>
            </a:graphic>
          </wp:inline>
        </w:drawing>
      </w:r>
    </w:p>
    <w:p w14:paraId="1147ED4D" w14:textId="3666434B" w:rsidR="00C21BD1" w:rsidRDefault="008A2C1B" w:rsidP="00FB48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Kaynak: 1972– 202</w:t>
      </w:r>
      <w:r w:rsidR="0094784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Enerji Denge Tablolarından (Ton Eşdeğer Petrol) Derlenmiştir.</w:t>
      </w:r>
    </w:p>
    <w:p w14:paraId="0F6761C4" w14:textId="38376948"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1972 – 202</w:t>
      </w:r>
      <w:r w:rsidR="0094784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yılları arası genel açıdan değerlendirildiğinde</w:t>
      </w:r>
      <w:r w:rsidR="00764F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ithal edilen toplam enerjinin %5</w:t>
      </w:r>
      <w:r w:rsidR="001012A5">
        <w:rPr>
          <w:rFonts w:ascii="Times New Roman" w:eastAsia="Times New Roman" w:hAnsi="Times New Roman" w:cs="Times New Roman"/>
          <w:sz w:val="24"/>
          <w:szCs w:val="24"/>
        </w:rPr>
        <w:t>3</w:t>
      </w:r>
      <w:r w:rsidR="00FB4800">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FB4800">
        <w:rPr>
          <w:rFonts w:ascii="Times New Roman" w:eastAsia="Times New Roman" w:hAnsi="Times New Roman" w:cs="Times New Roman"/>
          <w:sz w:val="24"/>
          <w:szCs w:val="24"/>
        </w:rPr>
        <w:t>sı</w:t>
      </w:r>
      <w:r>
        <w:rPr>
          <w:rFonts w:ascii="Times New Roman" w:eastAsia="Times New Roman" w:hAnsi="Times New Roman" w:cs="Times New Roman"/>
          <w:sz w:val="24"/>
          <w:szCs w:val="24"/>
        </w:rPr>
        <w:t xml:space="preserve"> ham petrol ve petrol ürünleri, </w:t>
      </w:r>
      <w:r w:rsidR="001012A5">
        <w:rPr>
          <w:rFonts w:ascii="Times New Roman" w:eastAsia="Times New Roman" w:hAnsi="Times New Roman" w:cs="Times New Roman"/>
          <w:sz w:val="24"/>
          <w:szCs w:val="24"/>
        </w:rPr>
        <w:t>%28</w:t>
      </w:r>
      <w:r w:rsidR="00FB4800">
        <w:rPr>
          <w:rFonts w:ascii="Times New Roman" w:eastAsia="Times New Roman" w:hAnsi="Times New Roman" w:cs="Times New Roman"/>
          <w:sz w:val="24"/>
          <w:szCs w:val="24"/>
        </w:rPr>
        <w:t>,4’</w:t>
      </w:r>
      <w:r w:rsidR="001012A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doğalgaz ve %16</w:t>
      </w:r>
      <w:r w:rsidR="00FB4800">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FB480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ise taşkömürüdür. Bu </w:t>
      </w:r>
      <w:r w:rsidR="00FB4800">
        <w:rPr>
          <w:rFonts w:ascii="Times New Roman" w:eastAsia="Times New Roman" w:hAnsi="Times New Roman" w:cs="Times New Roman"/>
          <w:sz w:val="24"/>
          <w:szCs w:val="24"/>
        </w:rPr>
        <w:t>üç</w:t>
      </w:r>
      <w:r>
        <w:rPr>
          <w:rFonts w:ascii="Times New Roman" w:eastAsia="Times New Roman" w:hAnsi="Times New Roman" w:cs="Times New Roman"/>
          <w:sz w:val="24"/>
          <w:szCs w:val="24"/>
        </w:rPr>
        <w:t xml:space="preserve"> enerji türü toplam enerji ithalatının yaklaşık olarak %9</w:t>
      </w:r>
      <w:r w:rsidR="00FB4800">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FB4800">
        <w:rPr>
          <w:rFonts w:ascii="Times New Roman" w:eastAsia="Times New Roman" w:hAnsi="Times New Roman" w:cs="Times New Roman"/>
          <w:sz w:val="24"/>
          <w:szCs w:val="24"/>
        </w:rPr>
        <w:t>ini</w:t>
      </w:r>
      <w:r>
        <w:rPr>
          <w:rFonts w:ascii="Times New Roman" w:eastAsia="Times New Roman" w:hAnsi="Times New Roman" w:cs="Times New Roman"/>
          <w:sz w:val="24"/>
          <w:szCs w:val="24"/>
        </w:rPr>
        <w:t xml:space="preserve"> oluşturmakta olup, bakiye; petro kok, kok, elektrik, ikincil kömür ve linyite aittir.  </w:t>
      </w:r>
    </w:p>
    <w:p w14:paraId="0C1E57ED" w14:textId="00ED7727"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Enerji arz yollarının üçüncüsü ÇES vasıtasıyla enerjinin dönüştürülmesidir. ÇES’de </w:t>
      </w:r>
      <w:r>
        <w:rPr>
          <w:rFonts w:ascii="Times New Roman" w:eastAsia="Times New Roman" w:hAnsi="Times New Roman" w:cs="Times New Roman"/>
          <w:i/>
          <w:sz w:val="24"/>
          <w:szCs w:val="24"/>
        </w:rPr>
        <w:t>birincil enerji kaynakları</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ikincil enerji kaynaklarına</w:t>
      </w:r>
      <w:r>
        <w:rPr>
          <w:rFonts w:ascii="Times New Roman" w:eastAsia="Times New Roman" w:hAnsi="Times New Roman" w:cs="Times New Roman"/>
          <w:sz w:val="24"/>
          <w:szCs w:val="24"/>
        </w:rPr>
        <w:t xml:space="preserve"> dönüştürülmektedir. Dolayısıyla ÇES’ler enerjiyi hem kullanmakta hem de üretmektedir. Şekil 4’te ÇES’in </w:t>
      </w:r>
      <w:r>
        <w:rPr>
          <w:rFonts w:ascii="Times New Roman" w:eastAsia="Times New Roman" w:hAnsi="Times New Roman" w:cs="Times New Roman"/>
          <w:b/>
          <w:i/>
          <w:sz w:val="24"/>
          <w:szCs w:val="24"/>
        </w:rPr>
        <w:t>TEP</w:t>
      </w:r>
      <w:r>
        <w:rPr>
          <w:rFonts w:ascii="Times New Roman" w:eastAsia="Times New Roman" w:hAnsi="Times New Roman" w:cs="Times New Roman"/>
          <w:sz w:val="24"/>
          <w:szCs w:val="24"/>
        </w:rPr>
        <w:t xml:space="preserve"> cinsinden toplam çıktısı içerisinde enerji türlerinin payları gözükmektedir. 1972 – 202</w:t>
      </w:r>
      <w:r w:rsidR="00FB480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yılları arasında ÇES’de</w:t>
      </w:r>
      <w:r w:rsidR="00FB48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elektrik, petrol ürünleri, kok, Isı</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ikincil kömür, türetilmiş </w:t>
      </w:r>
      <w:r>
        <w:rPr>
          <w:rFonts w:ascii="Times New Roman" w:eastAsia="Times New Roman" w:hAnsi="Times New Roman" w:cs="Times New Roman"/>
          <w:sz w:val="24"/>
          <w:szCs w:val="24"/>
        </w:rPr>
        <w:lastRenderedPageBreak/>
        <w:t>gazlar</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 şehir gazı</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xml:space="preserve"> ve briket</w:t>
      </w:r>
      <w:r>
        <w:rPr>
          <w:rFonts w:ascii="Times New Roman" w:eastAsia="Times New Roman" w:hAnsi="Times New Roman" w:cs="Times New Roman"/>
          <w:sz w:val="24"/>
          <w:szCs w:val="24"/>
          <w:vertAlign w:val="superscript"/>
        </w:rPr>
        <w:footnoteReference w:id="22"/>
      </w:r>
      <w:r>
        <w:rPr>
          <w:rFonts w:ascii="Times New Roman" w:eastAsia="Times New Roman" w:hAnsi="Times New Roman" w:cs="Times New Roman"/>
          <w:sz w:val="24"/>
          <w:szCs w:val="24"/>
        </w:rPr>
        <w:t xml:space="preserve"> olmak üzere </w:t>
      </w:r>
      <w:r w:rsidR="00FB4800">
        <w:rPr>
          <w:rFonts w:ascii="Times New Roman" w:eastAsia="Times New Roman" w:hAnsi="Times New Roman" w:cs="Times New Roman"/>
          <w:sz w:val="24"/>
          <w:szCs w:val="24"/>
        </w:rPr>
        <w:t>sekiz</w:t>
      </w:r>
      <w:r>
        <w:rPr>
          <w:rFonts w:ascii="Times New Roman" w:eastAsia="Times New Roman" w:hAnsi="Times New Roman" w:cs="Times New Roman"/>
          <w:sz w:val="24"/>
          <w:szCs w:val="24"/>
        </w:rPr>
        <w:t xml:space="preserve"> farklı enerji türü üretilmiştir. Şekil 4,  2008 öncesi ve sonrası olarak iki </w:t>
      </w:r>
      <w:r w:rsidR="001012A5">
        <w:rPr>
          <w:rFonts w:ascii="Times New Roman" w:eastAsia="Times New Roman" w:hAnsi="Times New Roman" w:cs="Times New Roman"/>
          <w:sz w:val="24"/>
          <w:szCs w:val="24"/>
        </w:rPr>
        <w:t>kısımda</w:t>
      </w:r>
      <w:r>
        <w:rPr>
          <w:rFonts w:ascii="Times New Roman" w:eastAsia="Times New Roman" w:hAnsi="Times New Roman" w:cs="Times New Roman"/>
          <w:sz w:val="24"/>
          <w:szCs w:val="24"/>
        </w:rPr>
        <w:t xml:space="preserve"> incelendiğinde daha doğru değerlendirmeler yapılabilecektir. 2008 öncesi dönemde ÇES’in çıktıları içerisinde en önemli paya elektrik enerjisi sahiptir. 1980’li yılların sonlarına kadar diğer önemli çıktı türü ise ikincil kömürdür. </w:t>
      </w:r>
      <w:r w:rsidR="00650955">
        <w:rPr>
          <w:rFonts w:ascii="Times New Roman" w:eastAsia="Times New Roman" w:hAnsi="Times New Roman" w:cs="Times New Roman"/>
          <w:sz w:val="24"/>
          <w:szCs w:val="24"/>
        </w:rPr>
        <w:t>Toplam üretim içerisindeki payı çok az olsa da</w:t>
      </w:r>
      <w:r>
        <w:rPr>
          <w:rFonts w:ascii="Times New Roman" w:eastAsia="Times New Roman" w:hAnsi="Times New Roman" w:cs="Times New Roman"/>
          <w:sz w:val="24"/>
          <w:szCs w:val="24"/>
        </w:rPr>
        <w:t xml:space="preserve"> 1972 – 1992 yılları arasında ÇES’ler vasıtasıyla şehir gazı üretimi de gerçekleştirilmiştir.</w:t>
      </w:r>
    </w:p>
    <w:p w14:paraId="031FC9A9" w14:textId="30BB102D" w:rsidR="00C21BD1" w:rsidRDefault="005F54D1" w:rsidP="00FB4800">
      <w:pPr>
        <w:pStyle w:val="ResimYazs"/>
        <w:spacing w:line="240" w:lineRule="auto"/>
        <w:rPr>
          <w:rFonts w:eastAsia="Times New Roman" w:cs="Times New Roman"/>
          <w:sz w:val="28"/>
          <w:szCs w:val="28"/>
        </w:rPr>
      </w:pPr>
      <w:bookmarkStart w:id="10" w:name="_heading=h.2grqrue" w:colFirst="0" w:colLast="0"/>
      <w:bookmarkStart w:id="11" w:name="_Toc124962543"/>
      <w:bookmarkEnd w:id="10"/>
      <w:r>
        <w:t xml:space="preserve">Şekil </w:t>
      </w:r>
      <w:fldSimple w:instr=" SEQ Şekil \* ARABIC ">
        <w:r w:rsidR="00FB4800">
          <w:rPr>
            <w:noProof/>
          </w:rPr>
          <w:t>4</w:t>
        </w:r>
      </w:fldSimple>
      <w:r>
        <w:rPr>
          <w:rFonts w:eastAsia="Times New Roman" w:cs="Times New Roman"/>
          <w:szCs w:val="24"/>
        </w:rPr>
        <w:t>: Çevrim ve Enerji Sektörü Enerji Türlerine Göre Çıktı Payları (1972-202</w:t>
      </w:r>
      <w:r w:rsidR="00FB4800">
        <w:rPr>
          <w:rFonts w:eastAsia="Times New Roman" w:cs="Times New Roman"/>
          <w:szCs w:val="24"/>
        </w:rPr>
        <w:t>2</w:t>
      </w:r>
      <w:r>
        <w:rPr>
          <w:rFonts w:eastAsia="Times New Roman" w:cs="Times New Roman"/>
          <w:szCs w:val="24"/>
        </w:rPr>
        <w:t>)</w:t>
      </w:r>
      <w:bookmarkEnd w:id="11"/>
    </w:p>
    <w:p w14:paraId="75881276" w14:textId="29D722B2" w:rsidR="00C21BD1" w:rsidRDefault="00641382" w:rsidP="00FB4800">
      <w:pPr>
        <w:spacing w:after="0" w:line="240" w:lineRule="auto"/>
        <w:rPr>
          <w:rFonts w:ascii="Times New Roman" w:eastAsia="Times New Roman" w:hAnsi="Times New Roman" w:cs="Times New Roman"/>
          <w:sz w:val="24"/>
          <w:szCs w:val="24"/>
        </w:rPr>
      </w:pPr>
      <w:r w:rsidRPr="00641382">
        <w:rPr>
          <w:rFonts w:ascii="Times New Roman" w:eastAsia="Times New Roman" w:hAnsi="Times New Roman" w:cs="Times New Roman"/>
          <w:noProof/>
          <w:sz w:val="24"/>
          <w:szCs w:val="24"/>
        </w:rPr>
        <w:drawing>
          <wp:inline distT="0" distB="0" distL="0" distR="0" wp14:anchorId="3D5AC049" wp14:editId="13ABFE65">
            <wp:extent cx="3917950" cy="1521883"/>
            <wp:effectExtent l="19050" t="19050" r="6350" b="2540"/>
            <wp:docPr id="591742543" name="Resim 1"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42543" name="Resim 1" descr="metin, ekran görüntüsü, öykü gelişim çizgisi; kumpas; grafiğini çıkarma, çizgi içeren bir resim&#10;&#10;Açıklama otomatik olarak oluşturuldu"/>
                    <pic:cNvPicPr/>
                  </pic:nvPicPr>
                  <pic:blipFill>
                    <a:blip r:embed="rId12"/>
                    <a:stretch>
                      <a:fillRect/>
                    </a:stretch>
                  </pic:blipFill>
                  <pic:spPr>
                    <a:xfrm>
                      <a:off x="0" y="0"/>
                      <a:ext cx="3937050" cy="1529302"/>
                    </a:xfrm>
                    <a:prstGeom prst="rect">
                      <a:avLst/>
                    </a:prstGeom>
                    <a:ln w="6350">
                      <a:solidFill>
                        <a:schemeClr val="tx1"/>
                      </a:solidFill>
                    </a:ln>
                  </pic:spPr>
                </pic:pic>
              </a:graphicData>
            </a:graphic>
          </wp:inline>
        </w:drawing>
      </w:r>
    </w:p>
    <w:p w14:paraId="0039304F" w14:textId="0DBBCE8B" w:rsidR="00C21BD1" w:rsidRDefault="008A2C1B" w:rsidP="00FB48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Kaynak: 1972– 202</w:t>
      </w:r>
      <w:r w:rsidR="00FB480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Enerji Denge Tablolarından (Ton Eşdeğer Petrol) Derlenmiştir.</w:t>
      </w:r>
    </w:p>
    <w:p w14:paraId="2CFEFF6C" w14:textId="2DE0F7B0"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2008 yılı sonrasında ise ÇES’in en önemli çıktısı olarak </w:t>
      </w:r>
      <w:r>
        <w:rPr>
          <w:rFonts w:ascii="Times New Roman" w:eastAsia="Times New Roman" w:hAnsi="Times New Roman" w:cs="Times New Roman"/>
          <w:i/>
          <w:sz w:val="24"/>
          <w:szCs w:val="24"/>
        </w:rPr>
        <w:t>petrol ürünleri</w:t>
      </w:r>
      <w:r>
        <w:rPr>
          <w:rFonts w:ascii="Times New Roman" w:eastAsia="Times New Roman" w:hAnsi="Times New Roman" w:cs="Times New Roman"/>
          <w:sz w:val="24"/>
          <w:szCs w:val="24"/>
        </w:rPr>
        <w:t xml:space="preserve"> öne çıkmaktadır.</w:t>
      </w:r>
      <w:r>
        <w:rPr>
          <w:rFonts w:ascii="Times New Roman" w:eastAsia="Times New Roman" w:hAnsi="Times New Roman" w:cs="Times New Roman"/>
          <w:sz w:val="24"/>
          <w:szCs w:val="24"/>
          <w:vertAlign w:val="superscript"/>
        </w:rPr>
        <w:footnoteReference w:id="23"/>
      </w:r>
      <w:r>
        <w:rPr>
          <w:rFonts w:ascii="Times New Roman" w:eastAsia="Times New Roman" w:hAnsi="Times New Roman" w:cs="Times New Roman"/>
          <w:sz w:val="24"/>
          <w:szCs w:val="24"/>
        </w:rPr>
        <w:t xml:space="preserve"> ÇES’in üretim yapısının daha iyi anlaşılabilmesi için 2008 ve sonrasındaki yıllara odaklanılması gerekmektedir. </w:t>
      </w:r>
      <w:r w:rsidR="004766A5">
        <w:rPr>
          <w:rFonts w:ascii="Times New Roman" w:eastAsia="Times New Roman" w:hAnsi="Times New Roman" w:cs="Times New Roman"/>
          <w:sz w:val="24"/>
          <w:szCs w:val="24"/>
        </w:rPr>
        <w:t xml:space="preserve">2008 yılı ve sonrası için </w:t>
      </w:r>
      <w:r>
        <w:rPr>
          <w:rFonts w:ascii="Times New Roman" w:eastAsia="Times New Roman" w:hAnsi="Times New Roman" w:cs="Times New Roman"/>
          <w:sz w:val="24"/>
          <w:szCs w:val="24"/>
        </w:rPr>
        <w:t>ÇES’in toplam çıktısının; yaklaşık olarak yarısını petrol ürünleri, yaklaşık olarak %40’ını elektrik üretimi geriye kalan %10’luk kısmı ise ısı, kok ve birtakım gazların üretimi oluşturmaktadır.</w:t>
      </w:r>
    </w:p>
    <w:p w14:paraId="4D9998F8" w14:textId="3BFD6FB4" w:rsidR="00C21BD1" w:rsidRDefault="00715137" w:rsidP="00FB4800">
      <w:pPr>
        <w:pStyle w:val="Balk4"/>
        <w:numPr>
          <w:ilvl w:val="0"/>
          <w:numId w:val="18"/>
        </w:numPr>
        <w:spacing w:line="240" w:lineRule="auto"/>
      </w:pPr>
      <w:bookmarkStart w:id="12" w:name="_Toc124959699"/>
      <w:r>
        <w:lastRenderedPageBreak/>
        <w:t>UEDT</w:t>
      </w:r>
      <w:r w:rsidR="008A2C1B">
        <w:t>’ler Kapsamında Türkiye’de Enerji Kullanımının Analizi</w:t>
      </w:r>
      <w:bookmarkEnd w:id="12"/>
    </w:p>
    <w:p w14:paraId="188E35F1" w14:textId="1F9EDF8F"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Yerli üretim, ithalat ve ÇES çıktısı şeklinde oluşan toplam enerji arzı </w:t>
      </w:r>
      <w:r w:rsidR="00FB4800">
        <w:rPr>
          <w:rFonts w:ascii="Times New Roman" w:eastAsia="Times New Roman" w:hAnsi="Times New Roman" w:cs="Times New Roman"/>
          <w:sz w:val="24"/>
          <w:szCs w:val="24"/>
        </w:rPr>
        <w:t>üç</w:t>
      </w:r>
      <w:r>
        <w:rPr>
          <w:rFonts w:ascii="Times New Roman" w:eastAsia="Times New Roman" w:hAnsi="Times New Roman" w:cs="Times New Roman"/>
          <w:sz w:val="24"/>
          <w:szCs w:val="24"/>
        </w:rPr>
        <w:t xml:space="preserve"> farklı şekilde kullanılmaktadır. Bunlardan ilki </w:t>
      </w:r>
      <w:r>
        <w:rPr>
          <w:rFonts w:ascii="Times New Roman" w:eastAsia="Times New Roman" w:hAnsi="Times New Roman" w:cs="Times New Roman"/>
          <w:i/>
          <w:sz w:val="24"/>
          <w:szCs w:val="24"/>
        </w:rPr>
        <w:t>yurtiçi sektörler</w:t>
      </w:r>
      <w:r>
        <w:rPr>
          <w:rFonts w:ascii="Times New Roman" w:eastAsia="Times New Roman" w:hAnsi="Times New Roman" w:cs="Times New Roman"/>
          <w:sz w:val="24"/>
          <w:szCs w:val="24"/>
        </w:rPr>
        <w:t xml:space="preserve"> tarafından kullanılmasıdır. İkincisi ihraç edilmek suretiyle dış dünya tarafından kullanılmasıdır. Üçüncü ve son kullanım şekli ise ihrakiye satışlarıdır. Yurtiçi sektörler tarafından kullanım; ÇES tarafından girdi olarak kullanılan birincil enerji kaynakları ve nihai birimler tarafından kullanılan birincil ve ikincil enerji kaynaklarının toplamından oluşmaktadır.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’lerde nihai birimler; </w:t>
      </w:r>
      <w:r>
        <w:rPr>
          <w:rFonts w:ascii="Times New Roman" w:eastAsia="Times New Roman" w:hAnsi="Times New Roman" w:cs="Times New Roman"/>
          <w:i/>
          <w:sz w:val="24"/>
          <w:szCs w:val="24"/>
        </w:rPr>
        <w:t xml:space="preserve">sanayi, ulaşım, diğer sektörler </w:t>
      </w:r>
      <w:r>
        <w:rPr>
          <w:rFonts w:ascii="Times New Roman" w:eastAsia="Times New Roman" w:hAnsi="Times New Roman" w:cs="Times New Roman"/>
          <w:sz w:val="24"/>
          <w:szCs w:val="24"/>
        </w:rPr>
        <w:t>ve</w:t>
      </w:r>
      <w:r>
        <w:rPr>
          <w:rFonts w:ascii="Times New Roman" w:eastAsia="Times New Roman" w:hAnsi="Times New Roman" w:cs="Times New Roman"/>
          <w:i/>
          <w:sz w:val="24"/>
          <w:szCs w:val="24"/>
        </w:rPr>
        <w:t xml:space="preserve"> enerji dışı </w:t>
      </w:r>
      <w:r>
        <w:rPr>
          <w:rFonts w:ascii="Times New Roman" w:eastAsia="Times New Roman" w:hAnsi="Times New Roman" w:cs="Times New Roman"/>
          <w:sz w:val="24"/>
          <w:szCs w:val="24"/>
        </w:rPr>
        <w:t xml:space="preserve">şeklinde ayrıştırılmıştır. Diğer sektörler ise; 1972 – 2015 yılları arasındaki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’lerde </w:t>
      </w:r>
      <w:r>
        <w:rPr>
          <w:rFonts w:ascii="Times New Roman" w:eastAsia="Times New Roman" w:hAnsi="Times New Roman" w:cs="Times New Roman"/>
          <w:i/>
          <w:sz w:val="24"/>
          <w:szCs w:val="24"/>
        </w:rPr>
        <w:t>konut ve hizmetler</w:t>
      </w:r>
      <w:r>
        <w:rPr>
          <w:rFonts w:ascii="Times New Roman" w:eastAsia="Times New Roman" w:hAnsi="Times New Roman" w:cs="Times New Roman"/>
          <w:sz w:val="24"/>
          <w:szCs w:val="24"/>
        </w:rPr>
        <w:t xml:space="preserve"> ile </w:t>
      </w:r>
      <w:r>
        <w:rPr>
          <w:rFonts w:ascii="Times New Roman" w:eastAsia="Times New Roman" w:hAnsi="Times New Roman" w:cs="Times New Roman"/>
          <w:i/>
          <w:sz w:val="24"/>
          <w:szCs w:val="24"/>
        </w:rPr>
        <w:t xml:space="preserve">tarım </w:t>
      </w:r>
      <w:r>
        <w:rPr>
          <w:rFonts w:ascii="Times New Roman" w:eastAsia="Times New Roman" w:hAnsi="Times New Roman" w:cs="Times New Roman"/>
          <w:sz w:val="24"/>
          <w:szCs w:val="24"/>
        </w:rPr>
        <w:t xml:space="preserve">şeklinde ayrıştırılmış 2015 ve sonrasındaki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’lerde ise </w:t>
      </w:r>
      <w:r>
        <w:rPr>
          <w:rFonts w:ascii="Times New Roman" w:eastAsia="Times New Roman" w:hAnsi="Times New Roman" w:cs="Times New Roman"/>
          <w:i/>
          <w:sz w:val="24"/>
          <w:szCs w:val="24"/>
        </w:rPr>
        <w:t>konut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ticaret ve hizmetler</w:t>
      </w:r>
      <w:r>
        <w:rPr>
          <w:rFonts w:ascii="Times New Roman" w:eastAsia="Times New Roman" w:hAnsi="Times New Roman" w:cs="Times New Roman"/>
          <w:sz w:val="24"/>
          <w:szCs w:val="24"/>
        </w:rPr>
        <w:t xml:space="preserve"> ve </w:t>
      </w:r>
      <w:r>
        <w:rPr>
          <w:rFonts w:ascii="Times New Roman" w:eastAsia="Times New Roman" w:hAnsi="Times New Roman" w:cs="Times New Roman"/>
          <w:i/>
          <w:sz w:val="24"/>
          <w:szCs w:val="24"/>
        </w:rPr>
        <w:t>tarım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ve hayvancılık</w:t>
      </w:r>
      <w:r>
        <w:rPr>
          <w:rFonts w:ascii="Times New Roman" w:eastAsia="Times New Roman" w:hAnsi="Times New Roman" w:cs="Times New Roman"/>
          <w:sz w:val="24"/>
          <w:szCs w:val="24"/>
        </w:rPr>
        <w:t xml:space="preserve"> şeklinde </w:t>
      </w:r>
      <w:r w:rsidR="00FB4800">
        <w:rPr>
          <w:rFonts w:ascii="Times New Roman" w:eastAsia="Times New Roman" w:hAnsi="Times New Roman" w:cs="Times New Roman"/>
          <w:sz w:val="24"/>
          <w:szCs w:val="24"/>
        </w:rPr>
        <w:t>üç</w:t>
      </w:r>
      <w:r>
        <w:rPr>
          <w:rFonts w:ascii="Times New Roman" w:eastAsia="Times New Roman" w:hAnsi="Times New Roman" w:cs="Times New Roman"/>
          <w:sz w:val="24"/>
          <w:szCs w:val="24"/>
        </w:rPr>
        <w:t xml:space="preserve"> kategoriye ayrıştırılmıştır. Denklem (</w:t>
      </w:r>
      <w:r w:rsidR="00FB4800">
        <w:rPr>
          <w:rFonts w:ascii="Times New Roman" w:eastAsia="Times New Roman" w:hAnsi="Times New Roman" w:cs="Times New Roman"/>
          <w:sz w:val="24"/>
          <w:szCs w:val="24"/>
        </w:rPr>
        <w:t>8</w:t>
      </w:r>
      <w:r>
        <w:rPr>
          <w:rFonts w:ascii="Times New Roman" w:eastAsia="Times New Roman" w:hAnsi="Times New Roman" w:cs="Times New Roman"/>
          <w:sz w:val="24"/>
          <w:szCs w:val="24"/>
        </w:rPr>
        <w:t>) – (</w:t>
      </w:r>
      <w:r w:rsidR="00FB4800">
        <w:rPr>
          <w:rFonts w:ascii="Times New Roman" w:eastAsia="Times New Roman" w:hAnsi="Times New Roman" w:cs="Times New Roman"/>
          <w:sz w:val="24"/>
          <w:szCs w:val="24"/>
        </w:rPr>
        <w:t>11</w:t>
      </w:r>
      <w:r>
        <w:rPr>
          <w:rFonts w:ascii="Times New Roman" w:eastAsia="Times New Roman" w:hAnsi="Times New Roman" w:cs="Times New Roman"/>
          <w:sz w:val="24"/>
          <w:szCs w:val="24"/>
        </w:rPr>
        <w:t>) arasında bu eşitlikler ifade edilmiştir. Ayrıca denklemlerin ifade ettiği eşitlikler, Türkiye ekonomisi için 1972 – 202</w:t>
      </w:r>
      <w:r w:rsidR="00FB480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dönemini kapsayacak şekilde Şekil (5) – (9) arasında grafiksel olarak gösterilmiştir.</w:t>
      </w:r>
    </w:p>
    <w:tbl>
      <w:tblPr>
        <w:tblStyle w:val="78"/>
        <w:tblW w:w="877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650"/>
        <w:gridCol w:w="1127"/>
      </w:tblGrid>
      <w:tr w:rsidR="00C21BD1" w14:paraId="01EB0F0D" w14:textId="77777777">
        <w:tc>
          <w:tcPr>
            <w:tcW w:w="7650" w:type="dxa"/>
          </w:tcPr>
          <w:p w14:paraId="22B81BD8" w14:textId="7ABF5ED7" w:rsidR="00C21BD1" w:rsidRDefault="008A2C1B" w:rsidP="00FB4800">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Toplam Enerji Kullanımı</w:t>
            </w:r>
            <w:r>
              <w:rPr>
                <w:rFonts w:ascii="Times New Roman" w:eastAsia="Times New Roman" w:hAnsi="Times New Roman" w:cs="Times New Roman"/>
                <w:i/>
                <w:sz w:val="24"/>
                <w:szCs w:val="24"/>
              </w:rPr>
              <w:t xml:space="preserve"> = Yurtiçi Kullanım + </w:t>
            </w:r>
            <w:r w:rsidR="00174BD9">
              <w:rPr>
                <w:rFonts w:ascii="Times New Roman" w:eastAsia="Times New Roman" w:hAnsi="Times New Roman" w:cs="Times New Roman"/>
                <w:i/>
                <w:sz w:val="24"/>
                <w:szCs w:val="24"/>
              </w:rPr>
              <w:t>İhracat +</w:t>
            </w:r>
            <w:r>
              <w:rPr>
                <w:rFonts w:ascii="Times New Roman" w:eastAsia="Times New Roman" w:hAnsi="Times New Roman" w:cs="Times New Roman"/>
                <w:i/>
                <w:sz w:val="24"/>
                <w:szCs w:val="24"/>
              </w:rPr>
              <w:t xml:space="preserve"> İhrakiye Satışları</w:t>
            </w:r>
          </w:p>
        </w:tc>
        <w:tc>
          <w:tcPr>
            <w:tcW w:w="1127" w:type="dxa"/>
          </w:tcPr>
          <w:p w14:paraId="0C10F747" w14:textId="6716C5B9" w:rsidR="00C21BD1" w:rsidRDefault="008A2C1B" w:rsidP="00FB48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B4800">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tc>
      </w:tr>
      <w:tr w:rsidR="00C21BD1" w14:paraId="43181D3B" w14:textId="77777777">
        <w:tc>
          <w:tcPr>
            <w:tcW w:w="7650" w:type="dxa"/>
          </w:tcPr>
          <w:p w14:paraId="31AD184D" w14:textId="7B408829" w:rsidR="00C21BD1" w:rsidRDefault="008A2C1B" w:rsidP="00FB480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Yurtiçi Kullanım</w:t>
            </w:r>
            <w:r>
              <w:rPr>
                <w:rFonts w:ascii="Times New Roman" w:eastAsia="Times New Roman" w:hAnsi="Times New Roman" w:cs="Times New Roman"/>
                <w:i/>
                <w:sz w:val="24"/>
                <w:szCs w:val="24"/>
              </w:rPr>
              <w:t xml:space="preserve"> = ÇES </w:t>
            </w:r>
            <w:r w:rsidR="00174BD9">
              <w:rPr>
                <w:rFonts w:ascii="Times New Roman" w:eastAsia="Times New Roman" w:hAnsi="Times New Roman" w:cs="Times New Roman"/>
                <w:i/>
                <w:sz w:val="24"/>
                <w:szCs w:val="24"/>
              </w:rPr>
              <w:t>Girdisi +</w:t>
            </w:r>
            <w:r>
              <w:rPr>
                <w:rFonts w:ascii="Times New Roman" w:eastAsia="Times New Roman" w:hAnsi="Times New Roman" w:cs="Times New Roman"/>
                <w:i/>
                <w:sz w:val="24"/>
                <w:szCs w:val="24"/>
              </w:rPr>
              <w:t xml:space="preserve"> Nihai Birimler</w:t>
            </w:r>
          </w:p>
        </w:tc>
        <w:tc>
          <w:tcPr>
            <w:tcW w:w="1127" w:type="dxa"/>
          </w:tcPr>
          <w:p w14:paraId="588A0CC1" w14:textId="3E567F56" w:rsidR="00C21BD1" w:rsidRDefault="008A2C1B" w:rsidP="00FB48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B4800">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r>
      <w:tr w:rsidR="00C21BD1" w14:paraId="1C80C898" w14:textId="77777777">
        <w:tc>
          <w:tcPr>
            <w:tcW w:w="7650" w:type="dxa"/>
          </w:tcPr>
          <w:p w14:paraId="0F264777" w14:textId="77777777" w:rsidR="00C21BD1" w:rsidRDefault="008A2C1B" w:rsidP="00FB480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Nihai Birimler = </w:t>
            </w:r>
            <w:r>
              <w:rPr>
                <w:rFonts w:ascii="Times New Roman" w:eastAsia="Times New Roman" w:hAnsi="Times New Roman" w:cs="Times New Roman"/>
                <w:i/>
                <w:sz w:val="24"/>
                <w:szCs w:val="24"/>
              </w:rPr>
              <w:t>Sanayi + Ulaşım + Diğer Sektörler + Enerji Dışı</w:t>
            </w:r>
            <w:r>
              <w:rPr>
                <w:rFonts w:ascii="Times New Roman" w:eastAsia="Times New Roman" w:hAnsi="Times New Roman" w:cs="Times New Roman"/>
                <w:i/>
                <w:sz w:val="24"/>
                <w:szCs w:val="24"/>
                <w:vertAlign w:val="superscript"/>
              </w:rPr>
              <w:footnoteReference w:id="24"/>
            </w:r>
          </w:p>
        </w:tc>
        <w:tc>
          <w:tcPr>
            <w:tcW w:w="1127" w:type="dxa"/>
          </w:tcPr>
          <w:p w14:paraId="4A904A57" w14:textId="38B52CEC" w:rsidR="00C21BD1" w:rsidRDefault="008A2C1B" w:rsidP="00FB48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B4800">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tc>
      </w:tr>
      <w:tr w:rsidR="00C21BD1" w14:paraId="1E6D4F58" w14:textId="77777777">
        <w:tc>
          <w:tcPr>
            <w:tcW w:w="7650" w:type="dxa"/>
          </w:tcPr>
          <w:p w14:paraId="139C32A8" w14:textId="2BAC9D36" w:rsidR="00C21BD1" w:rsidRDefault="008A2C1B" w:rsidP="00FB480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Diğer Sektörler = </w:t>
            </w:r>
            <w:r>
              <w:rPr>
                <w:rFonts w:ascii="Times New Roman" w:eastAsia="Times New Roman" w:hAnsi="Times New Roman" w:cs="Times New Roman"/>
                <w:i/>
                <w:sz w:val="24"/>
                <w:szCs w:val="24"/>
              </w:rPr>
              <w:t xml:space="preserve">Konut + Ticaret ve </w:t>
            </w:r>
            <w:r w:rsidR="00174BD9">
              <w:rPr>
                <w:rFonts w:ascii="Times New Roman" w:eastAsia="Times New Roman" w:hAnsi="Times New Roman" w:cs="Times New Roman"/>
                <w:i/>
                <w:sz w:val="24"/>
                <w:szCs w:val="24"/>
              </w:rPr>
              <w:t>Hizmetler +</w:t>
            </w:r>
            <w:r>
              <w:rPr>
                <w:rFonts w:ascii="Times New Roman" w:eastAsia="Times New Roman" w:hAnsi="Times New Roman" w:cs="Times New Roman"/>
                <w:i/>
                <w:sz w:val="24"/>
                <w:szCs w:val="24"/>
              </w:rPr>
              <w:t xml:space="preserve"> Tarım ve Hayvancılık</w:t>
            </w:r>
          </w:p>
        </w:tc>
        <w:tc>
          <w:tcPr>
            <w:tcW w:w="1127" w:type="dxa"/>
          </w:tcPr>
          <w:p w14:paraId="6A501CCA" w14:textId="14FC2610" w:rsidR="00C21BD1" w:rsidRDefault="008A2C1B" w:rsidP="00FB48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B4800">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p>
        </w:tc>
      </w:tr>
    </w:tbl>
    <w:p w14:paraId="6289B444" w14:textId="55C9CBA7" w:rsidR="00C21BD1" w:rsidRDefault="008A2C1B" w:rsidP="00FB4800">
      <w:pPr>
        <w:spacing w:before="24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 kapsamda Şekil 5’te 1972 – 202</w:t>
      </w:r>
      <w:r w:rsidR="00DA5AC7">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yılları arasında </w:t>
      </w:r>
      <w:r>
        <w:rPr>
          <w:rFonts w:ascii="Times New Roman" w:eastAsia="Times New Roman" w:hAnsi="Times New Roman" w:cs="Times New Roman"/>
          <w:b/>
          <w:i/>
          <w:sz w:val="24"/>
          <w:szCs w:val="24"/>
        </w:rPr>
        <w:t>TEP</w:t>
      </w:r>
      <w:r>
        <w:rPr>
          <w:rFonts w:ascii="Times New Roman" w:eastAsia="Times New Roman" w:hAnsi="Times New Roman" w:cs="Times New Roman"/>
          <w:sz w:val="24"/>
          <w:szCs w:val="24"/>
        </w:rPr>
        <w:t xml:space="preserve"> cinsinden toplam enerji kullanımı içerisinde </w:t>
      </w:r>
      <w:r>
        <w:rPr>
          <w:rFonts w:ascii="Times New Roman" w:eastAsia="Times New Roman" w:hAnsi="Times New Roman" w:cs="Times New Roman"/>
          <w:i/>
          <w:sz w:val="24"/>
          <w:szCs w:val="24"/>
        </w:rPr>
        <w:t>yurtiçi birimlerin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ihracatın</w:t>
      </w:r>
      <w:r>
        <w:rPr>
          <w:rFonts w:ascii="Times New Roman" w:eastAsia="Times New Roman" w:hAnsi="Times New Roman" w:cs="Times New Roman"/>
          <w:sz w:val="24"/>
          <w:szCs w:val="24"/>
        </w:rPr>
        <w:t xml:space="preserve"> ve </w:t>
      </w:r>
      <w:r>
        <w:rPr>
          <w:rFonts w:ascii="Times New Roman" w:eastAsia="Times New Roman" w:hAnsi="Times New Roman" w:cs="Times New Roman"/>
          <w:i/>
          <w:sz w:val="24"/>
          <w:szCs w:val="24"/>
        </w:rPr>
        <w:t>ihrakiye satışlarının</w:t>
      </w:r>
      <w:r>
        <w:rPr>
          <w:rFonts w:ascii="Times New Roman" w:eastAsia="Times New Roman" w:hAnsi="Times New Roman" w:cs="Times New Roman"/>
          <w:sz w:val="24"/>
          <w:szCs w:val="24"/>
        </w:rPr>
        <w:t xml:space="preserve"> payları görülmektedir. </w:t>
      </w:r>
    </w:p>
    <w:p w14:paraId="03D51730" w14:textId="77777777" w:rsidR="00362911" w:rsidRDefault="00362911" w:rsidP="00FB4800">
      <w:pPr>
        <w:spacing w:before="240" w:line="240" w:lineRule="auto"/>
        <w:ind w:firstLine="567"/>
        <w:jc w:val="both"/>
        <w:rPr>
          <w:rFonts w:ascii="Times New Roman" w:eastAsia="Times New Roman" w:hAnsi="Times New Roman" w:cs="Times New Roman"/>
          <w:sz w:val="24"/>
          <w:szCs w:val="24"/>
        </w:rPr>
      </w:pPr>
    </w:p>
    <w:p w14:paraId="5470EF19" w14:textId="77777777" w:rsidR="00362911" w:rsidRDefault="00362911" w:rsidP="00FB4800">
      <w:pPr>
        <w:spacing w:before="240" w:line="240" w:lineRule="auto"/>
        <w:ind w:firstLine="567"/>
        <w:jc w:val="both"/>
        <w:rPr>
          <w:rFonts w:ascii="Times New Roman" w:eastAsia="Times New Roman" w:hAnsi="Times New Roman" w:cs="Times New Roman"/>
          <w:sz w:val="24"/>
          <w:szCs w:val="24"/>
        </w:rPr>
      </w:pPr>
    </w:p>
    <w:p w14:paraId="332B0932" w14:textId="77777777" w:rsidR="00362911" w:rsidRDefault="00362911" w:rsidP="00FB4800">
      <w:pPr>
        <w:spacing w:before="240" w:line="240" w:lineRule="auto"/>
        <w:ind w:firstLine="567"/>
        <w:jc w:val="both"/>
        <w:rPr>
          <w:rFonts w:ascii="Times New Roman" w:eastAsia="Times New Roman" w:hAnsi="Times New Roman" w:cs="Times New Roman"/>
          <w:sz w:val="24"/>
          <w:szCs w:val="24"/>
        </w:rPr>
      </w:pPr>
    </w:p>
    <w:p w14:paraId="0C67072C" w14:textId="77777777" w:rsidR="00362911" w:rsidRDefault="00362911" w:rsidP="00FB4800">
      <w:pPr>
        <w:spacing w:before="240" w:line="240" w:lineRule="auto"/>
        <w:ind w:firstLine="567"/>
        <w:jc w:val="both"/>
        <w:rPr>
          <w:rFonts w:ascii="Times New Roman" w:eastAsia="Times New Roman" w:hAnsi="Times New Roman" w:cs="Times New Roman"/>
          <w:sz w:val="24"/>
          <w:szCs w:val="24"/>
        </w:rPr>
      </w:pPr>
    </w:p>
    <w:p w14:paraId="57D5719D" w14:textId="10E70924" w:rsidR="00C21BD1" w:rsidRDefault="00DB1BCB" w:rsidP="00FB4800">
      <w:pPr>
        <w:pStyle w:val="ResimYazs"/>
        <w:spacing w:line="240" w:lineRule="auto"/>
        <w:rPr>
          <w:rFonts w:eastAsia="Times New Roman" w:cs="Times New Roman"/>
          <w:color w:val="000000"/>
          <w:szCs w:val="24"/>
        </w:rPr>
      </w:pPr>
      <w:bookmarkStart w:id="13" w:name="_heading=h.3fwokq0" w:colFirst="0" w:colLast="0"/>
      <w:bookmarkStart w:id="14" w:name="_Toc124962544"/>
      <w:bookmarkEnd w:id="13"/>
      <w:r>
        <w:lastRenderedPageBreak/>
        <w:t xml:space="preserve">Şekil </w:t>
      </w:r>
      <w:fldSimple w:instr=" SEQ Şekil \* ARABIC ">
        <w:r w:rsidR="00FB4800">
          <w:rPr>
            <w:noProof/>
          </w:rPr>
          <w:t>5</w:t>
        </w:r>
      </w:fldSimple>
      <w:r>
        <w:rPr>
          <w:rFonts w:eastAsia="Times New Roman" w:cs="Times New Roman"/>
          <w:color w:val="000000"/>
          <w:szCs w:val="24"/>
        </w:rPr>
        <w:t>: Toplam Enerji Kullanımı (1972 - 202</w:t>
      </w:r>
      <w:r w:rsidR="00DA5AC7">
        <w:rPr>
          <w:rFonts w:eastAsia="Times New Roman" w:cs="Times New Roman"/>
          <w:color w:val="000000"/>
          <w:szCs w:val="24"/>
        </w:rPr>
        <w:t>2</w:t>
      </w:r>
      <w:r>
        <w:rPr>
          <w:rFonts w:eastAsia="Times New Roman" w:cs="Times New Roman"/>
          <w:color w:val="000000"/>
          <w:szCs w:val="24"/>
        </w:rPr>
        <w:t xml:space="preserve">) (Denklem </w:t>
      </w:r>
      <w:r w:rsidR="00DA5AC7">
        <w:rPr>
          <w:rFonts w:eastAsia="Times New Roman" w:cs="Times New Roman"/>
          <w:color w:val="000000"/>
          <w:szCs w:val="24"/>
        </w:rPr>
        <w:t>8</w:t>
      </w:r>
      <w:r>
        <w:rPr>
          <w:rFonts w:eastAsia="Times New Roman" w:cs="Times New Roman"/>
          <w:color w:val="000000"/>
          <w:szCs w:val="24"/>
        </w:rPr>
        <w:t>)</w:t>
      </w:r>
      <w:bookmarkEnd w:id="14"/>
    </w:p>
    <w:p w14:paraId="3900EC87" w14:textId="79656B76" w:rsidR="00C21BD1" w:rsidRDefault="00641382" w:rsidP="00271D41">
      <w:pPr>
        <w:spacing w:line="240" w:lineRule="auto"/>
        <w:jc w:val="center"/>
        <w:rPr>
          <w:rFonts w:ascii="Times New Roman" w:eastAsia="Times New Roman" w:hAnsi="Times New Roman" w:cs="Times New Roman"/>
          <w:sz w:val="24"/>
          <w:szCs w:val="24"/>
        </w:rPr>
      </w:pPr>
      <w:r w:rsidRPr="00641382">
        <w:rPr>
          <w:noProof/>
        </w:rPr>
        <w:drawing>
          <wp:inline distT="0" distB="0" distL="0" distR="0" wp14:anchorId="2A89F3BD" wp14:editId="4BBA5061">
            <wp:extent cx="3875405" cy="1339850"/>
            <wp:effectExtent l="19050" t="19050" r="0" b="0"/>
            <wp:docPr id="1007682995" name="Resim 1" descr="metin, çizgi,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82995" name="Resim 1" descr="metin, çizgi, ekran görüntüsü, öykü gelişim çizgisi; kumpas; grafiğini çıkarma içeren bir resim&#10;&#10;Açıklama otomatik olarak oluşturuldu"/>
                    <pic:cNvPicPr/>
                  </pic:nvPicPr>
                  <pic:blipFill>
                    <a:blip r:embed="rId13"/>
                    <a:stretch>
                      <a:fillRect/>
                    </a:stretch>
                  </pic:blipFill>
                  <pic:spPr>
                    <a:xfrm>
                      <a:off x="0" y="0"/>
                      <a:ext cx="3894431" cy="1346428"/>
                    </a:xfrm>
                    <a:prstGeom prst="rect">
                      <a:avLst/>
                    </a:prstGeom>
                    <a:ln w="6350">
                      <a:solidFill>
                        <a:schemeClr val="tx1"/>
                      </a:solidFill>
                    </a:ln>
                  </pic:spPr>
                </pic:pic>
              </a:graphicData>
            </a:graphic>
          </wp:inline>
        </w:drawing>
      </w:r>
      <w:r w:rsidR="008A2C1B">
        <w:rPr>
          <w:rFonts w:ascii="Times New Roman" w:eastAsia="Times New Roman" w:hAnsi="Times New Roman" w:cs="Times New Roman"/>
          <w:sz w:val="24"/>
          <w:szCs w:val="24"/>
        </w:rPr>
        <w:t>Kaynak: 1972 – 202</w:t>
      </w:r>
      <w:r w:rsidR="00DA5AC7">
        <w:rPr>
          <w:rFonts w:ascii="Times New Roman" w:eastAsia="Times New Roman" w:hAnsi="Times New Roman" w:cs="Times New Roman"/>
          <w:sz w:val="24"/>
          <w:szCs w:val="24"/>
        </w:rPr>
        <w:t>2</w:t>
      </w:r>
      <w:r w:rsidR="008A2C1B">
        <w:rPr>
          <w:rFonts w:ascii="Times New Roman" w:eastAsia="Times New Roman" w:hAnsi="Times New Roman" w:cs="Times New Roman"/>
          <w:sz w:val="24"/>
          <w:szCs w:val="24"/>
        </w:rPr>
        <w:t xml:space="preserve"> Enerji Denge Tablolarından (Ton Eşdeğer Petrol) Derlenmiştir.</w:t>
      </w:r>
    </w:p>
    <w:p w14:paraId="737ED4A0" w14:textId="2329E282"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Şekil </w:t>
      </w:r>
      <w:r w:rsidR="00DA5AC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incelendiğinde toplam enerji kullanımının ortalama olarak %9</w:t>
      </w:r>
      <w:r w:rsidR="00DA5AC7">
        <w:rPr>
          <w:rFonts w:ascii="Times New Roman" w:eastAsia="Times New Roman" w:hAnsi="Times New Roman" w:cs="Times New Roman"/>
          <w:sz w:val="24"/>
          <w:szCs w:val="24"/>
        </w:rPr>
        <w:t>3,5</w:t>
      </w:r>
      <w:r>
        <w:rPr>
          <w:rFonts w:ascii="Times New Roman" w:eastAsia="Times New Roman" w:hAnsi="Times New Roman" w:cs="Times New Roman"/>
          <w:sz w:val="24"/>
          <w:szCs w:val="24"/>
        </w:rPr>
        <w:t>’inin yurtiçi iktisadi birimler tarafından, %</w:t>
      </w:r>
      <w:r w:rsidR="00DA5AC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DA5AC7">
        <w:rPr>
          <w:rFonts w:ascii="Times New Roman" w:eastAsia="Times New Roman" w:hAnsi="Times New Roman" w:cs="Times New Roman"/>
          <w:sz w:val="24"/>
          <w:szCs w:val="24"/>
        </w:rPr>
        <w:t>inin</w:t>
      </w:r>
      <w:r>
        <w:rPr>
          <w:rFonts w:ascii="Times New Roman" w:eastAsia="Times New Roman" w:hAnsi="Times New Roman" w:cs="Times New Roman"/>
          <w:sz w:val="24"/>
          <w:szCs w:val="24"/>
        </w:rPr>
        <w:t xml:space="preserve"> dış alem tarafından (ihracat) kullanıldığı ve yaklaşık olarak %2’lik kısmının ise ihrakiye satışlarına ait olduğu görülmektedir. Yurtiçi iktisadi birimler ise denklem (</w:t>
      </w:r>
      <w:r w:rsidR="00DA5AC7">
        <w:rPr>
          <w:rFonts w:ascii="Times New Roman" w:eastAsia="Times New Roman" w:hAnsi="Times New Roman" w:cs="Times New Roman"/>
          <w:sz w:val="24"/>
          <w:szCs w:val="24"/>
        </w:rPr>
        <w:t>9</w:t>
      </w:r>
      <w:r>
        <w:rPr>
          <w:rFonts w:ascii="Times New Roman" w:eastAsia="Times New Roman" w:hAnsi="Times New Roman" w:cs="Times New Roman"/>
          <w:sz w:val="24"/>
          <w:szCs w:val="24"/>
        </w:rPr>
        <w:t>)’d</w:t>
      </w:r>
      <w:r w:rsidR="00DA5AC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ÇES</w:t>
      </w:r>
      <w:r>
        <w:rPr>
          <w:rFonts w:ascii="Times New Roman" w:eastAsia="Times New Roman" w:hAnsi="Times New Roman" w:cs="Times New Roman"/>
          <w:sz w:val="24"/>
          <w:szCs w:val="24"/>
        </w:rPr>
        <w:t xml:space="preserve"> ve </w:t>
      </w:r>
      <w:r>
        <w:rPr>
          <w:rFonts w:ascii="Times New Roman" w:eastAsia="Times New Roman" w:hAnsi="Times New Roman" w:cs="Times New Roman"/>
          <w:i/>
          <w:sz w:val="24"/>
          <w:szCs w:val="24"/>
        </w:rPr>
        <w:t>nihai birimler</w:t>
      </w:r>
      <w:r>
        <w:rPr>
          <w:rFonts w:ascii="Times New Roman" w:eastAsia="Times New Roman" w:hAnsi="Times New Roman" w:cs="Times New Roman"/>
          <w:sz w:val="24"/>
          <w:szCs w:val="24"/>
        </w:rPr>
        <w:t xml:space="preserve"> olmak üzere iki kısma ayrılmıştır. Şekil 6’da </w:t>
      </w:r>
      <w:r>
        <w:rPr>
          <w:rFonts w:ascii="Times New Roman" w:eastAsia="Times New Roman" w:hAnsi="Times New Roman" w:cs="Times New Roman"/>
          <w:b/>
          <w:i/>
          <w:sz w:val="24"/>
          <w:szCs w:val="24"/>
        </w:rPr>
        <w:t>TEP</w:t>
      </w:r>
      <w:r>
        <w:rPr>
          <w:rFonts w:ascii="Times New Roman" w:eastAsia="Times New Roman" w:hAnsi="Times New Roman" w:cs="Times New Roman"/>
          <w:sz w:val="24"/>
          <w:szCs w:val="24"/>
        </w:rPr>
        <w:t xml:space="preserve"> cinsinden </w:t>
      </w:r>
      <w:r>
        <w:rPr>
          <w:rFonts w:ascii="Times New Roman" w:eastAsia="Times New Roman" w:hAnsi="Times New Roman" w:cs="Times New Roman"/>
          <w:i/>
          <w:sz w:val="24"/>
          <w:szCs w:val="24"/>
        </w:rPr>
        <w:t>yurtiçi enerji kullanımının;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ÇES</w:t>
      </w:r>
      <w:r>
        <w:rPr>
          <w:rFonts w:ascii="Times New Roman" w:eastAsia="Times New Roman" w:hAnsi="Times New Roman" w:cs="Times New Roman"/>
          <w:sz w:val="24"/>
          <w:szCs w:val="24"/>
        </w:rPr>
        <w:t xml:space="preserve"> ile </w:t>
      </w:r>
      <w:r>
        <w:rPr>
          <w:rFonts w:ascii="Times New Roman" w:eastAsia="Times New Roman" w:hAnsi="Times New Roman" w:cs="Times New Roman"/>
          <w:i/>
          <w:sz w:val="24"/>
          <w:szCs w:val="24"/>
        </w:rPr>
        <w:t>nihai iktisadi birimler</w:t>
      </w:r>
      <w:r>
        <w:rPr>
          <w:rFonts w:ascii="Times New Roman" w:eastAsia="Times New Roman" w:hAnsi="Times New Roman" w:cs="Times New Roman"/>
          <w:sz w:val="24"/>
          <w:szCs w:val="24"/>
        </w:rPr>
        <w:t xml:space="preserve"> arasındaki dağılımı, Şekil 7’de ise ÇES’in </w:t>
      </w:r>
      <w:r>
        <w:rPr>
          <w:rFonts w:ascii="Times New Roman" w:eastAsia="Times New Roman" w:hAnsi="Times New Roman" w:cs="Times New Roman"/>
          <w:b/>
          <w:i/>
          <w:sz w:val="24"/>
          <w:szCs w:val="24"/>
        </w:rPr>
        <w:t>TEP</w:t>
      </w:r>
      <w:r>
        <w:rPr>
          <w:rFonts w:ascii="Times New Roman" w:eastAsia="Times New Roman" w:hAnsi="Times New Roman" w:cs="Times New Roman"/>
          <w:sz w:val="24"/>
          <w:szCs w:val="24"/>
        </w:rPr>
        <w:t xml:space="preserve"> cinsinden enerji kullanımının enerji türlerine göre dağılımları gösterilmektedir. </w:t>
      </w:r>
    </w:p>
    <w:p w14:paraId="63AFF94E" w14:textId="00D01F05" w:rsidR="00C21BD1" w:rsidRDefault="00DB1BCB" w:rsidP="00FB4800">
      <w:pPr>
        <w:pStyle w:val="ResimYazs"/>
        <w:spacing w:line="240" w:lineRule="auto"/>
        <w:rPr>
          <w:rFonts w:eastAsia="Times New Roman" w:cs="Times New Roman"/>
          <w:color w:val="000000"/>
          <w:szCs w:val="24"/>
        </w:rPr>
      </w:pPr>
      <w:bookmarkStart w:id="15" w:name="_heading=h.1v1yuxt" w:colFirst="0" w:colLast="0"/>
      <w:bookmarkStart w:id="16" w:name="_Toc124962545"/>
      <w:bookmarkEnd w:id="15"/>
      <w:r>
        <w:t xml:space="preserve">Şekil </w:t>
      </w:r>
      <w:fldSimple w:instr=" SEQ Şekil \* ARABIC ">
        <w:r w:rsidR="00FB4800">
          <w:rPr>
            <w:noProof/>
          </w:rPr>
          <w:t>6</w:t>
        </w:r>
      </w:fldSimple>
      <w:r>
        <w:rPr>
          <w:rFonts w:eastAsia="Times New Roman" w:cs="Times New Roman"/>
          <w:color w:val="000000"/>
          <w:szCs w:val="24"/>
        </w:rPr>
        <w:t>: Toplam Yurtiçi Enerji Kullanımı (1972 - 202</w:t>
      </w:r>
      <w:r w:rsidR="00DA5AC7">
        <w:rPr>
          <w:rFonts w:eastAsia="Times New Roman" w:cs="Times New Roman"/>
          <w:color w:val="000000"/>
          <w:szCs w:val="24"/>
        </w:rPr>
        <w:t>2</w:t>
      </w:r>
      <w:r>
        <w:rPr>
          <w:rFonts w:eastAsia="Times New Roman" w:cs="Times New Roman"/>
          <w:color w:val="000000"/>
          <w:szCs w:val="24"/>
        </w:rPr>
        <w:t xml:space="preserve">) (Denklem </w:t>
      </w:r>
      <w:r w:rsidR="00DA5AC7">
        <w:rPr>
          <w:rFonts w:eastAsia="Times New Roman" w:cs="Times New Roman"/>
          <w:color w:val="000000"/>
          <w:szCs w:val="24"/>
        </w:rPr>
        <w:t>9</w:t>
      </w:r>
      <w:r>
        <w:rPr>
          <w:rFonts w:eastAsia="Times New Roman" w:cs="Times New Roman"/>
          <w:color w:val="000000"/>
          <w:szCs w:val="24"/>
        </w:rPr>
        <w:t>)</w:t>
      </w:r>
      <w:bookmarkEnd w:id="16"/>
    </w:p>
    <w:p w14:paraId="70FC16DA" w14:textId="037A25FB" w:rsidR="00C21BD1" w:rsidRDefault="00641382" w:rsidP="00FB4800">
      <w:pPr>
        <w:spacing w:after="0" w:line="240" w:lineRule="auto"/>
        <w:jc w:val="both"/>
        <w:rPr>
          <w:rFonts w:ascii="Times New Roman" w:eastAsia="Times New Roman" w:hAnsi="Times New Roman" w:cs="Times New Roman"/>
          <w:sz w:val="24"/>
          <w:szCs w:val="24"/>
        </w:rPr>
      </w:pPr>
      <w:r w:rsidRPr="00641382">
        <w:rPr>
          <w:rFonts w:ascii="Times New Roman" w:eastAsia="Times New Roman" w:hAnsi="Times New Roman" w:cs="Times New Roman"/>
          <w:noProof/>
          <w:sz w:val="24"/>
          <w:szCs w:val="24"/>
        </w:rPr>
        <w:drawing>
          <wp:inline distT="0" distB="0" distL="0" distR="0" wp14:anchorId="000FCBEE" wp14:editId="4EB6057C">
            <wp:extent cx="3968750" cy="1517466"/>
            <wp:effectExtent l="19050" t="19050" r="0" b="6985"/>
            <wp:docPr id="1856562960" name="Resim 1" descr="meti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62960" name="Resim 1" descr="metin, çizgi içeren bir resim&#10;&#10;Açıklama otomatik olarak oluşturuldu"/>
                    <pic:cNvPicPr/>
                  </pic:nvPicPr>
                  <pic:blipFill>
                    <a:blip r:embed="rId14"/>
                    <a:stretch>
                      <a:fillRect/>
                    </a:stretch>
                  </pic:blipFill>
                  <pic:spPr>
                    <a:xfrm>
                      <a:off x="0" y="0"/>
                      <a:ext cx="4014841" cy="1535089"/>
                    </a:xfrm>
                    <a:prstGeom prst="rect">
                      <a:avLst/>
                    </a:prstGeom>
                    <a:ln w="6350">
                      <a:solidFill>
                        <a:schemeClr val="tx1"/>
                      </a:solidFill>
                    </a:ln>
                  </pic:spPr>
                </pic:pic>
              </a:graphicData>
            </a:graphic>
          </wp:inline>
        </w:drawing>
      </w:r>
    </w:p>
    <w:p w14:paraId="12058A28" w14:textId="3727ACE3" w:rsidR="00C21BD1" w:rsidRDefault="008A2C1B" w:rsidP="00DA5AC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Kaynak: 1972 – 202</w:t>
      </w:r>
      <w:r w:rsidR="00DA5AC7">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Enerji Denge Tablolarından (Ton Eşdeğer Petrol) Derlenmiştir.</w:t>
      </w:r>
    </w:p>
    <w:p w14:paraId="7991D5CD" w14:textId="4850B7CD"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Şekil 6 incelendiğinde toplam yurtiçi enerji kullanımı içerisinde ÇES tarafından kullanılan enerji payının 1972 – 202</w:t>
      </w:r>
      <w:r w:rsidR="00DA5AC7">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yılları arasında </w:t>
      </w:r>
      <w:r w:rsidR="009100E9">
        <w:rPr>
          <w:rFonts w:ascii="Times New Roman" w:eastAsia="Times New Roman" w:hAnsi="Times New Roman" w:cs="Times New Roman"/>
          <w:sz w:val="24"/>
          <w:szCs w:val="24"/>
        </w:rPr>
        <w:t>iki kattan fazla arttığı</w:t>
      </w:r>
      <w:r>
        <w:rPr>
          <w:rFonts w:ascii="Times New Roman" w:eastAsia="Times New Roman" w:hAnsi="Times New Roman" w:cs="Times New Roman"/>
          <w:sz w:val="24"/>
          <w:szCs w:val="24"/>
        </w:rPr>
        <w:t xml:space="preserve"> görülmektedir. Bu </w:t>
      </w:r>
      <w:r>
        <w:rPr>
          <w:rFonts w:ascii="Times New Roman" w:eastAsia="Times New Roman" w:hAnsi="Times New Roman" w:cs="Times New Roman"/>
          <w:sz w:val="24"/>
          <w:szCs w:val="24"/>
        </w:rPr>
        <w:lastRenderedPageBreak/>
        <w:t xml:space="preserve">durumun </w:t>
      </w:r>
      <w:r w:rsidR="009100E9">
        <w:rPr>
          <w:rFonts w:ascii="Times New Roman" w:eastAsia="Times New Roman" w:hAnsi="Times New Roman" w:cs="Times New Roman"/>
          <w:sz w:val="24"/>
          <w:szCs w:val="24"/>
        </w:rPr>
        <w:t>iki</w:t>
      </w:r>
      <w:r>
        <w:rPr>
          <w:rFonts w:ascii="Times New Roman" w:eastAsia="Times New Roman" w:hAnsi="Times New Roman" w:cs="Times New Roman"/>
          <w:sz w:val="24"/>
          <w:szCs w:val="24"/>
        </w:rPr>
        <w:t xml:space="preserve"> önemli sebebi bulunmaktadır. Birinci ve en önemli sebebi; gelişen iktisadi ve toplumsal yapı neticesinde ÇES’in çıktıları olan elektrik ve petrol ürünü gibi ikincil enerji kaynaklarına olan ihtiyacın artması neticesinde ÇES’in birincil enerji kaynakları olan girdi gereksinimlerinin giderek artmasıdır. İkincisi ise ÇES’in yapısının zaman içerisinde değişmesi ve gelişmesine bağlı olarak farklı enerji türlerinin de bu sektör aracılığıyla üretilebilmesi, dolayısıyla girdi çeşitliliğinin ve gereksinimlerinin artmasıdır. ÇES’in enerji kullanımının detaylarını gösteren Şekil 7, özellikle 2008 ve sonrasındaki dönem için incelendiğinde</w:t>
      </w:r>
      <w:r>
        <w:rPr>
          <w:rFonts w:ascii="Times New Roman" w:eastAsia="Times New Roman" w:hAnsi="Times New Roman" w:cs="Times New Roman"/>
          <w:sz w:val="24"/>
          <w:szCs w:val="24"/>
          <w:vertAlign w:val="superscript"/>
        </w:rPr>
        <w:footnoteReference w:id="25"/>
      </w:r>
      <w:r w:rsidR="00DA5A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 önemli girdilerinin (kullanımlarının) birincil enerji kaynakları olan ham petrol, doğalgaz, linyit ve hidrolik olduğu görülmektedir. Bu enerji kaynaklarından ilki petrol ürünlerinin üretilmesinde, diğerleri ise elektrik üretiminde kullanılmaktadır. </w:t>
      </w:r>
    </w:p>
    <w:p w14:paraId="00F169F9" w14:textId="140BAF10" w:rsidR="00C21BD1" w:rsidRDefault="00DB1BCB" w:rsidP="00FB4800">
      <w:pPr>
        <w:pStyle w:val="ResimYazs"/>
        <w:spacing w:line="240" w:lineRule="auto"/>
        <w:rPr>
          <w:rFonts w:eastAsia="Times New Roman" w:cs="Times New Roman"/>
          <w:color w:val="000000"/>
          <w:szCs w:val="24"/>
        </w:rPr>
      </w:pPr>
      <w:bookmarkStart w:id="17" w:name="_heading=h.4f1mdlm" w:colFirst="0" w:colLast="0"/>
      <w:bookmarkStart w:id="18" w:name="_Toc124962546"/>
      <w:bookmarkEnd w:id="17"/>
      <w:r>
        <w:t xml:space="preserve">Şekil </w:t>
      </w:r>
      <w:fldSimple w:instr=" SEQ Şekil \* ARABIC ">
        <w:r w:rsidR="00FB4800">
          <w:rPr>
            <w:noProof/>
          </w:rPr>
          <w:t>7</w:t>
        </w:r>
      </w:fldSimple>
      <w:r>
        <w:rPr>
          <w:rFonts w:eastAsia="Times New Roman" w:cs="Times New Roman"/>
          <w:color w:val="000000"/>
          <w:szCs w:val="24"/>
        </w:rPr>
        <w:t>: ÇES Enerji Kullanımının Enerji Türlerine Göre Dağılımı (1972 - 202</w:t>
      </w:r>
      <w:r w:rsidR="00DA5AC7">
        <w:rPr>
          <w:rFonts w:eastAsia="Times New Roman" w:cs="Times New Roman"/>
          <w:color w:val="000000"/>
          <w:szCs w:val="24"/>
        </w:rPr>
        <w:t>2</w:t>
      </w:r>
      <w:r>
        <w:rPr>
          <w:rFonts w:eastAsia="Times New Roman" w:cs="Times New Roman"/>
          <w:color w:val="000000"/>
          <w:szCs w:val="24"/>
        </w:rPr>
        <w:t>)</w:t>
      </w:r>
      <w:bookmarkEnd w:id="18"/>
      <w:r>
        <w:rPr>
          <w:rFonts w:eastAsia="Times New Roman" w:cs="Times New Roman"/>
          <w:color w:val="000000"/>
          <w:szCs w:val="24"/>
        </w:rPr>
        <w:t xml:space="preserve"> </w:t>
      </w:r>
    </w:p>
    <w:p w14:paraId="487B3452" w14:textId="73BEC5CA" w:rsidR="00C21BD1" w:rsidRDefault="00641382" w:rsidP="00FB4800">
      <w:pPr>
        <w:spacing w:after="0" w:line="240" w:lineRule="auto"/>
        <w:jc w:val="both"/>
        <w:rPr>
          <w:rFonts w:ascii="Times New Roman" w:eastAsia="Times New Roman" w:hAnsi="Times New Roman" w:cs="Times New Roman"/>
          <w:sz w:val="24"/>
          <w:szCs w:val="24"/>
        </w:rPr>
      </w:pPr>
      <w:r w:rsidRPr="00641382">
        <w:rPr>
          <w:rFonts w:ascii="Times New Roman" w:eastAsia="Times New Roman" w:hAnsi="Times New Roman" w:cs="Times New Roman"/>
          <w:noProof/>
          <w:sz w:val="24"/>
          <w:szCs w:val="24"/>
        </w:rPr>
        <w:drawing>
          <wp:inline distT="0" distB="0" distL="0" distR="0" wp14:anchorId="78B6CA72" wp14:editId="4F710134">
            <wp:extent cx="3956050" cy="1538817"/>
            <wp:effectExtent l="19050" t="19050" r="6350" b="4445"/>
            <wp:docPr id="187381386" name="Resim 1" descr="metin, ekran görüntüsü, müz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1386" name="Resim 1" descr="metin, ekran görüntüsü, müzik içeren bir resim&#10;&#10;Açıklama otomatik olarak oluşturuldu"/>
                    <pic:cNvPicPr/>
                  </pic:nvPicPr>
                  <pic:blipFill>
                    <a:blip r:embed="rId15"/>
                    <a:stretch>
                      <a:fillRect/>
                    </a:stretch>
                  </pic:blipFill>
                  <pic:spPr>
                    <a:xfrm>
                      <a:off x="0" y="0"/>
                      <a:ext cx="3974971" cy="1546177"/>
                    </a:xfrm>
                    <a:prstGeom prst="rect">
                      <a:avLst/>
                    </a:prstGeom>
                    <a:ln w="6350">
                      <a:solidFill>
                        <a:schemeClr val="tx1"/>
                      </a:solidFill>
                    </a:ln>
                  </pic:spPr>
                </pic:pic>
              </a:graphicData>
            </a:graphic>
          </wp:inline>
        </w:drawing>
      </w:r>
    </w:p>
    <w:p w14:paraId="399316D7" w14:textId="3090C67A" w:rsidR="00C21BD1" w:rsidRDefault="008A2C1B" w:rsidP="00FB48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Kaynak: 1972 – 202</w:t>
      </w:r>
      <w:r w:rsidR="00271D4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Enerji Denge Tablolarından (Ton Eşdeğer Petrol) Derlenmiştir.</w:t>
      </w:r>
    </w:p>
    <w:p w14:paraId="6E23B87E" w14:textId="77777777" w:rsidR="00C97252" w:rsidRDefault="00C97252" w:rsidP="00C97252">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Ayrıca ÇES’in girdi olarak kullandığı tüm enerji türlerinin birincil enerji kaynakları olduğuna da dikkat edilmesi gerekmektedir. Aksine enerji türlerine göre ÇES’in çıktılarının gösterildiği Şekil 4’te ise tüm enerji türleri ise ikincil enerji kaynaklarıdır.  Özetle 1972 – 2022 yılları arasında ÇES, Şekil 7 ile gösterilen birincil enerji kaynaklarını girdi olarak kullanarak Şekil 4 ile gösterilen ikincil enerji kaynaklarını çıktı olarak üretmiştir. </w:t>
      </w:r>
    </w:p>
    <w:p w14:paraId="5AE00E5F" w14:textId="385F4F01" w:rsidR="00C21BD1" w:rsidRDefault="008A2C1B" w:rsidP="00FB4800">
      <w:pPr>
        <w:spacing w:line="240" w:lineRule="auto"/>
        <w:ind w:firstLine="567"/>
        <w:jc w:val="both"/>
        <w:rPr>
          <w:rFonts w:ascii="Times New Roman" w:eastAsia="Times New Roman" w:hAnsi="Times New Roman" w:cs="Times New Roman"/>
          <w:sz w:val="24"/>
          <w:szCs w:val="24"/>
        </w:rPr>
      </w:pPr>
      <w:r w:rsidRPr="00DA5AC7">
        <w:rPr>
          <w:rFonts w:ascii="Times New Roman" w:eastAsia="Times New Roman" w:hAnsi="Times New Roman" w:cs="Times New Roman"/>
          <w:sz w:val="24"/>
          <w:szCs w:val="24"/>
          <w:highlight w:val="yellow"/>
        </w:rPr>
        <w:lastRenderedPageBreak/>
        <w:t>200</w:t>
      </w:r>
      <w:r w:rsidR="00193D9D">
        <w:rPr>
          <w:rFonts w:ascii="Times New Roman" w:eastAsia="Times New Roman" w:hAnsi="Times New Roman" w:cs="Times New Roman"/>
          <w:sz w:val="24"/>
          <w:szCs w:val="24"/>
          <w:highlight w:val="yellow"/>
        </w:rPr>
        <w:t>9</w:t>
      </w:r>
      <w:r w:rsidR="009100E9" w:rsidRPr="00DA5AC7">
        <w:rPr>
          <w:rFonts w:ascii="Times New Roman" w:eastAsia="Times New Roman" w:hAnsi="Times New Roman" w:cs="Times New Roman"/>
          <w:sz w:val="24"/>
          <w:szCs w:val="24"/>
          <w:highlight w:val="yellow"/>
        </w:rPr>
        <w:t xml:space="preserve"> – 20</w:t>
      </w:r>
      <w:r w:rsidR="00D60952" w:rsidRPr="00DA5AC7">
        <w:rPr>
          <w:rFonts w:ascii="Times New Roman" w:eastAsia="Times New Roman" w:hAnsi="Times New Roman" w:cs="Times New Roman"/>
          <w:sz w:val="24"/>
          <w:szCs w:val="24"/>
          <w:highlight w:val="yellow"/>
        </w:rPr>
        <w:t>20</w:t>
      </w:r>
      <w:r w:rsidR="009100E9" w:rsidRPr="00DA5AC7">
        <w:rPr>
          <w:rFonts w:ascii="Times New Roman" w:eastAsia="Times New Roman" w:hAnsi="Times New Roman" w:cs="Times New Roman"/>
          <w:sz w:val="24"/>
          <w:szCs w:val="24"/>
          <w:highlight w:val="yellow"/>
        </w:rPr>
        <w:t xml:space="preserve"> yılları arasında</w:t>
      </w:r>
      <w:r w:rsidRPr="00DA5AC7">
        <w:rPr>
          <w:rFonts w:ascii="Times New Roman" w:eastAsia="Times New Roman" w:hAnsi="Times New Roman" w:cs="Times New Roman"/>
          <w:sz w:val="24"/>
          <w:szCs w:val="24"/>
          <w:highlight w:val="yellow"/>
        </w:rPr>
        <w:t xml:space="preserve"> ÇES’in toplam </w:t>
      </w:r>
      <w:r w:rsidR="00D60952" w:rsidRPr="00DA5AC7">
        <w:rPr>
          <w:rFonts w:ascii="Times New Roman" w:eastAsia="Times New Roman" w:hAnsi="Times New Roman" w:cs="Times New Roman"/>
          <w:sz w:val="24"/>
          <w:szCs w:val="24"/>
          <w:highlight w:val="yellow"/>
        </w:rPr>
        <w:t xml:space="preserve">enerji </w:t>
      </w:r>
      <w:r w:rsidRPr="00DA5AC7">
        <w:rPr>
          <w:rFonts w:ascii="Times New Roman" w:eastAsia="Times New Roman" w:hAnsi="Times New Roman" w:cs="Times New Roman"/>
          <w:sz w:val="24"/>
          <w:szCs w:val="24"/>
          <w:highlight w:val="yellow"/>
        </w:rPr>
        <w:t>kullanımı içerisinde ham petrolün payı %3</w:t>
      </w:r>
      <w:r w:rsidR="009100E9" w:rsidRPr="00DA5AC7">
        <w:rPr>
          <w:rFonts w:ascii="Times New Roman" w:eastAsia="Times New Roman" w:hAnsi="Times New Roman" w:cs="Times New Roman"/>
          <w:sz w:val="24"/>
          <w:szCs w:val="24"/>
          <w:highlight w:val="yellow"/>
        </w:rPr>
        <w:t>0,8</w:t>
      </w:r>
      <w:r w:rsidRPr="00DA5AC7">
        <w:rPr>
          <w:rFonts w:ascii="Times New Roman" w:eastAsia="Times New Roman" w:hAnsi="Times New Roman" w:cs="Times New Roman"/>
          <w:sz w:val="24"/>
          <w:szCs w:val="24"/>
          <w:highlight w:val="yellow"/>
        </w:rPr>
        <w:t>’den %3</w:t>
      </w:r>
      <w:r w:rsidR="009100E9" w:rsidRPr="00DA5AC7">
        <w:rPr>
          <w:rFonts w:ascii="Times New Roman" w:eastAsia="Times New Roman" w:hAnsi="Times New Roman" w:cs="Times New Roman"/>
          <w:sz w:val="24"/>
          <w:szCs w:val="24"/>
          <w:highlight w:val="yellow"/>
        </w:rPr>
        <w:t>5,9</w:t>
      </w:r>
      <w:r w:rsidRPr="00DA5AC7">
        <w:rPr>
          <w:rFonts w:ascii="Times New Roman" w:eastAsia="Times New Roman" w:hAnsi="Times New Roman" w:cs="Times New Roman"/>
          <w:sz w:val="24"/>
          <w:szCs w:val="24"/>
          <w:highlight w:val="yellow"/>
        </w:rPr>
        <w:t>’</w:t>
      </w:r>
      <w:r w:rsidR="009100E9" w:rsidRPr="00DA5AC7">
        <w:rPr>
          <w:rFonts w:ascii="Times New Roman" w:eastAsia="Times New Roman" w:hAnsi="Times New Roman" w:cs="Times New Roman"/>
          <w:sz w:val="24"/>
          <w:szCs w:val="24"/>
          <w:highlight w:val="yellow"/>
        </w:rPr>
        <w:t>a</w:t>
      </w:r>
      <w:r w:rsidRPr="00DA5AC7">
        <w:rPr>
          <w:rFonts w:ascii="Times New Roman" w:eastAsia="Times New Roman" w:hAnsi="Times New Roman" w:cs="Times New Roman"/>
          <w:sz w:val="24"/>
          <w:szCs w:val="24"/>
          <w:highlight w:val="yellow"/>
        </w:rPr>
        <w:t xml:space="preserve"> çıkmış, doğalgazın payı ise %3</w:t>
      </w:r>
      <w:r w:rsidR="00193D9D">
        <w:rPr>
          <w:rFonts w:ascii="Times New Roman" w:eastAsia="Times New Roman" w:hAnsi="Times New Roman" w:cs="Times New Roman"/>
          <w:sz w:val="24"/>
          <w:szCs w:val="24"/>
          <w:highlight w:val="yellow"/>
        </w:rPr>
        <w:t>3,9’dan</w:t>
      </w:r>
      <w:r w:rsidRPr="00DA5AC7">
        <w:rPr>
          <w:rFonts w:ascii="Times New Roman" w:eastAsia="Times New Roman" w:hAnsi="Times New Roman" w:cs="Times New Roman"/>
          <w:sz w:val="24"/>
          <w:szCs w:val="24"/>
          <w:highlight w:val="yellow"/>
        </w:rPr>
        <w:t xml:space="preserve"> %14’e düşmüştür.</w:t>
      </w:r>
      <w:r w:rsidR="009100E9">
        <w:rPr>
          <w:rFonts w:ascii="Times New Roman" w:eastAsia="Times New Roman" w:hAnsi="Times New Roman" w:cs="Times New Roman"/>
          <w:sz w:val="24"/>
          <w:szCs w:val="24"/>
        </w:rPr>
        <w:t xml:space="preserve"> </w:t>
      </w:r>
      <w:r w:rsidR="009100E9" w:rsidRPr="005017F8">
        <w:rPr>
          <w:rFonts w:ascii="Times New Roman" w:eastAsia="Times New Roman" w:hAnsi="Times New Roman" w:cs="Times New Roman"/>
          <w:sz w:val="24"/>
          <w:szCs w:val="24"/>
          <w:highlight w:val="yellow"/>
        </w:rPr>
        <w:t xml:space="preserve">2021 yılında ise </w:t>
      </w:r>
      <w:r w:rsidR="00D60952" w:rsidRPr="005017F8">
        <w:rPr>
          <w:rFonts w:ascii="Times New Roman" w:eastAsia="Times New Roman" w:hAnsi="Times New Roman" w:cs="Times New Roman"/>
          <w:sz w:val="24"/>
          <w:szCs w:val="24"/>
          <w:highlight w:val="yellow"/>
        </w:rPr>
        <w:t>ham petrolün payı bir önceki yıla göre %1 azalarak %34,9 ve doğalgazın payı ise bir önceki yıla göre %4,8 artarak %18,8 olarak gerçekleşmiştir.</w:t>
      </w:r>
      <w:r w:rsidR="00193D9D">
        <w:rPr>
          <w:rFonts w:ascii="Times New Roman" w:eastAsia="Times New Roman" w:hAnsi="Times New Roman" w:cs="Times New Roman"/>
          <w:sz w:val="24"/>
          <w:szCs w:val="24"/>
        </w:rPr>
        <w:t xml:space="preserve"> 2022 yılına gelindiğinde ham petrolün payı %37,1’e çıkmış doğalgazın payı ise %12,9’a düşmüştür.</w:t>
      </w:r>
      <w:r>
        <w:rPr>
          <w:rFonts w:ascii="Times New Roman" w:eastAsia="Times New Roman" w:hAnsi="Times New Roman" w:cs="Times New Roman"/>
          <w:sz w:val="24"/>
          <w:szCs w:val="24"/>
        </w:rPr>
        <w:t xml:space="preserve"> ÇES’in ham petrol kullanımının artması, yurtiçi piyasalarda benzin ve mazot başta olmak üzere fuel oil ya da havacılık yakıtı gibi petrol ürünlerine olan talebin artmasıyla doğrudan ilgilidir. ÇES’in doğalgaz kullanımındaki düşüş ise elektrik üretiminde ithal kömür (taş kömürü) ya da yenilenebilir enerji kaynakları (jeotermal, hidrolik, rüzgâr) gibi alternatiflere yönelinmesinden kaynaklanmaktadır. </w:t>
      </w:r>
    </w:p>
    <w:p w14:paraId="60942B4D" w14:textId="1CA3D38C"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Yurtiçi enerji kullanımının diğer önemli bileşeni de yurtiçi nihai iktisadi birimlerin (ÇES haricindeki sektörlerin) toplam enerji kullanımıdır.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’lerde nihai iktisadi birimler; sanayi, ulaşım, diğer sektörler ve enerji dışı kullanımlardan oluşmaktadır. Şekil 8’de nihai iktisadi birimlerin </w:t>
      </w:r>
      <w:r>
        <w:rPr>
          <w:rFonts w:ascii="Times New Roman" w:eastAsia="Times New Roman" w:hAnsi="Times New Roman" w:cs="Times New Roman"/>
          <w:b/>
          <w:i/>
          <w:sz w:val="24"/>
          <w:szCs w:val="24"/>
        </w:rPr>
        <w:t>TEP</w:t>
      </w:r>
      <w:r>
        <w:rPr>
          <w:rFonts w:ascii="Times New Roman" w:eastAsia="Times New Roman" w:hAnsi="Times New Roman" w:cs="Times New Roman"/>
          <w:sz w:val="24"/>
          <w:szCs w:val="24"/>
        </w:rPr>
        <w:t xml:space="preserve"> cinsinden enerji kullanımlarının, nihai iktisadi birimlerin toplam enerji kullanımı içerisindeki payları gösterilmektedir. </w:t>
      </w:r>
    </w:p>
    <w:p w14:paraId="60360711" w14:textId="243C6FAF" w:rsidR="00C21BD1" w:rsidRDefault="00DB1BCB" w:rsidP="00FB4800">
      <w:pPr>
        <w:pStyle w:val="ResimYazs"/>
        <w:spacing w:line="240" w:lineRule="auto"/>
        <w:rPr>
          <w:rFonts w:eastAsia="Times New Roman" w:cs="Times New Roman"/>
          <w:color w:val="000000"/>
          <w:szCs w:val="24"/>
        </w:rPr>
      </w:pPr>
      <w:bookmarkStart w:id="19" w:name="_heading=h.2u6wntf" w:colFirst="0" w:colLast="0"/>
      <w:bookmarkStart w:id="20" w:name="_Toc124962547"/>
      <w:bookmarkEnd w:id="19"/>
      <w:r>
        <w:t xml:space="preserve">Şekil </w:t>
      </w:r>
      <w:fldSimple w:instr=" SEQ Şekil \* ARABIC ">
        <w:r w:rsidR="00FB4800">
          <w:rPr>
            <w:noProof/>
          </w:rPr>
          <w:t>8</w:t>
        </w:r>
      </w:fldSimple>
      <w:r>
        <w:rPr>
          <w:rFonts w:eastAsia="Times New Roman" w:cs="Times New Roman"/>
          <w:color w:val="000000"/>
          <w:szCs w:val="24"/>
        </w:rPr>
        <w:t>: Nihai İktisadi Birimlerin Toplam Enerji Kullanımının Dağılımı (1972 - 202</w:t>
      </w:r>
      <w:r w:rsidR="00D60952">
        <w:rPr>
          <w:rFonts w:eastAsia="Times New Roman" w:cs="Times New Roman"/>
          <w:color w:val="000000"/>
          <w:szCs w:val="24"/>
        </w:rPr>
        <w:t>1</w:t>
      </w:r>
      <w:r>
        <w:rPr>
          <w:rFonts w:eastAsia="Times New Roman" w:cs="Times New Roman"/>
          <w:color w:val="000000"/>
          <w:szCs w:val="24"/>
        </w:rPr>
        <w:t xml:space="preserve">) (Denklem </w:t>
      </w:r>
      <w:r w:rsidR="00193D9D">
        <w:rPr>
          <w:rFonts w:eastAsia="Times New Roman" w:cs="Times New Roman"/>
          <w:color w:val="000000"/>
          <w:szCs w:val="24"/>
        </w:rPr>
        <w:t>10</w:t>
      </w:r>
      <w:r>
        <w:rPr>
          <w:rFonts w:eastAsia="Times New Roman" w:cs="Times New Roman"/>
          <w:color w:val="000000"/>
          <w:szCs w:val="24"/>
        </w:rPr>
        <w:t>)</w:t>
      </w:r>
      <w:bookmarkEnd w:id="20"/>
    </w:p>
    <w:p w14:paraId="13BA0686" w14:textId="4D4E16DE" w:rsidR="00C21BD1" w:rsidRDefault="00641382" w:rsidP="00FB4800">
      <w:pPr>
        <w:spacing w:after="0" w:line="240" w:lineRule="auto"/>
        <w:jc w:val="both"/>
        <w:rPr>
          <w:rFonts w:ascii="Times New Roman" w:eastAsia="Times New Roman" w:hAnsi="Times New Roman" w:cs="Times New Roman"/>
          <w:sz w:val="24"/>
          <w:szCs w:val="24"/>
        </w:rPr>
      </w:pPr>
      <w:r w:rsidRPr="00641382">
        <w:rPr>
          <w:rFonts w:ascii="Times New Roman" w:eastAsia="Times New Roman" w:hAnsi="Times New Roman" w:cs="Times New Roman"/>
          <w:noProof/>
          <w:sz w:val="24"/>
          <w:szCs w:val="24"/>
        </w:rPr>
        <w:drawing>
          <wp:inline distT="0" distB="0" distL="0" distR="0" wp14:anchorId="47D01E6F" wp14:editId="2C0AB766">
            <wp:extent cx="3921125" cy="1500717"/>
            <wp:effectExtent l="19050" t="19050" r="3175" b="4445"/>
            <wp:docPr id="1042667828" name="Resim 1" descr="meti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67828" name="Resim 1" descr="metin, çizgi içeren bir resim&#10;&#10;Açıklama otomatik olarak oluşturuldu"/>
                    <pic:cNvPicPr/>
                  </pic:nvPicPr>
                  <pic:blipFill>
                    <a:blip r:embed="rId16"/>
                    <a:stretch>
                      <a:fillRect/>
                    </a:stretch>
                  </pic:blipFill>
                  <pic:spPr>
                    <a:xfrm>
                      <a:off x="0" y="0"/>
                      <a:ext cx="3948666" cy="1511257"/>
                    </a:xfrm>
                    <a:prstGeom prst="rect">
                      <a:avLst/>
                    </a:prstGeom>
                    <a:ln w="6350">
                      <a:solidFill>
                        <a:schemeClr val="tx1"/>
                      </a:solidFill>
                    </a:ln>
                  </pic:spPr>
                </pic:pic>
              </a:graphicData>
            </a:graphic>
          </wp:inline>
        </w:drawing>
      </w:r>
    </w:p>
    <w:p w14:paraId="6298F302" w14:textId="786D469F" w:rsidR="00C21BD1" w:rsidRDefault="008A2C1B" w:rsidP="00271D4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Kaynak: 1972 – 202</w:t>
      </w:r>
      <w:r w:rsidR="00D60952">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Enerji Denge Tablolarından (Ton Eşdeğer Petrol) Derlenmiştir.</w:t>
      </w:r>
    </w:p>
    <w:p w14:paraId="20AF73A3" w14:textId="03E52C62" w:rsidR="00C21BD1" w:rsidRDefault="00193D9D" w:rsidP="00193D9D">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Şekil 8 incelendiğinde, nihai birimlerin toplam enerji tüketimi içerisinde en yüksek payın </w:t>
      </w:r>
      <w:r>
        <w:rPr>
          <w:rFonts w:ascii="Times New Roman" w:eastAsia="Times New Roman" w:hAnsi="Times New Roman" w:cs="Times New Roman"/>
          <w:i/>
          <w:sz w:val="24"/>
          <w:szCs w:val="24"/>
        </w:rPr>
        <w:t>diğer sektörlere</w:t>
      </w:r>
      <w:r>
        <w:rPr>
          <w:rFonts w:ascii="Times New Roman" w:eastAsia="Times New Roman" w:hAnsi="Times New Roman" w:cs="Times New Roman"/>
          <w:sz w:val="24"/>
          <w:szCs w:val="24"/>
        </w:rPr>
        <w:t xml:space="preserve"> ait olduğu görülmektedir. </w:t>
      </w:r>
      <w:r>
        <w:rPr>
          <w:rFonts w:ascii="Times New Roman" w:eastAsia="Times New Roman" w:hAnsi="Times New Roman" w:cs="Times New Roman"/>
          <w:i/>
          <w:sz w:val="24"/>
          <w:szCs w:val="24"/>
        </w:rPr>
        <w:t>Diğer sektörlerden</w:t>
      </w:r>
      <w:r>
        <w:rPr>
          <w:rFonts w:ascii="Times New Roman" w:eastAsia="Times New Roman" w:hAnsi="Times New Roman" w:cs="Times New Roman"/>
          <w:sz w:val="24"/>
          <w:szCs w:val="24"/>
        </w:rPr>
        <w:t xml:space="preserve"> sonra en büyük pay </w:t>
      </w:r>
      <w:r>
        <w:rPr>
          <w:rFonts w:ascii="Times New Roman" w:eastAsia="Times New Roman" w:hAnsi="Times New Roman" w:cs="Times New Roman"/>
          <w:i/>
          <w:sz w:val="24"/>
          <w:szCs w:val="24"/>
        </w:rPr>
        <w:t>sanayi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sektörüne ait olup üçüncü sıra da ise </w:t>
      </w:r>
      <w:r>
        <w:rPr>
          <w:rFonts w:ascii="Times New Roman" w:eastAsia="Times New Roman" w:hAnsi="Times New Roman" w:cs="Times New Roman"/>
          <w:i/>
          <w:sz w:val="24"/>
          <w:szCs w:val="24"/>
        </w:rPr>
        <w:t>ulaşım</w:t>
      </w:r>
      <w:r>
        <w:rPr>
          <w:rFonts w:ascii="Times New Roman" w:eastAsia="Times New Roman" w:hAnsi="Times New Roman" w:cs="Times New Roman"/>
          <w:sz w:val="24"/>
          <w:szCs w:val="24"/>
        </w:rPr>
        <w:t xml:space="preserve"> sektörü bulunmaktadır. Nihai birimlerin toplam enerji tüketimleri içerisindeki oran açısından son sırada ise </w:t>
      </w:r>
      <w:r>
        <w:rPr>
          <w:rFonts w:ascii="Times New Roman" w:eastAsia="Times New Roman" w:hAnsi="Times New Roman" w:cs="Times New Roman"/>
          <w:i/>
          <w:sz w:val="24"/>
          <w:szCs w:val="24"/>
        </w:rPr>
        <w:t>enerji dışı kullanım</w:t>
      </w:r>
      <w:r>
        <w:rPr>
          <w:rFonts w:ascii="Times New Roman" w:eastAsia="Times New Roman" w:hAnsi="Times New Roman" w:cs="Times New Roman"/>
          <w:sz w:val="24"/>
          <w:szCs w:val="24"/>
        </w:rPr>
        <w:t xml:space="preserve"> bulunmaktadır. </w:t>
      </w:r>
      <w:r>
        <w:rPr>
          <w:rFonts w:ascii="Times New Roman" w:eastAsia="Times New Roman" w:hAnsi="Times New Roman" w:cs="Times New Roman"/>
          <w:i/>
          <w:sz w:val="24"/>
          <w:szCs w:val="24"/>
        </w:rPr>
        <w:t>Enerji dışı kullanım</w:t>
      </w:r>
      <w:r>
        <w:rPr>
          <w:rFonts w:ascii="Times New Roman" w:eastAsia="Times New Roman" w:hAnsi="Times New Roman" w:cs="Times New Roman"/>
          <w:sz w:val="24"/>
          <w:szCs w:val="24"/>
        </w:rPr>
        <w:t xml:space="preserve"> petrokimya sanayiinde hammadde olarak kullanılan petrol ürünlerini ifade etmektedir. </w:t>
      </w:r>
      <w:r w:rsidR="008A2C1B">
        <w:rPr>
          <w:rFonts w:ascii="Times New Roman" w:eastAsia="Times New Roman" w:hAnsi="Times New Roman" w:cs="Times New Roman"/>
          <w:sz w:val="24"/>
          <w:szCs w:val="24"/>
        </w:rPr>
        <w:t>1972 – 202</w:t>
      </w:r>
      <w:r>
        <w:rPr>
          <w:rFonts w:ascii="Times New Roman" w:eastAsia="Times New Roman" w:hAnsi="Times New Roman" w:cs="Times New Roman"/>
          <w:sz w:val="24"/>
          <w:szCs w:val="24"/>
        </w:rPr>
        <w:t>2</w:t>
      </w:r>
      <w:r w:rsidR="008A2C1B">
        <w:rPr>
          <w:rFonts w:ascii="Times New Roman" w:eastAsia="Times New Roman" w:hAnsi="Times New Roman" w:cs="Times New Roman"/>
          <w:sz w:val="24"/>
          <w:szCs w:val="24"/>
        </w:rPr>
        <w:t xml:space="preserve"> yılları arasında nihai birimlerin toplam enerji kullanımı içerisinde </w:t>
      </w:r>
      <w:r w:rsidR="008A2C1B">
        <w:rPr>
          <w:rFonts w:ascii="Times New Roman" w:eastAsia="Times New Roman" w:hAnsi="Times New Roman" w:cs="Times New Roman"/>
          <w:i/>
          <w:sz w:val="24"/>
          <w:szCs w:val="24"/>
        </w:rPr>
        <w:t>sanayi</w:t>
      </w:r>
      <w:r w:rsidR="008A2C1B">
        <w:rPr>
          <w:rFonts w:ascii="Times New Roman" w:eastAsia="Times New Roman" w:hAnsi="Times New Roman" w:cs="Times New Roman"/>
          <w:sz w:val="24"/>
          <w:szCs w:val="24"/>
        </w:rPr>
        <w:t xml:space="preserve"> sektörünün payı</w:t>
      </w:r>
      <w:r w:rsidR="009012D9">
        <w:rPr>
          <w:rFonts w:ascii="Times New Roman" w:eastAsia="Times New Roman" w:hAnsi="Times New Roman" w:cs="Times New Roman"/>
          <w:sz w:val="24"/>
          <w:szCs w:val="24"/>
        </w:rPr>
        <w:t>nda</w:t>
      </w:r>
      <w:r w:rsidR="008A2C1B">
        <w:rPr>
          <w:rFonts w:ascii="Times New Roman" w:eastAsia="Times New Roman" w:hAnsi="Times New Roman" w:cs="Times New Roman"/>
          <w:sz w:val="24"/>
          <w:szCs w:val="24"/>
        </w:rPr>
        <w:t xml:space="preserve"> 2008 yılına kadar sürekli artış </w:t>
      </w:r>
      <w:r w:rsidR="009012D9">
        <w:rPr>
          <w:rFonts w:ascii="Times New Roman" w:eastAsia="Times New Roman" w:hAnsi="Times New Roman" w:cs="Times New Roman"/>
          <w:sz w:val="24"/>
          <w:szCs w:val="24"/>
        </w:rPr>
        <w:t>olmakla birlikte</w:t>
      </w:r>
      <w:r w:rsidR="008A2C1B">
        <w:rPr>
          <w:rFonts w:ascii="Times New Roman" w:eastAsia="Times New Roman" w:hAnsi="Times New Roman" w:cs="Times New Roman"/>
          <w:sz w:val="24"/>
          <w:szCs w:val="24"/>
        </w:rPr>
        <w:t xml:space="preserve"> 2008 yılında yaklaşık olarak %</w:t>
      </w:r>
      <w:r w:rsidR="009012D9">
        <w:rPr>
          <w:rFonts w:ascii="Times New Roman" w:eastAsia="Times New Roman" w:hAnsi="Times New Roman" w:cs="Times New Roman"/>
          <w:sz w:val="24"/>
          <w:szCs w:val="24"/>
        </w:rPr>
        <w:t>7</w:t>
      </w:r>
      <w:r w:rsidR="008A2C1B">
        <w:rPr>
          <w:rFonts w:ascii="Times New Roman" w:eastAsia="Times New Roman" w:hAnsi="Times New Roman" w:cs="Times New Roman"/>
          <w:sz w:val="24"/>
          <w:szCs w:val="24"/>
        </w:rPr>
        <w:t xml:space="preserve">’lik bir düşüş </w:t>
      </w:r>
      <w:r w:rsidR="009012D9">
        <w:rPr>
          <w:rFonts w:ascii="Times New Roman" w:eastAsia="Times New Roman" w:hAnsi="Times New Roman" w:cs="Times New Roman"/>
          <w:sz w:val="24"/>
          <w:szCs w:val="24"/>
        </w:rPr>
        <w:t>görülmektedir</w:t>
      </w:r>
      <w:r w:rsidR="008A2C1B">
        <w:rPr>
          <w:rFonts w:ascii="Times New Roman" w:eastAsia="Times New Roman" w:hAnsi="Times New Roman" w:cs="Times New Roman"/>
          <w:sz w:val="24"/>
          <w:szCs w:val="24"/>
        </w:rPr>
        <w:t xml:space="preserve">. </w:t>
      </w:r>
      <w:r w:rsidR="008A2C1B">
        <w:rPr>
          <w:rFonts w:ascii="Times New Roman" w:eastAsia="Times New Roman" w:hAnsi="Times New Roman" w:cs="Times New Roman"/>
          <w:i/>
          <w:sz w:val="24"/>
          <w:szCs w:val="24"/>
        </w:rPr>
        <w:t>Sanayi</w:t>
      </w:r>
      <w:r w:rsidR="008A2C1B">
        <w:rPr>
          <w:rFonts w:ascii="Times New Roman" w:eastAsia="Times New Roman" w:hAnsi="Times New Roman" w:cs="Times New Roman"/>
          <w:sz w:val="24"/>
          <w:szCs w:val="24"/>
        </w:rPr>
        <w:t xml:space="preserve"> sektörünün enerji kullanımındaki bu düşüşün </w:t>
      </w:r>
      <w:r w:rsidR="00D60952">
        <w:rPr>
          <w:rFonts w:ascii="Times New Roman" w:eastAsia="Times New Roman" w:hAnsi="Times New Roman" w:cs="Times New Roman"/>
          <w:sz w:val="24"/>
          <w:szCs w:val="24"/>
        </w:rPr>
        <w:t xml:space="preserve">akla gelebilecek ilk sebebi ise </w:t>
      </w:r>
      <w:r w:rsidR="008A2C1B">
        <w:rPr>
          <w:rFonts w:ascii="Times New Roman" w:eastAsia="Times New Roman" w:hAnsi="Times New Roman" w:cs="Times New Roman"/>
          <w:sz w:val="24"/>
          <w:szCs w:val="24"/>
        </w:rPr>
        <w:t xml:space="preserve">2008 küresel finans krizine bağlı olarak </w:t>
      </w:r>
      <w:r w:rsidR="008A2C1B">
        <w:rPr>
          <w:rFonts w:ascii="Times New Roman" w:eastAsia="Times New Roman" w:hAnsi="Times New Roman" w:cs="Times New Roman"/>
          <w:i/>
          <w:sz w:val="24"/>
          <w:szCs w:val="24"/>
        </w:rPr>
        <w:t>sanayi</w:t>
      </w:r>
      <w:r w:rsidR="008A2C1B">
        <w:rPr>
          <w:rFonts w:ascii="Times New Roman" w:eastAsia="Times New Roman" w:hAnsi="Times New Roman" w:cs="Times New Roman"/>
          <w:sz w:val="24"/>
          <w:szCs w:val="24"/>
        </w:rPr>
        <w:t xml:space="preserve"> sektörünün üretiminde yaşanan daralmadır. 2008 yılından sonra ise nihai birimlerin toplam enerji kullanımı içerisinde </w:t>
      </w:r>
      <w:r w:rsidR="008A2C1B">
        <w:rPr>
          <w:rFonts w:ascii="Times New Roman" w:eastAsia="Times New Roman" w:hAnsi="Times New Roman" w:cs="Times New Roman"/>
          <w:i/>
          <w:sz w:val="24"/>
          <w:szCs w:val="24"/>
        </w:rPr>
        <w:t>sanayi</w:t>
      </w:r>
      <w:r w:rsidR="008A2C1B">
        <w:rPr>
          <w:rFonts w:ascii="Times New Roman" w:eastAsia="Times New Roman" w:hAnsi="Times New Roman" w:cs="Times New Roman"/>
          <w:sz w:val="24"/>
          <w:szCs w:val="24"/>
        </w:rPr>
        <w:t xml:space="preserve"> sektörünün payı yatay olarak seyretmiş olup, ortalama yaklaşık %32 olarak gerçekleşmiştir. </w:t>
      </w:r>
      <w:r w:rsidR="008A2C1B">
        <w:rPr>
          <w:rFonts w:ascii="Times New Roman" w:eastAsia="Times New Roman" w:hAnsi="Times New Roman" w:cs="Times New Roman"/>
          <w:i/>
          <w:sz w:val="24"/>
          <w:szCs w:val="24"/>
        </w:rPr>
        <w:t>Ulaşım</w:t>
      </w:r>
      <w:r w:rsidR="008A2C1B">
        <w:rPr>
          <w:rFonts w:ascii="Times New Roman" w:eastAsia="Times New Roman" w:hAnsi="Times New Roman" w:cs="Times New Roman"/>
          <w:sz w:val="24"/>
          <w:szCs w:val="24"/>
        </w:rPr>
        <w:t xml:space="preserve"> sektörünün payı ise 1972 – 202</w:t>
      </w:r>
      <w:r w:rsidR="009012D9">
        <w:rPr>
          <w:rFonts w:ascii="Times New Roman" w:eastAsia="Times New Roman" w:hAnsi="Times New Roman" w:cs="Times New Roman"/>
          <w:sz w:val="24"/>
          <w:szCs w:val="24"/>
        </w:rPr>
        <w:t>2</w:t>
      </w:r>
      <w:r w:rsidR="008A2C1B">
        <w:rPr>
          <w:rFonts w:ascii="Times New Roman" w:eastAsia="Times New Roman" w:hAnsi="Times New Roman" w:cs="Times New Roman"/>
          <w:sz w:val="24"/>
          <w:szCs w:val="24"/>
        </w:rPr>
        <w:t xml:space="preserve"> yılları arasında yatay seyretmiş olup yaklaşık olarak ortalama %20 civarındadır. </w:t>
      </w:r>
      <w:r w:rsidR="008A2C1B">
        <w:rPr>
          <w:rFonts w:ascii="Times New Roman" w:eastAsia="Times New Roman" w:hAnsi="Times New Roman" w:cs="Times New Roman"/>
          <w:i/>
          <w:sz w:val="24"/>
          <w:szCs w:val="24"/>
        </w:rPr>
        <w:t>Ulaşım</w:t>
      </w:r>
      <w:r w:rsidR="008A2C1B">
        <w:rPr>
          <w:rFonts w:ascii="Times New Roman" w:eastAsia="Times New Roman" w:hAnsi="Times New Roman" w:cs="Times New Roman"/>
          <w:sz w:val="24"/>
          <w:szCs w:val="24"/>
        </w:rPr>
        <w:t xml:space="preserve"> sektörünün enerji kullanımları içerisindeki en büyük pay petrol ürünlerine, petrol ürünleri içerisinde de benzin ve mazota aittir. </w:t>
      </w:r>
    </w:p>
    <w:p w14:paraId="05F3FAE0" w14:textId="48089C7D"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Nihai birimlerin toplam enerji kullanımı içerisindeki en büyük pay 1972 – 202</w:t>
      </w:r>
      <w:r w:rsidR="009012D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yılları arasındaki dönemin tamamında diğer sektörlere aittir. Denklem (</w:t>
      </w:r>
      <w:r w:rsidR="009012D9">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009012D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göre </w:t>
      </w:r>
      <w:r>
        <w:rPr>
          <w:rFonts w:ascii="Times New Roman" w:eastAsia="Times New Roman" w:hAnsi="Times New Roman" w:cs="Times New Roman"/>
          <w:b/>
          <w:i/>
          <w:sz w:val="24"/>
          <w:szCs w:val="24"/>
        </w:rPr>
        <w:t xml:space="preserve">diğer sektörler; </w:t>
      </w:r>
      <w:r>
        <w:rPr>
          <w:rFonts w:ascii="Times New Roman" w:eastAsia="Times New Roman" w:hAnsi="Times New Roman" w:cs="Times New Roman"/>
          <w:i/>
          <w:sz w:val="24"/>
          <w:szCs w:val="24"/>
        </w:rPr>
        <w:t>konut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ticaret ve hizmetler</w:t>
      </w:r>
      <w:r>
        <w:rPr>
          <w:rFonts w:ascii="Times New Roman" w:eastAsia="Times New Roman" w:hAnsi="Times New Roman" w:cs="Times New Roman"/>
          <w:sz w:val="24"/>
          <w:szCs w:val="24"/>
        </w:rPr>
        <w:t xml:space="preserve"> ve </w:t>
      </w:r>
      <w:r>
        <w:rPr>
          <w:rFonts w:ascii="Times New Roman" w:eastAsia="Times New Roman" w:hAnsi="Times New Roman" w:cs="Times New Roman"/>
          <w:i/>
          <w:sz w:val="24"/>
          <w:szCs w:val="24"/>
        </w:rPr>
        <w:t>tarım ve hayvancılıktan</w:t>
      </w:r>
      <w:r>
        <w:rPr>
          <w:rFonts w:ascii="Times New Roman" w:eastAsia="Times New Roman" w:hAnsi="Times New Roman" w:cs="Times New Roman"/>
          <w:sz w:val="24"/>
          <w:szCs w:val="24"/>
        </w:rPr>
        <w:t xml:space="preserve"> oluşmaktadır. Şekil 9 diğer sektörlerin toplam enerji kullanımı içerisinde </w:t>
      </w:r>
      <w:r w:rsidR="009012D9">
        <w:rPr>
          <w:rFonts w:ascii="Times New Roman" w:eastAsia="Times New Roman" w:hAnsi="Times New Roman" w:cs="Times New Roman"/>
          <w:sz w:val="24"/>
          <w:szCs w:val="24"/>
        </w:rPr>
        <w:t>alt bileşenlerin</w:t>
      </w:r>
      <w:r>
        <w:rPr>
          <w:rFonts w:ascii="Times New Roman" w:eastAsia="Times New Roman" w:hAnsi="Times New Roman" w:cs="Times New Roman"/>
          <w:sz w:val="24"/>
          <w:szCs w:val="24"/>
        </w:rPr>
        <w:t xml:space="preserve"> paylarını göstermektedir. Şekil 9’</w:t>
      </w:r>
      <w:r w:rsidR="00D60952">
        <w:rPr>
          <w:rFonts w:ascii="Times New Roman" w:eastAsia="Times New Roman" w:hAnsi="Times New Roman" w:cs="Times New Roman"/>
          <w:sz w:val="24"/>
          <w:szCs w:val="24"/>
        </w:rPr>
        <w:t>da</w:t>
      </w:r>
      <w:r>
        <w:rPr>
          <w:rFonts w:ascii="Times New Roman" w:eastAsia="Times New Roman" w:hAnsi="Times New Roman" w:cs="Times New Roman"/>
          <w:sz w:val="24"/>
          <w:szCs w:val="24"/>
        </w:rPr>
        <w:t xml:space="preserve"> 2015 yılına kadar </w:t>
      </w:r>
      <w:r>
        <w:rPr>
          <w:rFonts w:ascii="Times New Roman" w:eastAsia="Times New Roman" w:hAnsi="Times New Roman" w:cs="Times New Roman"/>
          <w:i/>
          <w:sz w:val="24"/>
          <w:szCs w:val="24"/>
        </w:rPr>
        <w:t>konut ve hizmetler</w:t>
      </w:r>
      <w:r>
        <w:rPr>
          <w:rFonts w:ascii="Times New Roman" w:eastAsia="Times New Roman" w:hAnsi="Times New Roman" w:cs="Times New Roman"/>
          <w:sz w:val="24"/>
          <w:szCs w:val="24"/>
        </w:rPr>
        <w:t xml:space="preserve"> ile </w:t>
      </w:r>
      <w:r>
        <w:rPr>
          <w:rFonts w:ascii="Times New Roman" w:eastAsia="Times New Roman" w:hAnsi="Times New Roman" w:cs="Times New Roman"/>
          <w:i/>
          <w:sz w:val="24"/>
          <w:szCs w:val="24"/>
        </w:rPr>
        <w:t>tarım sektörleri</w:t>
      </w:r>
      <w:r>
        <w:rPr>
          <w:rFonts w:ascii="Times New Roman" w:eastAsia="Times New Roman" w:hAnsi="Times New Roman" w:cs="Times New Roman"/>
          <w:sz w:val="24"/>
          <w:szCs w:val="24"/>
        </w:rPr>
        <w:t xml:space="preserve">, 2015 yılı ve devamında ise </w:t>
      </w:r>
      <w:r>
        <w:rPr>
          <w:rFonts w:ascii="Times New Roman" w:eastAsia="Times New Roman" w:hAnsi="Times New Roman" w:cs="Times New Roman"/>
          <w:i/>
          <w:sz w:val="24"/>
          <w:szCs w:val="24"/>
        </w:rPr>
        <w:t>konut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ticaret ve hizmetler</w:t>
      </w:r>
      <w:r>
        <w:rPr>
          <w:rFonts w:ascii="Times New Roman" w:eastAsia="Times New Roman" w:hAnsi="Times New Roman" w:cs="Times New Roman"/>
          <w:sz w:val="24"/>
          <w:szCs w:val="24"/>
        </w:rPr>
        <w:t xml:space="preserve"> ve </w:t>
      </w:r>
      <w:r>
        <w:rPr>
          <w:rFonts w:ascii="Times New Roman" w:eastAsia="Times New Roman" w:hAnsi="Times New Roman" w:cs="Times New Roman"/>
          <w:i/>
          <w:sz w:val="24"/>
          <w:szCs w:val="24"/>
        </w:rPr>
        <w:t>tarım ve hayvancılık</w:t>
      </w:r>
      <w:r>
        <w:rPr>
          <w:rFonts w:ascii="Times New Roman" w:eastAsia="Times New Roman" w:hAnsi="Times New Roman" w:cs="Times New Roman"/>
          <w:sz w:val="24"/>
          <w:szCs w:val="24"/>
        </w:rPr>
        <w:t xml:space="preserve"> sektörleri bulunmaktadır. 2015 yılı öncesindeki </w:t>
      </w:r>
      <w:r w:rsidR="00715137">
        <w:rPr>
          <w:rFonts w:ascii="Times New Roman" w:eastAsia="Times New Roman" w:hAnsi="Times New Roman" w:cs="Times New Roman"/>
          <w:sz w:val="24"/>
          <w:szCs w:val="24"/>
        </w:rPr>
        <w:t>UEDT</w:t>
      </w:r>
      <w:r>
        <w:rPr>
          <w:rFonts w:ascii="Times New Roman" w:eastAsia="Times New Roman" w:hAnsi="Times New Roman" w:cs="Times New Roman"/>
          <w:sz w:val="24"/>
          <w:szCs w:val="24"/>
        </w:rPr>
        <w:t xml:space="preserve">’lerde </w:t>
      </w:r>
      <w:r>
        <w:rPr>
          <w:rFonts w:ascii="Times New Roman" w:eastAsia="Times New Roman" w:hAnsi="Times New Roman" w:cs="Times New Roman"/>
          <w:i/>
          <w:sz w:val="24"/>
          <w:szCs w:val="24"/>
        </w:rPr>
        <w:t>konut ve hizmetler</w:t>
      </w:r>
      <w:r>
        <w:rPr>
          <w:rFonts w:ascii="Times New Roman" w:eastAsia="Times New Roman" w:hAnsi="Times New Roman" w:cs="Times New Roman"/>
          <w:sz w:val="24"/>
          <w:szCs w:val="24"/>
        </w:rPr>
        <w:t xml:space="preserve"> olarak toplulaştırılan sektör, 2015 yıl</w:t>
      </w:r>
      <w:r w:rsidR="00D60952">
        <w:rPr>
          <w:rFonts w:ascii="Times New Roman" w:eastAsia="Times New Roman" w:hAnsi="Times New Roman" w:cs="Times New Roman"/>
          <w:sz w:val="24"/>
          <w:szCs w:val="24"/>
        </w:rPr>
        <w:t>ı</w:t>
      </w:r>
      <w:r>
        <w:rPr>
          <w:rFonts w:ascii="Times New Roman" w:eastAsia="Times New Roman" w:hAnsi="Times New Roman" w:cs="Times New Roman"/>
          <w:sz w:val="24"/>
          <w:szCs w:val="24"/>
        </w:rPr>
        <w:t xml:space="preserve"> ve devamında </w:t>
      </w:r>
      <w:r>
        <w:rPr>
          <w:rFonts w:ascii="Times New Roman" w:eastAsia="Times New Roman" w:hAnsi="Times New Roman" w:cs="Times New Roman"/>
          <w:i/>
          <w:sz w:val="24"/>
          <w:szCs w:val="24"/>
        </w:rPr>
        <w:t>konut</w:t>
      </w:r>
      <w:r>
        <w:rPr>
          <w:rFonts w:ascii="Times New Roman" w:eastAsia="Times New Roman" w:hAnsi="Times New Roman" w:cs="Times New Roman"/>
          <w:sz w:val="24"/>
          <w:szCs w:val="24"/>
        </w:rPr>
        <w:t xml:space="preserve"> ile </w:t>
      </w:r>
      <w:r>
        <w:rPr>
          <w:rFonts w:ascii="Times New Roman" w:eastAsia="Times New Roman" w:hAnsi="Times New Roman" w:cs="Times New Roman"/>
          <w:i/>
          <w:sz w:val="24"/>
          <w:szCs w:val="24"/>
        </w:rPr>
        <w:t>ticaret ve hizmetler</w:t>
      </w:r>
      <w:r>
        <w:rPr>
          <w:rFonts w:ascii="Times New Roman" w:eastAsia="Times New Roman" w:hAnsi="Times New Roman" w:cs="Times New Roman"/>
          <w:sz w:val="24"/>
          <w:szCs w:val="24"/>
        </w:rPr>
        <w:t xml:space="preserve"> şeklinde ikiye ayrıştırılmıştır.</w:t>
      </w:r>
    </w:p>
    <w:p w14:paraId="5102BDBE" w14:textId="77777777" w:rsidR="00362911" w:rsidRDefault="00362911" w:rsidP="00FB4800">
      <w:pPr>
        <w:spacing w:line="240" w:lineRule="auto"/>
        <w:ind w:firstLine="567"/>
        <w:jc w:val="both"/>
        <w:rPr>
          <w:rFonts w:ascii="Times New Roman" w:eastAsia="Times New Roman" w:hAnsi="Times New Roman" w:cs="Times New Roman"/>
          <w:sz w:val="24"/>
          <w:szCs w:val="24"/>
        </w:rPr>
      </w:pPr>
    </w:p>
    <w:p w14:paraId="0B03CC23" w14:textId="77777777" w:rsidR="00362911" w:rsidRDefault="00362911" w:rsidP="00FB4800">
      <w:pPr>
        <w:spacing w:line="240" w:lineRule="auto"/>
        <w:ind w:firstLine="567"/>
        <w:jc w:val="both"/>
        <w:rPr>
          <w:rFonts w:ascii="Times New Roman" w:eastAsia="Times New Roman" w:hAnsi="Times New Roman" w:cs="Times New Roman"/>
          <w:sz w:val="24"/>
          <w:szCs w:val="24"/>
        </w:rPr>
      </w:pPr>
    </w:p>
    <w:p w14:paraId="5BBC46F1" w14:textId="77777777" w:rsidR="00362911" w:rsidRDefault="00362911" w:rsidP="00FB4800">
      <w:pPr>
        <w:spacing w:line="240" w:lineRule="auto"/>
        <w:ind w:firstLine="567"/>
        <w:jc w:val="both"/>
        <w:rPr>
          <w:rFonts w:ascii="Times New Roman" w:eastAsia="Times New Roman" w:hAnsi="Times New Roman" w:cs="Times New Roman"/>
          <w:sz w:val="24"/>
          <w:szCs w:val="24"/>
        </w:rPr>
      </w:pPr>
    </w:p>
    <w:p w14:paraId="59F2C47C" w14:textId="77777777" w:rsidR="00362911" w:rsidRDefault="00362911" w:rsidP="00FB4800">
      <w:pPr>
        <w:spacing w:line="240" w:lineRule="auto"/>
        <w:ind w:firstLine="567"/>
        <w:jc w:val="both"/>
        <w:rPr>
          <w:rFonts w:ascii="Times New Roman" w:eastAsia="Times New Roman" w:hAnsi="Times New Roman" w:cs="Times New Roman"/>
          <w:sz w:val="24"/>
          <w:szCs w:val="24"/>
        </w:rPr>
      </w:pPr>
    </w:p>
    <w:p w14:paraId="406B613E" w14:textId="77777777" w:rsidR="00362911" w:rsidRDefault="00362911" w:rsidP="00FB4800">
      <w:pPr>
        <w:spacing w:line="240" w:lineRule="auto"/>
        <w:ind w:firstLine="567"/>
        <w:jc w:val="both"/>
        <w:rPr>
          <w:rFonts w:ascii="Times New Roman" w:eastAsia="Times New Roman" w:hAnsi="Times New Roman" w:cs="Times New Roman"/>
          <w:sz w:val="24"/>
          <w:szCs w:val="24"/>
        </w:rPr>
      </w:pPr>
    </w:p>
    <w:p w14:paraId="2CDC07DC" w14:textId="4F28AA85" w:rsidR="00C21BD1" w:rsidRDefault="002678ED" w:rsidP="00FB4800">
      <w:pPr>
        <w:pStyle w:val="ResimYazs"/>
        <w:spacing w:line="240" w:lineRule="auto"/>
        <w:rPr>
          <w:rFonts w:eastAsia="Times New Roman" w:cs="Times New Roman"/>
          <w:color w:val="000000"/>
          <w:szCs w:val="24"/>
        </w:rPr>
      </w:pPr>
      <w:bookmarkStart w:id="21" w:name="_heading=h.19c6y18" w:colFirst="0" w:colLast="0"/>
      <w:bookmarkStart w:id="22" w:name="_Toc124962548"/>
      <w:bookmarkEnd w:id="21"/>
      <w:r>
        <w:t xml:space="preserve">Şekil </w:t>
      </w:r>
      <w:fldSimple w:instr=" SEQ Şekil \* ARABIC ">
        <w:r w:rsidR="00FB4800">
          <w:rPr>
            <w:noProof/>
          </w:rPr>
          <w:t>9</w:t>
        </w:r>
      </w:fldSimple>
      <w:r>
        <w:rPr>
          <w:rFonts w:eastAsia="Times New Roman" w:cs="Times New Roman"/>
          <w:color w:val="000000"/>
          <w:szCs w:val="24"/>
        </w:rPr>
        <w:t>: D</w:t>
      </w:r>
      <w:r w:rsidR="00D60952">
        <w:rPr>
          <w:rFonts w:eastAsia="Times New Roman" w:cs="Times New Roman"/>
          <w:color w:val="000000"/>
          <w:szCs w:val="24"/>
        </w:rPr>
        <w:t>iğer</w:t>
      </w:r>
      <w:r>
        <w:rPr>
          <w:rFonts w:eastAsia="Times New Roman" w:cs="Times New Roman"/>
          <w:color w:val="000000"/>
          <w:szCs w:val="24"/>
        </w:rPr>
        <w:t xml:space="preserve"> Sekt</w:t>
      </w:r>
      <w:r w:rsidR="009012D9">
        <w:rPr>
          <w:rFonts w:eastAsia="Times New Roman" w:cs="Times New Roman"/>
          <w:color w:val="000000"/>
          <w:szCs w:val="24"/>
        </w:rPr>
        <w:t>örler</w:t>
      </w:r>
      <w:r>
        <w:rPr>
          <w:rFonts w:eastAsia="Times New Roman" w:cs="Times New Roman"/>
          <w:color w:val="000000"/>
          <w:szCs w:val="24"/>
        </w:rPr>
        <w:t xml:space="preserve"> Toplam Enerji Kullanımının Dağılımı (1972 - 202</w:t>
      </w:r>
      <w:r w:rsidR="00271D41">
        <w:rPr>
          <w:rFonts w:eastAsia="Times New Roman" w:cs="Times New Roman"/>
          <w:color w:val="000000"/>
          <w:szCs w:val="24"/>
        </w:rPr>
        <w:t>2</w:t>
      </w:r>
      <w:r>
        <w:rPr>
          <w:rFonts w:eastAsia="Times New Roman" w:cs="Times New Roman"/>
          <w:color w:val="000000"/>
          <w:szCs w:val="24"/>
        </w:rPr>
        <w:t>) (Denklem 19)</w:t>
      </w:r>
      <w:bookmarkEnd w:id="22"/>
    </w:p>
    <w:p w14:paraId="10263E0B" w14:textId="1DD21FFF" w:rsidR="00C21BD1" w:rsidRDefault="00641382" w:rsidP="00FB4800">
      <w:pPr>
        <w:spacing w:after="0" w:line="240" w:lineRule="auto"/>
        <w:rPr>
          <w:rFonts w:ascii="Times New Roman" w:eastAsia="Times New Roman" w:hAnsi="Times New Roman" w:cs="Times New Roman"/>
          <w:sz w:val="24"/>
          <w:szCs w:val="24"/>
        </w:rPr>
      </w:pPr>
      <w:r w:rsidRPr="00641382">
        <w:rPr>
          <w:rFonts w:ascii="Times New Roman" w:eastAsia="Times New Roman" w:hAnsi="Times New Roman" w:cs="Times New Roman"/>
          <w:noProof/>
          <w:sz w:val="24"/>
          <w:szCs w:val="24"/>
        </w:rPr>
        <w:drawing>
          <wp:inline distT="0" distB="0" distL="0" distR="0" wp14:anchorId="21222B77" wp14:editId="4E252DA0">
            <wp:extent cx="3922395" cy="1386417"/>
            <wp:effectExtent l="19050" t="19050" r="1905" b="4445"/>
            <wp:docPr id="462262555"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62555" name="Resim 1" descr="metin, ekran görüntüsü, çizgi, öykü gelişim çizgisi; kumpas; grafiğini çıkarma içeren bir resim&#10;&#10;Açıklama otomatik olarak oluşturuldu"/>
                    <pic:cNvPicPr/>
                  </pic:nvPicPr>
                  <pic:blipFill>
                    <a:blip r:embed="rId17"/>
                    <a:stretch>
                      <a:fillRect/>
                    </a:stretch>
                  </pic:blipFill>
                  <pic:spPr>
                    <a:xfrm>
                      <a:off x="0" y="0"/>
                      <a:ext cx="3938136" cy="1391981"/>
                    </a:xfrm>
                    <a:prstGeom prst="rect">
                      <a:avLst/>
                    </a:prstGeom>
                    <a:ln w="6350">
                      <a:solidFill>
                        <a:schemeClr val="tx1"/>
                      </a:solidFill>
                    </a:ln>
                  </pic:spPr>
                </pic:pic>
              </a:graphicData>
            </a:graphic>
          </wp:inline>
        </w:drawing>
      </w:r>
    </w:p>
    <w:p w14:paraId="2626EB8A" w14:textId="59B197EA" w:rsidR="00C21BD1" w:rsidRDefault="008A2C1B" w:rsidP="009012D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Kaynak: 1972 – 202</w:t>
      </w:r>
      <w:r w:rsidR="009012D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Enerji Denge Tablolarından (Ton Eşdeğer Petrol) Derlenmiştir.</w:t>
      </w:r>
    </w:p>
    <w:p w14:paraId="3E26C1CF" w14:textId="7F8ECC6E"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kapsamda, diğer sektörlerin toplam enerji kullanımı içerisinde en büyük pay </w:t>
      </w:r>
      <w:r>
        <w:rPr>
          <w:rFonts w:ascii="Times New Roman" w:eastAsia="Times New Roman" w:hAnsi="Times New Roman" w:cs="Times New Roman"/>
          <w:i/>
          <w:sz w:val="24"/>
          <w:szCs w:val="24"/>
        </w:rPr>
        <w:t>konut ve hizmetlere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konut ve hizmetler</w:t>
      </w:r>
      <w:r>
        <w:rPr>
          <w:rFonts w:ascii="Times New Roman" w:eastAsia="Times New Roman" w:hAnsi="Times New Roman" w:cs="Times New Roman"/>
          <w:sz w:val="24"/>
          <w:szCs w:val="24"/>
        </w:rPr>
        <w:t xml:space="preserve"> içerisinde ise </w:t>
      </w:r>
      <w:r>
        <w:rPr>
          <w:rFonts w:ascii="Times New Roman" w:eastAsia="Times New Roman" w:hAnsi="Times New Roman" w:cs="Times New Roman"/>
          <w:i/>
          <w:sz w:val="24"/>
          <w:szCs w:val="24"/>
        </w:rPr>
        <w:t>konuta</w:t>
      </w:r>
      <w:r>
        <w:rPr>
          <w:rFonts w:ascii="Times New Roman" w:eastAsia="Times New Roman" w:hAnsi="Times New Roman" w:cs="Times New Roman"/>
          <w:sz w:val="24"/>
          <w:szCs w:val="24"/>
        </w:rPr>
        <w:t xml:space="preserve"> yani </w:t>
      </w:r>
      <w:r>
        <w:rPr>
          <w:rFonts w:ascii="Times New Roman" w:eastAsia="Times New Roman" w:hAnsi="Times New Roman" w:cs="Times New Roman"/>
          <w:b/>
          <w:sz w:val="24"/>
          <w:szCs w:val="24"/>
        </w:rPr>
        <w:t>hanehalkına</w:t>
      </w:r>
      <w:r>
        <w:rPr>
          <w:rFonts w:ascii="Times New Roman" w:eastAsia="Times New Roman" w:hAnsi="Times New Roman" w:cs="Times New Roman"/>
          <w:sz w:val="24"/>
          <w:szCs w:val="24"/>
        </w:rPr>
        <w:t xml:space="preserve"> aittir. Şekil 9’da 2015 yılı ve devamı incelendiğinde hanehalkının enerji tüketimi payı </w:t>
      </w:r>
      <w:r w:rsidR="009012D9">
        <w:rPr>
          <w:rFonts w:ascii="Times New Roman" w:eastAsia="Times New Roman" w:hAnsi="Times New Roman" w:cs="Times New Roman"/>
          <w:sz w:val="24"/>
          <w:szCs w:val="24"/>
        </w:rPr>
        <w:t>%52,3’ten</w:t>
      </w:r>
      <w:r>
        <w:rPr>
          <w:rFonts w:ascii="Times New Roman" w:eastAsia="Times New Roman" w:hAnsi="Times New Roman" w:cs="Times New Roman"/>
          <w:sz w:val="24"/>
          <w:szCs w:val="24"/>
        </w:rPr>
        <w:t xml:space="preserve"> %</w:t>
      </w:r>
      <w:r w:rsidR="00D60952">
        <w:rPr>
          <w:rFonts w:ascii="Times New Roman" w:eastAsia="Times New Roman" w:hAnsi="Times New Roman" w:cs="Times New Roman"/>
          <w:sz w:val="24"/>
          <w:szCs w:val="24"/>
        </w:rPr>
        <w:t>60,2</w:t>
      </w:r>
      <w:r>
        <w:rPr>
          <w:rFonts w:ascii="Times New Roman" w:eastAsia="Times New Roman" w:hAnsi="Times New Roman" w:cs="Times New Roman"/>
          <w:sz w:val="24"/>
          <w:szCs w:val="24"/>
        </w:rPr>
        <w:t>’ye yükselmiştir. Ticaret ve hizmetlerin payı %3</w:t>
      </w:r>
      <w:r w:rsidR="00D60952">
        <w:rPr>
          <w:rFonts w:ascii="Times New Roman" w:eastAsia="Times New Roman" w:hAnsi="Times New Roman" w:cs="Times New Roman"/>
          <w:sz w:val="24"/>
          <w:szCs w:val="24"/>
        </w:rPr>
        <w:t>6,8</w:t>
      </w:r>
      <w:r>
        <w:rPr>
          <w:rFonts w:ascii="Times New Roman" w:eastAsia="Times New Roman" w:hAnsi="Times New Roman" w:cs="Times New Roman"/>
          <w:sz w:val="24"/>
          <w:szCs w:val="24"/>
        </w:rPr>
        <w:t>’den %</w:t>
      </w:r>
      <w:r w:rsidR="00D60952">
        <w:rPr>
          <w:rFonts w:ascii="Times New Roman" w:eastAsia="Times New Roman" w:hAnsi="Times New Roman" w:cs="Times New Roman"/>
          <w:sz w:val="24"/>
          <w:szCs w:val="24"/>
        </w:rPr>
        <w:t>28</w:t>
      </w:r>
      <w:r>
        <w:rPr>
          <w:rFonts w:ascii="Times New Roman" w:eastAsia="Times New Roman" w:hAnsi="Times New Roman" w:cs="Times New Roman"/>
          <w:sz w:val="24"/>
          <w:szCs w:val="24"/>
        </w:rPr>
        <w:t>’e düşmüş</w:t>
      </w:r>
      <w:r w:rsidR="009012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Tarım ve hayvancılığın payı ise %1</w:t>
      </w:r>
      <w:r w:rsidR="00D60952">
        <w:rPr>
          <w:rFonts w:ascii="Times New Roman" w:eastAsia="Times New Roman" w:hAnsi="Times New Roman" w:cs="Times New Roman"/>
          <w:sz w:val="24"/>
          <w:szCs w:val="24"/>
        </w:rPr>
        <w:t>0,9</w:t>
      </w:r>
      <w:r>
        <w:rPr>
          <w:rFonts w:ascii="Times New Roman" w:eastAsia="Times New Roman" w:hAnsi="Times New Roman" w:cs="Times New Roman"/>
          <w:sz w:val="24"/>
          <w:szCs w:val="24"/>
        </w:rPr>
        <w:t>’d</w:t>
      </w:r>
      <w:r w:rsidR="00D60952">
        <w:rPr>
          <w:rFonts w:ascii="Times New Roman" w:eastAsia="Times New Roman" w:hAnsi="Times New Roman" w:cs="Times New Roman"/>
          <w:sz w:val="24"/>
          <w:szCs w:val="24"/>
        </w:rPr>
        <w:t>a</w:t>
      </w:r>
      <w:r>
        <w:rPr>
          <w:rFonts w:ascii="Times New Roman" w:eastAsia="Times New Roman" w:hAnsi="Times New Roman" w:cs="Times New Roman"/>
          <w:sz w:val="24"/>
          <w:szCs w:val="24"/>
        </w:rPr>
        <w:t>n %1</w:t>
      </w:r>
      <w:r w:rsidR="00D60952">
        <w:rPr>
          <w:rFonts w:ascii="Times New Roman" w:eastAsia="Times New Roman" w:hAnsi="Times New Roman" w:cs="Times New Roman"/>
          <w:sz w:val="24"/>
          <w:szCs w:val="24"/>
        </w:rPr>
        <w:t>1,7</w:t>
      </w:r>
      <w:r>
        <w:rPr>
          <w:rFonts w:ascii="Times New Roman" w:eastAsia="Times New Roman" w:hAnsi="Times New Roman" w:cs="Times New Roman"/>
          <w:sz w:val="24"/>
          <w:szCs w:val="24"/>
        </w:rPr>
        <w:t xml:space="preserve">’ye çıkmıştır. </w:t>
      </w:r>
    </w:p>
    <w:p w14:paraId="6FE5F046" w14:textId="06193390"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Şekil 6 – Şekil 9 arasında yurtiçi birimlerin enerji kullanımları kendi içerisinde gösterilmiştir. Bununla birlikte yurtiçi birimlerin enerji kullanımlarının birlikte görülebilmesi de önem arz etmektedir. Böylece toplam enerji arzının yurtiçinde hangi birimler tarafından daha fazla kullanıldığı anlaşılabilecektir. Bu kapsamda Şekil </w:t>
      </w:r>
      <w:r w:rsidR="009012D9">
        <w:rPr>
          <w:rFonts w:ascii="Times New Roman" w:eastAsia="Times New Roman" w:hAnsi="Times New Roman" w:cs="Times New Roman"/>
          <w:sz w:val="24"/>
          <w:szCs w:val="24"/>
        </w:rPr>
        <w:t>1</w:t>
      </w:r>
      <w:r>
        <w:rPr>
          <w:rFonts w:ascii="Times New Roman" w:eastAsia="Times New Roman" w:hAnsi="Times New Roman" w:cs="Times New Roman"/>
          <w:sz w:val="24"/>
          <w:szCs w:val="24"/>
        </w:rPr>
        <w:t>0’d</w:t>
      </w:r>
      <w:r w:rsidR="009012D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toplam enerji kullanımı içerisinde yurtiçi birimlerin payları gösterilmiştir.  </w:t>
      </w:r>
    </w:p>
    <w:p w14:paraId="6562C4E5" w14:textId="77777777" w:rsidR="00362911" w:rsidRDefault="00362911" w:rsidP="00FB4800">
      <w:pPr>
        <w:spacing w:line="240" w:lineRule="auto"/>
        <w:ind w:firstLine="567"/>
        <w:jc w:val="both"/>
        <w:rPr>
          <w:rFonts w:ascii="Times New Roman" w:eastAsia="Times New Roman" w:hAnsi="Times New Roman" w:cs="Times New Roman"/>
          <w:sz w:val="24"/>
          <w:szCs w:val="24"/>
        </w:rPr>
      </w:pPr>
    </w:p>
    <w:p w14:paraId="68D69FD3" w14:textId="77777777" w:rsidR="00362911" w:rsidRDefault="00362911" w:rsidP="00FB4800">
      <w:pPr>
        <w:spacing w:line="240" w:lineRule="auto"/>
        <w:ind w:firstLine="567"/>
        <w:jc w:val="both"/>
        <w:rPr>
          <w:rFonts w:ascii="Times New Roman" w:eastAsia="Times New Roman" w:hAnsi="Times New Roman" w:cs="Times New Roman"/>
          <w:sz w:val="24"/>
          <w:szCs w:val="24"/>
        </w:rPr>
      </w:pPr>
    </w:p>
    <w:p w14:paraId="1A08F9D3" w14:textId="77777777" w:rsidR="00362911" w:rsidRDefault="00362911" w:rsidP="00FB4800">
      <w:pPr>
        <w:spacing w:line="240" w:lineRule="auto"/>
        <w:ind w:firstLine="567"/>
        <w:jc w:val="both"/>
        <w:rPr>
          <w:rFonts w:ascii="Times New Roman" w:eastAsia="Times New Roman" w:hAnsi="Times New Roman" w:cs="Times New Roman"/>
          <w:sz w:val="24"/>
          <w:szCs w:val="24"/>
        </w:rPr>
      </w:pPr>
    </w:p>
    <w:p w14:paraId="60168999" w14:textId="77777777" w:rsidR="00362911" w:rsidRDefault="00362911" w:rsidP="00FB4800">
      <w:pPr>
        <w:spacing w:line="240" w:lineRule="auto"/>
        <w:ind w:firstLine="567"/>
        <w:jc w:val="both"/>
        <w:rPr>
          <w:rFonts w:ascii="Times New Roman" w:eastAsia="Times New Roman" w:hAnsi="Times New Roman" w:cs="Times New Roman"/>
          <w:sz w:val="24"/>
          <w:szCs w:val="24"/>
        </w:rPr>
      </w:pPr>
    </w:p>
    <w:p w14:paraId="5307D08F" w14:textId="77777777" w:rsidR="00362911" w:rsidRDefault="00362911" w:rsidP="00FB4800">
      <w:pPr>
        <w:spacing w:line="240" w:lineRule="auto"/>
        <w:ind w:firstLine="567"/>
        <w:jc w:val="both"/>
        <w:rPr>
          <w:rFonts w:ascii="Times New Roman" w:eastAsia="Times New Roman" w:hAnsi="Times New Roman" w:cs="Times New Roman"/>
          <w:sz w:val="24"/>
          <w:szCs w:val="24"/>
        </w:rPr>
      </w:pPr>
    </w:p>
    <w:p w14:paraId="55C86C0E" w14:textId="77777777" w:rsidR="00362911" w:rsidRDefault="00362911" w:rsidP="00FB4800">
      <w:pPr>
        <w:spacing w:line="240" w:lineRule="auto"/>
        <w:ind w:firstLine="567"/>
        <w:jc w:val="both"/>
        <w:rPr>
          <w:rFonts w:ascii="Times New Roman" w:eastAsia="Times New Roman" w:hAnsi="Times New Roman" w:cs="Times New Roman"/>
          <w:sz w:val="24"/>
          <w:szCs w:val="24"/>
        </w:rPr>
      </w:pPr>
    </w:p>
    <w:p w14:paraId="633F919B" w14:textId="404B0827" w:rsidR="00C21BD1" w:rsidRDefault="002678ED" w:rsidP="00FB4800">
      <w:pPr>
        <w:pStyle w:val="ResimYazs"/>
        <w:spacing w:line="240" w:lineRule="auto"/>
        <w:rPr>
          <w:rFonts w:eastAsia="Times New Roman" w:cs="Times New Roman"/>
          <w:color w:val="000000"/>
          <w:szCs w:val="24"/>
        </w:rPr>
      </w:pPr>
      <w:bookmarkStart w:id="23" w:name="_heading=h.3tbugp1" w:colFirst="0" w:colLast="0"/>
      <w:bookmarkStart w:id="24" w:name="_Toc124962549"/>
      <w:bookmarkEnd w:id="23"/>
      <w:r>
        <w:lastRenderedPageBreak/>
        <w:t xml:space="preserve">Şekil </w:t>
      </w:r>
      <w:fldSimple w:instr=" SEQ Şekil \* ARABIC ">
        <w:r w:rsidR="00FB4800">
          <w:rPr>
            <w:noProof/>
          </w:rPr>
          <w:t>10</w:t>
        </w:r>
      </w:fldSimple>
      <w:r>
        <w:rPr>
          <w:rFonts w:eastAsia="Times New Roman" w:cs="Times New Roman"/>
          <w:color w:val="000000"/>
          <w:szCs w:val="24"/>
        </w:rPr>
        <w:t>: Yurtiçi Sek</w:t>
      </w:r>
      <w:r w:rsidR="002317ED">
        <w:rPr>
          <w:rFonts w:eastAsia="Times New Roman" w:cs="Times New Roman"/>
          <w:color w:val="000000"/>
          <w:szCs w:val="24"/>
        </w:rPr>
        <w:t>t</w:t>
      </w:r>
      <w:r w:rsidR="001C0916">
        <w:rPr>
          <w:rFonts w:eastAsia="Times New Roman" w:cs="Times New Roman"/>
          <w:color w:val="000000"/>
          <w:szCs w:val="24"/>
        </w:rPr>
        <w:t>örlerin</w:t>
      </w:r>
      <w:r>
        <w:rPr>
          <w:rFonts w:eastAsia="Times New Roman" w:cs="Times New Roman"/>
          <w:color w:val="000000"/>
          <w:szCs w:val="24"/>
        </w:rPr>
        <w:t xml:space="preserve"> Enerji Kullanımının Enerji Türlerine Göre Dağılımı (1972 - 202</w:t>
      </w:r>
      <w:r w:rsidR="001C0916">
        <w:rPr>
          <w:rFonts w:eastAsia="Times New Roman" w:cs="Times New Roman"/>
          <w:color w:val="000000"/>
          <w:szCs w:val="24"/>
        </w:rPr>
        <w:t>2</w:t>
      </w:r>
      <w:r>
        <w:rPr>
          <w:rFonts w:eastAsia="Times New Roman" w:cs="Times New Roman"/>
          <w:color w:val="000000"/>
          <w:szCs w:val="24"/>
        </w:rPr>
        <w:t>)</w:t>
      </w:r>
      <w:bookmarkEnd w:id="24"/>
      <w:r>
        <w:rPr>
          <w:rFonts w:eastAsia="Times New Roman" w:cs="Times New Roman"/>
          <w:color w:val="000000"/>
          <w:szCs w:val="24"/>
        </w:rPr>
        <w:t xml:space="preserve"> </w:t>
      </w:r>
    </w:p>
    <w:p w14:paraId="18C1E1F8" w14:textId="10B3DCDB" w:rsidR="00C21BD1" w:rsidRDefault="00641382" w:rsidP="00FB4800">
      <w:pPr>
        <w:spacing w:after="0" w:line="240" w:lineRule="auto"/>
      </w:pPr>
      <w:r w:rsidRPr="00641382">
        <w:rPr>
          <w:noProof/>
        </w:rPr>
        <w:drawing>
          <wp:inline distT="0" distB="0" distL="0" distR="0" wp14:anchorId="5F2C735B" wp14:editId="12E706B2">
            <wp:extent cx="3917950" cy="1547284"/>
            <wp:effectExtent l="19050" t="19050" r="6350" b="0"/>
            <wp:docPr id="519319901" name="Resim 1" descr="metin, ekran görüntüsü,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19901" name="Resim 1" descr="metin, ekran görüntüsü, çizgi, öykü gelişim çizgisi; kumpas; grafiğini çıkarma içeren bir resim&#10;&#10;Açıklama otomatik olarak oluşturuldu"/>
                    <pic:cNvPicPr/>
                  </pic:nvPicPr>
                  <pic:blipFill>
                    <a:blip r:embed="rId18"/>
                    <a:stretch>
                      <a:fillRect/>
                    </a:stretch>
                  </pic:blipFill>
                  <pic:spPr>
                    <a:xfrm>
                      <a:off x="0" y="0"/>
                      <a:ext cx="3930315" cy="1552167"/>
                    </a:xfrm>
                    <a:prstGeom prst="rect">
                      <a:avLst/>
                    </a:prstGeom>
                    <a:ln w="6350">
                      <a:solidFill>
                        <a:schemeClr val="tx1"/>
                      </a:solidFill>
                    </a:ln>
                  </pic:spPr>
                </pic:pic>
              </a:graphicData>
            </a:graphic>
          </wp:inline>
        </w:drawing>
      </w:r>
    </w:p>
    <w:p w14:paraId="6106A7D5" w14:textId="1EFAF9F7" w:rsidR="00C21BD1" w:rsidRDefault="008A2C1B" w:rsidP="009012D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Kaynak: 1972 – 202</w:t>
      </w:r>
      <w:r w:rsidR="009012D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Enerji Denge Tablolarından (Ton Eşdeğer Petrol) Derlenmiştir.</w:t>
      </w:r>
    </w:p>
    <w:p w14:paraId="57616DD2" w14:textId="0AB3FBAA" w:rsidR="00C21BD1" w:rsidRDefault="008A2C1B"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Şekil </w:t>
      </w:r>
      <w:r w:rsidR="009012D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0 aynı zamanda Şekil 6’nın detaylandırılmış hali olarak da değerlendirilebilir. Şöyle ki, Şekil </w:t>
      </w:r>
      <w:r w:rsidR="009012D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0 ve Şekil 6’da ÇES ortak olup, Şekil 6’daki </w:t>
      </w:r>
      <w:r>
        <w:rPr>
          <w:rFonts w:ascii="Times New Roman" w:eastAsia="Times New Roman" w:hAnsi="Times New Roman" w:cs="Times New Roman"/>
          <w:i/>
          <w:sz w:val="24"/>
          <w:szCs w:val="24"/>
        </w:rPr>
        <w:t xml:space="preserve">nihai birimler </w:t>
      </w:r>
      <w:r>
        <w:rPr>
          <w:rFonts w:ascii="Times New Roman" w:eastAsia="Times New Roman" w:hAnsi="Times New Roman" w:cs="Times New Roman"/>
          <w:sz w:val="24"/>
          <w:szCs w:val="24"/>
        </w:rPr>
        <w:t xml:space="preserve">şekil </w:t>
      </w:r>
      <w:r w:rsidR="009012D9">
        <w:rPr>
          <w:rFonts w:ascii="Times New Roman" w:eastAsia="Times New Roman" w:hAnsi="Times New Roman" w:cs="Times New Roman"/>
          <w:sz w:val="24"/>
          <w:szCs w:val="24"/>
        </w:rPr>
        <w:t>1</w:t>
      </w:r>
      <w:r>
        <w:rPr>
          <w:rFonts w:ascii="Times New Roman" w:eastAsia="Times New Roman" w:hAnsi="Times New Roman" w:cs="Times New Roman"/>
          <w:sz w:val="24"/>
          <w:szCs w:val="24"/>
        </w:rPr>
        <w:t>0’d</w:t>
      </w:r>
      <w:r w:rsidR="009012D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detaylandırılmıştır. Şekil </w:t>
      </w:r>
      <w:r w:rsidR="009012D9">
        <w:rPr>
          <w:rFonts w:ascii="Times New Roman" w:eastAsia="Times New Roman" w:hAnsi="Times New Roman" w:cs="Times New Roman"/>
          <w:sz w:val="24"/>
          <w:szCs w:val="24"/>
        </w:rPr>
        <w:t>1</w:t>
      </w:r>
      <w:r>
        <w:rPr>
          <w:rFonts w:ascii="Times New Roman" w:eastAsia="Times New Roman" w:hAnsi="Times New Roman" w:cs="Times New Roman"/>
          <w:sz w:val="24"/>
          <w:szCs w:val="24"/>
        </w:rPr>
        <w:t>0 incelendiğinde, Şekil 6 ile paralel olarak öncelikle göze çarpan unsur ÇES enerji kullanım payının 1972 – 202</w:t>
      </w:r>
      <w:r w:rsidR="009012D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yılları arasında </w:t>
      </w:r>
      <w:r w:rsidR="002317ED">
        <w:rPr>
          <w:rFonts w:ascii="Times New Roman" w:eastAsia="Times New Roman" w:hAnsi="Times New Roman" w:cs="Times New Roman"/>
          <w:sz w:val="24"/>
          <w:szCs w:val="24"/>
        </w:rPr>
        <w:t>iki</w:t>
      </w:r>
      <w:r>
        <w:rPr>
          <w:rFonts w:ascii="Times New Roman" w:eastAsia="Times New Roman" w:hAnsi="Times New Roman" w:cs="Times New Roman"/>
          <w:sz w:val="24"/>
          <w:szCs w:val="24"/>
        </w:rPr>
        <w:t xml:space="preserve"> katından daha fazla artış göstermesidir. 1972 yılında toplam yurtiçi enerji kullanımı içerisindeki payı yaklaşık olarak %19 olan </w:t>
      </w:r>
      <w:r w:rsidR="009012D9">
        <w:rPr>
          <w:rFonts w:ascii="Times New Roman" w:eastAsia="Times New Roman" w:hAnsi="Times New Roman" w:cs="Times New Roman"/>
          <w:sz w:val="24"/>
          <w:szCs w:val="24"/>
        </w:rPr>
        <w:t>ÇES’in</w:t>
      </w:r>
      <w:r>
        <w:rPr>
          <w:rFonts w:ascii="Times New Roman" w:eastAsia="Times New Roman" w:hAnsi="Times New Roman" w:cs="Times New Roman"/>
          <w:sz w:val="24"/>
          <w:szCs w:val="24"/>
        </w:rPr>
        <w:t xml:space="preserve"> payı 202</w:t>
      </w:r>
      <w:r w:rsidR="009012D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yılı itibariyle %4</w:t>
      </w:r>
      <w:r w:rsidR="009012D9">
        <w:rPr>
          <w:rFonts w:ascii="Times New Roman" w:eastAsia="Times New Roman" w:hAnsi="Times New Roman" w:cs="Times New Roman"/>
          <w:sz w:val="24"/>
          <w:szCs w:val="24"/>
        </w:rPr>
        <w:t>6</w:t>
      </w:r>
      <w:r w:rsidR="002317ED">
        <w:rPr>
          <w:rFonts w:ascii="Times New Roman" w:eastAsia="Times New Roman" w:hAnsi="Times New Roman" w:cs="Times New Roman"/>
          <w:sz w:val="24"/>
          <w:szCs w:val="24"/>
        </w:rPr>
        <w:t>,</w:t>
      </w:r>
      <w:r w:rsidR="009012D9">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2317E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yükselmiştir. Sanayi sektörünün payı ise 1972 yılında %</w:t>
      </w:r>
      <w:r w:rsidR="002317ED">
        <w:rPr>
          <w:rFonts w:ascii="Times New Roman" w:eastAsia="Times New Roman" w:hAnsi="Times New Roman" w:cs="Times New Roman"/>
          <w:sz w:val="24"/>
          <w:szCs w:val="24"/>
        </w:rPr>
        <w:t>19,8</w:t>
      </w:r>
      <w:r>
        <w:rPr>
          <w:rFonts w:ascii="Times New Roman" w:eastAsia="Times New Roman" w:hAnsi="Times New Roman" w:cs="Times New Roman"/>
          <w:sz w:val="24"/>
          <w:szCs w:val="24"/>
        </w:rPr>
        <w:t xml:space="preserve"> olup, 2003 yılında %27</w:t>
      </w:r>
      <w:r w:rsidR="002317ED">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ile zirve noktasına ulaşmıştır. Sonrasında ise düşüş trendine girmiş ve 202</w:t>
      </w:r>
      <w:r w:rsidR="009012D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yılı itibariyle %1</w:t>
      </w:r>
      <w:r w:rsidR="009012D9">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009012D9">
        <w:rPr>
          <w:rFonts w:ascii="Times New Roman" w:eastAsia="Times New Roman" w:hAnsi="Times New Roman" w:cs="Times New Roman"/>
          <w:sz w:val="24"/>
          <w:szCs w:val="24"/>
        </w:rPr>
        <w:t>y</w:t>
      </w:r>
      <w:r w:rsidR="002317E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gerilemiştir. Ulaşım sektörünün enerji kullanım payı ise diğerlerine nazaran en stabil olanıdır. 1972 yılında %16 olan ulaşım sektörünün payı aşağı ve yukarı yönlü çok küçük değişimlerin neticesinde 202</w:t>
      </w:r>
      <w:r w:rsidR="009012D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yılında %13</w:t>
      </w:r>
      <w:r w:rsidR="002317ED">
        <w:rPr>
          <w:rFonts w:ascii="Times New Roman" w:eastAsia="Times New Roman" w:hAnsi="Times New Roman" w:cs="Times New Roman"/>
          <w:sz w:val="24"/>
          <w:szCs w:val="24"/>
        </w:rPr>
        <w:t>,</w:t>
      </w:r>
      <w:r w:rsidR="009012D9">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009012D9">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e gerilemiştir. Konut ve hizmetler toplamının toplam yurtiçi enerji kullanımı içerisindeki payı ise gözlem dönemi boyunca </w:t>
      </w:r>
      <w:r w:rsidR="002317ED">
        <w:rPr>
          <w:rFonts w:ascii="Times New Roman" w:eastAsia="Times New Roman" w:hAnsi="Times New Roman" w:cs="Times New Roman"/>
          <w:sz w:val="24"/>
          <w:szCs w:val="24"/>
        </w:rPr>
        <w:t xml:space="preserve">iki kattan fazla </w:t>
      </w:r>
      <w:r>
        <w:rPr>
          <w:rFonts w:ascii="Times New Roman" w:eastAsia="Times New Roman" w:hAnsi="Times New Roman" w:cs="Times New Roman"/>
          <w:sz w:val="24"/>
          <w:szCs w:val="24"/>
        </w:rPr>
        <w:t>azalmıştır. 1972 yılında %40</w:t>
      </w:r>
      <w:r w:rsidR="002317ED">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olan konut ve hizmetlerin payı 202</w:t>
      </w:r>
      <w:r w:rsidR="009012D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yılı itibariyle %20’nin altına düşmüştür. Ayrıca 2015 yılı ve sonrası incelendiğinde yurtiçi toplam enerji kullanımı içerisinde konutun yani hanehalkının payı ortalama yaklaşık %11 olarak görülmektedir. Yani günümüzde Türkiye’de yerli üretim, ithalat ve ÇES vasıtasıyla arz edilen toplam enerjinin yaklaşık olarak %11’i hanehalkı tarafından tüketilmektedir. Tarım ve hayvancılık sektörü ile enerji dışı </w:t>
      </w:r>
      <w:r>
        <w:rPr>
          <w:rFonts w:ascii="Times New Roman" w:eastAsia="Times New Roman" w:hAnsi="Times New Roman" w:cs="Times New Roman"/>
          <w:sz w:val="24"/>
          <w:szCs w:val="24"/>
        </w:rPr>
        <w:lastRenderedPageBreak/>
        <w:t xml:space="preserve">kullanımın toplam yurtiçi enerji kullanımı içerisindeki payları ise gözlem dönemi boyunca %2 - %6 arasında değişkenlik göstermiş olup en küçük paya sahiptirler. </w:t>
      </w:r>
    </w:p>
    <w:p w14:paraId="77A99844" w14:textId="77777777" w:rsidR="00E315F2" w:rsidRDefault="00E315F2" w:rsidP="00FB4800">
      <w:pPr>
        <w:spacing w:line="240" w:lineRule="auto"/>
        <w:ind w:firstLine="567"/>
        <w:jc w:val="both"/>
        <w:rPr>
          <w:rFonts w:ascii="Times New Roman" w:eastAsia="Times New Roman" w:hAnsi="Times New Roman" w:cs="Times New Roman"/>
          <w:sz w:val="24"/>
          <w:szCs w:val="24"/>
        </w:rPr>
      </w:pPr>
    </w:p>
    <w:p w14:paraId="727BBC4A" w14:textId="0FF3487D" w:rsidR="00E315F2" w:rsidRDefault="00E315F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330A294" w14:textId="7BD9BFF5" w:rsidR="00E315F2" w:rsidRDefault="00E315F2" w:rsidP="00FB4800">
      <w:pPr>
        <w:spacing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lastRenderedPageBreak/>
        <w:t>(EIA, https://www.eia.gov/international/data/world/total-energy/total-energy-consumption)</w:t>
      </w:r>
      <w:r>
        <w:rPr>
          <w:rFonts w:ascii="Times New Roman" w:eastAsia="Times New Roman" w:hAnsi="Times New Roman" w:cs="Times New Roman"/>
          <w:sz w:val="24"/>
          <w:szCs w:val="24"/>
        </w:rPr>
        <w:t>.</w:t>
      </w:r>
    </w:p>
    <w:p w14:paraId="10267DA3" w14:textId="77777777" w:rsidR="00C21BD1" w:rsidRDefault="00C21BD1" w:rsidP="00FB4800">
      <w:pPr>
        <w:tabs>
          <w:tab w:val="left" w:pos="1560"/>
        </w:tabs>
        <w:spacing w:line="240" w:lineRule="auto"/>
        <w:jc w:val="both"/>
        <w:rPr>
          <w:rFonts w:ascii="Times New Roman" w:eastAsia="Times New Roman" w:hAnsi="Times New Roman" w:cs="Times New Roman"/>
          <w:sz w:val="24"/>
          <w:szCs w:val="24"/>
        </w:rPr>
      </w:pPr>
    </w:p>
    <w:p w14:paraId="34576B63"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5633D19C"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396E20E8"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4FA17730"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6D75110B"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254C3C16"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25C72291"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23BA5406"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40CB5D49"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5FA5D263"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467282D9"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0FA2C2B6"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14952C0D"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3B24CA82"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12F20785"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1988121B"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5D8FF134"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101EF480"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3FCC976C"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119C2CBB"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727E6CC0"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sectPr w:rsidR="00362911" w:rsidSect="00362911">
          <w:footerReference w:type="default" r:id="rId19"/>
          <w:pgSz w:w="9072" w:h="13608" w:code="9"/>
          <w:pgMar w:top="1418" w:right="1418" w:bottom="1418" w:left="1418" w:header="709" w:footer="709" w:gutter="0"/>
          <w:cols w:space="708"/>
          <w:docGrid w:linePitch="299"/>
        </w:sectPr>
      </w:pPr>
    </w:p>
    <w:p w14:paraId="7969C3F3"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379C1FC2" w14:textId="77777777" w:rsidR="00362911" w:rsidRDefault="00362911" w:rsidP="00FB4800">
      <w:pPr>
        <w:tabs>
          <w:tab w:val="left" w:pos="1560"/>
        </w:tabs>
        <w:spacing w:line="240" w:lineRule="auto"/>
        <w:jc w:val="both"/>
        <w:rPr>
          <w:rFonts w:ascii="Times New Roman" w:eastAsia="Times New Roman" w:hAnsi="Times New Roman" w:cs="Times New Roman"/>
          <w:sz w:val="24"/>
          <w:szCs w:val="24"/>
        </w:rPr>
      </w:pPr>
    </w:p>
    <w:p w14:paraId="2320511A" w14:textId="77777777" w:rsidR="00C21BD1" w:rsidRDefault="00C21BD1" w:rsidP="00FB4800">
      <w:pPr>
        <w:spacing w:line="240" w:lineRule="auto"/>
      </w:pPr>
    </w:p>
    <w:sectPr w:rsidR="00C21BD1" w:rsidSect="00362911">
      <w:pgSz w:w="9072" w:h="13608" w:code="9"/>
      <w:pgMar w:top="1418" w:right="1418" w:bottom="1418" w:left="1418"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801B4" w14:textId="77777777" w:rsidR="0003182C" w:rsidRDefault="0003182C">
      <w:pPr>
        <w:spacing w:after="0" w:line="240" w:lineRule="auto"/>
      </w:pPr>
      <w:r>
        <w:separator/>
      </w:r>
    </w:p>
  </w:endnote>
  <w:endnote w:type="continuationSeparator" w:id="0">
    <w:p w14:paraId="033A9CC9" w14:textId="77777777" w:rsidR="0003182C" w:rsidRDefault="00031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3495F" w14:textId="77777777" w:rsidR="00B66CD0" w:rsidRDefault="00B66CD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CA28480" w14:textId="77777777" w:rsidR="00B66CD0" w:rsidRDefault="00B66CD0">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3242" w14:textId="77777777" w:rsidR="0003182C" w:rsidRDefault="0003182C">
      <w:pPr>
        <w:spacing w:after="0" w:line="240" w:lineRule="auto"/>
      </w:pPr>
      <w:r>
        <w:separator/>
      </w:r>
    </w:p>
  </w:footnote>
  <w:footnote w:type="continuationSeparator" w:id="0">
    <w:p w14:paraId="27DE52F1" w14:textId="77777777" w:rsidR="0003182C" w:rsidRDefault="0003182C">
      <w:pPr>
        <w:spacing w:after="0" w:line="240" w:lineRule="auto"/>
      </w:pPr>
      <w:r>
        <w:continuationSeparator/>
      </w:r>
    </w:p>
  </w:footnote>
  <w:footnote w:id="1">
    <w:p w14:paraId="49AA6373" w14:textId="37801322" w:rsidR="00C21BD1" w:rsidRDefault="008A2C1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E7672E">
        <w:rPr>
          <w:rFonts w:ascii="Times New Roman" w:eastAsia="Times New Roman" w:hAnsi="Times New Roman" w:cs="Times New Roman"/>
          <w:color w:val="000000"/>
          <w:sz w:val="20"/>
          <w:szCs w:val="20"/>
        </w:rPr>
        <w:t xml:space="preserve">2014 yılında başlayan, </w:t>
      </w:r>
      <w:r>
        <w:rPr>
          <w:rFonts w:ascii="Times New Roman" w:eastAsia="Times New Roman" w:hAnsi="Times New Roman" w:cs="Times New Roman"/>
          <w:color w:val="000000"/>
          <w:sz w:val="20"/>
          <w:szCs w:val="20"/>
        </w:rPr>
        <w:t>24 Şubat 202</w:t>
      </w:r>
      <w:r w:rsidR="00E7672E">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 xml:space="preserve"> tarihinde </w:t>
      </w:r>
      <w:r w:rsidR="00E7672E">
        <w:rPr>
          <w:rFonts w:ascii="Times New Roman" w:eastAsia="Times New Roman" w:hAnsi="Times New Roman" w:cs="Times New Roman"/>
          <w:color w:val="000000"/>
          <w:sz w:val="20"/>
          <w:szCs w:val="20"/>
        </w:rPr>
        <w:t>Rusya’nın Ukrayna’yı işgaliyle farklı bir boyu</w:t>
      </w:r>
      <w:r w:rsidR="006E1782">
        <w:rPr>
          <w:rFonts w:ascii="Times New Roman" w:eastAsia="Times New Roman" w:hAnsi="Times New Roman" w:cs="Times New Roman"/>
          <w:color w:val="000000"/>
          <w:sz w:val="20"/>
          <w:szCs w:val="20"/>
        </w:rPr>
        <w:t>t</w:t>
      </w:r>
      <w:r w:rsidR="00E7672E">
        <w:rPr>
          <w:rFonts w:ascii="Times New Roman" w:eastAsia="Times New Roman" w:hAnsi="Times New Roman" w:cs="Times New Roman"/>
          <w:color w:val="000000"/>
          <w:sz w:val="20"/>
          <w:szCs w:val="20"/>
        </w:rPr>
        <w:t xml:space="preserve"> kazanan</w:t>
      </w:r>
      <w:r>
        <w:rPr>
          <w:rFonts w:ascii="Times New Roman" w:eastAsia="Times New Roman" w:hAnsi="Times New Roman" w:cs="Times New Roman"/>
          <w:color w:val="000000"/>
          <w:sz w:val="20"/>
          <w:szCs w:val="20"/>
        </w:rPr>
        <w:t xml:space="preserve"> ve </w:t>
      </w:r>
      <w:r w:rsidR="006E1782">
        <w:rPr>
          <w:rFonts w:ascii="Times New Roman" w:eastAsia="Times New Roman" w:hAnsi="Times New Roman" w:cs="Times New Roman"/>
          <w:color w:val="000000"/>
          <w:sz w:val="20"/>
          <w:szCs w:val="20"/>
        </w:rPr>
        <w:t>Aralık</w:t>
      </w:r>
      <w:r w:rsidR="00E7672E">
        <w:rPr>
          <w:rFonts w:ascii="Times New Roman" w:eastAsia="Times New Roman" w:hAnsi="Times New Roman" w:cs="Times New Roman"/>
          <w:color w:val="000000"/>
          <w:sz w:val="20"/>
          <w:szCs w:val="20"/>
        </w:rPr>
        <w:t xml:space="preserve"> 2023</w:t>
      </w:r>
      <w:r>
        <w:rPr>
          <w:rFonts w:ascii="Times New Roman" w:eastAsia="Times New Roman" w:hAnsi="Times New Roman" w:cs="Times New Roman"/>
          <w:color w:val="000000"/>
          <w:sz w:val="20"/>
          <w:szCs w:val="20"/>
        </w:rPr>
        <w:t xml:space="preserve"> itibariyle devam eden </w:t>
      </w:r>
      <w:r w:rsidR="00E7672E">
        <w:rPr>
          <w:rFonts w:ascii="Times New Roman" w:eastAsia="Times New Roman" w:hAnsi="Times New Roman" w:cs="Times New Roman"/>
          <w:color w:val="000000"/>
          <w:sz w:val="20"/>
          <w:szCs w:val="20"/>
        </w:rPr>
        <w:t>Ukrayna - Rusya</w:t>
      </w:r>
      <w:r>
        <w:rPr>
          <w:rFonts w:ascii="Times New Roman" w:eastAsia="Times New Roman" w:hAnsi="Times New Roman" w:cs="Times New Roman"/>
          <w:color w:val="000000"/>
          <w:sz w:val="20"/>
          <w:szCs w:val="20"/>
        </w:rPr>
        <w:t xml:space="preserve"> savaşı sebebiyle ham petrol ve doğalgaz fiyatlarının artması tüm dünya için enerji arz güvenliğini dolaylı açıdan tehlikeye sokmuştur. Diğer taraftan enerji de büyük oranda Rusya’ya bağlı olan birçok Avrupa devleti ise Rusya’nın zaman zaman dillendirdiği ambargo tehdidi sebebiyle enerji arz güvenliğinde doğrudan bir tehdit ile karşı karşıya gelmiştir. </w:t>
      </w:r>
    </w:p>
  </w:footnote>
  <w:footnote w:id="2">
    <w:p w14:paraId="28B60B58" w14:textId="77777777" w:rsidR="00C21BD1" w:rsidRDefault="008A2C1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Ülkenin karasuları ve/veya karasuları bitişiğinde deniz vasıtalarına veya hava meydanlarında yerli ve yabancı hava taşıtlarına vergili veya vergisiz sağlanan akaryakıtı ve madeni yağı”</w:t>
      </w:r>
      <w:r>
        <w:rPr>
          <w:rFonts w:ascii="Times New Roman" w:eastAsia="Times New Roman" w:hAnsi="Times New Roman" w:cs="Times New Roman"/>
          <w:color w:val="000000"/>
          <w:sz w:val="20"/>
          <w:szCs w:val="20"/>
        </w:rPr>
        <w:t xml:space="preserve"> ifade etmektedir (Petrol Piyasası Lisans Yönetmeliği, 17.06.2004).</w:t>
      </w:r>
    </w:p>
  </w:footnote>
  <w:footnote w:id="3">
    <w:p w14:paraId="6ADDFD44" w14:textId="77777777" w:rsidR="00C21BD1" w:rsidRDefault="008A2C1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Bir önceki yıldan devreden enerji miktarını göstermekte olup, negatif rakamlar önceki yıl toplam arzın toplam kullanımdan düşük olduğunu, pozitif rakamlar ise toplam arzın toplam kullanımdan büyük olduğunu göstermektedir. Dolayısıyla stok değişiminin negatif olması mevcut yıldaki toplam arzı düşürücü pozitif olması ise toplam arzı artırıcı etki oluşturmaktadır.</w:t>
      </w:r>
    </w:p>
  </w:footnote>
  <w:footnote w:id="4">
    <w:p w14:paraId="614A12C9" w14:textId="77777777" w:rsidR="00C21BD1" w:rsidRPr="006E1782" w:rsidRDefault="008A2C1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6E1782">
        <w:rPr>
          <w:rFonts w:ascii="Times New Roman" w:hAnsi="Times New Roman" w:cs="Times New Roman"/>
          <w:vertAlign w:val="superscript"/>
        </w:rPr>
        <w:footnoteRef/>
      </w:r>
      <w:r w:rsidRPr="006E1782">
        <w:rPr>
          <w:rFonts w:ascii="Times New Roman" w:eastAsia="Times New Roman" w:hAnsi="Times New Roman" w:cs="Times New Roman"/>
          <w:color w:val="000000"/>
          <w:sz w:val="20"/>
          <w:szCs w:val="20"/>
        </w:rPr>
        <w:t xml:space="preserve"> 2 milyon 338 bin ton yerli üretim, 19 milyon 485 bin ton ithalat</w:t>
      </w:r>
    </w:p>
  </w:footnote>
  <w:footnote w:id="5">
    <w:p w14:paraId="71BF973D" w14:textId="77777777" w:rsidR="00C21BD1" w:rsidRPr="006E1782" w:rsidRDefault="008A2C1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6E1782">
        <w:rPr>
          <w:rFonts w:ascii="Times New Roman" w:hAnsi="Times New Roman" w:cs="Times New Roman"/>
          <w:vertAlign w:val="superscript"/>
        </w:rPr>
        <w:footnoteRef/>
      </w:r>
      <w:r w:rsidRPr="006E1782">
        <w:rPr>
          <w:rFonts w:ascii="Times New Roman" w:eastAsia="Times New Roman" w:hAnsi="Times New Roman" w:cs="Times New Roman"/>
          <w:color w:val="000000"/>
          <w:sz w:val="20"/>
          <w:szCs w:val="20"/>
        </w:rPr>
        <w:t xml:space="preserve"> 741 bin ton elektrik üretimi, 165 bin ton kombine ısı santralleri, 885 bin ton iç tüketim ve kayıp</w:t>
      </w:r>
    </w:p>
  </w:footnote>
  <w:footnote w:id="6">
    <w:p w14:paraId="5E19E06A" w14:textId="15D6343A" w:rsidR="00C21BD1" w:rsidRPr="006E1782" w:rsidRDefault="008A2C1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6E1782">
        <w:rPr>
          <w:rFonts w:ascii="Times New Roman" w:hAnsi="Times New Roman" w:cs="Times New Roman"/>
          <w:vertAlign w:val="superscript"/>
        </w:rPr>
        <w:footnoteRef/>
      </w:r>
      <w:r w:rsidRPr="006E1782">
        <w:rPr>
          <w:rFonts w:ascii="Times New Roman" w:eastAsia="Times New Roman" w:hAnsi="Times New Roman" w:cs="Times New Roman"/>
          <w:color w:val="000000"/>
          <w:sz w:val="20"/>
          <w:szCs w:val="20"/>
        </w:rPr>
        <w:t xml:space="preserve"> </w:t>
      </w:r>
      <w:r w:rsidR="0020639D" w:rsidRPr="006E1782">
        <w:rPr>
          <w:rFonts w:ascii="Times New Roman" w:eastAsia="Times New Roman" w:hAnsi="Times New Roman" w:cs="Times New Roman"/>
          <w:color w:val="000000"/>
          <w:sz w:val="20"/>
          <w:szCs w:val="20"/>
        </w:rPr>
        <w:t>İthalat –</w:t>
      </w:r>
      <w:r w:rsidRPr="006E1782">
        <w:rPr>
          <w:rFonts w:ascii="Times New Roman" w:eastAsia="Times New Roman" w:hAnsi="Times New Roman" w:cs="Times New Roman"/>
          <w:color w:val="000000"/>
          <w:sz w:val="20"/>
          <w:szCs w:val="20"/>
        </w:rPr>
        <w:t xml:space="preserve"> ihracat – ihrakiye + stok değişimi + istatistiksel fark</w:t>
      </w:r>
    </w:p>
  </w:footnote>
  <w:footnote w:id="7">
    <w:p w14:paraId="21C33A05" w14:textId="699D6CA7" w:rsidR="00C21BD1" w:rsidRPr="006E1782" w:rsidRDefault="008A2C1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6E1782">
        <w:rPr>
          <w:rFonts w:ascii="Times New Roman" w:hAnsi="Times New Roman" w:cs="Times New Roman"/>
          <w:vertAlign w:val="superscript"/>
        </w:rPr>
        <w:footnoteRef/>
      </w:r>
      <w:r w:rsidRPr="006E1782">
        <w:rPr>
          <w:rFonts w:ascii="Times New Roman" w:eastAsia="Times New Roman" w:hAnsi="Times New Roman" w:cs="Times New Roman"/>
          <w:color w:val="000000"/>
          <w:sz w:val="20"/>
          <w:szCs w:val="20"/>
        </w:rPr>
        <w:t xml:space="preserve"> Tablo </w:t>
      </w:r>
      <w:r w:rsidR="006E1782">
        <w:rPr>
          <w:rFonts w:ascii="Times New Roman" w:eastAsia="Times New Roman" w:hAnsi="Times New Roman" w:cs="Times New Roman"/>
          <w:color w:val="000000"/>
          <w:sz w:val="20"/>
          <w:szCs w:val="20"/>
        </w:rPr>
        <w:t>1</w:t>
      </w:r>
      <w:r w:rsidRPr="006E1782">
        <w:rPr>
          <w:rFonts w:ascii="Times New Roman" w:eastAsia="Times New Roman" w:hAnsi="Times New Roman" w:cs="Times New Roman"/>
          <w:color w:val="000000"/>
          <w:sz w:val="20"/>
          <w:szCs w:val="20"/>
        </w:rPr>
        <w:t>’</w:t>
      </w:r>
      <w:r w:rsidR="006E1782">
        <w:rPr>
          <w:rFonts w:ascii="Times New Roman" w:eastAsia="Times New Roman" w:hAnsi="Times New Roman" w:cs="Times New Roman"/>
          <w:color w:val="000000"/>
          <w:sz w:val="20"/>
          <w:szCs w:val="20"/>
        </w:rPr>
        <w:t>d</w:t>
      </w:r>
      <w:r w:rsidRPr="006E1782">
        <w:rPr>
          <w:rFonts w:ascii="Times New Roman" w:eastAsia="Times New Roman" w:hAnsi="Times New Roman" w:cs="Times New Roman"/>
          <w:color w:val="000000"/>
          <w:sz w:val="20"/>
          <w:szCs w:val="20"/>
        </w:rPr>
        <w:t>e gözükmemekle birlikte 2012 yılı elektrik üretiminde, 54 milyon 586 bin ton linyit ve 57 bin 865 GWh hidrolik enerji de kullanılmıştır (EPDK, Enerji Denge Tablosu (2012))</w:t>
      </w:r>
    </w:p>
  </w:footnote>
  <w:footnote w:id="8">
    <w:p w14:paraId="5995A0CA" w14:textId="77777777" w:rsidR="00C21BD1" w:rsidRPr="006E1782" w:rsidRDefault="008A2C1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6E1782">
        <w:rPr>
          <w:rFonts w:ascii="Times New Roman" w:hAnsi="Times New Roman" w:cs="Times New Roman"/>
          <w:vertAlign w:val="superscript"/>
        </w:rPr>
        <w:footnoteRef/>
      </w:r>
      <w:r w:rsidRPr="006E1782">
        <w:rPr>
          <w:rFonts w:ascii="Times New Roman" w:eastAsia="Times New Roman" w:hAnsi="Times New Roman" w:cs="Times New Roman"/>
          <w:color w:val="000000"/>
          <w:sz w:val="20"/>
          <w:szCs w:val="20"/>
        </w:rPr>
        <w:t xml:space="preserve"> 1 milyon 144 bin GWh petrol rafinerilerinde, 47 milyon 447 bin GWh iç tüketim ve kayıp</w:t>
      </w:r>
    </w:p>
  </w:footnote>
  <w:footnote w:id="9">
    <w:p w14:paraId="5C465074" w14:textId="23106CA7" w:rsidR="00C21BD1" w:rsidRDefault="008A2C1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6E1782">
        <w:rPr>
          <w:rFonts w:ascii="Times New Roman" w:hAnsi="Times New Roman" w:cs="Times New Roman"/>
          <w:vertAlign w:val="superscript"/>
        </w:rPr>
        <w:footnoteRef/>
      </w:r>
      <w:r w:rsidRPr="006E1782">
        <w:rPr>
          <w:rFonts w:ascii="Times New Roman" w:eastAsia="Times New Roman" w:hAnsi="Times New Roman" w:cs="Times New Roman"/>
          <w:color w:val="000000"/>
          <w:sz w:val="20"/>
          <w:szCs w:val="20"/>
        </w:rPr>
        <w:t xml:space="preserve"> </w:t>
      </w:r>
      <w:r w:rsidR="00343631" w:rsidRPr="006E1782">
        <w:rPr>
          <w:rFonts w:ascii="Times New Roman" w:eastAsia="Times New Roman" w:hAnsi="Times New Roman" w:cs="Times New Roman"/>
          <w:color w:val="000000"/>
          <w:sz w:val="20"/>
          <w:szCs w:val="20"/>
        </w:rPr>
        <w:t>İthalat –</w:t>
      </w:r>
      <w:r w:rsidRPr="006E1782">
        <w:rPr>
          <w:rFonts w:ascii="Times New Roman" w:eastAsia="Times New Roman" w:hAnsi="Times New Roman" w:cs="Times New Roman"/>
          <w:color w:val="000000"/>
          <w:sz w:val="20"/>
          <w:szCs w:val="20"/>
        </w:rPr>
        <w:t xml:space="preserve"> ihracat</w:t>
      </w:r>
      <w:r>
        <w:rPr>
          <w:rFonts w:ascii="Times New Roman" w:eastAsia="Times New Roman" w:hAnsi="Times New Roman" w:cs="Times New Roman"/>
          <w:color w:val="000000"/>
          <w:sz w:val="20"/>
          <w:szCs w:val="20"/>
        </w:rPr>
        <w:t xml:space="preserve"> </w:t>
      </w:r>
    </w:p>
  </w:footnote>
  <w:footnote w:id="10">
    <w:p w14:paraId="108961A3" w14:textId="77777777" w:rsidR="00C21BD1" w:rsidRDefault="008A2C1B" w:rsidP="003436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Alt bileşenleri:</w:t>
      </w:r>
      <w:r>
        <w:rPr>
          <w:rFonts w:ascii="Times New Roman" w:eastAsia="Times New Roman" w:hAnsi="Times New Roman" w:cs="Times New Roman"/>
          <w:color w:val="000000"/>
          <w:sz w:val="20"/>
          <w:szCs w:val="20"/>
        </w:rPr>
        <w:t xml:space="preserve"> Yüksek fırın gazı, kok fırın gazı, çelikhane gazı, kömür katranı</w:t>
      </w:r>
    </w:p>
  </w:footnote>
  <w:footnote w:id="11">
    <w:p w14:paraId="0173687C" w14:textId="77777777" w:rsidR="00C21BD1" w:rsidRDefault="008A2C1B" w:rsidP="00343631">
      <w:pPr>
        <w:pBdr>
          <w:top w:val="nil"/>
          <w:left w:val="nil"/>
          <w:bottom w:val="nil"/>
          <w:right w:val="nil"/>
          <w:between w:val="nil"/>
        </w:pBdr>
        <w:spacing w:after="0" w:line="240" w:lineRule="auto"/>
        <w:jc w:val="both"/>
        <w:rPr>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Alt Bileşenler:</w:t>
      </w:r>
      <w:r>
        <w:rPr>
          <w:rFonts w:ascii="Times New Roman" w:eastAsia="Times New Roman" w:hAnsi="Times New Roman" w:cs="Times New Roman"/>
          <w:color w:val="000000"/>
          <w:sz w:val="20"/>
          <w:szCs w:val="20"/>
        </w:rPr>
        <w:t xml:space="preserve"> Petrol koku, fuel oil, motorin, benzin, LPG, rafineri gazı, havacılık yakıtı, gaz yağı, nafta, ara ürünler, baz yağlar, beyaz ispirto, bitümen, diğer, deniz motorini, denizcilik yakıtı</w:t>
      </w:r>
    </w:p>
  </w:footnote>
  <w:footnote w:id="12">
    <w:p w14:paraId="437C0E5A" w14:textId="3643CB5A" w:rsidR="00C21BD1" w:rsidRDefault="008A2C1B">
      <w:pPr>
        <w:pBdr>
          <w:top w:val="nil"/>
          <w:left w:val="nil"/>
          <w:bottom w:val="nil"/>
          <w:right w:val="nil"/>
          <w:between w:val="nil"/>
        </w:pBdr>
        <w:spacing w:after="0" w:line="240" w:lineRule="auto"/>
        <w:rPr>
          <w:color w:val="000000"/>
          <w:sz w:val="20"/>
          <w:szCs w:val="20"/>
        </w:rPr>
      </w:pPr>
      <w:r w:rsidRPr="0028123B">
        <w:rPr>
          <w:highlight w:val="red"/>
          <w:vertAlign w:val="superscript"/>
        </w:rPr>
        <w:footnoteRef/>
      </w:r>
      <w:r w:rsidRPr="0028123B">
        <w:rPr>
          <w:color w:val="000000"/>
          <w:sz w:val="20"/>
          <w:szCs w:val="20"/>
          <w:highlight w:val="red"/>
        </w:rPr>
        <w:t xml:space="preserve"> </w:t>
      </w:r>
      <w:r w:rsidR="00271D41">
        <w:rPr>
          <w:rFonts w:ascii="Times New Roman" w:eastAsia="Times New Roman" w:hAnsi="Times New Roman" w:cs="Times New Roman"/>
          <w:color w:val="000000"/>
          <w:sz w:val="20"/>
          <w:szCs w:val="20"/>
          <w:highlight w:val="red"/>
        </w:rPr>
        <w:t>13</w:t>
      </w:r>
      <w:r w:rsidRPr="0028123B">
        <w:rPr>
          <w:rFonts w:ascii="Times New Roman" w:eastAsia="Times New Roman" w:hAnsi="Times New Roman" w:cs="Times New Roman"/>
          <w:color w:val="000000"/>
          <w:sz w:val="20"/>
          <w:szCs w:val="20"/>
          <w:highlight w:val="red"/>
        </w:rPr>
        <w:t xml:space="preserve"> </w:t>
      </w:r>
      <w:r w:rsidR="00764F29" w:rsidRPr="0028123B">
        <w:rPr>
          <w:rFonts w:ascii="Times New Roman" w:eastAsia="Times New Roman" w:hAnsi="Times New Roman" w:cs="Times New Roman"/>
          <w:color w:val="000000"/>
          <w:sz w:val="20"/>
          <w:szCs w:val="20"/>
          <w:highlight w:val="red"/>
        </w:rPr>
        <w:t xml:space="preserve">ve </w:t>
      </w:r>
      <w:r w:rsidR="00271D41">
        <w:rPr>
          <w:rFonts w:ascii="Times New Roman" w:eastAsia="Times New Roman" w:hAnsi="Times New Roman" w:cs="Times New Roman"/>
          <w:color w:val="000000"/>
          <w:sz w:val="20"/>
          <w:szCs w:val="20"/>
          <w:highlight w:val="red"/>
        </w:rPr>
        <w:t>18</w:t>
      </w:r>
      <w:r w:rsidR="00764F29" w:rsidRPr="0028123B">
        <w:rPr>
          <w:rFonts w:ascii="Times New Roman" w:eastAsia="Times New Roman" w:hAnsi="Times New Roman" w:cs="Times New Roman"/>
          <w:color w:val="000000"/>
          <w:sz w:val="20"/>
          <w:szCs w:val="20"/>
          <w:highlight w:val="red"/>
        </w:rPr>
        <w:t xml:space="preserve"> nolu </w:t>
      </w:r>
      <w:r w:rsidRPr="0028123B">
        <w:rPr>
          <w:rFonts w:ascii="Times New Roman" w:eastAsia="Times New Roman" w:hAnsi="Times New Roman" w:cs="Times New Roman"/>
          <w:color w:val="000000"/>
          <w:sz w:val="20"/>
          <w:szCs w:val="20"/>
          <w:highlight w:val="red"/>
        </w:rPr>
        <w:t>numaralı dipnot</w:t>
      </w:r>
      <w:r w:rsidR="00764F29" w:rsidRPr="0028123B">
        <w:rPr>
          <w:rFonts w:ascii="Times New Roman" w:eastAsia="Times New Roman" w:hAnsi="Times New Roman" w:cs="Times New Roman"/>
          <w:color w:val="000000"/>
          <w:sz w:val="20"/>
          <w:szCs w:val="20"/>
          <w:highlight w:val="red"/>
        </w:rPr>
        <w:t>lar</w:t>
      </w:r>
      <w:r w:rsidRPr="0028123B">
        <w:rPr>
          <w:rFonts w:ascii="Times New Roman" w:eastAsia="Times New Roman" w:hAnsi="Times New Roman" w:cs="Times New Roman"/>
          <w:color w:val="000000"/>
          <w:sz w:val="20"/>
          <w:szCs w:val="20"/>
          <w:highlight w:val="red"/>
        </w:rPr>
        <w:t>a bakınız.</w:t>
      </w:r>
    </w:p>
  </w:footnote>
  <w:footnote w:id="13">
    <w:p w14:paraId="093F5A1B" w14:textId="25D33DCF" w:rsidR="00C21BD1" w:rsidRDefault="008A2C1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2008 yılı</w:t>
      </w:r>
      <w:r w:rsidR="00E06C0C">
        <w:rPr>
          <w:rFonts w:ascii="Times New Roman" w:eastAsia="Times New Roman" w:hAnsi="Times New Roman" w:cs="Times New Roman"/>
          <w:color w:val="000000"/>
          <w:sz w:val="20"/>
          <w:szCs w:val="20"/>
        </w:rPr>
        <w:t xml:space="preserve"> öncesi raporlanan </w:t>
      </w:r>
      <w:r w:rsidR="00715137">
        <w:rPr>
          <w:rFonts w:ascii="Times New Roman" w:eastAsia="Times New Roman" w:hAnsi="Times New Roman" w:cs="Times New Roman"/>
          <w:color w:val="000000"/>
          <w:sz w:val="20"/>
          <w:szCs w:val="20"/>
        </w:rPr>
        <w:t>UEDT</w:t>
      </w:r>
      <w:r w:rsidR="00E06C0C">
        <w:rPr>
          <w:rFonts w:ascii="Times New Roman" w:eastAsia="Times New Roman" w:hAnsi="Times New Roman" w:cs="Times New Roman"/>
          <w:color w:val="000000"/>
          <w:sz w:val="20"/>
          <w:szCs w:val="20"/>
        </w:rPr>
        <w:t>’lerde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i/>
          <w:color w:val="000000"/>
          <w:sz w:val="20"/>
          <w:szCs w:val="20"/>
        </w:rPr>
        <w:t>Ham Petrol</w:t>
      </w:r>
      <w:r>
        <w:rPr>
          <w:rFonts w:ascii="Times New Roman" w:eastAsia="Times New Roman" w:hAnsi="Times New Roman" w:cs="Times New Roman"/>
          <w:color w:val="000000"/>
          <w:sz w:val="20"/>
          <w:szCs w:val="20"/>
        </w:rPr>
        <w:t xml:space="preserve"> ve </w:t>
      </w:r>
      <w:r>
        <w:rPr>
          <w:rFonts w:ascii="Times New Roman" w:eastAsia="Times New Roman" w:hAnsi="Times New Roman" w:cs="Times New Roman"/>
          <w:b/>
          <w:i/>
          <w:color w:val="000000"/>
          <w:sz w:val="20"/>
          <w:szCs w:val="20"/>
        </w:rPr>
        <w:t>Petrol Ürünleri</w:t>
      </w:r>
      <w:r>
        <w:rPr>
          <w:rFonts w:ascii="Times New Roman" w:eastAsia="Times New Roman" w:hAnsi="Times New Roman" w:cs="Times New Roman"/>
          <w:color w:val="000000"/>
          <w:sz w:val="20"/>
          <w:szCs w:val="20"/>
        </w:rPr>
        <w:t xml:space="preserve"> toplulaştırılarak </w:t>
      </w:r>
      <w:r>
        <w:rPr>
          <w:rFonts w:ascii="Times New Roman" w:eastAsia="Times New Roman" w:hAnsi="Times New Roman" w:cs="Times New Roman"/>
          <w:b/>
          <w:i/>
          <w:color w:val="000000"/>
          <w:sz w:val="20"/>
          <w:szCs w:val="20"/>
        </w:rPr>
        <w:t>Petrol</w:t>
      </w:r>
      <w:r>
        <w:rPr>
          <w:rFonts w:ascii="Times New Roman" w:eastAsia="Times New Roman" w:hAnsi="Times New Roman" w:cs="Times New Roman"/>
          <w:color w:val="000000"/>
          <w:sz w:val="20"/>
          <w:szCs w:val="20"/>
        </w:rPr>
        <w:t xml:space="preserve"> şeklinde raporlanmıştır. Dolayısıyla 2008 yılına kadar olan </w:t>
      </w:r>
      <w:r w:rsidR="00715137">
        <w:rPr>
          <w:rFonts w:ascii="Times New Roman" w:eastAsia="Times New Roman" w:hAnsi="Times New Roman" w:cs="Times New Roman"/>
          <w:color w:val="000000"/>
          <w:sz w:val="20"/>
          <w:szCs w:val="20"/>
        </w:rPr>
        <w:t>UEDT</w:t>
      </w:r>
      <w:r>
        <w:rPr>
          <w:rFonts w:ascii="Times New Roman" w:eastAsia="Times New Roman" w:hAnsi="Times New Roman" w:cs="Times New Roman"/>
          <w:color w:val="000000"/>
          <w:sz w:val="20"/>
          <w:szCs w:val="20"/>
        </w:rPr>
        <w:t xml:space="preserve">’lerde </w:t>
      </w:r>
      <w:r>
        <w:rPr>
          <w:rFonts w:ascii="Times New Roman" w:eastAsia="Times New Roman" w:hAnsi="Times New Roman" w:cs="Times New Roman"/>
          <w:i/>
          <w:color w:val="000000"/>
          <w:sz w:val="20"/>
          <w:szCs w:val="20"/>
        </w:rPr>
        <w:t>Yerli Üretim</w:t>
      </w:r>
      <w:r w:rsidR="00B12781">
        <w:rPr>
          <w:rFonts w:ascii="Times New Roman" w:eastAsia="Times New Roman" w:hAnsi="Times New Roman" w:cs="Times New Roman"/>
          <w:i/>
          <w:color w:val="000000"/>
          <w:sz w:val="20"/>
          <w:szCs w:val="20"/>
        </w:rPr>
        <w:t xml:space="preserve"> </w:t>
      </w:r>
      <w:r w:rsidR="00B12781" w:rsidRPr="00B12781">
        <w:rPr>
          <w:rFonts w:ascii="Times New Roman" w:eastAsia="Times New Roman" w:hAnsi="Times New Roman" w:cs="Times New Roman"/>
          <w:color w:val="000000"/>
          <w:sz w:val="20"/>
          <w:szCs w:val="20"/>
        </w:rPr>
        <w:sym w:font="Wingdings" w:char="F0E0"/>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Petrol</w:t>
      </w:r>
      <w:r>
        <w:rPr>
          <w:rFonts w:ascii="Times New Roman" w:eastAsia="Times New Roman" w:hAnsi="Times New Roman" w:cs="Times New Roman"/>
          <w:color w:val="000000"/>
          <w:sz w:val="20"/>
          <w:szCs w:val="20"/>
        </w:rPr>
        <w:t xml:space="preserve"> hücresi yurtiçinde üretilen ham petrolü,</w:t>
      </w:r>
      <w:r>
        <w:rPr>
          <w:rFonts w:ascii="Times New Roman" w:eastAsia="Times New Roman" w:hAnsi="Times New Roman" w:cs="Times New Roman"/>
          <w:i/>
          <w:color w:val="000000"/>
          <w:sz w:val="20"/>
          <w:szCs w:val="20"/>
        </w:rPr>
        <w:t xml:space="preserve"> İthalat</w:t>
      </w:r>
      <w:r w:rsidR="00B12781">
        <w:rPr>
          <w:rFonts w:ascii="Times New Roman" w:eastAsia="Times New Roman" w:hAnsi="Times New Roman" w:cs="Times New Roman"/>
          <w:i/>
          <w:color w:val="000000"/>
          <w:sz w:val="20"/>
          <w:szCs w:val="20"/>
        </w:rPr>
        <w:t xml:space="preserve"> </w:t>
      </w:r>
      <w:r w:rsidR="00B12781" w:rsidRPr="00B12781">
        <w:rPr>
          <w:rFonts w:ascii="Times New Roman" w:eastAsia="Times New Roman" w:hAnsi="Times New Roman" w:cs="Times New Roman"/>
          <w:color w:val="000000"/>
          <w:sz w:val="20"/>
          <w:szCs w:val="20"/>
        </w:rPr>
        <w:sym w:font="Wingdings" w:char="F0E0"/>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Petrol</w:t>
      </w:r>
      <w:r>
        <w:rPr>
          <w:rFonts w:ascii="Times New Roman" w:eastAsia="Times New Roman" w:hAnsi="Times New Roman" w:cs="Times New Roman"/>
          <w:color w:val="000000"/>
          <w:sz w:val="20"/>
          <w:szCs w:val="20"/>
        </w:rPr>
        <w:t xml:space="preserve"> hücresi ise</w:t>
      </w:r>
      <w:r w:rsidR="00B1278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ithal edilen ham petrol ve petrol ürünlerinin toplamını ifade etmektedir.  2008 yılından sonraki </w:t>
      </w:r>
      <w:r w:rsidR="00715137">
        <w:rPr>
          <w:rFonts w:ascii="Times New Roman" w:eastAsia="Times New Roman" w:hAnsi="Times New Roman" w:cs="Times New Roman"/>
          <w:color w:val="000000"/>
          <w:sz w:val="20"/>
          <w:szCs w:val="20"/>
        </w:rPr>
        <w:t>UEDT</w:t>
      </w:r>
      <w:r>
        <w:rPr>
          <w:rFonts w:ascii="Times New Roman" w:eastAsia="Times New Roman" w:hAnsi="Times New Roman" w:cs="Times New Roman"/>
          <w:color w:val="000000"/>
          <w:sz w:val="20"/>
          <w:szCs w:val="20"/>
        </w:rPr>
        <w:t xml:space="preserve">’lerde ise bu iki enerji türü ayrıştırılmıştır. Şekil 12’de </w:t>
      </w:r>
      <w:r>
        <w:rPr>
          <w:rFonts w:ascii="Times New Roman" w:eastAsia="Times New Roman" w:hAnsi="Times New Roman" w:cs="Times New Roman"/>
          <w:b/>
          <w:i/>
          <w:color w:val="000000"/>
          <w:sz w:val="20"/>
          <w:szCs w:val="20"/>
        </w:rPr>
        <w:t>petrol</w:t>
      </w:r>
      <w:r>
        <w:rPr>
          <w:rFonts w:ascii="Times New Roman" w:eastAsia="Times New Roman" w:hAnsi="Times New Roman" w:cs="Times New Roman"/>
          <w:color w:val="000000"/>
          <w:sz w:val="20"/>
          <w:szCs w:val="20"/>
        </w:rPr>
        <w:t xml:space="preserve"> ve </w:t>
      </w:r>
      <w:r>
        <w:rPr>
          <w:rFonts w:ascii="Times New Roman" w:eastAsia="Times New Roman" w:hAnsi="Times New Roman" w:cs="Times New Roman"/>
          <w:b/>
          <w:i/>
          <w:color w:val="000000"/>
          <w:sz w:val="20"/>
          <w:szCs w:val="20"/>
        </w:rPr>
        <w:t>ham petrol</w:t>
      </w:r>
      <w:r>
        <w:rPr>
          <w:rFonts w:ascii="Times New Roman" w:eastAsia="Times New Roman" w:hAnsi="Times New Roman" w:cs="Times New Roman"/>
          <w:color w:val="000000"/>
          <w:sz w:val="20"/>
          <w:szCs w:val="20"/>
        </w:rPr>
        <w:t xml:space="preserve"> enerji türlerinin her ikisi de </w:t>
      </w:r>
      <w:r>
        <w:rPr>
          <w:rFonts w:ascii="Times New Roman" w:eastAsia="Times New Roman" w:hAnsi="Times New Roman" w:cs="Times New Roman"/>
          <w:b/>
          <w:i/>
          <w:color w:val="000000"/>
          <w:sz w:val="20"/>
          <w:szCs w:val="20"/>
        </w:rPr>
        <w:t>ham petrole</w:t>
      </w:r>
      <w:r>
        <w:rPr>
          <w:rFonts w:ascii="Times New Roman" w:eastAsia="Times New Roman" w:hAnsi="Times New Roman" w:cs="Times New Roman"/>
          <w:color w:val="000000"/>
          <w:sz w:val="20"/>
          <w:szCs w:val="20"/>
        </w:rPr>
        <w:t xml:space="preserve"> karşılık gelmektedir. Çünkü daha önce de ifade edildiği üzere </w:t>
      </w:r>
      <w:r>
        <w:rPr>
          <w:rFonts w:ascii="Times New Roman" w:eastAsia="Times New Roman" w:hAnsi="Times New Roman" w:cs="Times New Roman"/>
          <w:b/>
          <w:i/>
          <w:color w:val="000000"/>
          <w:sz w:val="20"/>
          <w:szCs w:val="20"/>
        </w:rPr>
        <w:t>petrol ürünleri</w:t>
      </w:r>
      <w:r>
        <w:rPr>
          <w:rFonts w:ascii="Times New Roman" w:eastAsia="Times New Roman" w:hAnsi="Times New Roman" w:cs="Times New Roman"/>
          <w:color w:val="000000"/>
          <w:sz w:val="20"/>
          <w:szCs w:val="20"/>
        </w:rPr>
        <w:t xml:space="preserve">, </w:t>
      </w:r>
      <w:r w:rsidR="00715137">
        <w:rPr>
          <w:rFonts w:ascii="Times New Roman" w:eastAsia="Times New Roman" w:hAnsi="Times New Roman" w:cs="Times New Roman"/>
          <w:color w:val="000000"/>
          <w:sz w:val="20"/>
          <w:szCs w:val="20"/>
        </w:rPr>
        <w:t>UEDT</w:t>
      </w:r>
      <w:r>
        <w:rPr>
          <w:rFonts w:ascii="Times New Roman" w:eastAsia="Times New Roman" w:hAnsi="Times New Roman" w:cs="Times New Roman"/>
          <w:color w:val="000000"/>
          <w:sz w:val="20"/>
          <w:szCs w:val="20"/>
        </w:rPr>
        <w:t xml:space="preserve">’lerde ya </w:t>
      </w:r>
      <w:r>
        <w:rPr>
          <w:rFonts w:ascii="Times New Roman" w:eastAsia="Times New Roman" w:hAnsi="Times New Roman" w:cs="Times New Roman"/>
          <w:i/>
          <w:color w:val="000000"/>
          <w:sz w:val="20"/>
          <w:szCs w:val="20"/>
        </w:rPr>
        <w:t>ithalat</w:t>
      </w:r>
      <w:r>
        <w:rPr>
          <w:rFonts w:ascii="Times New Roman" w:eastAsia="Times New Roman" w:hAnsi="Times New Roman" w:cs="Times New Roman"/>
          <w:color w:val="000000"/>
          <w:sz w:val="20"/>
          <w:szCs w:val="20"/>
        </w:rPr>
        <w:t xml:space="preserve"> ya da çevrim ve enerji sektörü kısmında raporlanmaktadır. </w:t>
      </w:r>
      <w:r>
        <w:rPr>
          <w:rFonts w:ascii="Times New Roman" w:eastAsia="Times New Roman" w:hAnsi="Times New Roman" w:cs="Times New Roman"/>
          <w:i/>
          <w:color w:val="000000"/>
          <w:sz w:val="20"/>
          <w:szCs w:val="20"/>
        </w:rPr>
        <w:t>Yerli üretim</w:t>
      </w:r>
      <w:r>
        <w:rPr>
          <w:rFonts w:ascii="Times New Roman" w:eastAsia="Times New Roman" w:hAnsi="Times New Roman" w:cs="Times New Roman"/>
          <w:color w:val="000000"/>
          <w:sz w:val="20"/>
          <w:szCs w:val="20"/>
        </w:rPr>
        <w:t xml:space="preserve"> kısmında ise sadece ham petrol raporlanmaktadır.</w:t>
      </w:r>
    </w:p>
  </w:footnote>
  <w:footnote w:id="14">
    <w:p w14:paraId="5E7080B8" w14:textId="77777777" w:rsidR="00C21BD1" w:rsidRDefault="008A2C1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Bioyakıt, yakacak odun , hayvan ve bitki artıkları alt bileşenlerinden oluşmaktadır. </w:t>
      </w:r>
    </w:p>
  </w:footnote>
  <w:footnote w:id="15">
    <w:p w14:paraId="1D06F48D" w14:textId="77777777" w:rsidR="00C21BD1" w:rsidRDefault="008A2C1B">
      <w:pPr>
        <w:pBdr>
          <w:top w:val="nil"/>
          <w:left w:val="nil"/>
          <w:bottom w:val="nil"/>
          <w:right w:val="nil"/>
          <w:between w:val="nil"/>
        </w:pBdr>
        <w:spacing w:after="0" w:line="240" w:lineRule="auto"/>
        <w:rPr>
          <w:color w:val="000000"/>
          <w:sz w:val="20"/>
          <w:szCs w:val="20"/>
        </w:rPr>
      </w:pPr>
      <w:r w:rsidRPr="00271D41">
        <w:rPr>
          <w:highlight w:val="red"/>
          <w:vertAlign w:val="superscript"/>
        </w:rPr>
        <w:footnoteRef/>
      </w:r>
      <w:r w:rsidRPr="00271D41">
        <w:rPr>
          <w:color w:val="000000"/>
          <w:sz w:val="20"/>
          <w:szCs w:val="20"/>
          <w:highlight w:val="red"/>
        </w:rPr>
        <w:t xml:space="preserve"> </w:t>
      </w:r>
      <w:r w:rsidRPr="00271D41">
        <w:rPr>
          <w:rFonts w:ascii="Times New Roman" w:eastAsia="Times New Roman" w:hAnsi="Times New Roman" w:cs="Times New Roman"/>
          <w:color w:val="000000"/>
          <w:sz w:val="20"/>
          <w:szCs w:val="20"/>
          <w:highlight w:val="red"/>
        </w:rPr>
        <w:t>Taş kömürü: 0,06; jeotermal: 0,06; güneş: 0,01; doğalgaz: 0.01, rüzgâr: 0,009</w:t>
      </w:r>
    </w:p>
  </w:footnote>
  <w:footnote w:id="16">
    <w:p w14:paraId="2EE099AB" w14:textId="28029936" w:rsidR="00C21BD1" w:rsidRDefault="008A2C1B">
      <w:pPr>
        <w:pBdr>
          <w:top w:val="nil"/>
          <w:left w:val="nil"/>
          <w:bottom w:val="nil"/>
          <w:right w:val="nil"/>
          <w:between w:val="nil"/>
        </w:pBdr>
        <w:spacing w:after="0" w:line="240" w:lineRule="auto"/>
        <w:rPr>
          <w:color w:val="000000"/>
          <w:sz w:val="20"/>
          <w:szCs w:val="20"/>
        </w:rPr>
      </w:pPr>
      <w:r w:rsidRPr="00947844">
        <w:rPr>
          <w:highlight w:val="red"/>
          <w:vertAlign w:val="superscript"/>
        </w:rPr>
        <w:footnoteRef/>
      </w:r>
      <w:r w:rsidRPr="00947844">
        <w:rPr>
          <w:color w:val="000000"/>
          <w:sz w:val="20"/>
          <w:szCs w:val="20"/>
          <w:highlight w:val="red"/>
        </w:rPr>
        <w:t xml:space="preserve"> </w:t>
      </w:r>
      <w:r w:rsidR="002E1438">
        <w:rPr>
          <w:rFonts w:ascii="Times New Roman" w:eastAsia="Times New Roman" w:hAnsi="Times New Roman" w:cs="Times New Roman"/>
          <w:color w:val="000000"/>
          <w:sz w:val="20"/>
          <w:szCs w:val="20"/>
          <w:highlight w:val="red"/>
        </w:rPr>
        <w:t>13</w:t>
      </w:r>
      <w:r w:rsidRPr="00947844">
        <w:rPr>
          <w:rFonts w:ascii="Times New Roman" w:eastAsia="Times New Roman" w:hAnsi="Times New Roman" w:cs="Times New Roman"/>
          <w:color w:val="000000"/>
          <w:sz w:val="20"/>
          <w:szCs w:val="20"/>
          <w:highlight w:val="red"/>
        </w:rPr>
        <w:t xml:space="preserve"> ve </w:t>
      </w:r>
      <w:r w:rsidR="002E1438">
        <w:rPr>
          <w:rFonts w:ascii="Times New Roman" w:eastAsia="Times New Roman" w:hAnsi="Times New Roman" w:cs="Times New Roman"/>
          <w:color w:val="000000"/>
          <w:sz w:val="20"/>
          <w:szCs w:val="20"/>
          <w:highlight w:val="red"/>
        </w:rPr>
        <w:t>18</w:t>
      </w:r>
      <w:r w:rsidRPr="00947844">
        <w:rPr>
          <w:rFonts w:ascii="Times New Roman" w:eastAsia="Times New Roman" w:hAnsi="Times New Roman" w:cs="Times New Roman"/>
          <w:color w:val="000000"/>
          <w:sz w:val="20"/>
          <w:szCs w:val="20"/>
          <w:highlight w:val="red"/>
        </w:rPr>
        <w:t xml:space="preserve"> numaralı dipnot</w:t>
      </w:r>
      <w:r w:rsidR="009100E9" w:rsidRPr="00947844">
        <w:rPr>
          <w:rFonts w:ascii="Times New Roman" w:eastAsia="Times New Roman" w:hAnsi="Times New Roman" w:cs="Times New Roman"/>
          <w:color w:val="000000"/>
          <w:sz w:val="20"/>
          <w:szCs w:val="20"/>
          <w:highlight w:val="red"/>
        </w:rPr>
        <w:t>lara</w:t>
      </w:r>
      <w:r w:rsidRPr="00947844">
        <w:rPr>
          <w:rFonts w:ascii="Times New Roman" w:eastAsia="Times New Roman" w:hAnsi="Times New Roman" w:cs="Times New Roman"/>
          <w:color w:val="000000"/>
          <w:sz w:val="20"/>
          <w:szCs w:val="20"/>
          <w:highlight w:val="red"/>
        </w:rPr>
        <w:t xml:space="preserve"> bakınız.</w:t>
      </w:r>
    </w:p>
  </w:footnote>
  <w:footnote w:id="17">
    <w:p w14:paraId="797403CB" w14:textId="06BC6C29" w:rsidR="00C21BD1" w:rsidRDefault="008A2C1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947844">
        <w:rPr>
          <w:highlight w:val="red"/>
          <w:vertAlign w:val="superscript"/>
        </w:rPr>
        <w:footnoteRef/>
      </w:r>
      <w:r w:rsidRPr="00947844">
        <w:rPr>
          <w:rFonts w:ascii="Times New Roman" w:eastAsia="Times New Roman" w:hAnsi="Times New Roman" w:cs="Times New Roman"/>
          <w:color w:val="000000"/>
          <w:sz w:val="20"/>
          <w:szCs w:val="20"/>
          <w:highlight w:val="red"/>
        </w:rPr>
        <w:t xml:space="preserve"> Şekil 7</w:t>
      </w:r>
      <w:r w:rsidR="00764F29" w:rsidRPr="00947844">
        <w:rPr>
          <w:rFonts w:ascii="Times New Roman" w:eastAsia="Times New Roman" w:hAnsi="Times New Roman" w:cs="Times New Roman"/>
          <w:color w:val="000000"/>
          <w:sz w:val="20"/>
          <w:szCs w:val="20"/>
          <w:highlight w:val="red"/>
        </w:rPr>
        <w:t xml:space="preserve"> ve açıklamalarına</w:t>
      </w:r>
      <w:r w:rsidRPr="00947844">
        <w:rPr>
          <w:rFonts w:ascii="Times New Roman" w:eastAsia="Times New Roman" w:hAnsi="Times New Roman" w:cs="Times New Roman"/>
          <w:color w:val="000000"/>
          <w:sz w:val="20"/>
          <w:szCs w:val="20"/>
          <w:highlight w:val="red"/>
        </w:rPr>
        <w:t xml:space="preserve"> bakınız.</w:t>
      </w:r>
    </w:p>
  </w:footnote>
  <w:footnote w:id="18">
    <w:p w14:paraId="72C2784E" w14:textId="22E101C3" w:rsidR="00C21BD1" w:rsidRDefault="008A2C1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Petrol = Ham Petrol + Petrol Ürünleri</w:t>
      </w:r>
      <w:r w:rsidR="00650955">
        <w:rPr>
          <w:rFonts w:ascii="Times New Roman" w:eastAsia="Times New Roman" w:hAnsi="Times New Roman" w:cs="Times New Roman"/>
          <w:i/>
          <w:color w:val="000000"/>
          <w:sz w:val="20"/>
          <w:szCs w:val="20"/>
        </w:rPr>
        <w:t xml:space="preserve">, </w:t>
      </w:r>
      <w:r w:rsidR="00650955">
        <w:rPr>
          <w:rFonts w:ascii="Times New Roman" w:eastAsia="Times New Roman" w:hAnsi="Times New Roman" w:cs="Times New Roman"/>
          <w:iCs/>
          <w:color w:val="000000"/>
          <w:sz w:val="20"/>
          <w:szCs w:val="20"/>
        </w:rPr>
        <w:t>yani 2008 yılına kadar olan “petrol” değerlerinin 2008 yılından sonraki devamı “ham petrol” ve “petrol ürünlerinin” toplamından oluşmaktadır</w:t>
      </w:r>
      <w:r w:rsidR="00650955">
        <w:rPr>
          <w:rFonts w:ascii="Times New Roman" w:eastAsia="Times New Roman" w:hAnsi="Times New Roman" w:cs="Times New Roman"/>
          <w:color w:val="000000"/>
          <w:sz w:val="20"/>
          <w:szCs w:val="20"/>
        </w:rPr>
        <w:t xml:space="preserve">. Ayrıca </w:t>
      </w:r>
      <w:r>
        <w:rPr>
          <w:rFonts w:ascii="Times New Roman" w:eastAsia="Times New Roman" w:hAnsi="Times New Roman" w:cs="Times New Roman"/>
          <w:color w:val="000000"/>
          <w:sz w:val="20"/>
          <w:szCs w:val="20"/>
        </w:rPr>
        <w:t xml:space="preserve">2015 yılından sonra </w:t>
      </w:r>
      <w:r w:rsidR="00650955">
        <w:rPr>
          <w:rFonts w:ascii="Times New Roman" w:eastAsia="Times New Roman" w:hAnsi="Times New Roman" w:cs="Times New Roman"/>
          <w:color w:val="000000"/>
          <w:sz w:val="20"/>
          <w:szCs w:val="20"/>
        </w:rPr>
        <w:t>petro kok da</w:t>
      </w:r>
      <w:r>
        <w:rPr>
          <w:rFonts w:ascii="Times New Roman" w:eastAsia="Times New Roman" w:hAnsi="Times New Roman" w:cs="Times New Roman"/>
          <w:color w:val="000000"/>
          <w:sz w:val="20"/>
          <w:szCs w:val="20"/>
        </w:rPr>
        <w:t xml:space="preserve"> </w:t>
      </w:r>
      <w:r w:rsidR="00650955">
        <w:rPr>
          <w:rFonts w:ascii="Times New Roman" w:eastAsia="Times New Roman" w:hAnsi="Times New Roman" w:cs="Times New Roman"/>
          <w:color w:val="000000"/>
          <w:sz w:val="20"/>
          <w:szCs w:val="20"/>
        </w:rPr>
        <w:t xml:space="preserve">petrol ürünleri </w:t>
      </w:r>
      <w:r>
        <w:rPr>
          <w:rFonts w:ascii="Times New Roman" w:eastAsia="Times New Roman" w:hAnsi="Times New Roman" w:cs="Times New Roman"/>
          <w:color w:val="000000"/>
          <w:sz w:val="20"/>
          <w:szCs w:val="20"/>
        </w:rPr>
        <w:t>içerisine dahil edilmiştir.</w:t>
      </w:r>
      <w:r w:rsidR="00650955">
        <w:rPr>
          <w:rFonts w:ascii="Times New Roman" w:eastAsia="Times New Roman" w:hAnsi="Times New Roman" w:cs="Times New Roman"/>
          <w:color w:val="000000"/>
          <w:sz w:val="20"/>
          <w:szCs w:val="20"/>
        </w:rPr>
        <w:t xml:space="preserve"> </w:t>
      </w:r>
    </w:p>
  </w:footnote>
  <w:footnote w:id="19">
    <w:p w14:paraId="298E4864" w14:textId="77777777" w:rsidR="00C21BD1" w:rsidRPr="002E1438" w:rsidRDefault="008A2C1B" w:rsidP="002E1438">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2E1438">
        <w:rPr>
          <w:rFonts w:ascii="Times New Roman" w:hAnsi="Times New Roman" w:cs="Times New Roman"/>
          <w:sz w:val="20"/>
          <w:szCs w:val="20"/>
          <w:vertAlign w:val="superscript"/>
        </w:rPr>
        <w:footnoteRef/>
      </w:r>
      <w:r w:rsidRPr="002E1438">
        <w:rPr>
          <w:rFonts w:ascii="Times New Roman" w:eastAsia="Times New Roman" w:hAnsi="Times New Roman" w:cs="Times New Roman"/>
          <w:color w:val="000000"/>
          <w:sz w:val="20"/>
          <w:szCs w:val="20"/>
        </w:rPr>
        <w:t xml:space="preserve"> Jeotermal ısıyı kapsamamakta olup ısı fabrikaları tarafından üretilen ısıyı ifade etmektedir. </w:t>
      </w:r>
    </w:p>
  </w:footnote>
  <w:footnote w:id="20">
    <w:p w14:paraId="527BE823" w14:textId="77777777" w:rsidR="00C21BD1" w:rsidRPr="002E1438" w:rsidRDefault="008A2C1B" w:rsidP="002E1438">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2E1438">
        <w:rPr>
          <w:rFonts w:ascii="Times New Roman" w:hAnsi="Times New Roman" w:cs="Times New Roman"/>
          <w:sz w:val="20"/>
          <w:szCs w:val="20"/>
          <w:vertAlign w:val="superscript"/>
        </w:rPr>
        <w:footnoteRef/>
      </w:r>
      <w:r w:rsidRPr="002E1438">
        <w:rPr>
          <w:rFonts w:ascii="Times New Roman" w:eastAsia="Times New Roman" w:hAnsi="Times New Roman" w:cs="Times New Roman"/>
          <w:color w:val="000000"/>
          <w:sz w:val="20"/>
          <w:szCs w:val="20"/>
        </w:rPr>
        <w:t xml:space="preserve"> Yüksek fırın gazı, kok fırın gazı, çelikhane gazı ve kömür katranı toplamından oluşmaktadır. </w:t>
      </w:r>
    </w:p>
  </w:footnote>
  <w:footnote w:id="21">
    <w:p w14:paraId="76856F50" w14:textId="77777777" w:rsidR="00C21BD1" w:rsidRPr="002E1438" w:rsidRDefault="008A2C1B" w:rsidP="002E1438">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2E1438">
        <w:rPr>
          <w:rFonts w:ascii="Times New Roman" w:hAnsi="Times New Roman" w:cs="Times New Roman"/>
          <w:sz w:val="20"/>
          <w:szCs w:val="20"/>
          <w:vertAlign w:val="superscript"/>
        </w:rPr>
        <w:footnoteRef/>
      </w:r>
      <w:r w:rsidRPr="002E1438">
        <w:rPr>
          <w:rFonts w:ascii="Times New Roman" w:eastAsia="Times New Roman" w:hAnsi="Times New Roman" w:cs="Times New Roman"/>
          <w:color w:val="000000"/>
          <w:sz w:val="20"/>
          <w:szCs w:val="20"/>
        </w:rPr>
        <w:t xml:space="preserve"> Hava gazı olarak da adlandırılmaktadır. Kömürden üretilen bir gaz türüdür. Özellikle sanayi devrimi sonrasında Türkiye’de de yaygın bir şekilde ısınma ve aydınlatma maksadıyla kullanılmıştır. 1993 yılı itibariyle Türkiye’deki kullanımına son verilmiştir.  </w:t>
      </w:r>
    </w:p>
  </w:footnote>
  <w:footnote w:id="22">
    <w:p w14:paraId="780C3FC7" w14:textId="77777777" w:rsidR="00C21BD1" w:rsidRPr="002E1438" w:rsidRDefault="008A2C1B" w:rsidP="002E1438">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2E1438">
        <w:rPr>
          <w:rFonts w:ascii="Times New Roman" w:hAnsi="Times New Roman" w:cs="Times New Roman"/>
          <w:sz w:val="20"/>
          <w:szCs w:val="20"/>
          <w:vertAlign w:val="superscript"/>
        </w:rPr>
        <w:footnoteRef/>
      </w:r>
      <w:r w:rsidRPr="002E1438">
        <w:rPr>
          <w:rFonts w:ascii="Times New Roman" w:eastAsia="Times New Roman" w:hAnsi="Times New Roman" w:cs="Times New Roman"/>
          <w:color w:val="000000"/>
          <w:sz w:val="20"/>
          <w:szCs w:val="20"/>
        </w:rPr>
        <w:t xml:space="preserve"> Linyit ve kömür tozunun basınç ile sıkıştırılması neticesinde elde edilen katı yakıt</w:t>
      </w:r>
    </w:p>
  </w:footnote>
  <w:footnote w:id="23">
    <w:p w14:paraId="20FDA644" w14:textId="56D0C375" w:rsidR="00C21BD1" w:rsidRDefault="008A2C1B" w:rsidP="002E1438">
      <w:pPr>
        <w:pBdr>
          <w:top w:val="nil"/>
          <w:left w:val="nil"/>
          <w:bottom w:val="nil"/>
          <w:right w:val="nil"/>
          <w:between w:val="nil"/>
        </w:pBdr>
        <w:spacing w:after="0" w:line="240" w:lineRule="auto"/>
        <w:jc w:val="both"/>
        <w:rPr>
          <w:color w:val="000000"/>
          <w:sz w:val="20"/>
          <w:szCs w:val="20"/>
        </w:rPr>
      </w:pPr>
      <w:r w:rsidRPr="002E1438">
        <w:rPr>
          <w:rFonts w:ascii="Times New Roman" w:hAnsi="Times New Roman" w:cs="Times New Roman"/>
          <w:sz w:val="20"/>
          <w:szCs w:val="20"/>
          <w:highlight w:val="red"/>
          <w:vertAlign w:val="superscript"/>
        </w:rPr>
        <w:footnoteRef/>
      </w:r>
      <w:r w:rsidRPr="002E1438">
        <w:rPr>
          <w:rFonts w:ascii="Times New Roman" w:hAnsi="Times New Roman" w:cs="Times New Roman"/>
          <w:color w:val="000000"/>
          <w:sz w:val="20"/>
          <w:szCs w:val="20"/>
          <w:highlight w:val="red"/>
        </w:rPr>
        <w:t xml:space="preserve"> </w:t>
      </w:r>
      <w:r w:rsidR="002E1438" w:rsidRPr="002E1438">
        <w:rPr>
          <w:rFonts w:ascii="Times New Roman" w:eastAsia="Times New Roman" w:hAnsi="Times New Roman" w:cs="Times New Roman"/>
          <w:color w:val="000000"/>
          <w:sz w:val="20"/>
          <w:szCs w:val="20"/>
          <w:highlight w:val="red"/>
        </w:rPr>
        <w:t>13</w:t>
      </w:r>
      <w:r w:rsidRPr="002E1438">
        <w:rPr>
          <w:rFonts w:ascii="Times New Roman" w:eastAsia="Times New Roman" w:hAnsi="Times New Roman" w:cs="Times New Roman"/>
          <w:color w:val="000000"/>
          <w:sz w:val="20"/>
          <w:szCs w:val="20"/>
          <w:highlight w:val="red"/>
        </w:rPr>
        <w:t xml:space="preserve"> ve </w:t>
      </w:r>
      <w:r w:rsidR="002E1438" w:rsidRPr="002E1438">
        <w:rPr>
          <w:rFonts w:ascii="Times New Roman" w:eastAsia="Times New Roman" w:hAnsi="Times New Roman" w:cs="Times New Roman"/>
          <w:color w:val="000000"/>
          <w:sz w:val="20"/>
          <w:szCs w:val="20"/>
          <w:highlight w:val="red"/>
        </w:rPr>
        <w:t>18</w:t>
      </w:r>
      <w:r w:rsidRPr="002E1438">
        <w:rPr>
          <w:rFonts w:ascii="Times New Roman" w:eastAsia="Times New Roman" w:hAnsi="Times New Roman" w:cs="Times New Roman"/>
          <w:color w:val="000000"/>
          <w:sz w:val="20"/>
          <w:szCs w:val="20"/>
          <w:highlight w:val="red"/>
        </w:rPr>
        <w:t xml:space="preserve"> numaralı dipnot</w:t>
      </w:r>
      <w:r w:rsidR="00650955" w:rsidRPr="002E1438">
        <w:rPr>
          <w:rFonts w:ascii="Times New Roman" w:eastAsia="Times New Roman" w:hAnsi="Times New Roman" w:cs="Times New Roman"/>
          <w:color w:val="000000"/>
          <w:sz w:val="20"/>
          <w:szCs w:val="20"/>
          <w:highlight w:val="red"/>
        </w:rPr>
        <w:t>lara</w:t>
      </w:r>
      <w:r w:rsidRPr="002E1438">
        <w:rPr>
          <w:rFonts w:ascii="Times New Roman" w:eastAsia="Times New Roman" w:hAnsi="Times New Roman" w:cs="Times New Roman"/>
          <w:color w:val="000000"/>
          <w:sz w:val="20"/>
          <w:szCs w:val="20"/>
          <w:highlight w:val="red"/>
        </w:rPr>
        <w:t xml:space="preserve"> bakınız.</w:t>
      </w:r>
    </w:p>
  </w:footnote>
  <w:footnote w:id="24">
    <w:p w14:paraId="3DE04A15" w14:textId="77777777" w:rsidR="00C21BD1" w:rsidRDefault="008A2C1B">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Petrokimya sanayii için hammadde olarak kullanım.</w:t>
      </w:r>
    </w:p>
  </w:footnote>
  <w:footnote w:id="25">
    <w:p w14:paraId="6086D720" w14:textId="277CAC85" w:rsidR="00C21BD1" w:rsidRDefault="008A2C1B">
      <w:pPr>
        <w:pBdr>
          <w:top w:val="nil"/>
          <w:left w:val="nil"/>
          <w:bottom w:val="nil"/>
          <w:right w:val="nil"/>
          <w:between w:val="nil"/>
        </w:pBdr>
        <w:spacing w:after="0" w:line="240" w:lineRule="auto"/>
        <w:rPr>
          <w:color w:val="000000"/>
          <w:sz w:val="20"/>
          <w:szCs w:val="20"/>
        </w:rPr>
      </w:pPr>
      <w:r w:rsidRPr="00DA5AC7">
        <w:rPr>
          <w:highlight w:val="red"/>
          <w:vertAlign w:val="superscript"/>
        </w:rPr>
        <w:footnoteRef/>
      </w:r>
      <w:r w:rsidRPr="00DA5AC7">
        <w:rPr>
          <w:color w:val="000000"/>
          <w:sz w:val="20"/>
          <w:szCs w:val="20"/>
          <w:highlight w:val="red"/>
        </w:rPr>
        <w:t xml:space="preserve"> </w:t>
      </w:r>
      <w:r w:rsidR="00271D41">
        <w:rPr>
          <w:rFonts w:ascii="Times New Roman" w:eastAsia="Times New Roman" w:hAnsi="Times New Roman" w:cs="Times New Roman"/>
          <w:color w:val="000000"/>
          <w:sz w:val="20"/>
          <w:szCs w:val="20"/>
          <w:highlight w:val="red"/>
        </w:rPr>
        <w:t>13</w:t>
      </w:r>
      <w:r w:rsidRPr="00DA5AC7">
        <w:rPr>
          <w:rFonts w:ascii="Times New Roman" w:eastAsia="Times New Roman" w:hAnsi="Times New Roman" w:cs="Times New Roman"/>
          <w:color w:val="000000"/>
          <w:sz w:val="20"/>
          <w:szCs w:val="20"/>
          <w:highlight w:val="red"/>
        </w:rPr>
        <w:t xml:space="preserve"> ve </w:t>
      </w:r>
      <w:r w:rsidR="00271D41">
        <w:rPr>
          <w:rFonts w:ascii="Times New Roman" w:eastAsia="Times New Roman" w:hAnsi="Times New Roman" w:cs="Times New Roman"/>
          <w:color w:val="000000"/>
          <w:sz w:val="20"/>
          <w:szCs w:val="20"/>
          <w:highlight w:val="red"/>
        </w:rPr>
        <w:t>18</w:t>
      </w:r>
      <w:r w:rsidRPr="00DA5AC7">
        <w:rPr>
          <w:rFonts w:ascii="Times New Roman" w:eastAsia="Times New Roman" w:hAnsi="Times New Roman" w:cs="Times New Roman"/>
          <w:color w:val="000000"/>
          <w:sz w:val="20"/>
          <w:szCs w:val="20"/>
          <w:highlight w:val="red"/>
        </w:rPr>
        <w:t xml:space="preserve"> numaralı dipnot</w:t>
      </w:r>
      <w:r w:rsidR="009100E9" w:rsidRPr="00DA5AC7">
        <w:rPr>
          <w:rFonts w:ascii="Times New Roman" w:eastAsia="Times New Roman" w:hAnsi="Times New Roman" w:cs="Times New Roman"/>
          <w:color w:val="000000"/>
          <w:sz w:val="20"/>
          <w:szCs w:val="20"/>
          <w:highlight w:val="red"/>
        </w:rPr>
        <w:t>lara</w:t>
      </w:r>
      <w:r w:rsidRPr="00DA5AC7">
        <w:rPr>
          <w:rFonts w:ascii="Times New Roman" w:eastAsia="Times New Roman" w:hAnsi="Times New Roman" w:cs="Times New Roman"/>
          <w:color w:val="000000"/>
          <w:sz w:val="20"/>
          <w:szCs w:val="20"/>
          <w:highlight w:val="red"/>
        </w:rPr>
        <w:t xml:space="preserve"> bakınız.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7C9"/>
    <w:multiLevelType w:val="multilevel"/>
    <w:tmpl w:val="0F1AA42C"/>
    <w:lvl w:ilvl="0">
      <w:start w:val="1"/>
      <w:numFmt w:val="bullet"/>
      <w:pStyle w:val="Balk2"/>
      <w:lvlText w:val="●"/>
      <w:lvlJc w:val="left"/>
      <w:pPr>
        <w:ind w:left="1287" w:hanging="360"/>
      </w:pPr>
      <w:rPr>
        <w:rFonts w:ascii="Noto Sans Symbols" w:eastAsia="Noto Sans Symbols" w:hAnsi="Noto Sans Symbols" w:cs="Noto Sans Symbols"/>
      </w:rPr>
    </w:lvl>
    <w:lvl w:ilvl="1">
      <w:start w:val="1"/>
      <w:numFmt w:val="bullet"/>
      <w:pStyle w:val="Balk3"/>
      <w:lvlText w:val="o"/>
      <w:lvlJc w:val="left"/>
      <w:pPr>
        <w:ind w:left="2007" w:hanging="360"/>
      </w:pPr>
      <w:rPr>
        <w:rFonts w:ascii="Courier New" w:eastAsia="Courier New" w:hAnsi="Courier New" w:cs="Courier New"/>
      </w:rPr>
    </w:lvl>
    <w:lvl w:ilvl="2">
      <w:start w:val="1"/>
      <w:numFmt w:val="bullet"/>
      <w:pStyle w:val="Balk4"/>
      <w:lvlText w:val="▪"/>
      <w:lvlJc w:val="left"/>
      <w:pPr>
        <w:ind w:left="2727" w:hanging="360"/>
      </w:pPr>
      <w:rPr>
        <w:rFonts w:ascii="Noto Sans Symbols" w:eastAsia="Noto Sans Symbols" w:hAnsi="Noto Sans Symbols" w:cs="Noto Sans Symbols"/>
      </w:rPr>
    </w:lvl>
    <w:lvl w:ilvl="3">
      <w:start w:val="1"/>
      <w:numFmt w:val="bullet"/>
      <w:pStyle w:val="Balk5"/>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07AF7561"/>
    <w:multiLevelType w:val="multilevel"/>
    <w:tmpl w:val="D4AEAE3E"/>
    <w:lvl w:ilvl="0">
      <w:start w:val="76"/>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8321079"/>
    <w:multiLevelType w:val="multilevel"/>
    <w:tmpl w:val="64941D58"/>
    <w:lvl w:ilvl="0">
      <w:start w:val="1"/>
      <w:numFmt w:val="decimal"/>
      <w:pStyle w:val="1BlmB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567"/>
      </w:pPr>
    </w:lvl>
    <w:lvl w:ilvl="3">
      <w:start w:val="1"/>
      <w:numFmt w:val="decimal"/>
      <w:lvlText w:val="%1.%2.%3.%4."/>
      <w:lvlJc w:val="left"/>
      <w:pPr>
        <w:ind w:left="0" w:firstLine="567"/>
      </w:pPr>
    </w:lvl>
    <w:lvl w:ilvl="4">
      <w:start w:val="1"/>
      <w:numFmt w:val="decimal"/>
      <w:lvlText w:val="%1.%2.%3.%4.%5."/>
      <w:lvlJc w:val="left"/>
      <w:pPr>
        <w:ind w:left="0" w:firstLine="567"/>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BC3CD5"/>
    <w:multiLevelType w:val="multilevel"/>
    <w:tmpl w:val="F6B63AEE"/>
    <w:lvl w:ilvl="0">
      <w:start w:val="20"/>
      <w:numFmt w:val="decimal"/>
      <w:lvlText w:val="(%1)"/>
      <w:lvlJc w:val="left"/>
      <w:pPr>
        <w:ind w:left="720" w:hanging="360"/>
      </w:pPr>
      <w:rPr>
        <w:rFonts w:ascii="Times New Roman" w:eastAsia="Times New Roman" w:hAnsi="Times New Roman" w:cs="Times New Roman"/>
      </w:rPr>
    </w:lvl>
    <w:lvl w:ilvl="1">
      <w:start w:val="1"/>
      <w:numFmt w:val="lowerLetter"/>
      <w:pStyle w:val="21DereceAltBalk"/>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0F096B"/>
    <w:multiLevelType w:val="hybridMultilevel"/>
    <w:tmpl w:val="FAA427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1411F28"/>
    <w:multiLevelType w:val="hybridMultilevel"/>
    <w:tmpl w:val="F846461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6" w15:restartNumberingAfterBreak="0">
    <w:nsid w:val="26A5474E"/>
    <w:multiLevelType w:val="multilevel"/>
    <w:tmpl w:val="808C10E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335D2E55"/>
    <w:multiLevelType w:val="multilevel"/>
    <w:tmpl w:val="6B6C790E"/>
    <w:lvl w:ilvl="0">
      <w:start w:val="20"/>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556F0F"/>
    <w:multiLevelType w:val="hybridMultilevel"/>
    <w:tmpl w:val="B83E916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9" w15:restartNumberingAfterBreak="0">
    <w:nsid w:val="41F46D56"/>
    <w:multiLevelType w:val="multilevel"/>
    <w:tmpl w:val="82684C1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846A31"/>
    <w:multiLevelType w:val="multilevel"/>
    <w:tmpl w:val="6C14A548"/>
    <w:lvl w:ilvl="0">
      <w:start w:val="1"/>
      <w:numFmt w:val="bullet"/>
      <w:lvlText w:val="●"/>
      <w:lvlJc w:val="left"/>
      <w:pPr>
        <w:ind w:left="1342" w:hanging="360"/>
      </w:pPr>
      <w:rPr>
        <w:rFonts w:ascii="Noto Sans Symbols" w:eastAsia="Noto Sans Symbols" w:hAnsi="Noto Sans Symbols" w:cs="Noto Sans Symbols"/>
      </w:rPr>
    </w:lvl>
    <w:lvl w:ilvl="1">
      <w:start w:val="1"/>
      <w:numFmt w:val="bullet"/>
      <w:lvlText w:val="o"/>
      <w:lvlJc w:val="left"/>
      <w:pPr>
        <w:ind w:left="2062" w:hanging="360"/>
      </w:pPr>
      <w:rPr>
        <w:rFonts w:ascii="Courier New" w:eastAsia="Courier New" w:hAnsi="Courier New" w:cs="Courier New"/>
      </w:rPr>
    </w:lvl>
    <w:lvl w:ilvl="2">
      <w:start w:val="1"/>
      <w:numFmt w:val="bullet"/>
      <w:lvlText w:val="▪"/>
      <w:lvlJc w:val="left"/>
      <w:pPr>
        <w:ind w:left="2782" w:hanging="360"/>
      </w:pPr>
      <w:rPr>
        <w:rFonts w:ascii="Noto Sans Symbols" w:eastAsia="Noto Sans Symbols" w:hAnsi="Noto Sans Symbols" w:cs="Noto Sans Symbols"/>
      </w:rPr>
    </w:lvl>
    <w:lvl w:ilvl="3">
      <w:start w:val="1"/>
      <w:numFmt w:val="bullet"/>
      <w:lvlText w:val="●"/>
      <w:lvlJc w:val="left"/>
      <w:pPr>
        <w:ind w:left="3502" w:hanging="360"/>
      </w:pPr>
      <w:rPr>
        <w:rFonts w:ascii="Noto Sans Symbols" w:eastAsia="Noto Sans Symbols" w:hAnsi="Noto Sans Symbols" w:cs="Noto Sans Symbols"/>
      </w:rPr>
    </w:lvl>
    <w:lvl w:ilvl="4">
      <w:start w:val="1"/>
      <w:numFmt w:val="bullet"/>
      <w:lvlText w:val="o"/>
      <w:lvlJc w:val="left"/>
      <w:pPr>
        <w:ind w:left="4222" w:hanging="360"/>
      </w:pPr>
      <w:rPr>
        <w:rFonts w:ascii="Courier New" w:eastAsia="Courier New" w:hAnsi="Courier New" w:cs="Courier New"/>
      </w:rPr>
    </w:lvl>
    <w:lvl w:ilvl="5">
      <w:start w:val="1"/>
      <w:numFmt w:val="bullet"/>
      <w:lvlText w:val="▪"/>
      <w:lvlJc w:val="left"/>
      <w:pPr>
        <w:ind w:left="4942" w:hanging="360"/>
      </w:pPr>
      <w:rPr>
        <w:rFonts w:ascii="Noto Sans Symbols" w:eastAsia="Noto Sans Symbols" w:hAnsi="Noto Sans Symbols" w:cs="Noto Sans Symbols"/>
      </w:rPr>
    </w:lvl>
    <w:lvl w:ilvl="6">
      <w:start w:val="1"/>
      <w:numFmt w:val="bullet"/>
      <w:lvlText w:val="●"/>
      <w:lvlJc w:val="left"/>
      <w:pPr>
        <w:ind w:left="5662" w:hanging="360"/>
      </w:pPr>
      <w:rPr>
        <w:rFonts w:ascii="Noto Sans Symbols" w:eastAsia="Noto Sans Symbols" w:hAnsi="Noto Sans Symbols" w:cs="Noto Sans Symbols"/>
      </w:rPr>
    </w:lvl>
    <w:lvl w:ilvl="7">
      <w:start w:val="1"/>
      <w:numFmt w:val="bullet"/>
      <w:lvlText w:val="o"/>
      <w:lvlJc w:val="left"/>
      <w:pPr>
        <w:ind w:left="6382" w:hanging="360"/>
      </w:pPr>
      <w:rPr>
        <w:rFonts w:ascii="Courier New" w:eastAsia="Courier New" w:hAnsi="Courier New" w:cs="Courier New"/>
      </w:rPr>
    </w:lvl>
    <w:lvl w:ilvl="8">
      <w:start w:val="1"/>
      <w:numFmt w:val="bullet"/>
      <w:lvlText w:val="▪"/>
      <w:lvlJc w:val="left"/>
      <w:pPr>
        <w:ind w:left="7102" w:hanging="360"/>
      </w:pPr>
      <w:rPr>
        <w:rFonts w:ascii="Noto Sans Symbols" w:eastAsia="Noto Sans Symbols" w:hAnsi="Noto Sans Symbols" w:cs="Noto Sans Symbols"/>
      </w:rPr>
    </w:lvl>
  </w:abstractNum>
  <w:abstractNum w:abstractNumId="11" w15:restartNumberingAfterBreak="0">
    <w:nsid w:val="477932F5"/>
    <w:multiLevelType w:val="multilevel"/>
    <w:tmpl w:val="16C834C4"/>
    <w:lvl w:ilvl="0">
      <w:start w:val="20"/>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F0051D"/>
    <w:multiLevelType w:val="multilevel"/>
    <w:tmpl w:val="A6361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3702DB8"/>
    <w:multiLevelType w:val="multilevel"/>
    <w:tmpl w:val="74EACB6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4" w15:restartNumberingAfterBreak="0">
    <w:nsid w:val="66A22943"/>
    <w:multiLevelType w:val="hybridMultilevel"/>
    <w:tmpl w:val="546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E517DE"/>
    <w:multiLevelType w:val="multilevel"/>
    <w:tmpl w:val="2DA478D6"/>
    <w:lvl w:ilvl="0">
      <w:start w:val="77"/>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E7F2FC7"/>
    <w:multiLevelType w:val="multilevel"/>
    <w:tmpl w:val="5D4A54C8"/>
    <w:lvl w:ilvl="0">
      <w:start w:val="20"/>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18066380">
    <w:abstractNumId w:val="0"/>
  </w:num>
  <w:num w:numId="2" w16cid:durableId="1468161775">
    <w:abstractNumId w:val="1"/>
  </w:num>
  <w:num w:numId="3" w16cid:durableId="2034378721">
    <w:abstractNumId w:val="9"/>
  </w:num>
  <w:num w:numId="4" w16cid:durableId="1633443214">
    <w:abstractNumId w:val="7"/>
  </w:num>
  <w:num w:numId="5" w16cid:durableId="1380477809">
    <w:abstractNumId w:val="13"/>
  </w:num>
  <w:num w:numId="6" w16cid:durableId="1580409777">
    <w:abstractNumId w:val="11"/>
  </w:num>
  <w:num w:numId="7" w16cid:durableId="475607833">
    <w:abstractNumId w:val="16"/>
  </w:num>
  <w:num w:numId="8" w16cid:durableId="1703046273">
    <w:abstractNumId w:val="6"/>
  </w:num>
  <w:num w:numId="9" w16cid:durableId="1283805182">
    <w:abstractNumId w:val="3"/>
  </w:num>
  <w:num w:numId="10" w16cid:durableId="449591960">
    <w:abstractNumId w:val="10"/>
  </w:num>
  <w:num w:numId="11" w16cid:durableId="22170959">
    <w:abstractNumId w:val="2"/>
  </w:num>
  <w:num w:numId="12" w16cid:durableId="762143463">
    <w:abstractNumId w:val="12"/>
  </w:num>
  <w:num w:numId="13" w16cid:durableId="1177691205">
    <w:abstractNumId w:val="15"/>
  </w:num>
  <w:num w:numId="14" w16cid:durableId="644970217">
    <w:abstractNumId w:val="4"/>
  </w:num>
  <w:num w:numId="15" w16cid:durableId="274676844">
    <w:abstractNumId w:val="0"/>
  </w:num>
  <w:num w:numId="16" w16cid:durableId="321205199">
    <w:abstractNumId w:val="8"/>
  </w:num>
  <w:num w:numId="17" w16cid:durableId="1522471350">
    <w:abstractNumId w:val="5"/>
  </w:num>
  <w:num w:numId="18" w16cid:durableId="3400081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1BD1"/>
    <w:rsid w:val="00026009"/>
    <w:rsid w:val="00027C57"/>
    <w:rsid w:val="0003182C"/>
    <w:rsid w:val="00041E74"/>
    <w:rsid w:val="00063575"/>
    <w:rsid w:val="000753EE"/>
    <w:rsid w:val="00097105"/>
    <w:rsid w:val="000A0B2C"/>
    <w:rsid w:val="000A566F"/>
    <w:rsid w:val="000B5882"/>
    <w:rsid w:val="001012A5"/>
    <w:rsid w:val="001064FA"/>
    <w:rsid w:val="001257A0"/>
    <w:rsid w:val="001507EC"/>
    <w:rsid w:val="00155715"/>
    <w:rsid w:val="00163DDA"/>
    <w:rsid w:val="00174BD9"/>
    <w:rsid w:val="00176B26"/>
    <w:rsid w:val="00186BCB"/>
    <w:rsid w:val="00193D9D"/>
    <w:rsid w:val="001A6919"/>
    <w:rsid w:val="001B0C21"/>
    <w:rsid w:val="001B765C"/>
    <w:rsid w:val="001C0916"/>
    <w:rsid w:val="001D076D"/>
    <w:rsid w:val="001D4A83"/>
    <w:rsid w:val="001E2EA5"/>
    <w:rsid w:val="001E6B46"/>
    <w:rsid w:val="00200699"/>
    <w:rsid w:val="0020639D"/>
    <w:rsid w:val="0021748F"/>
    <w:rsid w:val="002317ED"/>
    <w:rsid w:val="00231DF5"/>
    <w:rsid w:val="00232E6D"/>
    <w:rsid w:val="00236C94"/>
    <w:rsid w:val="002432CF"/>
    <w:rsid w:val="00243712"/>
    <w:rsid w:val="00251658"/>
    <w:rsid w:val="00266A0A"/>
    <w:rsid w:val="002678ED"/>
    <w:rsid w:val="00271D41"/>
    <w:rsid w:val="0028123B"/>
    <w:rsid w:val="002A0CB3"/>
    <w:rsid w:val="002B7B67"/>
    <w:rsid w:val="002C204F"/>
    <w:rsid w:val="002C396C"/>
    <w:rsid w:val="002D5F84"/>
    <w:rsid w:val="002E1438"/>
    <w:rsid w:val="002E699A"/>
    <w:rsid w:val="002F39CD"/>
    <w:rsid w:val="003038F2"/>
    <w:rsid w:val="00317CD4"/>
    <w:rsid w:val="0033314B"/>
    <w:rsid w:val="0033783F"/>
    <w:rsid w:val="00343631"/>
    <w:rsid w:val="00343796"/>
    <w:rsid w:val="00362911"/>
    <w:rsid w:val="003679F7"/>
    <w:rsid w:val="00382725"/>
    <w:rsid w:val="00384589"/>
    <w:rsid w:val="00392BB0"/>
    <w:rsid w:val="00394D10"/>
    <w:rsid w:val="003C63F0"/>
    <w:rsid w:val="003D18B3"/>
    <w:rsid w:val="003E7934"/>
    <w:rsid w:val="003F1284"/>
    <w:rsid w:val="003F4E27"/>
    <w:rsid w:val="003F7563"/>
    <w:rsid w:val="00404D6B"/>
    <w:rsid w:val="00415E9B"/>
    <w:rsid w:val="0041677C"/>
    <w:rsid w:val="004256AC"/>
    <w:rsid w:val="00425934"/>
    <w:rsid w:val="00425E24"/>
    <w:rsid w:val="0043769E"/>
    <w:rsid w:val="00462D5F"/>
    <w:rsid w:val="00463BDA"/>
    <w:rsid w:val="0046727C"/>
    <w:rsid w:val="004766A5"/>
    <w:rsid w:val="0048585C"/>
    <w:rsid w:val="00490037"/>
    <w:rsid w:val="004A403E"/>
    <w:rsid w:val="004A45D9"/>
    <w:rsid w:val="004A762D"/>
    <w:rsid w:val="004C3B6C"/>
    <w:rsid w:val="004C4347"/>
    <w:rsid w:val="004E6DAC"/>
    <w:rsid w:val="004F263E"/>
    <w:rsid w:val="004F7D53"/>
    <w:rsid w:val="005017F8"/>
    <w:rsid w:val="00510329"/>
    <w:rsid w:val="00520D5C"/>
    <w:rsid w:val="00521634"/>
    <w:rsid w:val="005224CA"/>
    <w:rsid w:val="00541A21"/>
    <w:rsid w:val="0055658F"/>
    <w:rsid w:val="00562529"/>
    <w:rsid w:val="0056303A"/>
    <w:rsid w:val="00583DD3"/>
    <w:rsid w:val="00591F18"/>
    <w:rsid w:val="005925DB"/>
    <w:rsid w:val="005B7B1E"/>
    <w:rsid w:val="005D5954"/>
    <w:rsid w:val="005E078B"/>
    <w:rsid w:val="005E5332"/>
    <w:rsid w:val="005F54D1"/>
    <w:rsid w:val="005F66FE"/>
    <w:rsid w:val="00625D1A"/>
    <w:rsid w:val="00634071"/>
    <w:rsid w:val="006358D3"/>
    <w:rsid w:val="00641382"/>
    <w:rsid w:val="006438CC"/>
    <w:rsid w:val="00650955"/>
    <w:rsid w:val="00654951"/>
    <w:rsid w:val="006560E2"/>
    <w:rsid w:val="006723BD"/>
    <w:rsid w:val="00674D54"/>
    <w:rsid w:val="00676FAF"/>
    <w:rsid w:val="0068328A"/>
    <w:rsid w:val="006845DC"/>
    <w:rsid w:val="0069520D"/>
    <w:rsid w:val="006A4B16"/>
    <w:rsid w:val="006C2964"/>
    <w:rsid w:val="006C5B1D"/>
    <w:rsid w:val="006D7515"/>
    <w:rsid w:val="006E1782"/>
    <w:rsid w:val="00704034"/>
    <w:rsid w:val="00704A84"/>
    <w:rsid w:val="007065AA"/>
    <w:rsid w:val="00706DB7"/>
    <w:rsid w:val="00712F2E"/>
    <w:rsid w:val="00715137"/>
    <w:rsid w:val="00731B1F"/>
    <w:rsid w:val="00742F3C"/>
    <w:rsid w:val="0074361A"/>
    <w:rsid w:val="00753F85"/>
    <w:rsid w:val="00764F29"/>
    <w:rsid w:val="00765F49"/>
    <w:rsid w:val="00785CB4"/>
    <w:rsid w:val="007A432B"/>
    <w:rsid w:val="007B0B3A"/>
    <w:rsid w:val="007B2D48"/>
    <w:rsid w:val="007B3BD2"/>
    <w:rsid w:val="007C1908"/>
    <w:rsid w:val="007C24F5"/>
    <w:rsid w:val="007E7AEF"/>
    <w:rsid w:val="007F64A1"/>
    <w:rsid w:val="00805A85"/>
    <w:rsid w:val="0080721F"/>
    <w:rsid w:val="00822F14"/>
    <w:rsid w:val="00827DA5"/>
    <w:rsid w:val="00842425"/>
    <w:rsid w:val="00853D2F"/>
    <w:rsid w:val="008604CE"/>
    <w:rsid w:val="00863B27"/>
    <w:rsid w:val="00883205"/>
    <w:rsid w:val="00886240"/>
    <w:rsid w:val="00894CA1"/>
    <w:rsid w:val="008A2C1B"/>
    <w:rsid w:val="008C0BAB"/>
    <w:rsid w:val="008C450B"/>
    <w:rsid w:val="008D3618"/>
    <w:rsid w:val="008F1EB1"/>
    <w:rsid w:val="008F518E"/>
    <w:rsid w:val="008F63A1"/>
    <w:rsid w:val="009012D9"/>
    <w:rsid w:val="00903FB1"/>
    <w:rsid w:val="00906E3B"/>
    <w:rsid w:val="009100E9"/>
    <w:rsid w:val="00921A7A"/>
    <w:rsid w:val="009329CA"/>
    <w:rsid w:val="009407DC"/>
    <w:rsid w:val="0094513B"/>
    <w:rsid w:val="00947844"/>
    <w:rsid w:val="00962FCB"/>
    <w:rsid w:val="00982353"/>
    <w:rsid w:val="00993C2F"/>
    <w:rsid w:val="00997A14"/>
    <w:rsid w:val="009A2EEE"/>
    <w:rsid w:val="009B39D7"/>
    <w:rsid w:val="009D0EFE"/>
    <w:rsid w:val="009D7A45"/>
    <w:rsid w:val="009E16B5"/>
    <w:rsid w:val="009E17D1"/>
    <w:rsid w:val="00A101A7"/>
    <w:rsid w:val="00A12216"/>
    <w:rsid w:val="00A214C6"/>
    <w:rsid w:val="00A27E33"/>
    <w:rsid w:val="00A3364C"/>
    <w:rsid w:val="00A46A31"/>
    <w:rsid w:val="00A50252"/>
    <w:rsid w:val="00A605E3"/>
    <w:rsid w:val="00A6169B"/>
    <w:rsid w:val="00A75CA9"/>
    <w:rsid w:val="00A82BD9"/>
    <w:rsid w:val="00A86EFE"/>
    <w:rsid w:val="00A87E48"/>
    <w:rsid w:val="00AA332B"/>
    <w:rsid w:val="00AA59BE"/>
    <w:rsid w:val="00AB6807"/>
    <w:rsid w:val="00AC22A1"/>
    <w:rsid w:val="00AC2675"/>
    <w:rsid w:val="00AC5D97"/>
    <w:rsid w:val="00AC6D31"/>
    <w:rsid w:val="00AD1F3F"/>
    <w:rsid w:val="00AD51EA"/>
    <w:rsid w:val="00AF6FFD"/>
    <w:rsid w:val="00B021BB"/>
    <w:rsid w:val="00B04594"/>
    <w:rsid w:val="00B12781"/>
    <w:rsid w:val="00B12CDD"/>
    <w:rsid w:val="00B51B60"/>
    <w:rsid w:val="00B55143"/>
    <w:rsid w:val="00B5675E"/>
    <w:rsid w:val="00B60E75"/>
    <w:rsid w:val="00B60F30"/>
    <w:rsid w:val="00B64534"/>
    <w:rsid w:val="00B66CD0"/>
    <w:rsid w:val="00BA0F24"/>
    <w:rsid w:val="00BB002D"/>
    <w:rsid w:val="00BB59F4"/>
    <w:rsid w:val="00BC3FD1"/>
    <w:rsid w:val="00BD411D"/>
    <w:rsid w:val="00BD4D6C"/>
    <w:rsid w:val="00BE397B"/>
    <w:rsid w:val="00BE6A00"/>
    <w:rsid w:val="00BF6FC6"/>
    <w:rsid w:val="00C0098B"/>
    <w:rsid w:val="00C21BD1"/>
    <w:rsid w:val="00C27D6F"/>
    <w:rsid w:val="00C37E5D"/>
    <w:rsid w:val="00C45750"/>
    <w:rsid w:val="00C475CD"/>
    <w:rsid w:val="00C51DA9"/>
    <w:rsid w:val="00C53CF9"/>
    <w:rsid w:val="00C5420B"/>
    <w:rsid w:val="00C64C79"/>
    <w:rsid w:val="00C76D38"/>
    <w:rsid w:val="00C834CF"/>
    <w:rsid w:val="00C8593E"/>
    <w:rsid w:val="00C86F94"/>
    <w:rsid w:val="00C97252"/>
    <w:rsid w:val="00CA352C"/>
    <w:rsid w:val="00CB005D"/>
    <w:rsid w:val="00CB52F8"/>
    <w:rsid w:val="00CC2EA5"/>
    <w:rsid w:val="00CE3D61"/>
    <w:rsid w:val="00D0009A"/>
    <w:rsid w:val="00D00EE9"/>
    <w:rsid w:val="00D03FF0"/>
    <w:rsid w:val="00D0649F"/>
    <w:rsid w:val="00D06990"/>
    <w:rsid w:val="00D14151"/>
    <w:rsid w:val="00D2645D"/>
    <w:rsid w:val="00D409E9"/>
    <w:rsid w:val="00D43F9B"/>
    <w:rsid w:val="00D44145"/>
    <w:rsid w:val="00D60952"/>
    <w:rsid w:val="00D70927"/>
    <w:rsid w:val="00D766F2"/>
    <w:rsid w:val="00D86DE4"/>
    <w:rsid w:val="00D9160C"/>
    <w:rsid w:val="00D92F11"/>
    <w:rsid w:val="00DA0B65"/>
    <w:rsid w:val="00DA5AC7"/>
    <w:rsid w:val="00DB1BCB"/>
    <w:rsid w:val="00DB1F7F"/>
    <w:rsid w:val="00DB3831"/>
    <w:rsid w:val="00DB7196"/>
    <w:rsid w:val="00DB7754"/>
    <w:rsid w:val="00DD193E"/>
    <w:rsid w:val="00DD5AC5"/>
    <w:rsid w:val="00DD7DE9"/>
    <w:rsid w:val="00DE0F93"/>
    <w:rsid w:val="00DF34DD"/>
    <w:rsid w:val="00E03807"/>
    <w:rsid w:val="00E03F0E"/>
    <w:rsid w:val="00E06C0C"/>
    <w:rsid w:val="00E26DBA"/>
    <w:rsid w:val="00E315F2"/>
    <w:rsid w:val="00E43BDB"/>
    <w:rsid w:val="00E62F75"/>
    <w:rsid w:val="00E7672E"/>
    <w:rsid w:val="00E81A78"/>
    <w:rsid w:val="00E86BC2"/>
    <w:rsid w:val="00EA04BD"/>
    <w:rsid w:val="00EA30A2"/>
    <w:rsid w:val="00EA6E9D"/>
    <w:rsid w:val="00EC73F2"/>
    <w:rsid w:val="00EE6F76"/>
    <w:rsid w:val="00EF20B9"/>
    <w:rsid w:val="00F05AE4"/>
    <w:rsid w:val="00F231F1"/>
    <w:rsid w:val="00F47A3A"/>
    <w:rsid w:val="00F51899"/>
    <w:rsid w:val="00F72366"/>
    <w:rsid w:val="00F964EB"/>
    <w:rsid w:val="00FB4800"/>
    <w:rsid w:val="00FE2AC0"/>
    <w:rsid w:val="00FE54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53AD"/>
  <w15:docId w15:val="{A107891C-D51F-4CAF-A46E-10BF1465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rsid w:val="001F7099"/>
    <w:pPr>
      <w:pBdr>
        <w:top w:val="nil"/>
        <w:left w:val="nil"/>
        <w:bottom w:val="nil"/>
        <w:right w:val="nil"/>
        <w:between w:val="nil"/>
      </w:pBdr>
      <w:tabs>
        <w:tab w:val="left" w:pos="426"/>
        <w:tab w:val="left" w:pos="851"/>
      </w:tabs>
      <w:spacing w:after="240" w:line="360" w:lineRule="auto"/>
      <w:jc w:val="center"/>
      <w:outlineLvl w:val="0"/>
    </w:pPr>
    <w:rPr>
      <w:rFonts w:ascii="Times New Roman" w:eastAsia="Times New Roman" w:hAnsi="Times New Roman" w:cs="Times New Roman"/>
      <w:b/>
      <w:color w:val="000000"/>
      <w:sz w:val="24"/>
      <w:szCs w:val="24"/>
    </w:rPr>
  </w:style>
  <w:style w:type="paragraph" w:styleId="Balk2">
    <w:name w:val="heading 2"/>
    <w:basedOn w:val="Normal"/>
    <w:next w:val="Normal"/>
    <w:uiPriority w:val="9"/>
    <w:unhideWhenUsed/>
    <w:qFormat/>
    <w:rsid w:val="001F7099"/>
    <w:pPr>
      <w:numPr>
        <w:numId w:val="1"/>
      </w:numPr>
      <w:pBdr>
        <w:top w:val="nil"/>
        <w:left w:val="nil"/>
        <w:bottom w:val="nil"/>
        <w:right w:val="nil"/>
        <w:between w:val="nil"/>
      </w:pBdr>
      <w:tabs>
        <w:tab w:val="left" w:pos="426"/>
        <w:tab w:val="left" w:pos="851"/>
      </w:tabs>
      <w:spacing w:after="240" w:line="360" w:lineRule="auto"/>
      <w:jc w:val="both"/>
      <w:outlineLvl w:val="1"/>
    </w:pPr>
    <w:rPr>
      <w:rFonts w:ascii="Times New Roman" w:eastAsia="Times New Roman" w:hAnsi="Times New Roman" w:cs="Times New Roman"/>
      <w:b/>
      <w:color w:val="000000"/>
      <w:sz w:val="24"/>
      <w:szCs w:val="24"/>
    </w:rPr>
  </w:style>
  <w:style w:type="paragraph" w:styleId="Balk3">
    <w:name w:val="heading 3"/>
    <w:basedOn w:val="Normal"/>
    <w:next w:val="Normal"/>
    <w:uiPriority w:val="9"/>
    <w:unhideWhenUsed/>
    <w:qFormat/>
    <w:rsid w:val="001F7099"/>
    <w:pPr>
      <w:numPr>
        <w:ilvl w:val="1"/>
        <w:numId w:val="1"/>
      </w:numPr>
      <w:pBdr>
        <w:top w:val="nil"/>
        <w:left w:val="nil"/>
        <w:bottom w:val="nil"/>
        <w:right w:val="nil"/>
        <w:between w:val="nil"/>
      </w:pBdr>
      <w:tabs>
        <w:tab w:val="left" w:pos="426"/>
        <w:tab w:val="left" w:pos="851"/>
      </w:tabs>
      <w:spacing w:after="240" w:line="360" w:lineRule="auto"/>
      <w:jc w:val="both"/>
      <w:outlineLvl w:val="2"/>
    </w:pPr>
    <w:rPr>
      <w:rFonts w:ascii="Times New Roman" w:eastAsia="Times New Roman" w:hAnsi="Times New Roman" w:cs="Times New Roman"/>
      <w:b/>
      <w:color w:val="000000"/>
      <w:sz w:val="24"/>
      <w:szCs w:val="24"/>
    </w:rPr>
  </w:style>
  <w:style w:type="paragraph" w:styleId="Balk4">
    <w:name w:val="heading 4"/>
    <w:basedOn w:val="Balk3"/>
    <w:next w:val="Normal"/>
    <w:uiPriority w:val="9"/>
    <w:unhideWhenUsed/>
    <w:qFormat/>
    <w:rsid w:val="001F7099"/>
    <w:pPr>
      <w:numPr>
        <w:ilvl w:val="2"/>
      </w:numPr>
      <w:outlineLvl w:val="3"/>
    </w:pPr>
  </w:style>
  <w:style w:type="paragraph" w:styleId="Balk5">
    <w:name w:val="heading 5"/>
    <w:basedOn w:val="Normal"/>
    <w:next w:val="Normal"/>
    <w:uiPriority w:val="9"/>
    <w:semiHidden/>
    <w:unhideWhenUsed/>
    <w:qFormat/>
    <w:rsid w:val="001F7099"/>
    <w:pPr>
      <w:keepNext/>
      <w:keepLines/>
      <w:numPr>
        <w:ilvl w:val="3"/>
        <w:numId w:val="1"/>
      </w:numPr>
      <w:spacing w:after="240" w:line="360" w:lineRule="auto"/>
      <w:outlineLvl w:val="4"/>
    </w:pPr>
    <w:rPr>
      <w:rFonts w:ascii="Times New Roman" w:hAnsi="Times New Roman"/>
      <w:b/>
      <w:sz w:val="24"/>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AralkYok"/>
    <w:next w:val="Normal"/>
    <w:uiPriority w:val="10"/>
    <w:qFormat/>
    <w:rsid w:val="00C20DCF"/>
  </w:style>
  <w:style w:type="table" w:customStyle="1" w:styleId="TableNormal1">
    <w:name w:val="Table Normal1"/>
    <w:tblPr>
      <w:tblCellMar>
        <w:top w:w="0" w:type="dxa"/>
        <w:left w:w="0" w:type="dxa"/>
        <w:bottom w:w="0" w:type="dxa"/>
        <w:right w:w="0" w:type="dxa"/>
      </w:tblCellMar>
    </w:tblPr>
  </w:style>
  <w:style w:type="paragraph" w:styleId="ResimYazs">
    <w:name w:val="caption"/>
    <w:basedOn w:val="Normal"/>
    <w:next w:val="Normal"/>
    <w:uiPriority w:val="35"/>
    <w:unhideWhenUsed/>
    <w:qFormat/>
    <w:rsid w:val="001872C5"/>
    <w:pPr>
      <w:spacing w:after="0" w:line="360" w:lineRule="auto"/>
      <w:jc w:val="center"/>
    </w:pPr>
    <w:rPr>
      <w:rFonts w:ascii="Times New Roman" w:hAnsi="Times New Roman"/>
      <w:iCs/>
      <w:sz w:val="24"/>
      <w:szCs w:val="18"/>
    </w:rPr>
  </w:style>
  <w:style w:type="paragraph" w:styleId="ListeParagraf">
    <w:name w:val="List Paragraph"/>
    <w:basedOn w:val="Normal"/>
    <w:uiPriority w:val="34"/>
    <w:qFormat/>
    <w:rsid w:val="00400AA9"/>
    <w:pPr>
      <w:ind w:left="720"/>
      <w:contextualSpacing/>
    </w:pPr>
  </w:style>
  <w:style w:type="paragraph" w:styleId="stBilgi">
    <w:name w:val="header"/>
    <w:basedOn w:val="Normal"/>
    <w:link w:val="stBilgiChar"/>
    <w:uiPriority w:val="99"/>
    <w:unhideWhenUsed/>
    <w:rsid w:val="00864B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64B7A"/>
  </w:style>
  <w:style w:type="paragraph" w:styleId="AltBilgi">
    <w:name w:val="footer"/>
    <w:basedOn w:val="Normal"/>
    <w:link w:val="AltBilgiChar"/>
    <w:uiPriority w:val="99"/>
    <w:unhideWhenUsed/>
    <w:rsid w:val="00864B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64B7A"/>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ipnotMetni">
    <w:name w:val="footnote text"/>
    <w:basedOn w:val="Normal"/>
    <w:link w:val="DipnotMetniChar"/>
    <w:uiPriority w:val="99"/>
    <w:unhideWhenUsed/>
    <w:rsid w:val="003F6765"/>
    <w:pPr>
      <w:spacing w:after="0" w:line="240" w:lineRule="auto"/>
    </w:pPr>
    <w:rPr>
      <w:sz w:val="20"/>
      <w:szCs w:val="20"/>
    </w:rPr>
  </w:style>
  <w:style w:type="character" w:customStyle="1" w:styleId="DipnotMetniChar">
    <w:name w:val="Dipnot Metni Char"/>
    <w:basedOn w:val="VarsaylanParagrafYazTipi"/>
    <w:link w:val="DipnotMetni"/>
    <w:uiPriority w:val="99"/>
    <w:rsid w:val="003F6765"/>
    <w:rPr>
      <w:sz w:val="20"/>
      <w:szCs w:val="20"/>
    </w:rPr>
  </w:style>
  <w:style w:type="character" w:styleId="DipnotBavurusu">
    <w:name w:val="footnote reference"/>
    <w:basedOn w:val="VarsaylanParagrafYazTipi"/>
    <w:uiPriority w:val="99"/>
    <w:semiHidden/>
    <w:unhideWhenUsed/>
    <w:rsid w:val="003F6765"/>
    <w:rPr>
      <w:vertAlign w:val="superscript"/>
    </w:rPr>
  </w:style>
  <w:style w:type="character" w:styleId="YerTutucuMetni">
    <w:name w:val="Placeholder Text"/>
    <w:basedOn w:val="VarsaylanParagrafYazTipi"/>
    <w:uiPriority w:val="99"/>
    <w:semiHidden/>
    <w:rsid w:val="004F40E8"/>
    <w:rPr>
      <w:color w:val="808080"/>
    </w:rPr>
  </w:style>
  <w:style w:type="table" w:styleId="TabloKlavuzu">
    <w:name w:val="Table Grid"/>
    <w:basedOn w:val="NormalTablo"/>
    <w:uiPriority w:val="39"/>
    <w:rsid w:val="00150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F57"/>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unhideWhenUsed/>
    <w:rsid w:val="00A23809"/>
    <w:rPr>
      <w:color w:val="0563C1" w:themeColor="hyperlink"/>
      <w:u w:val="single"/>
    </w:rPr>
  </w:style>
  <w:style w:type="character" w:styleId="zmlenmeyenBahsetme">
    <w:name w:val="Unresolved Mention"/>
    <w:basedOn w:val="VarsaylanParagrafYazTipi"/>
    <w:uiPriority w:val="99"/>
    <w:semiHidden/>
    <w:unhideWhenUsed/>
    <w:rsid w:val="00A23809"/>
    <w:rPr>
      <w:color w:val="605E5C"/>
      <w:shd w:val="clear" w:color="auto" w:fill="E1DFDD"/>
    </w:rPr>
  </w:style>
  <w:style w:type="paragraph" w:styleId="TBal">
    <w:name w:val="TOC Heading"/>
    <w:basedOn w:val="Balk1"/>
    <w:next w:val="Normal"/>
    <w:uiPriority w:val="39"/>
    <w:unhideWhenUsed/>
    <w:qFormat/>
    <w:rsid w:val="005817BD"/>
    <w:pPr>
      <w:keepNext/>
      <w:keepLines/>
      <w:pBdr>
        <w:top w:val="none" w:sz="0" w:space="0" w:color="auto"/>
        <w:left w:val="none" w:sz="0" w:space="0" w:color="auto"/>
        <w:bottom w:val="none" w:sz="0" w:space="0" w:color="auto"/>
        <w:right w:val="none" w:sz="0" w:space="0" w:color="auto"/>
        <w:between w:val="none" w:sz="0" w:space="0" w:color="auto"/>
      </w:pBdr>
      <w:tabs>
        <w:tab w:val="clear" w:pos="426"/>
        <w:tab w:val="clear" w:pos="851"/>
      </w:tab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1">
    <w:name w:val="toc 1"/>
    <w:basedOn w:val="0AnaBalk"/>
    <w:next w:val="Normal"/>
    <w:autoRedefine/>
    <w:uiPriority w:val="39"/>
    <w:unhideWhenUsed/>
    <w:rsid w:val="00402BC9"/>
    <w:pPr>
      <w:tabs>
        <w:tab w:val="right" w:leader="dot" w:pos="8777"/>
      </w:tabs>
      <w:spacing w:before="120" w:after="120" w:line="240" w:lineRule="auto"/>
      <w:jc w:val="left"/>
    </w:pPr>
    <w:rPr>
      <w:bCs/>
      <w:caps/>
      <w:szCs w:val="20"/>
    </w:rPr>
  </w:style>
  <w:style w:type="paragraph" w:styleId="T2">
    <w:name w:val="toc 2"/>
    <w:basedOn w:val="Normal"/>
    <w:next w:val="Normal"/>
    <w:autoRedefine/>
    <w:uiPriority w:val="39"/>
    <w:unhideWhenUsed/>
    <w:rsid w:val="007617D3"/>
    <w:pPr>
      <w:spacing w:after="0" w:line="240" w:lineRule="auto"/>
    </w:pPr>
    <w:rPr>
      <w:rFonts w:ascii="Times New Roman" w:hAnsi="Times New Roman"/>
      <w:b/>
      <w:smallCaps/>
      <w:sz w:val="24"/>
      <w:szCs w:val="20"/>
    </w:rPr>
  </w:style>
  <w:style w:type="paragraph" w:styleId="T3">
    <w:name w:val="toc 3"/>
    <w:basedOn w:val="Normal"/>
    <w:next w:val="Normal"/>
    <w:autoRedefine/>
    <w:uiPriority w:val="39"/>
    <w:unhideWhenUsed/>
    <w:rsid w:val="007617D3"/>
    <w:pPr>
      <w:tabs>
        <w:tab w:val="left" w:pos="1100"/>
        <w:tab w:val="right" w:leader="dot" w:pos="8777"/>
      </w:tabs>
      <w:spacing w:before="120" w:after="120" w:line="240" w:lineRule="auto"/>
    </w:pPr>
    <w:rPr>
      <w:rFonts w:ascii="Times New Roman" w:hAnsi="Times New Roman"/>
      <w:b/>
      <w:iCs/>
      <w:sz w:val="24"/>
      <w:szCs w:val="20"/>
    </w:rPr>
  </w:style>
  <w:style w:type="paragraph" w:styleId="AralkYok">
    <w:name w:val="No Spacing"/>
    <w:basedOn w:val="Balk1"/>
    <w:uiPriority w:val="1"/>
    <w:rsid w:val="005817BD"/>
  </w:style>
  <w:style w:type="paragraph" w:styleId="T4">
    <w:name w:val="toc 4"/>
    <w:basedOn w:val="Normal"/>
    <w:next w:val="Normal"/>
    <w:autoRedefine/>
    <w:uiPriority w:val="39"/>
    <w:unhideWhenUsed/>
    <w:rsid w:val="00402BC9"/>
    <w:pPr>
      <w:spacing w:after="0" w:line="360" w:lineRule="auto"/>
      <w:ind w:left="567"/>
    </w:pPr>
    <w:rPr>
      <w:rFonts w:ascii="Times New Roman" w:hAnsi="Times New Roman"/>
      <w:b/>
      <w:sz w:val="24"/>
      <w:szCs w:val="18"/>
    </w:rPr>
  </w:style>
  <w:style w:type="paragraph" w:styleId="T5">
    <w:name w:val="toc 5"/>
    <w:basedOn w:val="Normal"/>
    <w:next w:val="Normal"/>
    <w:autoRedefine/>
    <w:uiPriority w:val="39"/>
    <w:unhideWhenUsed/>
    <w:rsid w:val="00D80E5E"/>
    <w:pPr>
      <w:spacing w:after="0"/>
      <w:ind w:left="880"/>
    </w:pPr>
    <w:rPr>
      <w:rFonts w:asciiTheme="minorHAnsi" w:hAnsiTheme="minorHAnsi"/>
      <w:sz w:val="18"/>
      <w:szCs w:val="18"/>
    </w:rPr>
  </w:style>
  <w:style w:type="paragraph" w:styleId="T6">
    <w:name w:val="toc 6"/>
    <w:basedOn w:val="Normal"/>
    <w:next w:val="Normal"/>
    <w:autoRedefine/>
    <w:uiPriority w:val="39"/>
    <w:unhideWhenUsed/>
    <w:rsid w:val="00D80E5E"/>
    <w:pPr>
      <w:spacing w:after="0"/>
      <w:ind w:left="1100"/>
    </w:pPr>
    <w:rPr>
      <w:rFonts w:asciiTheme="minorHAnsi" w:hAnsiTheme="minorHAnsi"/>
      <w:sz w:val="18"/>
      <w:szCs w:val="18"/>
    </w:rPr>
  </w:style>
  <w:style w:type="paragraph" w:styleId="T7">
    <w:name w:val="toc 7"/>
    <w:basedOn w:val="Normal"/>
    <w:next w:val="Normal"/>
    <w:autoRedefine/>
    <w:uiPriority w:val="39"/>
    <w:unhideWhenUsed/>
    <w:rsid w:val="00D80E5E"/>
    <w:pPr>
      <w:spacing w:after="0"/>
      <w:ind w:left="1320"/>
    </w:pPr>
    <w:rPr>
      <w:rFonts w:asciiTheme="minorHAnsi" w:hAnsiTheme="minorHAnsi"/>
      <w:sz w:val="18"/>
      <w:szCs w:val="18"/>
    </w:rPr>
  </w:style>
  <w:style w:type="paragraph" w:styleId="T8">
    <w:name w:val="toc 8"/>
    <w:basedOn w:val="Normal"/>
    <w:next w:val="Normal"/>
    <w:autoRedefine/>
    <w:uiPriority w:val="39"/>
    <w:unhideWhenUsed/>
    <w:rsid w:val="00D80E5E"/>
    <w:pPr>
      <w:spacing w:after="0"/>
      <w:ind w:left="1540"/>
    </w:pPr>
    <w:rPr>
      <w:rFonts w:asciiTheme="minorHAnsi" w:hAnsiTheme="minorHAnsi"/>
      <w:sz w:val="18"/>
      <w:szCs w:val="18"/>
    </w:rPr>
  </w:style>
  <w:style w:type="paragraph" w:styleId="T9">
    <w:name w:val="toc 9"/>
    <w:basedOn w:val="Normal"/>
    <w:next w:val="Normal"/>
    <w:autoRedefine/>
    <w:uiPriority w:val="39"/>
    <w:unhideWhenUsed/>
    <w:rsid w:val="00D80E5E"/>
    <w:pPr>
      <w:spacing w:after="0"/>
      <w:ind w:left="1760"/>
    </w:pPr>
    <w:rPr>
      <w:rFonts w:asciiTheme="minorHAnsi" w:hAnsiTheme="minorHAnsi"/>
      <w:sz w:val="18"/>
      <w:szCs w:val="18"/>
    </w:rPr>
  </w:style>
  <w:style w:type="character" w:styleId="KitapBal">
    <w:name w:val="Book Title"/>
    <w:uiPriority w:val="33"/>
    <w:rsid w:val="00C20DCF"/>
  </w:style>
  <w:style w:type="paragraph" w:customStyle="1" w:styleId="0AnaBalk">
    <w:name w:val="0_Ana Başlık"/>
    <w:basedOn w:val="Normal"/>
    <w:link w:val="0AnaBalkChar"/>
    <w:rsid w:val="00C418FE"/>
    <w:pPr>
      <w:pBdr>
        <w:top w:val="nil"/>
        <w:left w:val="nil"/>
        <w:bottom w:val="nil"/>
        <w:right w:val="nil"/>
        <w:between w:val="nil"/>
      </w:pBdr>
      <w:tabs>
        <w:tab w:val="left" w:pos="426"/>
        <w:tab w:val="left" w:pos="851"/>
      </w:tabs>
      <w:spacing w:after="240" w:line="360" w:lineRule="auto"/>
      <w:jc w:val="center"/>
    </w:pPr>
    <w:rPr>
      <w:rFonts w:ascii="Times New Roman" w:eastAsia="Times New Roman" w:hAnsi="Times New Roman" w:cs="Times New Roman"/>
      <w:b/>
      <w:color w:val="000000"/>
      <w:sz w:val="24"/>
      <w:szCs w:val="24"/>
    </w:rPr>
  </w:style>
  <w:style w:type="paragraph" w:customStyle="1" w:styleId="1BlmBal">
    <w:name w:val="1_Bölüm Başlığı"/>
    <w:basedOn w:val="0AnaBalk"/>
    <w:link w:val="1BlmBalChar"/>
    <w:rsid w:val="003026FE"/>
    <w:pPr>
      <w:numPr>
        <w:numId w:val="11"/>
      </w:numPr>
      <w:jc w:val="both"/>
    </w:pPr>
  </w:style>
  <w:style w:type="character" w:customStyle="1" w:styleId="0AnaBalkChar">
    <w:name w:val="0_Ana Başlık Char"/>
    <w:basedOn w:val="VarsaylanParagrafYazTipi"/>
    <w:link w:val="0AnaBalk"/>
    <w:rsid w:val="00C418FE"/>
    <w:rPr>
      <w:rFonts w:ascii="Times New Roman" w:eastAsia="Times New Roman" w:hAnsi="Times New Roman" w:cs="Times New Roman"/>
      <w:b/>
      <w:color w:val="000000"/>
      <w:sz w:val="24"/>
      <w:szCs w:val="24"/>
    </w:rPr>
  </w:style>
  <w:style w:type="paragraph" w:customStyle="1" w:styleId="21DereceAltBalk">
    <w:name w:val="2_1. Derece Alt Başlık"/>
    <w:basedOn w:val="1BlmBal"/>
    <w:link w:val="21DereceAltBalkChar"/>
    <w:rsid w:val="00C20DCF"/>
    <w:pPr>
      <w:numPr>
        <w:ilvl w:val="1"/>
        <w:numId w:val="9"/>
      </w:numPr>
    </w:pPr>
  </w:style>
  <w:style w:type="character" w:customStyle="1" w:styleId="1BlmBalChar">
    <w:name w:val="1_Bölüm Başlığı Char"/>
    <w:basedOn w:val="0AnaBalkChar"/>
    <w:link w:val="1BlmBal"/>
    <w:rsid w:val="003026FE"/>
    <w:rPr>
      <w:rFonts w:ascii="Times New Roman" w:eastAsia="Times New Roman" w:hAnsi="Times New Roman" w:cs="Times New Roman"/>
      <w:b/>
      <w:color w:val="000000"/>
      <w:sz w:val="24"/>
      <w:szCs w:val="24"/>
    </w:rPr>
  </w:style>
  <w:style w:type="paragraph" w:customStyle="1" w:styleId="32DereceAltBalk">
    <w:name w:val="3_2. Derece Alt Başlık"/>
    <w:basedOn w:val="Normal"/>
    <w:link w:val="32DereceAltBalkChar"/>
    <w:rsid w:val="003026FE"/>
    <w:pPr>
      <w:pBdr>
        <w:top w:val="nil"/>
        <w:left w:val="nil"/>
        <w:bottom w:val="nil"/>
        <w:right w:val="nil"/>
        <w:between w:val="nil"/>
      </w:pBdr>
      <w:tabs>
        <w:tab w:val="left" w:pos="426"/>
        <w:tab w:val="left" w:pos="851"/>
      </w:tabs>
      <w:spacing w:after="240" w:line="360" w:lineRule="auto"/>
      <w:ind w:left="567"/>
      <w:jc w:val="both"/>
    </w:pPr>
    <w:rPr>
      <w:rFonts w:ascii="Times New Roman" w:eastAsia="Times New Roman" w:hAnsi="Times New Roman" w:cs="Times New Roman"/>
      <w:sz w:val="24"/>
      <w:szCs w:val="24"/>
    </w:rPr>
  </w:style>
  <w:style w:type="character" w:customStyle="1" w:styleId="21DereceAltBalkChar">
    <w:name w:val="2_1. Derece Alt Başlık Char"/>
    <w:basedOn w:val="0AnaBalkChar"/>
    <w:link w:val="21DereceAltBalk"/>
    <w:rsid w:val="004A6BF9"/>
    <w:rPr>
      <w:rFonts w:ascii="Times New Roman" w:eastAsia="Times New Roman" w:hAnsi="Times New Roman" w:cs="Times New Roman"/>
      <w:b/>
      <w:color w:val="000000"/>
      <w:sz w:val="24"/>
      <w:szCs w:val="24"/>
    </w:rPr>
  </w:style>
  <w:style w:type="paragraph" w:styleId="ekillerTablosu">
    <w:name w:val="table of figures"/>
    <w:basedOn w:val="Normal"/>
    <w:next w:val="Normal"/>
    <w:uiPriority w:val="99"/>
    <w:unhideWhenUsed/>
    <w:rsid w:val="00717C69"/>
    <w:pPr>
      <w:spacing w:after="0"/>
    </w:pPr>
    <w:rPr>
      <w:rFonts w:ascii="Times New Roman" w:hAnsi="Times New Roman"/>
      <w:sz w:val="24"/>
    </w:rPr>
  </w:style>
  <w:style w:type="character" w:customStyle="1" w:styleId="32DereceAltBalkChar">
    <w:name w:val="3_2. Derece Alt Başlık Char"/>
    <w:basedOn w:val="VarsaylanParagrafYazTipi"/>
    <w:link w:val="32DereceAltBalk"/>
    <w:rsid w:val="003026FE"/>
    <w:rPr>
      <w:rFonts w:ascii="Times New Roman" w:eastAsia="Times New Roman" w:hAnsi="Times New Roman" w:cs="Times New Roman"/>
      <w:sz w:val="24"/>
      <w:szCs w:val="24"/>
    </w:rPr>
  </w:style>
  <w:style w:type="character" w:styleId="zlenenKpr">
    <w:name w:val="FollowedHyperlink"/>
    <w:basedOn w:val="VarsaylanParagrafYazTipi"/>
    <w:uiPriority w:val="99"/>
    <w:semiHidden/>
    <w:unhideWhenUsed/>
    <w:rsid w:val="00E54030"/>
    <w:rPr>
      <w:color w:val="954F72" w:themeColor="followedHyperlink"/>
      <w:u w:val="single"/>
    </w:rPr>
  </w:style>
  <w:style w:type="table" w:customStyle="1" w:styleId="90">
    <w:name w:val="90"/>
    <w:basedOn w:val="TableNormal1"/>
    <w:pPr>
      <w:spacing w:after="0" w:line="240" w:lineRule="auto"/>
    </w:pPr>
    <w:tblPr>
      <w:tblStyleRowBandSize w:val="1"/>
      <w:tblStyleColBandSize w:val="1"/>
      <w:tblCellMar>
        <w:left w:w="108" w:type="dxa"/>
        <w:right w:w="108" w:type="dxa"/>
      </w:tblCellMar>
    </w:tblPr>
  </w:style>
  <w:style w:type="table" w:customStyle="1" w:styleId="89">
    <w:name w:val="89"/>
    <w:basedOn w:val="TableNormal1"/>
    <w:pPr>
      <w:spacing w:after="0" w:line="240" w:lineRule="auto"/>
    </w:pPr>
    <w:tblPr>
      <w:tblStyleRowBandSize w:val="1"/>
      <w:tblStyleColBandSize w:val="1"/>
      <w:tblCellMar>
        <w:left w:w="108" w:type="dxa"/>
        <w:right w:w="108" w:type="dxa"/>
      </w:tblCellMar>
    </w:tblPr>
  </w:style>
  <w:style w:type="table" w:customStyle="1" w:styleId="88">
    <w:name w:val="88"/>
    <w:basedOn w:val="TableNormal1"/>
    <w:pPr>
      <w:spacing w:after="0" w:line="240" w:lineRule="auto"/>
    </w:pPr>
    <w:tblPr>
      <w:tblStyleRowBandSize w:val="1"/>
      <w:tblStyleColBandSize w:val="1"/>
      <w:tblCellMar>
        <w:left w:w="108" w:type="dxa"/>
        <w:right w:w="108" w:type="dxa"/>
      </w:tblCellMar>
    </w:tblPr>
  </w:style>
  <w:style w:type="table" w:customStyle="1" w:styleId="87">
    <w:name w:val="87"/>
    <w:basedOn w:val="TableNormal1"/>
    <w:pPr>
      <w:spacing w:after="0" w:line="240" w:lineRule="auto"/>
    </w:pPr>
    <w:tblPr>
      <w:tblStyleRowBandSize w:val="1"/>
      <w:tblStyleColBandSize w:val="1"/>
      <w:tblCellMar>
        <w:left w:w="108" w:type="dxa"/>
        <w:right w:w="108" w:type="dxa"/>
      </w:tblCellMar>
    </w:tblPr>
  </w:style>
  <w:style w:type="table" w:customStyle="1" w:styleId="86">
    <w:name w:val="86"/>
    <w:basedOn w:val="TableNormal1"/>
    <w:pPr>
      <w:spacing w:after="0" w:line="240" w:lineRule="auto"/>
    </w:pPr>
    <w:tblPr>
      <w:tblStyleRowBandSize w:val="1"/>
      <w:tblStyleColBandSize w:val="1"/>
      <w:tblCellMar>
        <w:left w:w="108" w:type="dxa"/>
        <w:right w:w="108" w:type="dxa"/>
      </w:tblCellMar>
    </w:tblPr>
  </w:style>
  <w:style w:type="table" w:customStyle="1" w:styleId="85">
    <w:name w:val="85"/>
    <w:basedOn w:val="TableNormal1"/>
    <w:pPr>
      <w:spacing w:after="0" w:line="240" w:lineRule="auto"/>
    </w:pPr>
    <w:tblPr>
      <w:tblStyleRowBandSize w:val="1"/>
      <w:tblStyleColBandSize w:val="1"/>
      <w:tblCellMar>
        <w:left w:w="108" w:type="dxa"/>
        <w:right w:w="108" w:type="dxa"/>
      </w:tblCellMar>
    </w:tblPr>
  </w:style>
  <w:style w:type="table" w:customStyle="1" w:styleId="84">
    <w:name w:val="84"/>
    <w:basedOn w:val="TableNormal1"/>
    <w:pPr>
      <w:spacing w:after="0" w:line="240" w:lineRule="auto"/>
    </w:pPr>
    <w:tblPr>
      <w:tblStyleRowBandSize w:val="1"/>
      <w:tblStyleColBandSize w:val="1"/>
      <w:tblCellMar>
        <w:left w:w="108" w:type="dxa"/>
        <w:right w:w="108" w:type="dxa"/>
      </w:tblCellMar>
    </w:tblPr>
  </w:style>
  <w:style w:type="table" w:customStyle="1" w:styleId="83">
    <w:name w:val="83"/>
    <w:basedOn w:val="TableNormal1"/>
    <w:pPr>
      <w:spacing w:after="0" w:line="240" w:lineRule="auto"/>
    </w:pPr>
    <w:tblPr>
      <w:tblStyleRowBandSize w:val="1"/>
      <w:tblStyleColBandSize w:val="1"/>
      <w:tblCellMar>
        <w:left w:w="108" w:type="dxa"/>
        <w:right w:w="108" w:type="dxa"/>
      </w:tblCellMar>
    </w:tblPr>
  </w:style>
  <w:style w:type="table" w:customStyle="1" w:styleId="82">
    <w:name w:val="82"/>
    <w:basedOn w:val="TableNormal1"/>
    <w:tblPr>
      <w:tblStyleRowBandSize w:val="1"/>
      <w:tblStyleColBandSize w:val="1"/>
      <w:tblCellMar>
        <w:left w:w="70" w:type="dxa"/>
        <w:right w:w="70" w:type="dxa"/>
      </w:tblCellMar>
    </w:tblPr>
  </w:style>
  <w:style w:type="table" w:customStyle="1" w:styleId="81">
    <w:name w:val="81"/>
    <w:basedOn w:val="TableNormal1"/>
    <w:tblPr>
      <w:tblStyleRowBandSize w:val="1"/>
      <w:tblStyleColBandSize w:val="1"/>
      <w:tblCellMar>
        <w:left w:w="70" w:type="dxa"/>
        <w:right w:w="70" w:type="dxa"/>
      </w:tblCellMar>
    </w:tblPr>
  </w:style>
  <w:style w:type="table" w:customStyle="1" w:styleId="80">
    <w:name w:val="80"/>
    <w:basedOn w:val="TableNormal1"/>
    <w:pPr>
      <w:spacing w:after="0" w:line="240" w:lineRule="auto"/>
    </w:pPr>
    <w:tblPr>
      <w:tblStyleRowBandSize w:val="1"/>
      <w:tblStyleColBandSize w:val="1"/>
      <w:tblCellMar>
        <w:left w:w="108" w:type="dxa"/>
        <w:right w:w="108" w:type="dxa"/>
      </w:tblCellMar>
    </w:tblPr>
  </w:style>
  <w:style w:type="table" w:customStyle="1" w:styleId="79">
    <w:name w:val="79"/>
    <w:basedOn w:val="TableNormal1"/>
    <w:pPr>
      <w:spacing w:after="0" w:line="240" w:lineRule="auto"/>
    </w:pPr>
    <w:tblPr>
      <w:tblStyleRowBandSize w:val="1"/>
      <w:tblStyleColBandSize w:val="1"/>
      <w:tblCellMar>
        <w:left w:w="108" w:type="dxa"/>
        <w:right w:w="108" w:type="dxa"/>
      </w:tblCellMar>
    </w:tblPr>
  </w:style>
  <w:style w:type="table" w:customStyle="1" w:styleId="78">
    <w:name w:val="78"/>
    <w:basedOn w:val="TableNormal1"/>
    <w:pPr>
      <w:spacing w:after="0" w:line="240" w:lineRule="auto"/>
    </w:pPr>
    <w:tblPr>
      <w:tblStyleRowBandSize w:val="1"/>
      <w:tblStyleColBandSize w:val="1"/>
      <w:tblCellMar>
        <w:left w:w="108" w:type="dxa"/>
        <w:right w:w="108" w:type="dxa"/>
      </w:tblCellMar>
    </w:tblPr>
  </w:style>
  <w:style w:type="table" w:customStyle="1" w:styleId="77">
    <w:name w:val="77"/>
    <w:basedOn w:val="TableNormal1"/>
    <w:tblPr>
      <w:tblStyleRowBandSize w:val="1"/>
      <w:tblStyleColBandSize w:val="1"/>
      <w:tblCellMar>
        <w:left w:w="115" w:type="dxa"/>
        <w:right w:w="115" w:type="dxa"/>
      </w:tblCellMar>
    </w:tblPr>
  </w:style>
  <w:style w:type="table" w:customStyle="1" w:styleId="76">
    <w:name w:val="76"/>
    <w:basedOn w:val="TableNormal1"/>
    <w:tblPr>
      <w:tblStyleRowBandSize w:val="1"/>
      <w:tblStyleColBandSize w:val="1"/>
      <w:tblCellMar>
        <w:left w:w="115" w:type="dxa"/>
        <w:right w:w="115" w:type="dxa"/>
      </w:tblCellMar>
    </w:tblPr>
  </w:style>
  <w:style w:type="table" w:customStyle="1" w:styleId="75">
    <w:name w:val="75"/>
    <w:basedOn w:val="TableNormal1"/>
    <w:tblPr>
      <w:tblStyleRowBandSize w:val="1"/>
      <w:tblStyleColBandSize w:val="1"/>
      <w:tblCellMar>
        <w:left w:w="115" w:type="dxa"/>
        <w:right w:w="115" w:type="dxa"/>
      </w:tblCellMar>
    </w:tblPr>
  </w:style>
  <w:style w:type="table" w:customStyle="1" w:styleId="74">
    <w:name w:val="74"/>
    <w:basedOn w:val="TableNormal1"/>
    <w:tblPr>
      <w:tblStyleRowBandSize w:val="1"/>
      <w:tblStyleColBandSize w:val="1"/>
      <w:tblCellMar>
        <w:left w:w="115" w:type="dxa"/>
        <w:right w:w="115" w:type="dxa"/>
      </w:tblCellMar>
    </w:tblPr>
  </w:style>
  <w:style w:type="table" w:customStyle="1" w:styleId="73">
    <w:name w:val="73"/>
    <w:basedOn w:val="TableNormal1"/>
    <w:tblPr>
      <w:tblStyleRowBandSize w:val="1"/>
      <w:tblStyleColBandSize w:val="1"/>
      <w:tblCellMar>
        <w:left w:w="115" w:type="dxa"/>
        <w:right w:w="115" w:type="dxa"/>
      </w:tblCellMar>
    </w:tblPr>
  </w:style>
  <w:style w:type="table" w:customStyle="1" w:styleId="72">
    <w:name w:val="72"/>
    <w:basedOn w:val="TableNormal1"/>
    <w:pPr>
      <w:spacing w:after="0" w:line="240" w:lineRule="auto"/>
    </w:pPr>
    <w:tblPr>
      <w:tblStyleRowBandSize w:val="1"/>
      <w:tblStyleColBandSize w:val="1"/>
      <w:tblCellMar>
        <w:left w:w="108" w:type="dxa"/>
        <w:right w:w="108" w:type="dxa"/>
      </w:tblCellMar>
    </w:tblPr>
  </w:style>
  <w:style w:type="table" w:customStyle="1" w:styleId="71">
    <w:name w:val="71"/>
    <w:basedOn w:val="TableNormal1"/>
    <w:pPr>
      <w:spacing w:after="0" w:line="240" w:lineRule="auto"/>
    </w:pPr>
    <w:tblPr>
      <w:tblStyleRowBandSize w:val="1"/>
      <w:tblStyleColBandSize w:val="1"/>
      <w:tblCellMar>
        <w:left w:w="108" w:type="dxa"/>
        <w:right w:w="108" w:type="dxa"/>
      </w:tblCellMar>
    </w:tblPr>
  </w:style>
  <w:style w:type="table" w:customStyle="1" w:styleId="70">
    <w:name w:val="70"/>
    <w:basedOn w:val="TableNormal1"/>
    <w:pPr>
      <w:spacing w:after="0" w:line="240" w:lineRule="auto"/>
    </w:pPr>
    <w:tblPr>
      <w:tblStyleRowBandSize w:val="1"/>
      <w:tblStyleColBandSize w:val="1"/>
      <w:tblCellMar>
        <w:left w:w="108" w:type="dxa"/>
        <w:right w:w="108" w:type="dxa"/>
      </w:tblCellMar>
    </w:tblPr>
  </w:style>
  <w:style w:type="table" w:customStyle="1" w:styleId="69">
    <w:name w:val="69"/>
    <w:basedOn w:val="TableNormal1"/>
    <w:pPr>
      <w:spacing w:after="0" w:line="240" w:lineRule="auto"/>
    </w:pPr>
    <w:tblPr>
      <w:tblStyleRowBandSize w:val="1"/>
      <w:tblStyleColBandSize w:val="1"/>
      <w:tblCellMar>
        <w:left w:w="108" w:type="dxa"/>
        <w:right w:w="108" w:type="dxa"/>
      </w:tblCellMar>
    </w:tblPr>
  </w:style>
  <w:style w:type="table" w:customStyle="1" w:styleId="68">
    <w:name w:val="68"/>
    <w:basedOn w:val="TableNormal1"/>
    <w:pPr>
      <w:spacing w:after="0" w:line="240" w:lineRule="auto"/>
    </w:pPr>
    <w:tblPr>
      <w:tblStyleRowBandSize w:val="1"/>
      <w:tblStyleColBandSize w:val="1"/>
      <w:tblCellMar>
        <w:left w:w="108" w:type="dxa"/>
        <w:right w:w="108" w:type="dxa"/>
      </w:tblCellMar>
    </w:tblPr>
  </w:style>
  <w:style w:type="table" w:customStyle="1" w:styleId="67">
    <w:name w:val="67"/>
    <w:basedOn w:val="TableNormal1"/>
    <w:pPr>
      <w:spacing w:after="0" w:line="240" w:lineRule="auto"/>
    </w:pPr>
    <w:tblPr>
      <w:tblStyleRowBandSize w:val="1"/>
      <w:tblStyleColBandSize w:val="1"/>
      <w:tblCellMar>
        <w:left w:w="108" w:type="dxa"/>
        <w:right w:w="108" w:type="dxa"/>
      </w:tblCellMar>
    </w:tblPr>
  </w:style>
  <w:style w:type="table" w:customStyle="1" w:styleId="66">
    <w:name w:val="66"/>
    <w:basedOn w:val="TableNormal1"/>
    <w:pPr>
      <w:spacing w:after="0" w:line="240" w:lineRule="auto"/>
    </w:pPr>
    <w:tblPr>
      <w:tblStyleRowBandSize w:val="1"/>
      <w:tblStyleColBandSize w:val="1"/>
      <w:tblCellMar>
        <w:left w:w="108" w:type="dxa"/>
        <w:right w:w="108" w:type="dxa"/>
      </w:tblCellMar>
    </w:tblPr>
  </w:style>
  <w:style w:type="table" w:customStyle="1" w:styleId="65">
    <w:name w:val="65"/>
    <w:basedOn w:val="TableNormal1"/>
    <w:pPr>
      <w:spacing w:after="0" w:line="240" w:lineRule="auto"/>
    </w:pPr>
    <w:tblPr>
      <w:tblStyleRowBandSize w:val="1"/>
      <w:tblStyleColBandSize w:val="1"/>
      <w:tblCellMar>
        <w:left w:w="108" w:type="dxa"/>
        <w:right w:w="108" w:type="dxa"/>
      </w:tblCellMar>
    </w:tblPr>
  </w:style>
  <w:style w:type="table" w:customStyle="1" w:styleId="64">
    <w:name w:val="64"/>
    <w:basedOn w:val="TableNormal1"/>
    <w:pPr>
      <w:spacing w:after="0" w:line="240" w:lineRule="auto"/>
    </w:pPr>
    <w:tblPr>
      <w:tblStyleRowBandSize w:val="1"/>
      <w:tblStyleColBandSize w:val="1"/>
      <w:tblCellMar>
        <w:left w:w="108" w:type="dxa"/>
        <w:right w:w="108" w:type="dxa"/>
      </w:tblCellMar>
    </w:tblPr>
  </w:style>
  <w:style w:type="table" w:customStyle="1" w:styleId="63">
    <w:name w:val="63"/>
    <w:basedOn w:val="TableNormal1"/>
    <w:pPr>
      <w:spacing w:after="0" w:line="240" w:lineRule="auto"/>
    </w:pPr>
    <w:tblPr>
      <w:tblStyleRowBandSize w:val="1"/>
      <w:tblStyleColBandSize w:val="1"/>
      <w:tblCellMar>
        <w:left w:w="108" w:type="dxa"/>
        <w:right w:w="108" w:type="dxa"/>
      </w:tblCellMar>
    </w:tblPr>
  </w:style>
  <w:style w:type="table" w:customStyle="1" w:styleId="62">
    <w:name w:val="62"/>
    <w:basedOn w:val="TableNormal1"/>
    <w:pPr>
      <w:spacing w:after="0" w:line="240" w:lineRule="auto"/>
    </w:pPr>
    <w:tblPr>
      <w:tblStyleRowBandSize w:val="1"/>
      <w:tblStyleColBandSize w:val="1"/>
      <w:tblCellMar>
        <w:left w:w="108" w:type="dxa"/>
        <w:right w:w="108" w:type="dxa"/>
      </w:tblCellMar>
    </w:tblPr>
  </w:style>
  <w:style w:type="table" w:customStyle="1" w:styleId="61">
    <w:name w:val="61"/>
    <w:basedOn w:val="TableNormal1"/>
    <w:pPr>
      <w:spacing w:after="0" w:line="240" w:lineRule="auto"/>
    </w:pPr>
    <w:tblPr>
      <w:tblStyleRowBandSize w:val="1"/>
      <w:tblStyleColBandSize w:val="1"/>
      <w:tblCellMar>
        <w:left w:w="108" w:type="dxa"/>
        <w:right w:w="108" w:type="dxa"/>
      </w:tblCellMar>
    </w:tblPr>
  </w:style>
  <w:style w:type="table" w:customStyle="1" w:styleId="60">
    <w:name w:val="60"/>
    <w:basedOn w:val="TableNormal1"/>
    <w:pPr>
      <w:spacing w:after="0" w:line="240" w:lineRule="auto"/>
    </w:pPr>
    <w:tblPr>
      <w:tblStyleRowBandSize w:val="1"/>
      <w:tblStyleColBandSize w:val="1"/>
      <w:tblCellMar>
        <w:left w:w="108" w:type="dxa"/>
        <w:right w:w="108" w:type="dxa"/>
      </w:tblCellMar>
    </w:tblPr>
  </w:style>
  <w:style w:type="table" w:customStyle="1" w:styleId="59">
    <w:name w:val="59"/>
    <w:basedOn w:val="TableNormal1"/>
    <w:pPr>
      <w:spacing w:after="0" w:line="240" w:lineRule="auto"/>
    </w:pPr>
    <w:tblPr>
      <w:tblStyleRowBandSize w:val="1"/>
      <w:tblStyleColBandSize w:val="1"/>
      <w:tblCellMar>
        <w:left w:w="108" w:type="dxa"/>
        <w:right w:w="108" w:type="dxa"/>
      </w:tblCellMar>
    </w:tblPr>
  </w:style>
  <w:style w:type="table" w:customStyle="1" w:styleId="58">
    <w:name w:val="58"/>
    <w:basedOn w:val="TableNormal1"/>
    <w:pPr>
      <w:spacing w:after="0" w:line="240" w:lineRule="auto"/>
    </w:pPr>
    <w:tblPr>
      <w:tblStyleRowBandSize w:val="1"/>
      <w:tblStyleColBandSize w:val="1"/>
      <w:tblCellMar>
        <w:left w:w="108" w:type="dxa"/>
        <w:right w:w="108" w:type="dxa"/>
      </w:tblCellMar>
    </w:tblPr>
  </w:style>
  <w:style w:type="table" w:customStyle="1" w:styleId="57">
    <w:name w:val="57"/>
    <w:basedOn w:val="TableNormal1"/>
    <w:pPr>
      <w:spacing w:after="0" w:line="240" w:lineRule="auto"/>
    </w:pPr>
    <w:tblPr>
      <w:tblStyleRowBandSize w:val="1"/>
      <w:tblStyleColBandSize w:val="1"/>
      <w:tblCellMar>
        <w:left w:w="108" w:type="dxa"/>
        <w:right w:w="108" w:type="dxa"/>
      </w:tblCellMar>
    </w:tblPr>
  </w:style>
  <w:style w:type="table" w:customStyle="1" w:styleId="56">
    <w:name w:val="56"/>
    <w:basedOn w:val="TableNormal1"/>
    <w:pPr>
      <w:spacing w:after="0" w:line="240" w:lineRule="auto"/>
    </w:pPr>
    <w:tblPr>
      <w:tblStyleRowBandSize w:val="1"/>
      <w:tblStyleColBandSize w:val="1"/>
      <w:tblCellMar>
        <w:left w:w="108" w:type="dxa"/>
        <w:right w:w="108" w:type="dxa"/>
      </w:tblCellMar>
    </w:tblPr>
  </w:style>
  <w:style w:type="table" w:customStyle="1" w:styleId="55">
    <w:name w:val="55"/>
    <w:basedOn w:val="TableNormal1"/>
    <w:pPr>
      <w:spacing w:after="0" w:line="240" w:lineRule="auto"/>
    </w:pPr>
    <w:tblPr>
      <w:tblStyleRowBandSize w:val="1"/>
      <w:tblStyleColBandSize w:val="1"/>
      <w:tblCellMar>
        <w:left w:w="108" w:type="dxa"/>
        <w:right w:w="108" w:type="dxa"/>
      </w:tblCellMar>
    </w:tblPr>
  </w:style>
  <w:style w:type="table" w:customStyle="1" w:styleId="54">
    <w:name w:val="54"/>
    <w:basedOn w:val="TableNormal1"/>
    <w:pPr>
      <w:spacing w:after="0" w:line="240" w:lineRule="auto"/>
    </w:pPr>
    <w:tblPr>
      <w:tblStyleRowBandSize w:val="1"/>
      <w:tblStyleColBandSize w:val="1"/>
      <w:tblCellMar>
        <w:left w:w="108" w:type="dxa"/>
        <w:right w:w="108" w:type="dxa"/>
      </w:tblCellMar>
    </w:tblPr>
  </w:style>
  <w:style w:type="table" w:customStyle="1" w:styleId="53">
    <w:name w:val="53"/>
    <w:basedOn w:val="TableNormal1"/>
    <w:pPr>
      <w:spacing w:after="0" w:line="240" w:lineRule="auto"/>
    </w:pPr>
    <w:tblPr>
      <w:tblStyleRowBandSize w:val="1"/>
      <w:tblStyleColBandSize w:val="1"/>
      <w:tblCellMar>
        <w:left w:w="108" w:type="dxa"/>
        <w:right w:w="108" w:type="dxa"/>
      </w:tblCellMar>
    </w:tblPr>
  </w:style>
  <w:style w:type="table" w:customStyle="1" w:styleId="52">
    <w:name w:val="52"/>
    <w:basedOn w:val="TableNormal1"/>
    <w:pPr>
      <w:spacing w:after="0" w:line="240" w:lineRule="auto"/>
    </w:pPr>
    <w:tblPr>
      <w:tblStyleRowBandSize w:val="1"/>
      <w:tblStyleColBandSize w:val="1"/>
      <w:tblCellMar>
        <w:left w:w="108" w:type="dxa"/>
        <w:right w:w="108" w:type="dxa"/>
      </w:tblCellMar>
    </w:tblPr>
  </w:style>
  <w:style w:type="table" w:customStyle="1" w:styleId="51">
    <w:name w:val="51"/>
    <w:basedOn w:val="TableNormal1"/>
    <w:pPr>
      <w:spacing w:after="0" w:line="240" w:lineRule="auto"/>
    </w:pPr>
    <w:tblPr>
      <w:tblStyleRowBandSize w:val="1"/>
      <w:tblStyleColBandSize w:val="1"/>
      <w:tblCellMar>
        <w:left w:w="108" w:type="dxa"/>
        <w:right w:w="108" w:type="dxa"/>
      </w:tblCellMar>
    </w:tblPr>
  </w:style>
  <w:style w:type="table" w:customStyle="1" w:styleId="50">
    <w:name w:val="50"/>
    <w:basedOn w:val="TableNormal1"/>
    <w:pPr>
      <w:spacing w:after="0" w:line="240" w:lineRule="auto"/>
    </w:pPr>
    <w:tblPr>
      <w:tblStyleRowBandSize w:val="1"/>
      <w:tblStyleColBandSize w:val="1"/>
      <w:tblCellMar>
        <w:left w:w="108" w:type="dxa"/>
        <w:right w:w="108" w:type="dxa"/>
      </w:tblCellMar>
    </w:tblPr>
  </w:style>
  <w:style w:type="table" w:customStyle="1" w:styleId="49">
    <w:name w:val="49"/>
    <w:basedOn w:val="TableNormal1"/>
    <w:pPr>
      <w:spacing w:after="0" w:line="240" w:lineRule="auto"/>
    </w:pPr>
    <w:tblPr>
      <w:tblStyleRowBandSize w:val="1"/>
      <w:tblStyleColBandSize w:val="1"/>
      <w:tblCellMar>
        <w:left w:w="108" w:type="dxa"/>
        <w:right w:w="108" w:type="dxa"/>
      </w:tblCellMar>
    </w:tblPr>
  </w:style>
  <w:style w:type="table" w:customStyle="1" w:styleId="48">
    <w:name w:val="48"/>
    <w:basedOn w:val="TableNormal1"/>
    <w:pPr>
      <w:spacing w:after="0" w:line="240" w:lineRule="auto"/>
    </w:pPr>
    <w:tblPr>
      <w:tblStyleRowBandSize w:val="1"/>
      <w:tblStyleColBandSize w:val="1"/>
      <w:tblCellMar>
        <w:left w:w="108" w:type="dxa"/>
        <w:right w:w="108" w:type="dxa"/>
      </w:tblCellMar>
    </w:tblPr>
  </w:style>
  <w:style w:type="table" w:customStyle="1" w:styleId="47">
    <w:name w:val="47"/>
    <w:basedOn w:val="TableNormal1"/>
    <w:pPr>
      <w:spacing w:after="0" w:line="240" w:lineRule="auto"/>
    </w:pPr>
    <w:tblPr>
      <w:tblStyleRowBandSize w:val="1"/>
      <w:tblStyleColBandSize w:val="1"/>
      <w:tblCellMar>
        <w:left w:w="108" w:type="dxa"/>
        <w:right w:w="108" w:type="dxa"/>
      </w:tblCellMar>
    </w:tblPr>
  </w:style>
  <w:style w:type="table" w:customStyle="1" w:styleId="46">
    <w:name w:val="46"/>
    <w:basedOn w:val="TableNormal1"/>
    <w:pPr>
      <w:spacing w:after="0" w:line="240" w:lineRule="auto"/>
    </w:pPr>
    <w:tblPr>
      <w:tblStyleRowBandSize w:val="1"/>
      <w:tblStyleColBandSize w:val="1"/>
      <w:tblCellMar>
        <w:left w:w="108" w:type="dxa"/>
        <w:right w:w="108" w:type="dxa"/>
      </w:tblCellMar>
    </w:tblPr>
  </w:style>
  <w:style w:type="table" w:customStyle="1" w:styleId="45">
    <w:name w:val="45"/>
    <w:basedOn w:val="TableNormal1"/>
    <w:pPr>
      <w:spacing w:after="0" w:line="240" w:lineRule="auto"/>
    </w:pPr>
    <w:tblPr>
      <w:tblStyleRowBandSize w:val="1"/>
      <w:tblStyleColBandSize w:val="1"/>
      <w:tblCellMar>
        <w:left w:w="108" w:type="dxa"/>
        <w:right w:w="108" w:type="dxa"/>
      </w:tblCellMar>
    </w:tblPr>
  </w:style>
  <w:style w:type="table" w:customStyle="1" w:styleId="44">
    <w:name w:val="44"/>
    <w:basedOn w:val="TableNormal1"/>
    <w:pPr>
      <w:spacing w:after="0" w:line="240" w:lineRule="auto"/>
    </w:pPr>
    <w:tblPr>
      <w:tblStyleRowBandSize w:val="1"/>
      <w:tblStyleColBandSize w:val="1"/>
      <w:tblCellMar>
        <w:left w:w="108" w:type="dxa"/>
        <w:right w:w="108" w:type="dxa"/>
      </w:tblCellMar>
    </w:tblPr>
  </w:style>
  <w:style w:type="table" w:customStyle="1" w:styleId="43">
    <w:name w:val="43"/>
    <w:basedOn w:val="TableNormal1"/>
    <w:pPr>
      <w:spacing w:after="0" w:line="240" w:lineRule="auto"/>
    </w:pPr>
    <w:tblPr>
      <w:tblStyleRowBandSize w:val="1"/>
      <w:tblStyleColBandSize w:val="1"/>
      <w:tblCellMar>
        <w:left w:w="108" w:type="dxa"/>
        <w:right w:w="108" w:type="dxa"/>
      </w:tblCellMar>
    </w:tblPr>
  </w:style>
  <w:style w:type="table" w:customStyle="1" w:styleId="42">
    <w:name w:val="42"/>
    <w:basedOn w:val="TableNormal1"/>
    <w:pPr>
      <w:spacing w:after="0" w:line="240" w:lineRule="auto"/>
    </w:pPr>
    <w:tblPr>
      <w:tblStyleRowBandSize w:val="1"/>
      <w:tblStyleColBandSize w:val="1"/>
      <w:tblCellMar>
        <w:left w:w="108" w:type="dxa"/>
        <w:right w:w="108" w:type="dxa"/>
      </w:tblCellMar>
    </w:tblPr>
  </w:style>
  <w:style w:type="table" w:customStyle="1" w:styleId="41">
    <w:name w:val="41"/>
    <w:basedOn w:val="TableNormal1"/>
    <w:pPr>
      <w:spacing w:after="0" w:line="240" w:lineRule="auto"/>
    </w:pPr>
    <w:tblPr>
      <w:tblStyleRowBandSize w:val="1"/>
      <w:tblStyleColBandSize w:val="1"/>
      <w:tblCellMar>
        <w:left w:w="108" w:type="dxa"/>
        <w:right w:w="108" w:type="dxa"/>
      </w:tblCellMar>
    </w:tblPr>
  </w:style>
  <w:style w:type="table" w:customStyle="1" w:styleId="40">
    <w:name w:val="40"/>
    <w:basedOn w:val="TableNormal1"/>
    <w:pPr>
      <w:spacing w:after="0" w:line="240" w:lineRule="auto"/>
    </w:pPr>
    <w:tblPr>
      <w:tblStyleRowBandSize w:val="1"/>
      <w:tblStyleColBandSize w:val="1"/>
      <w:tblCellMar>
        <w:left w:w="108" w:type="dxa"/>
        <w:right w:w="108" w:type="dxa"/>
      </w:tblCellMar>
    </w:tblPr>
  </w:style>
  <w:style w:type="table" w:customStyle="1" w:styleId="39">
    <w:name w:val="39"/>
    <w:basedOn w:val="TableNormal1"/>
    <w:pPr>
      <w:spacing w:after="0" w:line="240" w:lineRule="auto"/>
    </w:pPr>
    <w:tblPr>
      <w:tblStyleRowBandSize w:val="1"/>
      <w:tblStyleColBandSize w:val="1"/>
      <w:tblCellMar>
        <w:left w:w="108" w:type="dxa"/>
        <w:right w:w="108" w:type="dxa"/>
      </w:tblCellMar>
    </w:tblPr>
  </w:style>
  <w:style w:type="table" w:customStyle="1" w:styleId="38">
    <w:name w:val="38"/>
    <w:basedOn w:val="TableNormal1"/>
    <w:pPr>
      <w:spacing w:after="0" w:line="240" w:lineRule="auto"/>
    </w:pPr>
    <w:tblPr>
      <w:tblStyleRowBandSize w:val="1"/>
      <w:tblStyleColBandSize w:val="1"/>
      <w:tblCellMar>
        <w:left w:w="108" w:type="dxa"/>
        <w:right w:w="108" w:type="dxa"/>
      </w:tblCellMar>
    </w:tblPr>
  </w:style>
  <w:style w:type="table" w:customStyle="1" w:styleId="37">
    <w:name w:val="37"/>
    <w:basedOn w:val="TableNormal1"/>
    <w:pPr>
      <w:spacing w:after="0" w:line="240" w:lineRule="auto"/>
    </w:pPr>
    <w:tblPr>
      <w:tblStyleRowBandSize w:val="1"/>
      <w:tblStyleColBandSize w:val="1"/>
      <w:tblCellMar>
        <w:left w:w="108" w:type="dxa"/>
        <w:right w:w="108" w:type="dxa"/>
      </w:tblCellMar>
    </w:tblPr>
  </w:style>
  <w:style w:type="table" w:customStyle="1" w:styleId="36">
    <w:name w:val="36"/>
    <w:basedOn w:val="TableNormal1"/>
    <w:pPr>
      <w:spacing w:after="0" w:line="240" w:lineRule="auto"/>
    </w:pPr>
    <w:tblPr>
      <w:tblStyleRowBandSize w:val="1"/>
      <w:tblStyleColBandSize w:val="1"/>
      <w:tblCellMar>
        <w:left w:w="108" w:type="dxa"/>
        <w:right w:w="108" w:type="dxa"/>
      </w:tblCellMar>
    </w:tblPr>
  </w:style>
  <w:style w:type="table" w:customStyle="1" w:styleId="35">
    <w:name w:val="35"/>
    <w:basedOn w:val="TableNormal1"/>
    <w:pPr>
      <w:spacing w:after="0" w:line="240" w:lineRule="auto"/>
    </w:pPr>
    <w:tblPr>
      <w:tblStyleRowBandSize w:val="1"/>
      <w:tblStyleColBandSize w:val="1"/>
      <w:tblCellMar>
        <w:left w:w="108" w:type="dxa"/>
        <w:right w:w="108" w:type="dxa"/>
      </w:tblCellMar>
    </w:tblPr>
  </w:style>
  <w:style w:type="table" w:customStyle="1" w:styleId="34">
    <w:name w:val="34"/>
    <w:basedOn w:val="TableNormal1"/>
    <w:pPr>
      <w:spacing w:after="0" w:line="240" w:lineRule="auto"/>
    </w:pPr>
    <w:tblPr>
      <w:tblStyleRowBandSize w:val="1"/>
      <w:tblStyleColBandSize w:val="1"/>
      <w:tblCellMar>
        <w:left w:w="108" w:type="dxa"/>
        <w:right w:w="108" w:type="dxa"/>
      </w:tblCellMar>
    </w:tblPr>
  </w:style>
  <w:style w:type="table" w:customStyle="1" w:styleId="33">
    <w:name w:val="33"/>
    <w:basedOn w:val="TableNormal1"/>
    <w:pPr>
      <w:spacing w:after="0" w:line="240" w:lineRule="auto"/>
    </w:pPr>
    <w:tblPr>
      <w:tblStyleRowBandSize w:val="1"/>
      <w:tblStyleColBandSize w:val="1"/>
      <w:tblCellMar>
        <w:left w:w="108" w:type="dxa"/>
        <w:right w:w="108" w:type="dxa"/>
      </w:tblCellMar>
    </w:tblPr>
  </w:style>
  <w:style w:type="table" w:customStyle="1" w:styleId="32">
    <w:name w:val="32"/>
    <w:basedOn w:val="TableNormal1"/>
    <w:pPr>
      <w:spacing w:after="0" w:line="240" w:lineRule="auto"/>
    </w:pPr>
    <w:tblPr>
      <w:tblStyleRowBandSize w:val="1"/>
      <w:tblStyleColBandSize w:val="1"/>
      <w:tblCellMar>
        <w:left w:w="108" w:type="dxa"/>
        <w:right w:w="108" w:type="dxa"/>
      </w:tblCellMar>
    </w:tblPr>
  </w:style>
  <w:style w:type="table" w:customStyle="1" w:styleId="31">
    <w:name w:val="31"/>
    <w:basedOn w:val="TableNormal1"/>
    <w:pPr>
      <w:spacing w:after="0" w:line="240" w:lineRule="auto"/>
    </w:pPr>
    <w:tblPr>
      <w:tblStyleRowBandSize w:val="1"/>
      <w:tblStyleColBandSize w:val="1"/>
      <w:tblCellMar>
        <w:left w:w="108" w:type="dxa"/>
        <w:right w:w="108" w:type="dxa"/>
      </w:tblCellMar>
    </w:tblPr>
  </w:style>
  <w:style w:type="table" w:customStyle="1" w:styleId="30">
    <w:name w:val="30"/>
    <w:basedOn w:val="TableNormal1"/>
    <w:pPr>
      <w:spacing w:after="0" w:line="240" w:lineRule="auto"/>
    </w:pPr>
    <w:tblPr>
      <w:tblStyleRowBandSize w:val="1"/>
      <w:tblStyleColBandSize w:val="1"/>
      <w:tblCellMar>
        <w:left w:w="108" w:type="dxa"/>
        <w:right w:w="108" w:type="dxa"/>
      </w:tblCellMar>
    </w:tblPr>
  </w:style>
  <w:style w:type="table" w:customStyle="1" w:styleId="29">
    <w:name w:val="29"/>
    <w:basedOn w:val="TableNormal1"/>
    <w:pPr>
      <w:spacing w:after="0" w:line="240" w:lineRule="auto"/>
    </w:pPr>
    <w:tblPr>
      <w:tblStyleRowBandSize w:val="1"/>
      <w:tblStyleColBandSize w:val="1"/>
      <w:tblCellMar>
        <w:left w:w="108" w:type="dxa"/>
        <w:right w:w="108" w:type="dxa"/>
      </w:tblCellMar>
    </w:tblPr>
  </w:style>
  <w:style w:type="table" w:customStyle="1" w:styleId="28">
    <w:name w:val="28"/>
    <w:basedOn w:val="TableNormal1"/>
    <w:pPr>
      <w:spacing w:after="0" w:line="240" w:lineRule="auto"/>
    </w:pPr>
    <w:tblPr>
      <w:tblStyleRowBandSize w:val="1"/>
      <w:tblStyleColBandSize w:val="1"/>
      <w:tblCellMar>
        <w:left w:w="108" w:type="dxa"/>
        <w:right w:w="108" w:type="dxa"/>
      </w:tblCellMar>
    </w:tblPr>
  </w:style>
  <w:style w:type="table" w:customStyle="1" w:styleId="27">
    <w:name w:val="27"/>
    <w:basedOn w:val="TableNormal1"/>
    <w:pPr>
      <w:spacing w:after="0" w:line="240" w:lineRule="auto"/>
    </w:pPr>
    <w:tblPr>
      <w:tblStyleRowBandSize w:val="1"/>
      <w:tblStyleColBandSize w:val="1"/>
      <w:tblCellMar>
        <w:left w:w="108" w:type="dxa"/>
        <w:right w:w="108" w:type="dxa"/>
      </w:tblCellMar>
    </w:tblPr>
  </w:style>
  <w:style w:type="table" w:customStyle="1" w:styleId="26">
    <w:name w:val="26"/>
    <w:basedOn w:val="TableNormal1"/>
    <w:pPr>
      <w:spacing w:after="0" w:line="240" w:lineRule="auto"/>
    </w:pPr>
    <w:tblPr>
      <w:tblStyleRowBandSize w:val="1"/>
      <w:tblStyleColBandSize w:val="1"/>
      <w:tblCellMar>
        <w:left w:w="108" w:type="dxa"/>
        <w:right w:w="108" w:type="dxa"/>
      </w:tblCellMar>
    </w:tblPr>
  </w:style>
  <w:style w:type="table" w:customStyle="1" w:styleId="25">
    <w:name w:val="25"/>
    <w:basedOn w:val="TableNormal1"/>
    <w:pPr>
      <w:spacing w:after="0" w:line="240" w:lineRule="auto"/>
    </w:pPr>
    <w:tblPr>
      <w:tblStyleRowBandSize w:val="1"/>
      <w:tblStyleColBandSize w:val="1"/>
      <w:tblCellMar>
        <w:left w:w="108" w:type="dxa"/>
        <w:right w:w="108" w:type="dxa"/>
      </w:tblCellMar>
    </w:tblPr>
  </w:style>
  <w:style w:type="table" w:customStyle="1" w:styleId="24">
    <w:name w:val="24"/>
    <w:basedOn w:val="TableNormal1"/>
    <w:pPr>
      <w:spacing w:after="0" w:line="240" w:lineRule="auto"/>
    </w:pPr>
    <w:tblPr>
      <w:tblStyleRowBandSize w:val="1"/>
      <w:tblStyleColBandSize w:val="1"/>
      <w:tblCellMar>
        <w:left w:w="108" w:type="dxa"/>
        <w:right w:w="108" w:type="dxa"/>
      </w:tblCellMar>
    </w:tblPr>
  </w:style>
  <w:style w:type="table" w:customStyle="1" w:styleId="23">
    <w:name w:val="23"/>
    <w:basedOn w:val="TableNormal1"/>
    <w:pPr>
      <w:spacing w:after="0" w:line="240" w:lineRule="auto"/>
    </w:pPr>
    <w:tblPr>
      <w:tblStyleRowBandSize w:val="1"/>
      <w:tblStyleColBandSize w:val="1"/>
      <w:tblCellMar>
        <w:left w:w="108" w:type="dxa"/>
        <w:right w:w="108" w:type="dxa"/>
      </w:tblCellMar>
    </w:tblPr>
  </w:style>
  <w:style w:type="table" w:customStyle="1" w:styleId="22">
    <w:name w:val="22"/>
    <w:basedOn w:val="TableNormal1"/>
    <w:pPr>
      <w:spacing w:after="0" w:line="240" w:lineRule="auto"/>
    </w:pPr>
    <w:tblPr>
      <w:tblStyleRowBandSize w:val="1"/>
      <w:tblStyleColBandSize w:val="1"/>
      <w:tblCellMar>
        <w:left w:w="108" w:type="dxa"/>
        <w:right w:w="108" w:type="dxa"/>
      </w:tblCellMar>
    </w:tblPr>
  </w:style>
  <w:style w:type="table" w:customStyle="1" w:styleId="21">
    <w:name w:val="21"/>
    <w:basedOn w:val="TableNormal1"/>
    <w:pPr>
      <w:spacing w:after="0" w:line="240" w:lineRule="auto"/>
    </w:pPr>
    <w:tblPr>
      <w:tblStyleRowBandSize w:val="1"/>
      <w:tblStyleColBandSize w:val="1"/>
      <w:tblCellMar>
        <w:left w:w="108" w:type="dxa"/>
        <w:right w:w="108" w:type="dxa"/>
      </w:tblCellMar>
    </w:tblPr>
  </w:style>
  <w:style w:type="table" w:customStyle="1" w:styleId="20">
    <w:name w:val="20"/>
    <w:basedOn w:val="TableNormal1"/>
    <w:pPr>
      <w:spacing w:after="0" w:line="240" w:lineRule="auto"/>
    </w:pPr>
    <w:tblPr>
      <w:tblStyleRowBandSize w:val="1"/>
      <w:tblStyleColBandSize w:val="1"/>
      <w:tblCellMar>
        <w:left w:w="108" w:type="dxa"/>
        <w:right w:w="108" w:type="dxa"/>
      </w:tblCellMar>
    </w:tblPr>
  </w:style>
  <w:style w:type="table" w:customStyle="1" w:styleId="19">
    <w:name w:val="19"/>
    <w:basedOn w:val="TableNormal1"/>
    <w:pPr>
      <w:spacing w:after="0" w:line="240" w:lineRule="auto"/>
    </w:pPr>
    <w:tblPr>
      <w:tblStyleRowBandSize w:val="1"/>
      <w:tblStyleColBandSize w:val="1"/>
      <w:tblCellMar>
        <w:left w:w="108" w:type="dxa"/>
        <w:right w:w="108" w:type="dxa"/>
      </w:tblCellMar>
    </w:tblPr>
  </w:style>
  <w:style w:type="table" w:customStyle="1" w:styleId="18">
    <w:name w:val="18"/>
    <w:basedOn w:val="TableNormal1"/>
    <w:pPr>
      <w:spacing w:after="0" w:line="240" w:lineRule="auto"/>
    </w:pPr>
    <w:tblPr>
      <w:tblStyleRowBandSize w:val="1"/>
      <w:tblStyleColBandSize w:val="1"/>
      <w:tblCellMar>
        <w:left w:w="108" w:type="dxa"/>
        <w:right w:w="108" w:type="dxa"/>
      </w:tblCellMar>
    </w:tblPr>
  </w:style>
  <w:style w:type="table" w:customStyle="1" w:styleId="17">
    <w:name w:val="17"/>
    <w:basedOn w:val="TableNormal1"/>
    <w:pPr>
      <w:spacing w:after="0" w:line="240" w:lineRule="auto"/>
    </w:pPr>
    <w:tblPr>
      <w:tblStyleRowBandSize w:val="1"/>
      <w:tblStyleColBandSize w:val="1"/>
      <w:tblCellMar>
        <w:left w:w="108" w:type="dxa"/>
        <w:right w:w="108" w:type="dxa"/>
      </w:tblCellMar>
    </w:tblPr>
  </w:style>
  <w:style w:type="table" w:customStyle="1" w:styleId="16">
    <w:name w:val="16"/>
    <w:basedOn w:val="TableNormal1"/>
    <w:pPr>
      <w:spacing w:after="0" w:line="240" w:lineRule="auto"/>
    </w:pPr>
    <w:tblPr>
      <w:tblStyleRowBandSize w:val="1"/>
      <w:tblStyleColBandSize w:val="1"/>
      <w:tblCellMar>
        <w:left w:w="108" w:type="dxa"/>
        <w:right w:w="108" w:type="dxa"/>
      </w:tblCellMar>
    </w:tblPr>
  </w:style>
  <w:style w:type="table" w:customStyle="1" w:styleId="15">
    <w:name w:val="15"/>
    <w:basedOn w:val="TableNormal1"/>
    <w:pPr>
      <w:spacing w:after="0" w:line="240" w:lineRule="auto"/>
    </w:pPr>
    <w:tblPr>
      <w:tblStyleRowBandSize w:val="1"/>
      <w:tblStyleColBandSize w:val="1"/>
      <w:tblCellMar>
        <w:left w:w="108" w:type="dxa"/>
        <w:right w:w="108" w:type="dxa"/>
      </w:tblCellMar>
    </w:tblPr>
  </w:style>
  <w:style w:type="table" w:customStyle="1" w:styleId="14">
    <w:name w:val="14"/>
    <w:basedOn w:val="TableNormal1"/>
    <w:pPr>
      <w:spacing w:after="0" w:line="240" w:lineRule="auto"/>
    </w:pPr>
    <w:tblPr>
      <w:tblStyleRowBandSize w:val="1"/>
      <w:tblStyleColBandSize w:val="1"/>
      <w:tblCellMar>
        <w:left w:w="108" w:type="dxa"/>
        <w:right w:w="108" w:type="dxa"/>
      </w:tblCellMar>
    </w:tblPr>
  </w:style>
  <w:style w:type="table" w:customStyle="1" w:styleId="13">
    <w:name w:val="13"/>
    <w:basedOn w:val="TableNormal1"/>
    <w:tblPr>
      <w:tblStyleRowBandSize w:val="1"/>
      <w:tblStyleColBandSize w:val="1"/>
      <w:tblCellMar>
        <w:left w:w="70" w:type="dxa"/>
        <w:right w:w="70" w:type="dxa"/>
      </w:tblCellMar>
    </w:tblPr>
  </w:style>
  <w:style w:type="table" w:customStyle="1" w:styleId="12">
    <w:name w:val="12"/>
    <w:basedOn w:val="TableNormal1"/>
    <w:tblPr>
      <w:tblStyleRowBandSize w:val="1"/>
      <w:tblStyleColBandSize w:val="1"/>
      <w:tblCellMar>
        <w:left w:w="70" w:type="dxa"/>
        <w:right w:w="70" w:type="dxa"/>
      </w:tblCellMar>
    </w:tbl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CellMar>
        <w:left w:w="70" w:type="dxa"/>
        <w:right w:w="70"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70" w:type="dxa"/>
        <w:right w:w="70" w:type="dxa"/>
      </w:tblCellMar>
    </w:tblPr>
  </w:style>
  <w:style w:type="table" w:customStyle="1" w:styleId="6">
    <w:name w:val="6"/>
    <w:basedOn w:val="TableNormal1"/>
    <w:tblPr>
      <w:tblStyleRowBandSize w:val="1"/>
      <w:tblStyleColBandSize w:val="1"/>
      <w:tblCellMar>
        <w:left w:w="70" w:type="dxa"/>
        <w:right w:w="70" w:type="dxa"/>
      </w:tblCellMar>
    </w:tbl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tblPr>
      <w:tblStyleRowBandSize w:val="1"/>
      <w:tblStyleColBandSize w:val="1"/>
      <w:tblCellMar>
        <w:left w:w="70" w:type="dxa"/>
        <w:right w:w="70"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83116">
      <w:bodyDiv w:val="1"/>
      <w:marLeft w:val="0"/>
      <w:marRight w:val="0"/>
      <w:marTop w:val="0"/>
      <w:marBottom w:val="0"/>
      <w:divBdr>
        <w:top w:val="none" w:sz="0" w:space="0" w:color="auto"/>
        <w:left w:val="none" w:sz="0" w:space="0" w:color="auto"/>
        <w:bottom w:val="none" w:sz="0" w:space="0" w:color="auto"/>
        <w:right w:val="none" w:sz="0" w:space="0" w:color="auto"/>
      </w:divBdr>
    </w:div>
    <w:div w:id="627276714">
      <w:bodyDiv w:val="1"/>
      <w:marLeft w:val="0"/>
      <w:marRight w:val="0"/>
      <w:marTop w:val="0"/>
      <w:marBottom w:val="0"/>
      <w:divBdr>
        <w:top w:val="none" w:sz="0" w:space="0" w:color="auto"/>
        <w:left w:val="none" w:sz="0" w:space="0" w:color="auto"/>
        <w:bottom w:val="none" w:sz="0" w:space="0" w:color="auto"/>
        <w:right w:val="none" w:sz="0" w:space="0" w:color="auto"/>
      </w:divBdr>
    </w:div>
    <w:div w:id="680277571">
      <w:bodyDiv w:val="1"/>
      <w:marLeft w:val="0"/>
      <w:marRight w:val="0"/>
      <w:marTop w:val="0"/>
      <w:marBottom w:val="0"/>
      <w:divBdr>
        <w:top w:val="none" w:sz="0" w:space="0" w:color="auto"/>
        <w:left w:val="none" w:sz="0" w:space="0" w:color="auto"/>
        <w:bottom w:val="none" w:sz="0" w:space="0" w:color="auto"/>
        <w:right w:val="none" w:sz="0" w:space="0" w:color="auto"/>
      </w:divBdr>
    </w:div>
    <w:div w:id="754789841">
      <w:bodyDiv w:val="1"/>
      <w:marLeft w:val="0"/>
      <w:marRight w:val="0"/>
      <w:marTop w:val="0"/>
      <w:marBottom w:val="0"/>
      <w:divBdr>
        <w:top w:val="none" w:sz="0" w:space="0" w:color="auto"/>
        <w:left w:val="none" w:sz="0" w:space="0" w:color="auto"/>
        <w:bottom w:val="none" w:sz="0" w:space="0" w:color="auto"/>
        <w:right w:val="none" w:sz="0" w:space="0" w:color="auto"/>
      </w:divBdr>
    </w:div>
    <w:div w:id="1488477187">
      <w:bodyDiv w:val="1"/>
      <w:marLeft w:val="0"/>
      <w:marRight w:val="0"/>
      <w:marTop w:val="0"/>
      <w:marBottom w:val="0"/>
      <w:divBdr>
        <w:top w:val="none" w:sz="0" w:space="0" w:color="auto"/>
        <w:left w:val="none" w:sz="0" w:space="0" w:color="auto"/>
        <w:bottom w:val="none" w:sz="0" w:space="0" w:color="auto"/>
        <w:right w:val="none" w:sz="0" w:space="0" w:color="auto"/>
      </w:divBdr>
    </w:div>
    <w:div w:id="1648433488">
      <w:bodyDiv w:val="1"/>
      <w:marLeft w:val="0"/>
      <w:marRight w:val="0"/>
      <w:marTop w:val="0"/>
      <w:marBottom w:val="0"/>
      <w:divBdr>
        <w:top w:val="none" w:sz="0" w:space="0" w:color="auto"/>
        <w:left w:val="none" w:sz="0" w:space="0" w:color="auto"/>
        <w:bottom w:val="none" w:sz="0" w:space="0" w:color="auto"/>
        <w:right w:val="none" w:sz="0" w:space="0" w:color="auto"/>
      </w:divBdr>
    </w:div>
    <w:div w:id="2013216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Arr51</b:Tag>
    <b:SourceType>BookSection</b:SourceType>
    <b:Guid>{2905B56A-9C32-4C40-A95B-0B527DABFAB6}</b:Guid>
    <b:Title>An extension of the basic theorems of classical welfare economics</b:Title>
    <b:Year>1951</b:Year>
    <b:Publisher>University of California Press</b:Publisher>
    <b:BookTitle>Proceedings of the Second Berkeley Symposium on Mathematical Statistics and Probability</b:BookTitle>
    <b:Pages>507-532</b:Pages>
    <b:Author>
      <b:Author>
        <b:NameList>
          <b:Person>
            <b:Last>Arrow</b:Last>
            <b:First>Kenneth J.</b:First>
          </b:Person>
        </b:NameList>
      </b:Author>
      <b:BookAuthor>
        <b:NameList>
          <b:Person>
            <b:Last>Neyman</b:Last>
            <b:First>Jerzy</b:First>
          </b:Person>
        </b:NameList>
      </b:BookAuthor>
    </b:Author>
    <b:RefOrder>1</b:RefOrder>
  </b:Source>
  <b:Source>
    <b:Tag>Arr69</b:Tag>
    <b:SourceType>BookSection</b:SourceType>
    <b:Guid>{79203A4B-6FCC-492A-871D-44546792E960}</b:Guid>
    <b:Title>The organization of economic activity issues pertinent to the choice of market vs. nonmarket allocation</b:Title>
    <b:Year>1969</b:Year>
    <b:Pages>133-155</b:Pages>
    <b:City>Cambridge</b:City>
    <b:Publisher>Belknap Press</b:Publisher>
    <b:Author>
      <b:Author>
        <b:NameList>
          <b:Person>
            <b:Last>Arrow</b:Last>
            <b:First>Kenneth J.</b:First>
          </b:Person>
        </b:NameList>
      </b:Author>
    </b:Author>
    <b:BookTitle>Basımı, Kenneth Arrow Seçilmiş Makalelerinin Yeniden</b:BookTitle>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sKDvJGg65KLiKUzkXVN/ZUBNPNg==">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</go:docsCustomData>
</go:gDocsCustomXmlDataStorage>
</file>

<file path=customXml/itemProps1.xml><?xml version="1.0" encoding="utf-8"?>
<ds:datastoreItem xmlns:ds="http://schemas.openxmlformats.org/officeDocument/2006/customXml" ds:itemID="{4D4061A2-0F09-4C08-9F02-20B0670F296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9211</TotalTime>
  <Pages>24</Pages>
  <Words>5044</Words>
  <Characters>28756</Characters>
  <Application>Microsoft Office Word</Application>
  <DocSecurity>0</DocSecurity>
  <Lines>239</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OemPC</dc:creator>
  <cp:keywords/>
  <dc:description/>
  <cp:lastModifiedBy>Muhammet Ridvan Ince</cp:lastModifiedBy>
  <cp:revision>31</cp:revision>
  <dcterms:created xsi:type="dcterms:W3CDTF">2022-08-25T13:46:00Z</dcterms:created>
  <dcterms:modified xsi:type="dcterms:W3CDTF">2023-12-14T21:05:00Z</dcterms:modified>
</cp:coreProperties>
</file>