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Articletitle"/>
        <w:widowControl/>
      </w:pPr>
      <w:r>
        <w:t>Tenancy Rent Caps under High Inflation: Divergence between Sitting and New Tenants in Türkiye</w:t>
      </w:r>
    </w:p>
    <w:p>
      <w:pPr>
        <w:pStyle w:val="Authornames"/>
        <w:widowControl/>
      </w:pPr>
      <w:r>
        <w:t>Muhammet Rıdvan İnce</w:t>
      </w:r>
    </w:p>
    <w:p>
      <w:pPr>
        <w:pStyle w:val="Affiliation"/>
        <w:widowControl/>
      </w:pPr>
      <w:r>
        <w:t>Kocaeli University, Faculty of Political Sciences, Department of Economics, Umuttepe Campus, 41001 İzmit/Kocaeli, Türkiye</w:t>
      </w:r>
    </w:p>
    <w:p>
      <w:pPr>
        <w:pStyle w:val="Correspondencedetails"/>
        <w:widowControl/>
      </w:pPr>
      <w:r>
        <w:t>Corresponding author: Muhammet Rıdvan İnce</w:t>
        <w:br/>
        <w:t>Email: muhammet.ince@kocaeli.edu.tr</w:t>
        <w:br/>
        <w:t>ORCID: 0000-0003-2050-2545</w:t>
      </w:r>
    </w:p>
    <w:p>
      <w:pPr>
        <w:pStyle w:val="Paragraph"/>
        <w:widowControl/>
      </w:pPr>
      <w:r>
        <w:t>Article type: Research article</w:t>
      </w:r>
    </w:p>
    <w:p>
      <w:pPr>
        <w:pStyle w:val="Paragraph"/>
        <w:widowControl/>
      </w:pPr>
      <w:r>
        <w:t>Word count (including references, tables and figure captions): 8,964</w:t>
      </w:r>
    </w:p>
    <w:p>
      <w:pPr>
        <w:pStyle w:val="Paragraph"/>
        <w:widowControl/>
      </w:pPr>
      <w:r>
        <w:t>Tables: 4. Figures: 2.</w:t>
      </w:r>
    </w:p>
    <w:p>
      <w:pPr>
        <w:spacing w:before="0" w:after="0" w:line="20" w:lineRule="exact"/>
      </w:pPr>
      <w:r>
        <w:br w:type="page"/>
      </w:r>
    </w:p>
    <w:p>
      <w:pPr>
        <w:pStyle w:val="Articletitle"/>
        <w:widowControl/>
      </w:pPr>
      <w:r>
        <w:t>Tenancy Rent Caps under High Inflation: Divergence between Sitting and New Tenants in Türkiye</w:t>
      </w:r>
    </w:p>
    <w:p>
      <w:pPr>
        <w:pStyle w:val="Abstract"/>
        <w:widowControl/>
      </w:pPr>
      <w:r>
        <w:t>This study examines rent and housing-burden divergence between sitting and new tenants under high inflation and tenancy rent caps in Türkiye. Household-weighted event-study and period difference-in-differences models with region–year fixed effects compare 62,619 tenant households in the 2016–2025 Survey of Income and Living Conditions, classified by move-in year. Inference uses 26 regional clusters and 9,999 wild cluster bootstrap replications. The Household Budget Survey provides expenditure evidence. The conditional rent gap widened from 2021, reaching −0.250 log points relative to the reference period in 2023–2024. This represents a 22.1% decline in the sitting-to-new conditional geometric rent ratio; the total gap implies 28.3% lower rents for sitting tenants. The 0.060-log-point narrowing in 2025 is significant at 5%. Sitting tenants’ share with rent exceeding 40% of income rose from 9.4% to 21.9%, but increased less than new tenants’. Their consumption rent share increased 3.5 percentage points less, without significant relative changes in total consumption or food expenditure. Income-quintile differences receive limited support; the new-tenant share remains below trend. Relative rent advantages coexist with rising absolute burdens. Although national regulation cannot be separated from delayed price adjustment, findings highlight the importance of jointly monitoring tenancy duration and households’ payment capacity in housing policy evaluation.</w:t>
      </w:r>
    </w:p>
    <w:p>
      <w:pPr>
        <w:pStyle w:val="Keywords"/>
        <w:widowControl/>
      </w:pPr>
      <w:r>
        <w:t>Keywords: rent control, tenancy rent control, high inflation, housing affordability, difference-in-differences, Türkiye</w:t>
      </w:r>
    </w:p>
    <w:p>
      <w:pPr>
        <w:pStyle w:val="Heading1"/>
        <w:widowControl/>
      </w:pPr>
      <w:r>
        <w:t>Introduction</w:t>
      </w:r>
    </w:p>
    <w:p>
      <w:pPr>
        <w:pStyle w:val="Paragraph"/>
        <w:widowControl/>
      </w:pPr>
      <w:r>
        <w:t>When housing costs rise rapidly, rent increase caps aim to protect sitting tenants, yet prices may diverge between new entrants and households with continuing tenancies. Under tenancy rent control, increases are restricted within a tenancy, while initial rents can be reset following a vacancy (Arnott, 1995). This institutional distinction makes housing policy’s distributional consequences dependent on when a tenancy began. Basu and Emerson (2000) show that inflation can strengthen landlords’ preference for short-stay tenants; Arnott and Shevyakhova (2014) show that it can weaken maintenance incentives during a tenancy. Accumulating rent advantages and reduced mobility are observable implications of this mechanism (Diamond et al., 2019; Munch &amp; Svarer, 2002; Nagy, 1997).</w:t>
      </w:r>
    </w:p>
    <w:p>
      <w:pPr>
        <w:pStyle w:val="Newparagraph"/>
        <w:widowControl/>
      </w:pPr>
      <w:r>
        <w:t>The welfare implications of differences between tenancies depend on households’ payment capacity as well as their rent payments. Even without regulation, nominal rigidity and bargaining can delay the adjustment of continuing-tenancy rents to market rents (Gallin &amp; Verbrugge, 2019; Genesove, 2003). Lower rents for sitting tenants than for new tenants do not establish a decline in their own budget burden: both groups’ burdens may increase at different rates. Rent gaps should therefore be assessed alongside rent-to-income ratios, subjective housing burdens and payment difficulties (Haffner &amp; Heylen, 2011; Stone, 2006). This study starts from the possibility that tenancy-related relative advantages coexist with absolute affordability problems.</w:t>
      </w:r>
    </w:p>
    <w:p>
      <w:pPr>
        <w:pStyle w:val="Newparagraph"/>
        <w:widowControl/>
      </w:pPr>
      <w:r>
        <w:t>Türkiye provides a setting in which high inflation and tenancy rent regulation can be examined together. Since 2019, Article 344 of the Turkish Code of Obligations has limited rent increases upon renewal to the change in the consumer price index based on twelve-month averages (Turkish Code of Obligations, 2011). Following accelerating inflation from late 2021, Law No. 7409 capped increases at 25% for residential rental periods renewed between June 2022 and 1 July 2023 (Law No. 7409, 2022). Law No. 7456 extended the same cap to periods renewed between 2 July 2023 and 1 July 2024 (Law No. 7456, 2023). This national regulation of renewal increases did not similarly restrict initial rents in new contracts. The comparison between sitting and new tenants draws on this contractual distinction, tracking both groups’ rent dynamics within the same local market.</w:t>
      </w:r>
    </w:p>
    <w:p>
      <w:pPr>
        <w:pStyle w:val="Newparagraph"/>
        <w:widowControl/>
      </w:pPr>
      <w:r>
        <w:t>Using the Turkish Statistical Institute’s (TurkStat) Survey of Income and Living Conditions (SILC), the study addresses four questions for 2016–2025. How did the conditional rent gap between sitting and new tenants change before, around and after the regulation? What divergence in housing burdens and payment difficulties accompanied this change? How did divergence vary by tenancy duration and income? Did the new-tenant share depart from its historical trend? SILC coverage is extended to 2014–2025 for the mobility question; expenditure composition is examined using the 2016–2019, 2022 and 2024 Household Budget Survey (HBS) cross-sections.</w:t>
      </w:r>
    </w:p>
    <w:p>
      <w:pPr>
        <w:pStyle w:val="Newparagraph"/>
        <w:widowControl/>
      </w:pPr>
      <w:r>
        <w:t>By tracing divergence between tenant groups under common local market conditions, this study extends household-level evidence on national rent regulation. It separately calculates the rent gap’s change relative to the reference period and its total within-period level, assessing relative advantage alongside rising absolute burdens. The independent budget survey links rent differences to consumption composition. The Literature section reviews the theoretical framework and previous evidence, and Data and model explains the comparison’s basis. Following the Results, Discussion and policy implications assesses the findings for affordability policy; the Conclusion summarises the contribution.</w:t>
      </w:r>
    </w:p>
    <w:p>
      <w:pPr>
        <w:pStyle w:val="Heading1"/>
        <w:widowControl/>
      </w:pPr>
      <w:r>
        <w:t>Literature</w:t>
      </w:r>
    </w:p>
    <w:p>
      <w:pPr>
        <w:pStyle w:val="Paragraph"/>
        <w:widowControl/>
      </w:pPr>
      <w:r>
        <w:t>The rent control literature distinguishes regulations by the contracts they bind and the stage at which they apply, rather than treating them as a single price-ceiling model. Arnott (1995) distinguishes strict nominal freezes from second-generation regulation, advocating case-by-case assessment of moderate controls in imperfectly competitive housing markets. Under tenancy rent control, the theoretical counterpart of Türkiye’s renewal cap, continuing-tenancy rents are restricted while rents can be reset after vacancy. Basu and Emerson (2000) show that, under inflation, this arrangement can generate a preference for short-stay tenants, adverse selection and inefficient equilibria. Arnott and Shevyakhova (2014) model how the same institutional distinction can weaken maintenance incentives. These frameworks connect tenancy duration to pricing and decisions to remain, without assuming equal benefits across households. Gyourko and Linneman (1989) likewise consider both efficiency and distribution in rent control debates intensified by high inflation.</w:t>
      </w:r>
    </w:p>
    <w:p>
      <w:pPr>
        <w:pStyle w:val="Newparagraph"/>
        <w:widowControl/>
      </w:pPr>
      <w:r>
        <w:t>Empirical findings support the importance of tenancy duration, although research designs differ. Nagy (1997) finds that new entrants to controlled dwellings in New York initially paid higher rents, while tenants remaining in the same dwelling paid lower rents in subsequent years. Using duration models for Denmark, Munch and Svarer (2002) show that tenancies in the most heavily regulated dwellings lasted more than six years longer. Exploiting a change in legal coverage in San Francisco, Diamond et al. (2019) report a 20% reduction in tenant mobility and a 15% reduction in rental supply. Glaeser and Luttmer (2003) document housing misallocation across household groups in New York. Comparisons based on controlled and uncontrolled sectors, regulatory intensity or building-age assignment assess related mechanisms through different counterfactuals. Documenting duration-related rent gaps and identifying regulation’s causal effects therefore require different evidence.</w:t>
      </w:r>
    </w:p>
    <w:p>
      <w:pPr>
        <w:pStyle w:val="Newparagraph"/>
        <w:widowControl/>
      </w:pPr>
      <w:r>
        <w:t>Regulatory consequences can extend beyond protected tenancies. Autor et al. (2014) show that decontrol in Cambridge increased values for both formerly controlled properties and nearby uncontrolled properties. Mense et al. (2019) document spillovers from second-generation controls to the unregulated sector and land values; Mense et al. (2023) link misallocation, unregulated rents and mobility in Germany. Examining Germany’s rent brake, Breidenbach et al. (2022) find reductions in advertised rents of up to 5%, disappearing within approximately a year, with benefits concentrated in high-income areas. In Berlin, Hahn et al. (2024) find that lower advertised rents were accompanied by a rent discontinuity at the administrative boundary, increases in neighbouring municipalities and fewer listings. Asquith (2019) finds no evidence of evictions to replace tenants in San Francisco, but reports withdrawals from the rental market. Kholodilin (2024) assesses slower controlled-rent growth alongside broader market costs. Favilukis et al. (2023) jointly consider affordability policies’ insurance value, supply responses and misallocation in general equilibrium. These studies suggest that new tenants cannot be considered a comparison group wholly insulated from regulation’s market consequences.</w:t>
      </w:r>
    </w:p>
    <w:p>
      <w:pPr>
        <w:pStyle w:val="Newparagraph"/>
        <w:widowControl/>
      </w:pPr>
      <w:r>
        <w:t>Rent gaps between sitting and new tenants require joint consideration of regulation and renewal dynamics. Genesove (2003) documents unchanged nominal rents from one year to the next in 29% of US dwellings during 1974–1981, with rigidity more prevalent in continuing tenancies and smaller buildings. Gallin and Verbrugge (2019) explain sticky rents despite regular recontracting through search and bargaining under incomplete information. These mechanisms are consistent with continuing-tenancy rents lagging accelerating market rents and subsequently incorporating earlier increases as market rent growth slows. Widening followed by narrowing may therefore reflect both regulation and delayed price adjustment. Pre-regulation trajectories provide a descriptive benchmark; separating policy effects requires a valid counterfactual for inflation and renewal conditions.</w:t>
      </w:r>
    </w:p>
    <w:p>
      <w:pPr>
        <w:pStyle w:val="Newparagraph"/>
        <w:widowControl/>
      </w:pPr>
      <w:r>
        <w:t>How rent gaps translate into household welfare depends on the affordability measure. Criticising fixed thresholds in ratio-based measures, Stone (2006) advocates a residual-income approach assessing whether income remaining after housing expenses covers basic needs. Similarly, Kutty (2005) defines housing-induced poverty as the inability to afford a non-housing poverty basket after paying for housing. Haffner and Heylen (2011) show that cash-flow-based short-term affordability and long-term affordability based on housing consumption costs answer different questions and are not interchangeable; both identify tenants as relatively disadvantaged. Dewilde and Lancee (2013) find that income inequality exacerbates affordability problems across 28 European countries, particularly among low-income market-rent tenants. This literature supports monitoring rent caps through rent-to-income ratios, subjective housing burdens and payment difficulties, alongside rent levels.</w:t>
      </w:r>
    </w:p>
    <w:p>
      <w:pPr>
        <w:pStyle w:val="Newparagraph"/>
        <w:widowControl/>
      </w:pPr>
      <w:r>
        <w:t>Türkiye is a large emerging economy where high inflation has coincided with tenancy rent restrictions. Coşkun et al. (2020) document rapid housing price growth in the early 2010s, a long-run relationship between house prices, rents, construction costs and real mortgage interest rates, and periods of overvaluation without a bubble. However, this literature focuses on price dynamics, leaving limited evidence on rent regulation’s household-level distributional consequences. International identification strategies cannot be transferred directly to this setting. Diamond et al. (2019) and Autor et al. (2014) exploit local regulations with coverage varying by building characteristics; Breidenbach et al. (2022) and Mense et al. (2023) use differences in municipal coverage and timing; Hahn et al. (2024) exploit an administrative boundary. Türkiye’s cap applied nationally. The present comparison instead draws on tenancy rent control’s defining feature: the restriction binds continuing tenancies.</w:t>
      </w:r>
    </w:p>
    <w:p>
      <w:pPr>
        <w:pStyle w:val="Newparagraph"/>
        <w:widowControl/>
      </w:pPr>
      <w:r>
        <w:t>This study contributes by tracing tenancy-duration-related divergence through household indicators in an economy experiencing national regulation and high inflation simultaneously. Observable implications of tenancy rent control and delayed price adjustment include sitting–new rent gaps, duration-group differences and the new-tenant share. Affordability frameworks require reading these gaps alongside rent-to-income ratios, subjective burdens, arrears and consumption. The study assesses these connections through a ten-year main sample and an independent budget survey, complementing evidence from advertised prices and administrative records. Its contribution is to measure the magnitude, distribution and budget implications of conditional divergence together, rather than to identify the separate effect of national regulation.</w:t>
      </w:r>
    </w:p>
    <w:p>
      <w:pPr>
        <w:pStyle w:val="Heading1"/>
        <w:widowControl/>
      </w:pPr>
      <w:r>
        <w:t>Data and model</w:t>
      </w:r>
    </w:p>
    <w:p>
      <w:pPr>
        <w:pStyle w:val="Paragraph"/>
        <w:widowControl/>
      </w:pPr>
      <w:r>
        <w:t>The study assesses rents and living conditions using SILC and consumption composition using the HBS. The first subsection describes the sources, periods and construction of tenant groups. The second defines the models tracking within-market group differences, inference procedures and sensitivity analyses.</w:t>
      </w:r>
    </w:p>
    <w:p>
      <w:pPr>
        <w:pStyle w:val="Heading2"/>
        <w:widowControl/>
      </w:pPr>
      <w:r>
        <w:t>Data</w:t>
      </w:r>
    </w:p>
    <w:p>
      <w:pPr>
        <w:pStyle w:val="Paragraph"/>
        <w:widowControl/>
      </w:pPr>
      <w:r>
        <w:t>The main analysis uses TurkStat’s annual SILC cross-sections for 2016–2025; the mobility analysis covers 2014–2025 (Turkish Statistical Institute [TurkStat], 2014–2025). SILC collects annual interviews from households selected through stratified two-stage cluster sampling. The data are repeated cross-sections; households are not matched across years. Household files are merged with individual records for household composition and head-of-household characteristics. The Istanbul and Eastern Black Sea NUTS-2 codes in 2014–2015 are harmonised with subsequent years (TR11→TR10, TR91→TR90). Estimates use household weight HB040. TurkStat’s manuals specify March–July fieldwork for 2022 and 2024 and February–June for 2025. Calendar periods therefore combine different interview and contract renewal dates.</w:t>
      </w:r>
    </w:p>
    <w:p>
      <w:pPr>
        <w:pStyle w:val="Newparagraph"/>
        <w:widowControl/>
      </w:pPr>
      <w:r>
        <w:t>The pooled 2014–2025 SILC data contain 294,926 households, including 72,527 tenants. Eligibility requires tenant status (HH020 = 2), positive monthly rent (HH040 &gt; 0), positive household disposable income (HG110 &gt; 0) and valid tenancy duration. Duration is calculated by subtracting the move-in year (HH030) from the survey year, retaining values between 0 and 80. Differences of 0–1 identify new tenants; values of at least 2 identify sitting tenants. The new group includes households moving in during the survey year or the preceding calendar year; it does not measure exactly less than one year’s residence or legal exemption. These rent, income and duration criteria exclude no tenant observations. The main period contains 62,620 tenant households; one missing control reduces the estimation sample to 62,619. Annual tenant samples range from 5,140 to 7,023 households, while the controlled mobility model includes 72,526 households.</w:t>
      </w:r>
    </w:p>
    <w:p>
      <w:pPr>
        <w:pStyle w:val="Newparagraph"/>
        <w:widowControl/>
      </w:pPr>
      <w:r>
        <w:t>The new-tenant group’s composition matters for contract timing. Approximately 79% of this group in 2023–2024 moved in during the preceding calendar year, so some may already have renewed their tenancy by the interview. Sitting tenants also have different starting years. The classification compares recent movers with longer-standing residents rather than precisely separating legally protected and unprotected contracts. Robustness checks using narrower and broader duration thresholds assess this measurement feature.</w:t>
      </w:r>
    </w:p>
    <w:p>
      <w:pPr>
        <w:pStyle w:val="Newparagraph"/>
        <w:widowControl/>
      </w:pPr>
      <w:r>
        <w:t>Six SILC outcomes are examined: log monthly rent; annualised rent exceeding 40% of household income; a heavy housing cost burden (HE060 = 1); arrears on rent, interest-bearing debt or mortgage payments over the previous 12 months (HE010 ∈ {1, 2}); utility arrears (HE020 ∈ {1, 2}); and difficulty or great difficulty making ends meet (HE040 ∈ {1, 2}). The second indicator uses 12 × HH040/HG110. Income refers to the preceding calendar year, whereas rent is measured at interview, so under high inflation this ratio does not precisely capture the contemporaneous budget burden. Although both groups face this timing mismatch, income adjustment may differ between them. The other indicators capture distinct links between rent burdens, subjective assessments and payment difficulties.</w:t>
      </w:r>
    </w:p>
    <w:p>
      <w:pPr>
        <w:pStyle w:val="Newparagraph"/>
        <w:widowControl/>
      </w:pPr>
      <w:r>
        <w:t>Using rent paid instead of total housing costs (HH050) improves consistency across years. In 2024, HH050 is missing for 37.5% of homeowners and equals rent for a weighted 49.6% of tenants. Median non-rent housing costs among tenants fall from TRY 1,022 in 2023 to TRY 42 in 2024, then rise to TRY 2,050 in 2025. Overburden rates based on total costs exceeding 40% of income are 40.5%, 32.4% and 38.7% in these years, compared with rent-only rates of 22.5%, 28.1% and 29.1%. The discontinuity in total costs thus suggests apparent relief while the rent indicator continues rising. The chosen measure is narrower than total housing costs but avoids this recording discontinuity.</w:t>
      </w:r>
    </w:p>
    <w:p>
      <w:pPr>
        <w:pStyle w:val="Newparagraph"/>
        <w:widowControl/>
      </w:pPr>
      <w:r>
        <w:t>Controls cover dwelling and household characteristics: dwelling type (detached or semi-detached/terraced house, apartment building with fewer than 10 units, building with at least 10 units, other), rooms (top-coded at 6), log dwelling area (bounded at 20–400 m²), heating system, household size (top-coded at 6), children under 15 (top-coded at 3), and household head’s age group and sex. Dwelling-type codes changed in 2018 and are harmonised using TurkStat’s dictionaries for both periods. Heterogeneity analysis uses weighted quintiles of equivalised household income, recalculated annually among tenants using the modified OECD scale: 1 for the first adult, 0.5 for other members aged 14 or over and 0.3 for those under 14.</w:t>
      </w:r>
    </w:p>
    <w:p>
      <w:pPr>
        <w:pStyle w:val="Newparagraph"/>
        <w:widowControl/>
      </w:pPr>
      <w:r>
        <w:t>The complementary source comprises TurkStat’s 2016, 2017, 2018, 2019, 2022 and 2024 HBS cross-sections (TurkStat, 2016–2024). The survey collects item-level monthly consumption from different households throughout the year; the available files lack region and interview month. Of 70,844 households across these six cross-sections, 16,559 tenants paying positive rent enter the analysis. Reported residence duration (KONUT_SURE_YIL) codes 0–1 identify new tenants and codes of at least 2 identify sitting tenants; residence below six months is coded 0 and 6–12 months is coded 1. SILC’s calendar-year difference and HBS reported duration are approximately comparable. Item records are aggregated by COICOP major group, excluding imputed rent (04.2). Household rent matches the actual-rent expenditure item (04.1) in 98.9–99.8% of cases. Outcomes comprise log rent, rent and other expenditure shares, log total consumption, log non-rent consumption and log food expenditure. Food and non-rent consumption are floored at TRY 1 before logarithmic transformation. Shares based solely on cash purchases (acquisition mode 1) provide a complementary comparison. Monetary amounts are in current TRY; year effects absorb common price changes.</w:t>
      </w:r>
    </w:p>
    <w:p>
      <w:pPr>
        <w:pStyle w:val="Heading2"/>
        <w:widowControl/>
      </w:pPr>
      <w:r>
        <w:t>Econometric model</w:t>
      </w:r>
    </w:p>
    <w:p>
      <w:pPr>
        <w:pStyle w:val="Paragraph"/>
        <w:widowControl/>
      </w:pPr>
      <w:r>
        <w:t>The empirical strategy measures conditional differences between sitting and new tenants within the same local market and their evolution over time. Tenancy regulation, renewal frequency and differential pass-through of market prices may jointly determine these gaps. Dwelling and household controls and region × year fixed effects account for observed composition and common local shocks. Annual trajectories are estimated through the following event study:</w:t>
      </w:r>
    </w:p>
    <w:p>
      <w:pPr>
        <w:pStyle w:val="Displayedequation"/>
        <w:keepLines/>
        <w:widowControl/>
      </w:pPr>
      <m:oMath>
        <m:sSub>
          <m:e>
            <m:r>
              <m:t>Y</m:t>
              <w:rPr>
                <w:rFonts w:ascii="Cambria Math" w:hAnsi="Cambria Math"/>
              </w:rPr>
            </m:r>
          </m:e>
          <m:sub>
            <m:r>
              <m:t>irt</m:t>
              <w:rPr>
                <w:rFonts w:ascii="Cambria Math" w:hAnsi="Cambria Math"/>
              </w:rPr>
            </m:r>
          </m:sub>
        </m:sSub>
        <m:r>
          <m:t>=α+δ</m:t>
          <w:rPr>
            <w:rFonts w:ascii="Cambria Math" w:hAnsi="Cambria Math"/>
          </w:rPr>
        </m:r>
        <m:sSub>
          <m:e>
            <m:r>
              <m:rPr>
                <m:sty m:val="p"/>
              </m:rPr>
              <m:t>Sitting</m:t>
              <w:rPr>
                <w:rFonts w:ascii="Cambria Math" w:hAnsi="Cambria Math"/>
              </w:rPr>
            </m:r>
          </m:e>
          <m:sub>
            <m:r>
              <m:t>i</m:t>
              <w:rPr>
                <w:rFonts w:ascii="Cambria Math" w:hAnsi="Cambria Math"/>
              </w:rPr>
            </m:r>
          </m:sub>
        </m:sSub>
        <m:r>
          <m:t>+</m:t>
          <w:rPr>
            <w:rFonts w:ascii="Cambria Math" w:hAnsi="Cambria Math"/>
          </w:rPr>
        </m:r>
        <m:nary>
          <m:naryPr>
            <m:chr m:val="∑"/>
            <m:limLoc m:val="undOvr"/>
            <m:grow m:val="1"/>
            <m:subHide m:val="off"/>
            <m:supHide m:val="on"/>
          </m:naryPr>
          <m:sub>
            <m:r>
              <m:t>k≠2019</m:t>
              <w:rPr>
                <w:rFonts w:ascii="Cambria Math" w:hAnsi="Cambria Math"/>
              </w:rPr>
            </m:r>
          </m:sub>
          <m:sup/>
          <m:e>
            <m:sSub>
              <m:e>
                <m:r>
                  <m:t>β</m:t>
                  <w:rPr>
                    <w:rFonts w:ascii="Cambria Math" w:hAnsi="Cambria Math"/>
                  </w:rPr>
                </m:r>
              </m:e>
              <m:sub>
                <m:r>
                  <m:t>k</m:t>
                  <w:rPr>
                    <w:rFonts w:ascii="Cambria Math" w:hAnsi="Cambria Math"/>
                  </w:rPr>
                </m:r>
              </m:sub>
            </m:sSub>
          </m:e>
        </m:nary>
        <m:d>
          <m:dPr>
            <m:sepChr m:val=""/>
          </m:dPr>
          <m:e>
            <m:sSub>
              <m:e>
                <m:r>
                  <m:rPr>
                    <m:sty m:val="p"/>
                  </m:rPr>
                  <m:t>Sitting</m:t>
                  <w:rPr>
                    <w:rFonts w:ascii="Cambria Math" w:hAnsi="Cambria Math"/>
                  </w:rPr>
                </m:r>
              </m:e>
              <m:sub>
                <m:r>
                  <m:t>i</m:t>
                  <w:rPr>
                    <w:rFonts w:ascii="Cambria Math" w:hAnsi="Cambria Math"/>
                  </w:rPr>
                </m:r>
              </m:sub>
            </m:sSub>
            <m:r>
              <m:t>×</m:t>
              <w:rPr>
                <w:rFonts w:ascii="Cambria Math" w:hAnsi="Cambria Math"/>
              </w:rPr>
            </m:r>
            <m:r>
              <m:rPr>
                <m:scr m:val="double-struck"/>
                <m:sty m:val="p"/>
              </m:rPr>
              <m:t>1</m:t>
              <w:rPr>
                <w:rFonts w:ascii="Cambria Math" w:hAnsi="Cambria Math"/>
              </w:rPr>
            </m:r>
            <m:r>
              <m:t>[</m:t>
              <w:rPr>
                <w:rFonts w:ascii="Cambria Math" w:hAnsi="Cambria Math"/>
              </w:rPr>
            </m:r>
            <m:r>
              <m:t>t</m:t>
              <w:rPr>
                <w:rFonts w:ascii="Cambria Math" w:hAnsi="Cambria Math"/>
              </w:rPr>
            </m:r>
            <m:r>
              <m:t>=</m:t>
              <w:rPr>
                <w:rFonts w:ascii="Cambria Math" w:hAnsi="Cambria Math"/>
              </w:rPr>
            </m:r>
            <m:r>
              <m:t>k</m:t>
              <w:rPr>
                <w:rFonts w:ascii="Cambria Math" w:hAnsi="Cambria Math"/>
              </w:rPr>
            </m:r>
            <m:r>
              <m:t>]</m:t>
              <w:rPr>
                <w:rFonts w:ascii="Cambria Math" w:hAnsi="Cambria Math"/>
              </w:rPr>
            </m:r>
          </m:e>
        </m:d>
        <m:r>
          <m:t>+</m:t>
          <w:rPr>
            <w:rFonts w:ascii="Cambria Math" w:hAnsi="Cambria Math"/>
          </w:rPr>
        </m:r>
        <m:sSubSup>
          <m:e>
            <m:r>
              <m:t>X</m:t>
              <w:rPr>
                <w:rFonts w:ascii="Cambria Math" w:hAnsi="Cambria Math"/>
              </w:rPr>
            </m:r>
          </m:e>
          <m:sub>
            <m:r>
              <m:t>it</m:t>
              <w:rPr>
                <w:rFonts w:ascii="Cambria Math" w:hAnsi="Cambria Math"/>
              </w:rPr>
            </m:r>
          </m:sub>
          <m:sup>
            <m:r>
              <m:t>′</m:t>
              <w:rPr>
                <w:rFonts w:ascii="Cambria Math" w:hAnsi="Cambria Math"/>
              </w:rPr>
            </m:r>
          </m:sup>
        </m:sSubSup>
        <m:r>
          <m:t>γ+</m:t>
          <w:rPr>
            <w:rFonts w:ascii="Cambria Math" w:hAnsi="Cambria Math"/>
          </w:rPr>
        </m:r>
        <m:sSub>
          <m:e>
            <m:r>
              <m:t>μ</m:t>
              <w:rPr>
                <w:rFonts w:ascii="Cambria Math" w:hAnsi="Cambria Math"/>
              </w:rPr>
            </m:r>
          </m:e>
          <m:sub>
            <m:r>
              <m:t>rt</m:t>
              <w:rPr>
                <w:rFonts w:ascii="Cambria Math" w:hAnsi="Cambria Math"/>
              </w:rPr>
            </m:r>
          </m:sub>
        </m:sSub>
        <m:r>
          <m:t>+</m:t>
          <w:rPr>
            <w:rFonts w:ascii="Cambria Math" w:hAnsi="Cambria Math"/>
          </w:rPr>
        </m:r>
        <m:sSub>
          <m:e>
            <m:r>
              <m:t>ε</m:t>
              <w:rPr>
                <w:rFonts w:ascii="Cambria Math" w:hAnsi="Cambria Math"/>
              </w:rPr>
            </m:r>
          </m:e>
          <m:sub>
            <m:r>
              <m:t>irt</m:t>
              <w:rPr>
                <w:rFonts w:ascii="Cambria Math" w:hAnsi="Cambria Math"/>
              </w:rPr>
            </m:r>
          </m:sub>
        </m:sSub>
      </m:oMath>
      <w:r>
        <w:t xml:space="preserve">  (1)</w:t>
      </w:r>
    </w:p>
    <w:p>
      <w:pPr>
        <w:pStyle w:val="Newparagraph"/>
        <w:widowControl/>
      </w:pPr>
      <w:r>
        <w:t xml:space="preserve">Here, </w:t>
      </w:r>
      <m:oMath>
        <m:sSub>
          <m:e>
            <m:r>
              <m:t>Y</m:t>
              <w:rPr>
                <w:rFonts w:ascii="Cambria Math" w:hAnsi="Cambria Math"/>
              </w:rPr>
            </m:r>
          </m:e>
          <m:sub>
            <m:r>
              <m:t>irt</m:t>
              <w:rPr>
                <w:rFonts w:ascii="Cambria Math" w:hAnsi="Cambria Math"/>
              </w:rPr>
            </m:r>
          </m:sub>
        </m:sSub>
      </m:oMath>
      <w:r>
        <w:t xml:space="preserve"> is the outcome for household </w:t>
      </w:r>
      <m:oMath>
        <m:r>
          <m:t>i</m:t>
          <w:rPr>
            <w:rFonts w:ascii="Cambria Math" w:hAnsi="Cambria Math"/>
          </w:rPr>
        </m:r>
      </m:oMath>
      <w:r>
        <w:t xml:space="preserve"> observed in region </w:t>
      </w:r>
      <m:oMath>
        <m:r>
          <m:t>r</m:t>
          <w:rPr>
            <w:rFonts w:ascii="Cambria Math" w:hAnsi="Cambria Math"/>
          </w:rPr>
        </m:r>
      </m:oMath>
      <w:r>
        <w:t xml:space="preserve"> and year </w:t>
      </w:r>
      <m:oMath>
        <m:r>
          <m:t>t</m:t>
          <w:rPr>
            <w:rFonts w:ascii="Cambria Math" w:hAnsi="Cambria Math"/>
          </w:rPr>
        </m:r>
      </m:oMath>
      <w:r>
        <w:t xml:space="preserve">; </w:t>
      </w:r>
      <m:oMath>
        <m:sSub>
          <m:e>
            <m:r>
              <m:rPr>
                <m:sty m:val="p"/>
              </m:rPr>
              <m:t>Sitting</m:t>
              <w:rPr>
                <w:rFonts w:ascii="Cambria Math" w:hAnsi="Cambria Math"/>
              </w:rPr>
            </m:r>
          </m:e>
          <m:sub>
            <m:r>
              <m:t>i</m:t>
              <w:rPr>
                <w:rFonts w:ascii="Cambria Math" w:hAnsi="Cambria Math"/>
              </w:rPr>
            </m:r>
          </m:sub>
        </m:sSub>
      </m:oMath>
      <w:r>
        <w:t xml:space="preserve"> indicates sitting tenants; </w:t>
      </w:r>
      <m:oMath>
        <m:r>
          <m:rPr>
            <m:scr m:val="double-struck"/>
            <m:sty m:val="p"/>
          </m:rPr>
          <m:t>1</m:t>
          <w:rPr>
            <w:rFonts w:ascii="Cambria Math" w:hAnsi="Cambria Math"/>
          </w:rPr>
        </m:r>
        <m:r>
          <m:t>[t=k]</m:t>
          <w:rPr>
            <w:rFonts w:ascii="Cambria Math" w:hAnsi="Cambria Math"/>
          </w:rPr>
        </m:r>
      </m:oMath>
      <w:r>
        <w:t xml:space="preserve"> is a year indicator; </w:t>
      </w:r>
      <m:oMath>
        <m:sSub>
          <m:e>
            <m:r>
              <m:t>X</m:t>
              <w:rPr>
                <w:rFonts w:ascii="Cambria Math" w:hAnsi="Cambria Math"/>
              </w:rPr>
            </m:r>
          </m:e>
          <m:sub>
            <m:r>
              <m:t>it</m:t>
              <w:rPr>
                <w:rFonts w:ascii="Cambria Math" w:hAnsi="Cambria Math"/>
              </w:rPr>
            </m:r>
          </m:sub>
        </m:sSub>
      </m:oMath>
      <w:r>
        <w:t xml:space="preserve"> contains dwelling and household controls; </w:t>
      </w:r>
      <m:oMath>
        <m:sSub>
          <m:e>
            <m:r>
              <m:t>μ</m:t>
              <w:rPr>
                <w:rFonts w:ascii="Cambria Math" w:hAnsi="Cambria Math"/>
              </w:rPr>
            </m:r>
          </m:e>
          <m:sub>
            <m:r>
              <m:t>rt</m:t>
              <w:rPr>
                <w:rFonts w:ascii="Cambria Math" w:hAnsi="Cambria Math"/>
              </w:rPr>
            </m:r>
          </m:sub>
        </m:sSub>
      </m:oMath>
      <w:r>
        <w:t xml:space="preserve"> denotes interactions between the 26 NUTS-2 regions and years; and </w:t>
      </w:r>
      <m:oMath>
        <m:sSub>
          <m:e>
            <m:r>
              <m:t>ε</m:t>
              <w:rPr>
                <w:rFonts w:ascii="Cambria Math" w:hAnsi="Cambria Math"/>
              </w:rPr>
            </m:r>
          </m:e>
          <m:sub>
            <m:r>
              <m:t>irt</m:t>
              <w:rPr>
                <w:rFonts w:ascii="Cambria Math" w:hAnsi="Cambria Math"/>
              </w:rPr>
            </m:r>
          </m:sub>
        </m:sSub>
      </m:oMath>
      <w:r>
        <w:t xml:space="preserve"> is the error term. The intercept is </w:t>
      </w:r>
      <m:oMath>
        <m:r>
          <m:t>α</m:t>
          <w:rPr>
            <w:rFonts w:ascii="Cambria Math" w:hAnsi="Cambria Math"/>
          </w:rPr>
        </m:r>
      </m:oMath>
      <w:r>
        <w:t xml:space="preserve">, and </w:t>
      </w:r>
      <m:oMath>
        <m:r>
          <m:t>γ</m:t>
          <w:rPr>
            <w:rFonts w:ascii="Cambria Math" w:hAnsi="Cambria Math"/>
          </w:rPr>
        </m:r>
      </m:oMath>
      <w:r>
        <w:t xml:space="preserve"> contains control coefficients. The conditional group gap in the reference year, 2019, is </w:t>
      </w:r>
      <m:oMath>
        <m:r>
          <m:t>δ</m:t>
          <w:rPr>
            <w:rFonts w:ascii="Cambria Math" w:hAnsi="Cambria Math"/>
          </w:rPr>
        </m:r>
      </m:oMath>
      <w:r>
        <w:t xml:space="preserve">; </w:t>
      </w:r>
      <m:oMath>
        <m:sSub>
          <m:e>
            <m:r>
              <m:t>β</m:t>
              <w:rPr>
                <w:rFonts w:ascii="Cambria Math" w:hAnsi="Cambria Math"/>
              </w:rPr>
            </m:r>
          </m:e>
          <m:sub>
            <m:r>
              <m:t>k</m:t>
              <w:rPr>
                <w:rFonts w:ascii="Cambria Math" w:hAnsi="Cambria Math"/>
              </w:rPr>
            </m:r>
          </m:sub>
        </m:sSub>
      </m:oMath>
      <w:r>
        <w:t xml:space="preserve"> measures its change in year </w:t>
      </w:r>
      <m:oMath>
        <m:r>
          <m:t>k</m:t>
          <w:rPr>
            <w:rFonts w:ascii="Cambria Math" w:hAnsi="Cambria Math"/>
          </w:rPr>
        </m:r>
      </m:oMath>
      <w:r>
        <w:t>. Region × year effects absorb local shocks common to both groups. After observing widening in 2021, that year was treated separately. Sensitivity to this outcome-informed reference choice is assessed using an event study based on 2021 and a period model including 2021 in the reference period.</w:t>
      </w:r>
    </w:p>
    <w:p>
      <w:pPr>
        <w:pStyle w:val="Newparagraph"/>
        <w:widowControl/>
      </w:pPr>
      <w:r>
        <w:t xml:space="preserve">Coefficients are interpreted as conditional gap changes during high inflation and regulation. A causal policy interpretation requires the group gap to follow the same counterfactual trajectory absent regulation; group-specific price adjustment and compositional change make this assumption uncertain. A joint zero test of </w:t>
      </w:r>
      <m:oMath>
        <m:sSub>
          <m:e>
            <m:r>
              <m:t>β</m:t>
              <w:rPr>
                <w:rFonts w:ascii="Cambria Math" w:hAnsi="Cambria Math"/>
              </w:rPr>
            </m:r>
          </m:e>
          <m:sub>
            <m:r>
              <m:t>2016</m:t>
              <w:rPr>
                <w:rFonts w:ascii="Cambria Math" w:hAnsi="Cambria Math"/>
              </w:rPr>
            </m:r>
          </m:sub>
        </m:sSub>
      </m:oMath>
      <w:r>
        <w:t xml:space="preserve">, </w:t>
      </w:r>
      <m:oMath>
        <m:sSub>
          <m:e>
            <m:r>
              <m:t>β</m:t>
              <w:rPr>
                <w:rFonts w:ascii="Cambria Math" w:hAnsi="Cambria Math"/>
              </w:rPr>
            </m:r>
          </m:e>
          <m:sub>
            <m:r>
              <m:t>2017</m:t>
              <w:rPr>
                <w:rFonts w:ascii="Cambria Math" w:hAnsi="Cambria Math"/>
              </w:rPr>
            </m:r>
          </m:sub>
        </m:sSub>
      </m:oMath>
      <w:r>
        <w:t xml:space="preserve">, </w:t>
      </w:r>
      <m:oMath>
        <m:sSub>
          <m:e>
            <m:r>
              <m:t>β</m:t>
              <w:rPr>
                <w:rFonts w:ascii="Cambria Math" w:hAnsi="Cambria Math"/>
              </w:rPr>
            </m:r>
          </m:e>
          <m:sub>
            <m:r>
              <m:t>2018</m:t>
              <w:rPr>
                <w:rFonts w:ascii="Cambria Math" w:hAnsi="Cambria Math"/>
              </w:rPr>
            </m:r>
          </m:sub>
        </m:sSub>
      </m:oMath>
      <w:r>
        <w:t xml:space="preserve"> and </w:t>
      </w:r>
      <m:oMath>
        <m:sSub>
          <m:e>
            <m:r>
              <m:t>β</m:t>
              <w:rPr>
                <w:rFonts w:ascii="Cambria Math" w:hAnsi="Cambria Math"/>
              </w:rPr>
            </m:r>
          </m:e>
          <m:sub>
            <m:r>
              <m:t>2020</m:t>
              <w:rPr>
                <w:rFonts w:ascii="Cambria Math" w:hAnsi="Cambria Math"/>
              </w:rPr>
            </m:r>
          </m:sub>
        </m:sSub>
      </m:oMath>
      <w:r>
        <w:t xml:space="preserve"> assesses the selected reference interval. Failure to reject this pre-test does not exclude subsequent differential adjustment, and test-based selection can affect inference (Roth, 2022). The multi-period difference-in-differences literature’s cautions regarding comparisons and parallel trends also apply (Callaway &amp; Sant’Anna, 2021; Roth et al., 2023). This design compares tenant groups on a common timeline rather than staggered-adoption cohorts. A sitting-tenant-specific linear trend provides a sensitivity check; partial identification following Rambachan and Roth (2023) is not implemented. Period summaries use the following version of Equation (1):</w:t>
      </w:r>
    </w:p>
    <w:p>
      <w:pPr>
        <w:pStyle w:val="Displayedequation"/>
        <w:keepLines/>
        <w:widowControl/>
      </w:pPr>
      <m:oMath>
        <m:sSub>
          <m:e>
            <m:r>
              <m:t>Y</m:t>
              <w:rPr>
                <w:rFonts w:ascii="Cambria Math" w:hAnsi="Cambria Math"/>
              </w:rPr>
            </m:r>
          </m:e>
          <m:sub>
            <m:r>
              <m:t>irt</m:t>
              <w:rPr>
                <w:rFonts w:ascii="Cambria Math" w:hAnsi="Cambria Math"/>
              </w:rPr>
            </m:r>
          </m:sub>
        </m:sSub>
        <m:r>
          <m:t>=α+δ</m:t>
          <w:rPr>
            <w:rFonts w:ascii="Cambria Math" w:hAnsi="Cambria Math"/>
          </w:rPr>
        </m:r>
        <m:sSub>
          <m:e>
            <m:r>
              <m:rPr>
                <m:sty m:val="p"/>
              </m:rPr>
              <m:t>Sitting</m:t>
              <w:rPr>
                <w:rFonts w:ascii="Cambria Math" w:hAnsi="Cambria Math"/>
              </w:rPr>
            </m:r>
          </m:e>
          <m:sub>
            <m:r>
              <m:t>i</m:t>
              <w:rPr>
                <w:rFonts w:ascii="Cambria Math" w:hAnsi="Cambria Math"/>
              </w:rPr>
            </m:r>
          </m:sub>
        </m:sSub>
        <m:r>
          <m:t>+</m:t>
          <w:rPr>
            <w:rFonts w:ascii="Cambria Math" w:hAnsi="Cambria Math"/>
          </w:rPr>
        </m:r>
        <m:nary>
          <m:naryPr>
            <m:chr m:val="∑"/>
            <m:limLoc m:val="undOvr"/>
            <m:grow m:val="1"/>
            <m:subHide m:val="off"/>
            <m:supHide m:val="on"/>
          </m:naryPr>
          <m:sub>
            <m:r>
              <m:t>p</m:t>
              <w:rPr>
                <w:rFonts w:ascii="Cambria Math" w:hAnsi="Cambria Math"/>
              </w:rPr>
            </m:r>
          </m:sub>
          <m:sup/>
          <m:e>
            <m:sSub>
              <m:e>
                <m:r>
                  <m:t>θ</m:t>
                  <w:rPr>
                    <w:rFonts w:ascii="Cambria Math" w:hAnsi="Cambria Math"/>
                  </w:rPr>
                </m:r>
              </m:e>
              <m:sub>
                <m:r>
                  <m:t>p</m:t>
                  <w:rPr>
                    <w:rFonts w:ascii="Cambria Math" w:hAnsi="Cambria Math"/>
                  </w:rPr>
                </m:r>
              </m:sub>
            </m:sSub>
          </m:e>
        </m:nary>
        <m:d>
          <m:dPr>
            <m:sepChr m:val="×"/>
          </m:dPr>
          <m:e>
            <m:sSub>
              <m:e>
                <m:r>
                  <m:rPr>
                    <m:sty m:val="p"/>
                  </m:rPr>
                  <m:t>Sitting</m:t>
                  <w:rPr>
                    <w:rFonts w:ascii="Cambria Math" w:hAnsi="Cambria Math"/>
                  </w:rPr>
                </m:r>
              </m:e>
              <m:sub>
                <m:r>
                  <m:t>i</m:t>
                  <w:rPr>
                    <w:rFonts w:ascii="Cambria Math" w:hAnsi="Cambria Math"/>
                  </w:rPr>
                </m:r>
              </m:sub>
            </m:sSub>
          </m:e>
          <m:e>
            <m:sSub>
              <m:e>
                <m:r>
                  <m:t>D</m:t>
                  <w:rPr>
                    <w:rFonts w:ascii="Cambria Math" w:hAnsi="Cambria Math"/>
                  </w:rPr>
                </m:r>
              </m:e>
              <m:sub>
                <m:r>
                  <m:t>pt</m:t>
                  <w:rPr>
                    <w:rFonts w:ascii="Cambria Math" w:hAnsi="Cambria Math"/>
                  </w:rPr>
                </m:r>
              </m:sub>
            </m:sSub>
          </m:e>
        </m:d>
        <m:r>
          <m:t>+</m:t>
          <w:rPr>
            <w:rFonts w:ascii="Cambria Math" w:hAnsi="Cambria Math"/>
          </w:rPr>
        </m:r>
        <m:sSubSup>
          <m:e>
            <m:r>
              <m:t>X</m:t>
              <w:rPr>
                <w:rFonts w:ascii="Cambria Math" w:hAnsi="Cambria Math"/>
              </w:rPr>
            </m:r>
          </m:e>
          <m:sub>
            <m:r>
              <m:t>it</m:t>
              <w:rPr>
                <w:rFonts w:ascii="Cambria Math" w:hAnsi="Cambria Math"/>
              </w:rPr>
            </m:r>
          </m:sub>
          <m:sup>
            <m:r>
              <m:t>′</m:t>
              <w:rPr>
                <w:rFonts w:ascii="Cambria Math" w:hAnsi="Cambria Math"/>
              </w:rPr>
            </m:r>
          </m:sup>
        </m:sSubSup>
        <m:r>
          <m:t>γ+</m:t>
          <w:rPr>
            <w:rFonts w:ascii="Cambria Math" w:hAnsi="Cambria Math"/>
          </w:rPr>
        </m:r>
        <m:sSub>
          <m:e>
            <m:r>
              <m:t>μ</m:t>
              <w:rPr>
                <w:rFonts w:ascii="Cambria Math" w:hAnsi="Cambria Math"/>
              </w:rPr>
            </m:r>
          </m:e>
          <m:sub>
            <m:r>
              <m:t>rt</m:t>
              <w:rPr>
                <w:rFonts w:ascii="Cambria Math" w:hAnsi="Cambria Math"/>
              </w:rPr>
            </m:r>
          </m:sub>
        </m:sSub>
        <m:r>
          <m:t>+</m:t>
          <w:rPr>
            <w:rFonts w:ascii="Cambria Math" w:hAnsi="Cambria Math"/>
          </w:rPr>
        </m:r>
        <m:sSub>
          <m:e>
            <m:r>
              <m:t>ε</m:t>
              <w:rPr>
                <w:rFonts w:ascii="Cambria Math" w:hAnsi="Cambria Math"/>
              </w:rPr>
            </m:r>
          </m:e>
          <m:sub>
            <m:r>
              <m:t>irt</m:t>
              <w:rPr>
                <w:rFonts w:ascii="Cambria Math" w:hAnsi="Cambria Math"/>
              </w:rPr>
            </m:r>
          </m:sub>
        </m:sSub>
      </m:oMath>
      <w:r>
        <w:t xml:space="preserve">  (2)</w:t>
      </w:r>
    </w:p>
    <w:p>
      <w:pPr>
        <w:pStyle w:val="Newparagraph"/>
        <w:widowControl/>
      </w:pPr>
      <w:r>
        <w:t xml:space="preserve">Here, </w:t>
      </w:r>
      <m:oMath>
        <m:sSub>
          <m:e>
            <m:r>
              <m:t>D</m:t>
              <w:rPr>
                <w:rFonts w:ascii="Cambria Math" w:hAnsi="Cambria Math"/>
              </w:rPr>
            </m:r>
          </m:e>
          <m:sub>
            <m:r>
              <m:t>pt</m:t>
              <w:rPr>
                <w:rFonts w:ascii="Cambria Math" w:hAnsi="Cambria Math"/>
              </w:rPr>
            </m:r>
          </m:sub>
        </m:sSub>
      </m:oMath>
      <w:r>
        <w:t xml:space="preserve"> identifies the calendar periods 2021, 2022, 2023–2024 and 2025, with 2016–2020 as the reference. The coefficient </w:t>
      </w:r>
      <m:oMath>
        <m:sSub>
          <m:e>
            <m:r>
              <m:t>θ</m:t>
              <w:rPr>
                <w:rFonts w:ascii="Cambria Math" w:hAnsi="Cambria Math"/>
              </w:rPr>
            </m:r>
          </m:e>
          <m:sub>
            <m:r>
              <m:t>p</m:t>
              <w:rPr>
                <w:rFonts w:ascii="Cambria Math" w:hAnsi="Cambria Math"/>
              </w:rPr>
            </m:r>
          </m:sub>
        </m:sSub>
      </m:oMath>
      <w:r>
        <w:t xml:space="preserve"> measures the conditional sitting–new gap’s change relative to the reference period; </w:t>
      </w:r>
      <m:oMath>
        <m:r>
          <m:t>δ+</m:t>
          <w:rPr>
            <w:rFonts w:ascii="Cambria Math" w:hAnsi="Cambria Math"/>
          </w:rPr>
        </m:r>
        <m:sSub>
          <m:e>
            <m:r>
              <m:t>θ</m:t>
              <w:rPr>
                <w:rFonts w:ascii="Cambria Math" w:hAnsi="Cambria Math"/>
              </w:rPr>
            </m:r>
          </m:e>
          <m:sub>
            <m:r>
              <m:t>p</m:t>
              <w:rPr>
                <w:rFonts w:ascii="Cambria Math" w:hAnsi="Cambria Math"/>
              </w:rPr>
            </m:r>
          </m:sub>
        </m:sSub>
      </m:oMath>
      <w:r>
        <w:t xml:space="preserve"> gives the total within-period conditional gap. In the log-rent model, </w:t>
      </w:r>
      <m:oMath>
        <m:r>
          <m:t>100[</m:t>
          <w:rPr>
            <w:rFonts w:ascii="Cambria Math" w:hAnsi="Cambria Math"/>
          </w:rPr>
        </m:r>
        <m:r>
          <m:rPr>
            <m:sty m:val="p"/>
          </m:rPr>
          <m:t>exp</m:t>
          <w:rPr>
            <w:rFonts w:ascii="Cambria Math" w:hAnsi="Cambria Math"/>
          </w:rPr>
        </m:r>
        <m:r>
          <m:t>(</m:t>
          <w:rPr>
            <w:rFonts w:ascii="Cambria Math" w:hAnsi="Cambria Math"/>
          </w:rPr>
        </m:r>
        <m:sSub>
          <m:e>
            <m:r>
              <m:t>θ</m:t>
              <w:rPr>
                <w:rFonts w:ascii="Cambria Math" w:hAnsi="Cambria Math"/>
              </w:rPr>
            </m:r>
          </m:e>
          <m:sub>
            <m:r>
              <m:t>p</m:t>
              <w:rPr>
                <w:rFonts w:ascii="Cambria Math" w:hAnsi="Cambria Math"/>
              </w:rPr>
            </m:r>
          </m:sub>
        </m:sSub>
        <m:r>
          <m:t>)−1]</m:t>
          <w:rPr>
            <w:rFonts w:ascii="Cambria Math" w:hAnsi="Cambria Math"/>
          </w:rPr>
        </m:r>
      </m:oMath>
      <w:r>
        <w:t xml:space="preserve"> is the percentage change in the sitting-to-new conditional geometric rent ratio relative to the reference period, while </w:t>
      </w:r>
      <m:oMath>
        <m:r>
          <m:t>100[</m:t>
          <w:rPr>
            <w:rFonts w:ascii="Cambria Math" w:hAnsi="Cambria Math"/>
          </w:rPr>
        </m:r>
        <m:r>
          <m:rPr>
            <m:sty m:val="p"/>
          </m:rPr>
          <m:t>exp</m:t>
          <w:rPr>
            <w:rFonts w:ascii="Cambria Math" w:hAnsi="Cambria Math"/>
          </w:rPr>
        </m:r>
        <m:r>
          <m:t>(δ+</m:t>
          <w:rPr>
            <w:rFonts w:ascii="Cambria Math" w:hAnsi="Cambria Math"/>
          </w:rPr>
        </m:r>
        <m:sSub>
          <m:e>
            <m:r>
              <m:t>θ</m:t>
              <w:rPr>
                <w:rFonts w:ascii="Cambria Math" w:hAnsi="Cambria Math"/>
              </w:rPr>
            </m:r>
          </m:e>
          <m:sub>
            <m:r>
              <m:t>p</m:t>
              <w:rPr>
                <w:rFonts w:ascii="Cambria Math" w:hAnsi="Cambria Math"/>
              </w:rPr>
            </m:r>
          </m:sub>
        </m:sSub>
        <m:r>
          <m:t>)−1]</m:t>
          <w:rPr>
            <w:rFonts w:ascii="Cambria Math" w:hAnsi="Cambria Math"/>
          </w:rPr>
        </m:r>
      </m:oMath>
      <w:r>
        <w:t xml:space="preserve"> is sitting tenants’ within-period percentage difference from new tenants. Neither equals a difference in arithmetic mean rents. Binary-outcome coefficients are in probability units and are multiplied by 100 for percentage points. Period comparisons test the linear combinations </w:t>
      </w:r>
      <m:oMath>
        <m:sSub>
          <m:e>
            <m:r>
              <m:t>θ</m:t>
              <w:rPr>
                <w:rFonts w:ascii="Cambria Math" w:hAnsi="Cambria Math"/>
              </w:rPr>
            </m:r>
          </m:e>
          <m:sub>
            <m:r>
              <m:t>2023−24</m:t>
              <w:rPr>
                <w:rFonts w:ascii="Cambria Math" w:hAnsi="Cambria Math"/>
              </w:rPr>
            </m:r>
          </m:sub>
        </m:sSub>
        <m:r>
          <m:t>−</m:t>
          <w:rPr>
            <w:rFonts w:ascii="Cambria Math" w:hAnsi="Cambria Math"/>
          </w:rPr>
        </m:r>
        <m:sSub>
          <m:e>
            <m:r>
              <m:t>θ</m:t>
              <w:rPr>
                <w:rFonts w:ascii="Cambria Math" w:hAnsi="Cambria Math"/>
              </w:rPr>
            </m:r>
          </m:e>
          <m:sub>
            <m:r>
              <m:t>2022</m:t>
              <w:rPr>
                <w:rFonts w:ascii="Cambria Math" w:hAnsi="Cambria Math"/>
              </w:rPr>
            </m:r>
          </m:sub>
        </m:sSub>
      </m:oMath>
      <w:r>
        <w:t xml:space="preserve"> and </w:t>
      </w:r>
      <m:oMath>
        <m:sSub>
          <m:e>
            <m:r>
              <m:t>θ</m:t>
              <w:rPr>
                <w:rFonts w:ascii="Cambria Math" w:hAnsi="Cambria Math"/>
              </w:rPr>
            </m:r>
          </m:e>
          <m:sub>
            <m:r>
              <m:t>2025</m:t>
              <w:rPr>
                <w:rFonts w:ascii="Cambria Math" w:hAnsi="Cambria Math"/>
              </w:rPr>
            </m:r>
          </m:sub>
        </m:sSub>
        <m:r>
          <m:t>−</m:t>
          <w:rPr>
            <w:rFonts w:ascii="Cambria Math" w:hAnsi="Cambria Math"/>
          </w:rPr>
        </m:r>
        <m:sSub>
          <m:e>
            <m:r>
              <m:t>θ</m:t>
              <w:rPr>
                <w:rFonts w:ascii="Cambria Math" w:hAnsi="Cambria Math"/>
              </w:rPr>
            </m:r>
          </m:e>
          <m:sub>
            <m:r>
              <m:t>2023−24</m:t>
              <w:rPr>
                <w:rFonts w:ascii="Cambria Math" w:hAnsi="Cambria Math"/>
              </w:rPr>
            </m:r>
          </m:sub>
        </m:sSub>
      </m:oMath>
      <w:r>
        <w:t xml:space="preserve">; confidence intervals for total rent gaps incorporate covariance between </w:t>
      </w:r>
      <m:oMath>
        <m:r>
          <m:t>δ</m:t>
          <w:rPr>
            <w:rFonts w:ascii="Cambria Math" w:hAnsi="Cambria Math"/>
          </w:rPr>
        </m:r>
      </m:oMath>
      <w:r>
        <w:t xml:space="preserve"> and </w:t>
      </w:r>
      <m:oMath>
        <m:sSub>
          <m:e>
            <m:r>
              <m:t>θ</m:t>
              <w:rPr>
                <w:rFonts w:ascii="Cambria Math" w:hAnsi="Cambria Math"/>
              </w:rPr>
            </m:r>
          </m:e>
          <m:sub>
            <m:r>
              <m:t>p</m:t>
              <w:rPr>
                <w:rFonts w:ascii="Cambria Math" w:hAnsi="Cambria Math"/>
              </w:rPr>
            </m:r>
          </m:sub>
        </m:sSub>
      </m:oMath>
      <w:r>
        <w:t>.</w:t>
      </w:r>
    </w:p>
    <w:p>
      <w:pPr>
        <w:pStyle w:val="Newparagraph"/>
        <w:widowControl/>
      </w:pPr>
      <w:r>
        <w:t>Pooling 2023–2024 imposes a common coefficient in the period model rather than replacing annual estimates. Separate coefficients remain available in the event study. The transition year, 2022, is retained separately; 2025 is the cross-section following the 25% cap’s expiry. Since 2024 interviews span the expiry date, the pooled period does not imply identical legal exposure for every household. Table 1 follows the same period definitions.</w:t>
      </w:r>
    </w:p>
    <w:p>
      <w:pPr>
        <w:pStyle w:val="Newparagraph"/>
        <w:widowControl/>
      </w:pPr>
      <w:r>
        <w:t>Duration comparisons replace the sitting-tenant indicator in Equation (2) with indicators for 2–4, 5–9 and at least 10 years, interacted with periods. Article 344(3) of the Turkish Code of Obligations permits judicial rent determination taking comparable rents into account after five years; the temporary provisions introducing the 25% cap applied to decisions under paragraph 2 (Turkish Code of Obligations, 2011). Duration groups provide a comparison around this threshold; litigation and actual enforcement are unobserved. Income quintiles are estimated separately, while Q5–Q1 differences are tested in a joint model interacting all controls and region × year effects with quintiles. This preserves separate-quintile coefficients while accounting for within-region cross-quintile covariance. The difference test is exploratory and was added after inspecting the results. Period interactions are also expanded using a metropolitan indicator for Istanbul, Ankara and Izmir. Changes in the new-tenant share are assessed using Equation (3):</w:t>
      </w:r>
    </w:p>
    <w:p>
      <w:pPr>
        <w:pStyle w:val="Displayedequation"/>
        <w:keepLines/>
        <w:widowControl/>
      </w:pPr>
      <m:oMath>
        <m:sSub>
          <m:e>
            <m:r>
              <m:rPr>
                <m:sty m:val="p"/>
              </m:rPr>
              <m:t>New</m:t>
              <w:rPr>
                <w:rFonts w:ascii="Cambria Math" w:hAnsi="Cambria Math"/>
              </w:rPr>
            </m:r>
          </m:e>
          <m:sub>
            <m:r>
              <m:t>irt</m:t>
              <w:rPr>
                <w:rFonts w:ascii="Cambria Math" w:hAnsi="Cambria Math"/>
              </w:rPr>
            </m:r>
          </m:sub>
        </m:sSub>
        <m:r>
          <m:t>=</m:t>
          <w:rPr>
            <w:rFonts w:ascii="Cambria Math" w:hAnsi="Cambria Math"/>
          </w:rPr>
        </m:r>
        <m:sSub>
          <m:e>
            <m:r>
              <m:t>α</m:t>
              <w:rPr>
                <w:rFonts w:ascii="Cambria Math" w:hAnsi="Cambria Math"/>
              </w:rPr>
            </m:r>
          </m:e>
          <m:sub>
            <m:r>
              <m:t>r</m:t>
              <w:rPr>
                <w:rFonts w:ascii="Cambria Math" w:hAnsi="Cambria Math"/>
              </w:rPr>
            </m:r>
          </m:sub>
        </m:sSub>
        <m:r>
          <m:t>+g</m:t>
          <w:rPr>
            <w:rFonts w:ascii="Cambria Math" w:hAnsi="Cambria Math"/>
          </w:rPr>
        </m:r>
        <m:r>
          <m:t>(t−2019)+</m:t>
          <w:rPr>
            <w:rFonts w:ascii="Cambria Math" w:hAnsi="Cambria Math"/>
          </w:rPr>
        </m:r>
        <m:nary>
          <m:naryPr>
            <m:chr m:val="∑"/>
            <m:limLoc m:val="undOvr"/>
            <m:grow m:val="1"/>
            <m:subHide m:val="off"/>
            <m:supHide m:val="off"/>
          </m:naryPr>
          <m:sub>
            <m:r>
              <m:t>k=2021</m:t>
              <w:rPr>
                <w:rFonts w:ascii="Cambria Math" w:hAnsi="Cambria Math"/>
              </w:rPr>
            </m:r>
          </m:sub>
          <m:sup>
            <m:r>
              <m:t>2025</m:t>
              <w:rPr>
                <w:rFonts w:ascii="Cambria Math" w:hAnsi="Cambria Math"/>
              </w:rPr>
            </m:r>
          </m:sup>
          <m:e>
            <m:sSub>
              <m:e>
                <m:r>
                  <m:t>d</m:t>
                  <w:rPr>
                    <w:rFonts w:ascii="Cambria Math" w:hAnsi="Cambria Math"/>
                  </w:rPr>
                </m:r>
              </m:e>
              <m:sub>
                <m:r>
                  <m:t>k</m:t>
                  <w:rPr>
                    <w:rFonts w:ascii="Cambria Math" w:hAnsi="Cambria Math"/>
                  </w:rPr>
                </m:r>
              </m:sub>
            </m:sSub>
          </m:e>
        </m:nary>
        <m:r>
          <m:rPr>
            <m:scr m:val="double-struck"/>
            <m:sty m:val="p"/>
          </m:rPr>
          <m:t>1</m:t>
          <w:rPr>
            <w:rFonts w:ascii="Cambria Math" w:hAnsi="Cambria Math"/>
          </w:rPr>
        </m:r>
        <m:r>
          <m:t>[t=k]+</m:t>
          <w:rPr>
            <w:rFonts w:ascii="Cambria Math" w:hAnsi="Cambria Math"/>
          </w:rPr>
        </m:r>
        <m:sSubSup>
          <m:e>
            <m:r>
              <m:t>X</m:t>
              <w:rPr>
                <w:rFonts w:ascii="Cambria Math" w:hAnsi="Cambria Math"/>
              </w:rPr>
            </m:r>
          </m:e>
          <m:sub>
            <m:r>
              <m:t>it</m:t>
              <w:rPr>
                <w:rFonts w:ascii="Cambria Math" w:hAnsi="Cambria Math"/>
              </w:rPr>
            </m:r>
          </m:sub>
          <m:sup>
            <m:r>
              <m:t>′</m:t>
              <w:rPr>
                <w:rFonts w:ascii="Cambria Math" w:hAnsi="Cambria Math"/>
              </w:rPr>
            </m:r>
          </m:sup>
        </m:sSubSup>
        <m:r>
          <m:t>γ+</m:t>
          <w:rPr>
            <w:rFonts w:ascii="Cambria Math" w:hAnsi="Cambria Math"/>
          </w:rPr>
        </m:r>
        <m:sSub>
          <m:e>
            <m:r>
              <m:t>ε</m:t>
              <w:rPr>
                <w:rFonts w:ascii="Cambria Math" w:hAnsi="Cambria Math"/>
              </w:rPr>
            </m:r>
          </m:e>
          <m:sub>
            <m:r>
              <m:t>irt</m:t>
              <w:rPr>
                <w:rFonts w:ascii="Cambria Math" w:hAnsi="Cambria Math"/>
              </w:rPr>
            </m:r>
          </m:sub>
        </m:sSub>
      </m:oMath>
      <w:r>
        <w:t xml:space="preserve">  (3)</w:t>
      </w:r>
    </w:p>
    <w:p>
      <w:pPr>
        <w:pStyle w:val="Newparagraph"/>
        <w:widowControl/>
      </w:pPr>
      <w:r>
        <w:t xml:space="preserve">Here, </w:t>
      </w:r>
      <m:oMath>
        <m:sSub>
          <m:e>
            <m:r>
              <m:rPr>
                <m:sty m:val="p"/>
              </m:rPr>
              <m:t>New</m:t>
              <w:rPr>
                <w:rFonts w:ascii="Cambria Math" w:hAnsi="Cambria Math"/>
              </w:rPr>
            </m:r>
          </m:e>
          <m:sub>
            <m:r>
              <m:t>irt</m:t>
              <w:rPr>
                <w:rFonts w:ascii="Cambria Math" w:hAnsi="Cambria Math"/>
              </w:rPr>
            </m:r>
          </m:sub>
        </m:sSub>
      </m:oMath>
      <w:r>
        <w:t xml:space="preserve"> identifies tenants moving in during the survey year or preceding calendar year; </w:t>
      </w:r>
      <m:oMath>
        <m:sSub>
          <m:e>
            <m:r>
              <m:t>α</m:t>
              <w:rPr>
                <w:rFonts w:ascii="Cambria Math" w:hAnsi="Cambria Math"/>
              </w:rPr>
            </m:r>
          </m:e>
          <m:sub>
            <m:r>
              <m:t>r</m:t>
              <w:rPr>
                <w:rFonts w:ascii="Cambria Math" w:hAnsi="Cambria Math"/>
              </w:rPr>
            </m:r>
          </m:sub>
        </m:sSub>
      </m:oMath>
      <w:r>
        <w:t xml:space="preserve"> is a region fixed effect; </w:t>
      </w:r>
      <m:oMath>
        <m:r>
          <m:t>g</m:t>
          <w:rPr>
            <w:rFonts w:ascii="Cambria Math" w:hAnsi="Cambria Math"/>
          </w:rPr>
        </m:r>
      </m:oMath>
      <w:r>
        <w:t xml:space="preserve"> is the linear trend identified from 2014–2020; and </w:t>
      </w:r>
      <m:oMath>
        <m:sSub>
          <m:e>
            <m:r>
              <m:t>d</m:t>
              <w:rPr>
                <w:rFonts w:ascii="Cambria Math" w:hAnsi="Cambria Math"/>
              </w:rPr>
            </m:r>
          </m:e>
          <m:sub>
            <m:r>
              <m:t>k</m:t>
              <w:rPr>
                <w:rFonts w:ascii="Cambria Math" w:hAnsi="Cambria Math"/>
              </w:rPr>
            </m:r>
          </m:sub>
        </m:sSub>
      </m:oMath>
      <w:r>
        <w:t xml:space="preserve"> captures subsequent annual deviations. The model is estimated both without controls and with dwelling and household controls excluding heating system. The new-tenant share measures the tenant population’s entry and retention composition, rather than an individual household’s probability of moving.</w:t>
      </w:r>
    </w:p>
    <w:p>
      <w:pPr>
        <w:pStyle w:val="Newparagraph"/>
        <w:widowControl/>
      </w:pPr>
      <w:r>
        <w:t>For the HBS, Equations (1) and (2) use year effects instead of region × year effects. The event-study reference is 2019; the period model compares 2022 and 2024 with 2016–2019. Year-round interviews mean that 2022 includes observations before and after introduction, while 2024 includes observations before and after expiry. Controls comprise household size, children, rooms, log dwelling area, heating system and dwelling type. The pre-trend test assesses joint equality to zero of the 2016–2018 coefficients.</w:t>
      </w:r>
    </w:p>
    <w:p>
      <w:pPr>
        <w:pStyle w:val="Newparagraph"/>
        <w:widowControl/>
      </w:pPr>
      <w:r>
        <w:t>SILC models use household-weighted least squares, absorbing region × year effects through a weighted within transformation. Unweighted estimates assess the role of survey expansion weights (Solon et al., 2015). Allowing for regional and temporal dependence (Bertrand et al., 2004), CR1 standard errors are clustered in 26 regions, with a t(25) reference distribution. Fixed effects nested within clusters are not additionally counted in the CR1 degrees-of-freedom adjustment. Main period coefficients, period differences and Q5–Q1 contrasts use null-restricted wild cluster bootstrap-t inference (Cameron et al., 2008; MacKinnon &amp; Webb, 2017). There are 9,999 replications using Webb’s (2023) six-point weights. Two-sided p-values equal the number of bootstrap statistics at least as large in absolute value as the observed t-statistic, plus one, divided by 10,000. Table 2’s stars use bootstrap p-values; confidence intervals use the cluster-robust t approach. HBS estimates use HC1 standard errors because regional identifiers are unavailable. P-values are test-specific, without multiple-comparison adjustment. Both groups’ presence in every region does not remove the inferential importance of differences in cluster size and leverage. Conventional t and bootstrap results are therefore assessed together for the main comparisons, with significance claims limited to bootstrap support.</w:t>
      </w:r>
    </w:p>
    <w:p>
      <w:pPr>
        <w:pStyle w:val="Newparagraph"/>
        <w:widowControl/>
      </w:pPr>
      <w:r>
        <w:t xml:space="preserve">Robustness checks cover eleven alternatives for log rent, subjective housing burden and rent/debt arrears: separate region and year effects; removing controls; unweighted estimation; excluding 2020; excluding earthquake-affected regions TR62/TR63/TRB1/TRC1/TRC2; defining new tenants as duration 0 only; defining new tenants as 0–2 and sitting tenants as at least 3 years; inverse probability weighting; a sitting-tenant-specific linear trend; including 2021 in the reference period; and treating 2019–2020 as a placebo intervention within the 2016–2020 sample. Reweighting estimates annual sitting-tenant propensities by logistic regression using controls and region indicators, assigning new tenants weights </w:t>
      </w:r>
      <m:oMath>
        <m:acc>
          <m:accPr>
            <m:chr m:val="̂"/>
          </m:accPr>
          <m:e>
            <m:r>
              <m:t>p</m:t>
              <w:rPr>
                <w:rFonts w:ascii="Cambria Math" w:hAnsi="Cambria Math"/>
              </w:rPr>
            </m:r>
          </m:e>
        </m:acc>
        <m:r>
          <m:t>/(1−</m:t>
          <w:rPr>
            <w:rFonts w:ascii="Cambria Math" w:hAnsi="Cambria Math"/>
          </w:rPr>
        </m:r>
        <m:acc>
          <m:accPr>
            <m:chr m:val="̂"/>
          </m:accPr>
          <m:e>
            <m:r>
              <m:t>p</m:t>
              <w:rPr>
                <w:rFonts w:ascii="Cambria Math" w:hAnsi="Cambria Math"/>
              </w:rPr>
            </m:r>
          </m:e>
        </m:acc>
        <m:r>
          <m:t>)</m:t>
          <w:rPr>
            <w:rFonts w:ascii="Cambria Math" w:hAnsi="Cambria Math"/>
          </w:rPr>
        </m:r>
      </m:oMath>
      <w:r>
        <w:t xml:space="preserve"> (Abadie, 2005; Hirano et al., 2003; Imbens &amp; Wooldridge, 2009). Propensity scores are clipped to [0.02, 0.98], targeting sitting tenants’ distribution of observed characteristics. Analyses use Python 3.14.3, pandas 3.0.1, NumPy 2.4.3, statsmodels 0.14.6, scikit-learn 1.8.0 and matplotlib 3.10.8. The bootstrap and logistic-regression random seed is 20261010.</w:t>
      </w:r>
    </w:p>
    <w:p>
      <w:pPr>
        <w:pStyle w:val="Heading1"/>
        <w:widowControl/>
      </w:pPr>
      <w:r>
        <w:t>Results</w:t>
      </w:r>
    </w:p>
    <w:p>
      <w:pPr>
        <w:pStyle w:val="Paragraph"/>
        <w:widowControl/>
      </w:pPr>
      <w:r>
        <w:t>The results proceed from group characteristics to conditional rent gaps and affordability outcomes. Duration and income comparisons describe the distribution of divergence, while the new-tenant share captures mobility-related composition. The budget survey and alternative models assess the main pattern under different measurement and estimation choices.</w:t>
      </w:r>
    </w:p>
    <w:p>
      <w:pPr>
        <w:pStyle w:val="Heading2"/>
        <w:widowControl/>
      </w:pPr>
      <w:r>
        <w:t>Characteristics of tenant groups</w:t>
      </w:r>
    </w:p>
    <w:p>
      <w:pPr>
        <w:pStyle w:val="Paragraph"/>
        <w:widowControl/>
      </w:pPr>
      <w:r>
        <w:t>Comparability between tenant groups requires attention to household composition as well as dwelling characteristics. Period-specific descriptive indicators show which characteristics enter the conditional models. Table 1 presents new and sitting tenants in separate columns for each period. The 2016–2020 and 2023–2024 columns pool household observations across the relevant years; they neither track the same households nor assign different years to different tenant groups.</w:t>
      </w:r>
    </w:p>
    <w:p>
      <w:pPr>
        <w:pStyle w:val="Paragraph"/>
        <w:widowControl/>
        <w:spacing w:before="120" w:after="120" w:line="240" w:lineRule="auto"/>
        <w:jc w:val="center"/>
      </w:pPr>
      <w:r>
        <w:rPr>
          <w:sz w:val="22"/>
        </w:rPr>
        <w:t>[Table 1 near here.]</w:t>
      </w:r>
    </w:p>
    <w:p>
      <w:pPr>
        <w:pStyle w:val="Newparagraph"/>
        <w:widowControl/>
      </w:pPr>
      <w:r>
        <w:t>The groups occupy similar dwellings in terms of rooms and area but differ in household composition. Sitting tenants have larger households and heads approximately six years older; the estimates control for these characteristics. Median rent gaps are TRY 100 in 2016–2020, TRY 1,500 in 2023–2024 and TRY 3,000 in 2025. The share with rent-to-income ratios above 40% rises from 16.5% to 41.5% among new tenants and from 9.4% to 26.0% among sitting tenants. Payment arrears decline in both groups. These opposing trajectories demonstrate that rent burdens and realised payment difficulties capture different outcomes.</w:t>
      </w:r>
    </w:p>
    <w:p>
      <w:pPr>
        <w:pStyle w:val="Newparagraph"/>
        <w:widowControl/>
      </w:pPr>
      <w:r>
        <w:t>Annual rent medians clarify the timing behind the period columns. Between 2020 and 2025, new tenants’ median rent rises from TRY 800 to TRY 13,000, and sitting tenants’ from TRY 750 to TRY 10,000. Their respective 2024 medians of TRY 7,500 and TRY 5,000 imply a gap equivalent to 33.3% of new tenants’ rent, falling to 23.1% in 2025. Over the same interval, the nominal gap rises from TRY 2,500 to TRY 3,000. Proportional convergence therefore differs from a decline in rent paid or in the nominal gap.</w:t>
      </w:r>
    </w:p>
    <w:p>
      <w:pPr>
        <w:pStyle w:val="Heading2"/>
        <w:widowControl/>
      </w:pPr>
      <w:r>
        <w:t>Rent gaps and housing burdens</w:t>
      </w:r>
    </w:p>
    <w:p>
      <w:pPr>
        <w:pStyle w:val="Paragraph"/>
        <w:widowControl/>
      </w:pPr>
      <w:r>
        <w:t>The main comparison traces the rent gap after accounting for dwelling and household characteristics and local market conditions. The event study measures annual changes in the sitting–new gap relative to 2019. Figure 1 presents these coefficients and confidence intervals, revealing annual movements underlying the period averages.</w:t>
      </w:r>
    </w:p>
    <w:p>
      <w:pPr>
        <w:pStyle w:val="Paragraph"/>
        <w:widowControl/>
        <w:spacing w:before="120" w:after="120" w:line="240" w:lineRule="auto"/>
        <w:jc w:val="center"/>
      </w:pPr>
      <w:r>
        <w:rPr>
          <w:sz w:val="22"/>
        </w:rPr>
        <w:t>[Figure 1 near here.]</w:t>
      </w:r>
    </w:p>
    <w:p>
      <w:pPr>
        <w:pStyle w:val="Newparagraph"/>
        <w:widowControl/>
      </w:pPr>
      <w:r>
        <w:t>In Figure 1, the 2016–2020 coefficients range from 0.020 to −0.009, and joint equality to zero of the four pre-period coefficients is not rejected (F = 1.06; p = 0.395). Changes relative to the reference year are −0.053 log points in 2021, −0.109 in 2022, −0.232 in 2023 and −0.263 in 2024. The 2025 coefficient, −0.187, indicates partial narrowing. With 2021 as the reference, the 2016–2020 coefficients jointly differ from zero (F = 9.82; p &lt; 0.001), indicating that divergence began before the 25% cap. Choosing 2019 does not remove this early divergence; it measures changes against an earlier benchmark. Table 2 presents period estimates, direct period-difference tests and other housing burden indicators.</w:t>
      </w:r>
    </w:p>
    <w:p>
      <w:pPr>
        <w:pStyle w:val="Paragraph"/>
        <w:widowControl/>
        <w:spacing w:before="120" w:after="120" w:line="240" w:lineRule="auto"/>
        <w:jc w:val="center"/>
      </w:pPr>
      <w:r>
        <w:rPr>
          <w:sz w:val="22"/>
        </w:rPr>
        <w:t>[Table 2 near here.]</w:t>
      </w:r>
    </w:p>
    <w:p>
      <w:pPr>
        <w:pStyle w:val="Newparagraph"/>
        <w:widowControl/>
      </w:pPr>
      <w:r>
        <w:t xml:space="preserve">Period estimates imply changes in the conditional geometric rent ratio of −5.4% in 2021, −10.5% in 2022, −22.1% in 2023–2024 and −17.2% in 2025, relative to the reference period. The additional −0.139-log-point change between 2022 and 2023–2024 is significant under bootstrap inference (p = 0.0001). The +0.060-log-point narrowing in 2025 has a conventional t-test p-value of 0.0037 and a bootstrap p-value of 0.0148, retaining significance at 5%. Total within-period gaps add the reference coefficient, </w:t>
      </w:r>
      <m:oMath>
        <m:r>
          <m:t>δ=−0.083</m:t>
          <w:rPr>
            <w:rFonts w:ascii="Cambria Math" w:hAnsi="Cambria Math"/>
          </w:rPr>
        </m:r>
      </m:oMath>
      <w:r>
        <w:t>. Total conditional gaps are −8.0% in the reference period, −12.9% in 2021, −17.6% in 2022, −28.3% in 2023–2024 and −23.9% in 2025. The 95% confidence intervals are [−30.8, −25.8] for 2023–2024 and [−26.1, −21.6] for 2025. These are sitting tenants’ conditional geometric rent differences relative to new tenants, distinct from reference-period changes and raw median gaps.</w:t>
      </w:r>
    </w:p>
    <w:p>
      <w:pPr>
        <w:pStyle w:val="Newparagraph"/>
        <w:widowControl/>
      </w:pPr>
      <w:r>
        <w:t>The conditional group gap in rent overburden shifts down by 5.9 percentage points in 2022, 9.7 in 2023–2024 and 10.0 in 2025 relative to the reference period. Raw overburden nevertheless rises among sitting tenants from 9.4% to 21.9% in 2023–2024 and 26.0% in 2025; among new tenants, it rises from 16.5% to 37.5% and 41.5%. The relative advantage therefore reflects a smaller increase for sitting tenants. The −0.00233-probability-unit change between 2023–2024 and 2025 equals −0.23 percentage points (bootstrap p = 0.9207). Uncertainty in this last comparison prevents detection of a further change in the overburden gap.</w:t>
      </w:r>
    </w:p>
    <w:p>
      <w:pPr>
        <w:pStyle w:val="Newparagraph"/>
        <w:widowControl/>
      </w:pPr>
      <w:r>
        <w:t>The sitting–new gap in subjective housing burden rises by 2.2 percentage points in 2021 and 3.1 in 2022, then falls by 3.2 in 2023–2024, relative to the reference period. The latter coefficient is insignificant (bootstrap p = 0.2208), although the 6.3-percentage-point decline from 2022 to 2023–2024 is significant (p = 0.0075). For rent/debt arrears, the 2025 coefficient is −5.2 percentage points (p = 0.0134), whereas the 2023–2024 coefficient cannot be distinguished from zero. The 2023–2024 utility-arrears coefficient is 1.8 percentage points, to sitting tenants’ disadvantage (p = 0.0436). Difficulty-making-ends-meet coefficients are positive, but the pre-trend test rejects (p = 0.045). Pre-trend p-values for rent/debt and utility arrears are 0.099 and 0.067, respectively. These indicators exhibit weaker evidence and different temporal patterns than the rent gap.</w:t>
      </w:r>
    </w:p>
    <w:p>
      <w:pPr>
        <w:pStyle w:val="Heading2"/>
        <w:widowControl/>
      </w:pPr>
      <w:r>
        <w:t>Duration, income and regional heterogeneity</w:t>
      </w:r>
    </w:p>
    <w:p>
      <w:pPr>
        <w:pStyle w:val="Paragraph"/>
        <w:widowControl/>
      </w:pPr>
      <w:r>
        <w:t>Duration and income groups reveal how changes in rent gaps are distributed across households. Duration groups describe patterns around the five-year legal threshold; income groups locate divergence within the income distribution. Table 3 reports subgroup coefficients, direct difference tests and additional differences for the three metropolitan regions.</w:t>
      </w:r>
    </w:p>
    <w:p>
      <w:pPr>
        <w:pStyle w:val="Paragraph"/>
        <w:widowControl/>
        <w:spacing w:before="120" w:after="120" w:line="240" w:lineRule="auto"/>
        <w:jc w:val="center"/>
      </w:pPr>
      <w:r>
        <w:rPr>
          <w:sz w:val="22"/>
        </w:rPr>
        <w:t>[Table 3 near here.]</w:t>
      </w:r>
    </w:p>
    <w:p>
      <w:pPr>
        <w:pStyle w:val="Newparagraph"/>
        <w:widowControl/>
      </w:pPr>
      <w:r>
        <w:t>The 2023–2024 log-rent changes are −0.244 for 2–4 years, −0.235 for 5–9 years and −0.270 for at least 10 years. The difference between the first two groups is −0.010 (t-test p = 0.715), providing no clear evidence of divergence around the five-year threshold. In 2025, this difference is 0.042 log points (t-test p = 0.048). The rent-overburden change is more negative among tenants of 2–4 years, but its difference from the 5–9-year group is significant only at 10%. All duration groups’ negative log-rent coefficients increase in magnitude in 2023–2024 and move towards the reference level in 2025. These tests use conventional cluster-robust t inference.</w:t>
      </w:r>
    </w:p>
    <w:p>
      <w:pPr>
        <w:pStyle w:val="Newparagraph"/>
        <w:widowControl/>
      </w:pPr>
      <w:r>
        <w:t>In Panel B, the 2023–2024 log-rent coefficient is −0.230 in Q1, −0.171 in Q2 and −0.308 in Q5; changes are negative across all quintiles. Although Q5 has the most negative point estimate, the joint Q5–Q1 test yields t-test p = 0.0436 and bootstrap p = 0.0843 for a −0.0779-log-point difference. Bootstrap inference therefore provides limited support at 10%, without significance at 5%. In 2025, the Q5–Q1 difference is −0.0827 (t-test p = 0.1537; bootstrap p = 0.1686). Point estimates suggesting a greater relative change at the top of the income distribution thus do not establish a definitive income ranking. For subjective housing burden, Q1’s coefficient is −0.067, with substantial uncertainty in separate-quintile estimates. Panel C shows an additional −6.8-percentage-point subjective-burden difference for metropolitan regions in 2023–2024; this three-region comparison is descriptive.</w:t>
      </w:r>
    </w:p>
    <w:p>
      <w:pPr>
        <w:pStyle w:val="Heading2"/>
        <w:widowControl/>
      </w:pPr>
      <w:r>
        <w:t>The new-tenant share</w:t>
      </w:r>
    </w:p>
    <w:p>
      <w:pPr>
        <w:pStyle w:val="Paragraph"/>
        <w:widowControl/>
      </w:pPr>
      <w:r>
        <w:t>The new-tenant share measures recent entrants’ weight in the tenant population. Comparing the observed share with its historical linear trend indicates the compositional change accompanying rent-gap widening. Figure 2 plots the weighted share alongside the trend estimated from 2014–2020.</w:t>
      </w:r>
    </w:p>
    <w:p>
      <w:pPr>
        <w:pStyle w:val="Paragraph"/>
        <w:widowControl/>
        <w:spacing w:before="120" w:after="120" w:line="240" w:lineRule="auto"/>
        <w:jc w:val="center"/>
      </w:pPr>
      <w:r>
        <w:rPr>
          <w:sz w:val="22"/>
        </w:rPr>
        <w:t>[Figure 2 near here.]</w:t>
      </w:r>
    </w:p>
    <w:p>
      <w:pPr>
        <w:pStyle w:val="Newparagraph"/>
        <w:widowControl/>
      </w:pPr>
      <w:r>
        <w:t>In Equation (3), the historical trend in the new-tenant share is approximately −0.6 percentage points annually. Controlling for dwelling and household characteristics, deviations are −1.7 percentage points in 2021, −2.3 in 2022, −4.1 in 2023, −2.8 in 2024 and −4.1 in 2025. Region-clustered standard errors for 2023 and 2025 are 1.1 and 0.9 percentage points, respectively; both estimates are significant at 1% under conventional t tests. Without controls, these deviations are −4.2 and −4.4 percentage points. Persistence after adding controls indicates that observed household and dwelling composition does not fully explain the decline.</w:t>
      </w:r>
    </w:p>
    <w:p>
      <w:pPr>
        <w:pStyle w:val="Newparagraph"/>
        <w:widowControl/>
      </w:pPr>
      <w:r>
        <w:t>The observed new-tenant share falls from 30.8% in 2016 to 20.0% in 2025. Its first pronounced departure from trend coincides with COVID-19 in 2020, with larger deviations in 2023 and 2025. The share remains low in the year following the cap’s expiry, indicating a change extending beyond the regulatory timetable. This measure represents recent movers’ share of each annual tenant sample, rather than individual households’ moving rates.</w:t>
      </w:r>
    </w:p>
    <w:p>
      <w:pPr>
        <w:pStyle w:val="Heading2"/>
        <w:widowControl/>
      </w:pPr>
      <w:r>
        <w:t>Expenditure composition</w:t>
      </w:r>
    </w:p>
    <w:p>
      <w:pPr>
        <w:pStyle w:val="Paragraph"/>
        <w:widowControl/>
      </w:pPr>
      <w:r>
        <w:t>The HBS allows assessment of rent gaps in an independent sample and links them to expenditure composition. Missing region and interview-month identifiers require a coarser comparison, while detailed consumption records provide budget indicators unavailable in SILC. Table 4 reports period coefficients, pre-trend tests and reference means.</w:t>
      </w:r>
    </w:p>
    <w:p>
      <w:pPr>
        <w:pStyle w:val="Paragraph"/>
        <w:widowControl/>
        <w:spacing w:before="120" w:after="120" w:line="240" w:lineRule="auto"/>
        <w:jc w:val="center"/>
      </w:pPr>
      <w:r>
        <w:rPr>
          <w:sz w:val="22"/>
        </w:rPr>
        <w:t>[Table 4 near here.]</w:t>
      </w:r>
    </w:p>
    <w:p>
      <w:pPr>
        <w:pStyle w:val="Newparagraph"/>
        <w:widowControl/>
      </w:pPr>
      <w:r>
        <w:t>In the HBS, the log-rent gap changes by −0.096 log points in 2022 and −0.222 in 2024; the pre-trend test does not reject (p = 0.411). Sitting tenants’ rent share of total consumption increases 3.5 percentage points less in 2024; using cash purchases alone gives a −3.2-point difference. No significant relative changes are detected in log total consumption, non-rent consumption or food expenditure. The 1.3-point increase in food share in 2022 should be considered alongside its borderline pre-trend p-value of 0.092. The 2024 restaurant–hotel share increase presents a similar issue (pre-trend p = 0.073). The rent-share finding is therefore distinct from evidence of a general expansion in other expenditure.</w:t>
      </w:r>
    </w:p>
    <w:p>
      <w:pPr>
        <w:pStyle w:val="Newparagraph"/>
        <w:widowControl/>
      </w:pPr>
      <w:r>
        <w:t>Annual HBS estimates show coefficients near zero for rents and rent shares in 2016–2018, becoming markedly negative in 2024. For food share, pre-period coefficients relative to 2019 are negative; annual coefficients for 2022 and 2024 are 0.40 and −0.13 percentage points, respectively, and insignificant. The period-model food-share result is therefore sensitive to the reference choice. The budget survey’s more consistent finding is sitting tenants’ relative rent-share advantage; its translation into other consumption categories is less certain.</w:t>
      </w:r>
    </w:p>
    <w:p>
      <w:pPr>
        <w:pStyle w:val="Heading2"/>
        <w:widowControl/>
      </w:pPr>
      <w:r>
        <w:t>Robustness</w:t>
      </w:r>
    </w:p>
    <w:p>
      <w:pPr>
        <w:pStyle w:val="Paragraph"/>
        <w:widowControl/>
      </w:pPr>
      <w:r>
        <w:t>Alternative estimates distinguish sensitivity in the direction and magnitude of the rent gap. The 2023–2024 coefficient is −0.245 with separate region and year effects and −0.201 without controls. Under unweighted estimation, exclusion of 2020 or earthquake-affected regions, and inverse probability weighting, coefficients range from −0.239 to −0.252. These comparisons indicate that the main rent finding does not depend solely on survey weights or the selected regional shocks.</w:t>
      </w:r>
    </w:p>
    <w:p>
      <w:pPr>
        <w:pStyle w:val="Newparagraph"/>
        <w:widowControl/>
      </w:pPr>
      <w:r>
        <w:t>Restricting new tenants to those moving in during the survey year yields a 2023–2024 coefficient of −0.413; broadening the definition to 0–2 years yields −0.165. This sensitivity highlights the importance of the new group’s entry timing. Adding a sitting-tenant-specific linear trend gives −0.216 in 2023–2024 and −0.146 in 2025, both remaining significant under conventional t inference. Including 2021 in the reference period gives −0.240 and −0.180, respectively. The placebo 2019–2020 rent coefficient is −0.008 (standard error 0.007) and insignificant. Subjective housing burden coefficients remain negative across alternatives, but significance varies; the 2025 rent/debt-arrears finding disappears under the narrowest new-tenant definition and the linear-trend model. Robustness evidence is thus strongest for the direction of the rent gap and more limited for other outcomes.</w:t>
      </w:r>
    </w:p>
    <w:p>
      <w:pPr>
        <w:pStyle w:val="Heading1"/>
        <w:widowControl/>
      </w:pPr>
      <w:r>
        <w:t>Discussion and policy implications</w:t>
      </w:r>
    </w:p>
    <w:p>
      <w:pPr>
        <w:pStyle w:val="Paragraph"/>
        <w:widowControl/>
      </w:pPr>
      <w:r>
        <w:t>Türkiye’s experience demonstrates the relevance of within-tenancy pricing conditions for understanding the distribution of affordability under high inflation. Widening from 2021, further divergence in 2023–2024 and partial narrowing in 2025 reveal different price dynamics for continuing tenancies and new entrants. This pattern accords with Basu and Emerson’s (2000) and Arnott and Shevyakhova’s (2014) distinction between entering and continuing a tenancy, and Nagy’s (1997) finding of accumulating advantages over time. The study jointly assesses observable implications—rent gaps, duration groups and entry composition—rather than testing these theories in full. Evidence from a national policy setting adds a household-level distributional perspective under high inflation to studies exploiting local differences in coverage.</w:t>
      </w:r>
    </w:p>
    <w:p>
      <w:pPr>
        <w:pStyle w:val="Newparagraph"/>
        <w:widowControl/>
      </w:pPr>
      <w:r>
        <w:t>The mobility finding is consistent with a relationship between rent advantages and remaining in a dwelling. Below-trend new-tenant shares align with Munch and Svarer (2002), Diamond et al. (2019) and Mense et al. (2023). However, the divergence begins before the 25% cap and continues after its expiry. Assessing relocation therefore requires considering both the cost of relinquishing an existing tenancy and the rent on a new contract. Comparisons with Breidenbach et al.’s (2022) short-lived advertised-price changes must also distinguish advertised rents, rents actually paid and new-tenant shares. Repeated-cross-section shares complement mobility measures tracking the same households’ behaviour.</w:t>
      </w:r>
    </w:p>
    <w:p>
      <w:pPr>
        <w:pStyle w:val="Newparagraph"/>
        <w:widowControl/>
      </w:pPr>
      <w:r>
        <w:t>The distributional findings suggest that rent caps cannot be equated with income targeting. Groups around the five-year threshold do not display clear differences in their 2023–2024 coefficients, while the top quintile’s more negative rent coefficient receives support only at 10% in the Q5–Q1 bootstrap test. Gyourko and Linneman’s (1989) distinction between efficiency and distribution is relevant: a larger rent gap alone does not show greater protection for those most in need. Breidenbach et al.’s (2022) findings for high-income areas are also not directly equivalent to household-income quintile comparisons. The Turkish findings demonstrate that duration-based protection and payment capacity are different criteria, rather than establishing a definitive ranking of benefits across incomes.</w:t>
      </w:r>
    </w:p>
    <w:p>
      <w:pPr>
        <w:pStyle w:val="Newparagraph"/>
        <w:widowControl/>
      </w:pPr>
      <w:r>
        <w:t>The central affordability finding is that relative rent advantage is not synonymous with absolute budget relief. Sitting tenants’ rent burdens rise, but new tenants’ burdens rise faster; the relative trajectory of HBS rent shares supports this divergence. Subjective burdens and arrears yield more variable results, while evidence on total consumption and food expenditure is less conclusive. Stone (2006), Kutty (2005) and Haffner and Heylen (2011) explain why distinctions between affordability measures matter for policy. Burdens defined by a fixed ratio threshold differ from resources remaining after basic needs or actual consumption capacity. Previous-year income also affects ratio levels under high inflation, reinforcing the case for assessing indicators jointly rather than relying on one measure.</w:t>
      </w:r>
    </w:p>
    <w:p>
      <w:pPr>
        <w:pStyle w:val="Newparagraph"/>
        <w:widowControl/>
      </w:pPr>
      <w:r>
        <w:t>Policy monitoring should jointly assess new and sitting tenants’ burdens across income groups and locations. Monitoring only average rent growth or continuing-tenancy payments cannot reveal both entry costs and sitting tenants’ growing budget pressures. Evaluations of low-income support should consider need independently of tenancy duration and examine new tenants’ access. This implication follows from rising burdens in both groups, rather than evidence that one assistance instrument outperforms others. Choosing between income-related assistance, rent restrictions and supply policies requires separate assessment of costs, coverage and market responses. Favilukis et al.’s (2023) general-equilibrium approach illustrates the need to assess insurance value alongside supply and allocation effects. The household indicators examined here clarify which groups and outcomes such evaluations should monitor.</w:t>
      </w:r>
    </w:p>
    <w:p>
      <w:pPr>
        <w:pStyle w:val="Newparagraph"/>
        <w:widowControl/>
      </w:pPr>
      <w:r>
        <w:t>The principal limitation is the inability to identify national rent regulation’s effect separately from inflation dynamics and price rigidity in continuing tenancies. Region × year fixed effects absorb common shocks but not their differential pass-through to the two groups. When market rent growth slows, delayed adjustment in older contracts can also narrow the gap. Atılgan Ayanoğlu et al. (2026) show that growth in the Central Bank of the Republic of Türkiye’s appraisal-based New Tenant Rent Index slowed from late 2023, with a delayed transmission to TurkStat’s paid-rent index. Appraisal-based indices and households’ actual rents measure different quantities; this evidence nevertheless supports the relevance of the alternative mechanism. Limited observation of interview and renewal dates, tenant-group selection and possible market spillovers to new contracts further restrict interpretation to conditional gap changes. Reweighting observed characteristics does not resolve unobserved selection. Future research could strengthen identification by linking exact interview, contract-start and renewal dates to household panels; comparing contracts with different legal coverage under similar market conditions; and modelling delayed adjustment using market-rent indicators. More detailed examination of HBS housing and expenditure harmonisation and the SILC total-cost discontinuity using producer documentation would also improve affordability comparisons.</w:t>
      </w:r>
    </w:p>
    <w:p>
      <w:pPr>
        <w:pStyle w:val="Heading1"/>
        <w:widowControl/>
      </w:pPr>
      <w:r>
        <w:t>Conclusion</w:t>
      </w:r>
    </w:p>
    <w:p>
      <w:pPr>
        <w:pStyle w:val="Paragraph"/>
        <w:widowControl/>
      </w:pPr>
      <w:r>
        <w:t>This study examines divergence in rents, housing burdens and expenditure between sitting and new tenants around high inflation and rent increase regulation in Türkiye. Region × year fixed-effect models assess the 2016–2025 SILC cross-sections, a longer SILC window addresses mobility, and the HBS provides budget comparisons. Observable implications of within-tenancy pricing are thereby traced beyond rent payments to household-level outcomes.</w:t>
      </w:r>
    </w:p>
    <w:p>
      <w:pPr>
        <w:pStyle w:val="Newparagraph"/>
        <w:widowControl/>
      </w:pPr>
      <w:r>
        <w:t>The conditional rent gap changes by −0.250 log points in 2023–2024 relative to the reference period, corresponding to a 22.1% decline in the rent ratio; the total conditional gap implies 28.3% lower rents for sitting tenants. Partial narrowing in 2025 is supported at 5% under bootstrap inference. Sitting tenants’ absolute rent burdens increase, but less than new tenants’ burdens. HBS rent shares support this relative difference, without clear relative changes in total consumption or food expenditure. Duration and income comparisons do not establish a definitive ranking of beneficiaries; the new-tenant share remains below its historical trend.</w:t>
      </w:r>
    </w:p>
    <w:p>
      <w:pPr>
        <w:pStyle w:val="Newparagraph"/>
        <w:widowControl/>
      </w:pPr>
      <w:r>
        <w:t>The contribution is to distinguish tenancy-related rent gaps’ levels and changes from affordability outcomes within a common framework. The findings support monitoring new and sitting tenants together and assessing need beyond tenancy duration. Observed divergence belongs to the joint setting of high inflation and national regulation. Research combining exact contract dates with longitudinal household observations could distinguish the contributions of policy and delayed price adjustment more clearly.</w:t>
      </w:r>
    </w:p>
    <w:p>
      <w:pPr>
        <w:pStyle w:val="Heading1"/>
        <w:widowControl/>
      </w:pPr>
      <w:r>
        <w:t>Funding</w:t>
      </w:r>
    </w:p>
    <w:p>
      <w:pPr>
        <w:pStyle w:val="Paragraph"/>
        <w:widowControl/>
      </w:pPr>
      <w:r>
        <w:t>The author received no financial support for this research.</w:t>
      </w:r>
    </w:p>
    <w:p>
      <w:pPr>
        <w:pStyle w:val="Heading1"/>
        <w:widowControl/>
      </w:pPr>
      <w:r>
        <w:t>Disclosure statement</w:t>
      </w:r>
    </w:p>
    <w:p>
      <w:pPr>
        <w:pStyle w:val="Paragraph"/>
        <w:widowControl/>
      </w:pPr>
      <w:r>
        <w:t>The author reports no competing interests.</w:t>
      </w:r>
    </w:p>
    <w:p>
      <w:pPr>
        <w:pStyle w:val="Heading1"/>
        <w:widowControl/>
      </w:pPr>
      <w:r>
        <w:t>Declaration of generative AI use</w:t>
      </w:r>
    </w:p>
    <w:p>
      <w:pPr>
        <w:pStyle w:val="Paragraph"/>
        <w:widowControl/>
      </w:pPr>
      <w:r>
        <w:t>Generative AI was used to assist with translation, manuscript editing and testing of the analysis code.</w:t>
      </w:r>
    </w:p>
    <w:p>
      <w:pPr>
        <w:pStyle w:val="Heading1"/>
        <w:widowControl/>
      </w:pPr>
      <w:r>
        <w:t>Data availability statement</w:t>
      </w:r>
    </w:p>
    <w:p>
      <w:pPr>
        <w:pStyle w:val="Paragraph"/>
        <w:widowControl/>
      </w:pPr>
      <w:r>
        <w:t>The analyses use TurkStat’s Survey of Income and Living Conditions microdata for 2014–2025 and Household Budget Survey microdata for 2016–2019, 2022 and 2024. Access is subject to TurkStat’s application and microdata-use procedures (https://www.tuik.gov.tr/Kurumsal/Mikro_Veri). Applications can be submitted through https://ty.tuik.gov.tr.</w:t>
      </w:r>
    </w:p>
    <w:p>
      <w:pPr>
        <w:pStyle w:val="Heading1"/>
        <w:widowControl/>
      </w:pPr>
      <w:r>
        <w:t>References</w:t>
      </w:r>
    </w:p>
    <w:p>
      <w:pPr>
        <w:pStyle w:val="References"/>
        <w:widowControl/>
      </w:pPr>
      <w:r>
        <w:t xml:space="preserve">Abadie, A. (2005). Semiparametric difference-in-differences estimators. </w:t>
      </w:r>
      <w:r>
        <w:rPr>
          <w:i/>
        </w:rPr>
        <w:t>The Review of Economic Studies, 72</w:t>
      </w:r>
      <w:r>
        <w:t>(1), 1–19. https://doi.org/10.1111/0034-6527.00321</w:t>
      </w:r>
    </w:p>
    <w:p>
      <w:pPr>
        <w:pStyle w:val="References"/>
        <w:widowControl/>
      </w:pPr>
      <w:r>
        <w:t xml:space="preserve">Arnott, R. (1995). Time for revisionism on rent control? </w:t>
      </w:r>
      <w:r>
        <w:rPr>
          <w:i/>
        </w:rPr>
        <w:t>Journal of Economic Perspectives, 9</w:t>
      </w:r>
      <w:r>
        <w:t>(1), 99–120. https://doi.org/10.1257/jep.9.1.99</w:t>
      </w:r>
    </w:p>
    <w:p>
      <w:pPr>
        <w:pStyle w:val="References"/>
        <w:widowControl/>
      </w:pPr>
      <w:r>
        <w:t xml:space="preserve">Arnott, R., &amp; Shevyakhova, E. (2014). Tenancy rent control and credible commitment in maintenance. </w:t>
      </w:r>
      <w:r>
        <w:rPr>
          <w:i/>
        </w:rPr>
        <w:t>Regional Science and Urban Economics, 47</w:t>
      </w:r>
      <w:r>
        <w:t>, 72–85. https://doi.org/10.1016/j.regsciurbeco.2013.08.003</w:t>
      </w:r>
    </w:p>
    <w:p>
      <w:pPr>
        <w:pStyle w:val="References"/>
        <w:widowControl/>
      </w:pPr>
      <w:r>
        <w:t xml:space="preserve">Asquith, B. J. (2019). Housing supply dynamics under rent control: What can evictions tell us? </w:t>
      </w:r>
      <w:r>
        <w:rPr>
          <w:i/>
        </w:rPr>
        <w:t>AEA Papers and Proceedings, 109</w:t>
      </w:r>
      <w:r>
        <w:t>, 393–396. https://doi.org/10.1257/pandp.20191025</w:t>
      </w:r>
    </w:p>
    <w:p>
      <w:pPr>
        <w:pStyle w:val="References"/>
        <w:widowControl/>
      </w:pPr>
      <w:r>
        <w:t xml:space="preserve">Atılgan Ayanoğlu, Ö., Deryol, E., Kızılkaya, E., &amp; Konukçu Çelik, D. (2026, February 17). </w:t>
      </w:r>
      <w:r>
        <w:rPr>
          <w:i/>
        </w:rPr>
        <w:t>Kiralar için yeni bir gösterge: Yeni Kiracı Kira Endeksi</w:t>
      </w:r>
      <w:r>
        <w:t xml:space="preserve"> [A new indicator for rents: The New Tenant Rent Index]. Merkezin Güncesi [CBRT Blog], Central Bank of the Republic of Türkiye. https://www.tcmb.gov.tr/wps/wcm/connect/blog/tr/main%20menu/analizler/kiralar%20icin%20yeni%20bir%20gosterge%20yeni%20kiraci%20kira%20endeksi</w:t>
      </w:r>
    </w:p>
    <w:p>
      <w:pPr>
        <w:pStyle w:val="References"/>
        <w:widowControl/>
      </w:pPr>
      <w:r>
        <w:t xml:space="preserve">Autor, D. H., Palmer, C. J., &amp; Pathak, P. A. (2014). Housing market spillovers: Evidence from the end of rent control in Cambridge, Massachusetts. </w:t>
      </w:r>
      <w:r>
        <w:rPr>
          <w:i/>
        </w:rPr>
        <w:t>Journal of Political Economy, 122</w:t>
      </w:r>
      <w:r>
        <w:t>(3), 661–717. https://doi.org/10.1086/675536</w:t>
      </w:r>
    </w:p>
    <w:p>
      <w:pPr>
        <w:pStyle w:val="References"/>
        <w:widowControl/>
      </w:pPr>
      <w:r>
        <w:t xml:space="preserve">Basu, K., &amp; Emerson, P. M. (2000). The economics of tenancy rent control. </w:t>
      </w:r>
      <w:r>
        <w:rPr>
          <w:i/>
        </w:rPr>
        <w:t>The Economic Journal, 110</w:t>
      </w:r>
      <w:r>
        <w:t>(466), 939–962. https://doi.org/10.1111/1468-0297.00571</w:t>
      </w:r>
    </w:p>
    <w:p>
      <w:pPr>
        <w:pStyle w:val="References"/>
        <w:widowControl/>
      </w:pPr>
      <w:r>
        <w:t xml:space="preserve">Bertrand, M., Duflo, E., &amp; Mullainathan, S. (2004). How much should we trust differences-in-differences estimates? </w:t>
      </w:r>
      <w:r>
        <w:rPr>
          <w:i/>
        </w:rPr>
        <w:t>The Quarterly Journal of Economics, 119</w:t>
      </w:r>
      <w:r>
        <w:t>(1), 249–275. https://doi.org/10.1162/003355304772839588</w:t>
      </w:r>
    </w:p>
    <w:p>
      <w:pPr>
        <w:pStyle w:val="References"/>
        <w:widowControl/>
      </w:pPr>
      <w:r>
        <w:t xml:space="preserve">Breidenbach, P., Eilers, L., &amp; Fries, J. (2022). Temporal dynamics of rent regulations – The case of the German rent control. </w:t>
      </w:r>
      <w:r>
        <w:rPr>
          <w:i/>
        </w:rPr>
        <w:t>Regional Science and Urban Economics, 92</w:t>
      </w:r>
      <w:r>
        <w:t>, Article 103737. https://doi.org/10.1016/j.regsciurbeco.2021.103737</w:t>
      </w:r>
    </w:p>
    <w:p>
      <w:pPr>
        <w:pStyle w:val="References"/>
        <w:widowControl/>
      </w:pPr>
      <w:r>
        <w:t xml:space="preserve">Callaway, B., &amp; Sant'Anna, P. H. C. (2021). Difference-in-differences with multiple time periods. </w:t>
      </w:r>
      <w:r>
        <w:rPr>
          <w:i/>
        </w:rPr>
        <w:t>Journal of Econometrics, 225</w:t>
      </w:r>
      <w:r>
        <w:t>(2), 200–230. https://doi.org/10.1016/j.jeconom.2020.12.001</w:t>
      </w:r>
    </w:p>
    <w:p>
      <w:pPr>
        <w:pStyle w:val="References"/>
        <w:widowControl/>
      </w:pPr>
      <w:r>
        <w:t xml:space="preserve">Cameron, A. C., Gelbach, J. B., &amp; Miller, D. L. (2008). Bootstrap-based improvements for inference with clustered errors. </w:t>
      </w:r>
      <w:r>
        <w:rPr>
          <w:i/>
        </w:rPr>
        <w:t>The Review of Economics and Statistics, 90</w:t>
      </w:r>
      <w:r>
        <w:t>(3), 414–427. https://doi.org/10.1162/rest.90.3.414</w:t>
      </w:r>
    </w:p>
    <w:p>
      <w:pPr>
        <w:pStyle w:val="References"/>
        <w:widowControl/>
      </w:pPr>
      <w:r>
        <w:t xml:space="preserve">Coşkun, Y., Seven, Ü., Ertuğrul, H. M., &amp; Alp, A. (2020). Housing price dynamics and bubble risk: The case of Turkey. </w:t>
      </w:r>
      <w:r>
        <w:rPr>
          <w:i/>
        </w:rPr>
        <w:t>Housing Studies, 35</w:t>
      </w:r>
      <w:r>
        <w:t>(1), 50–86. https://doi.org/10.1080/02673037.2017.1363378</w:t>
      </w:r>
    </w:p>
    <w:p>
      <w:pPr>
        <w:pStyle w:val="References"/>
        <w:widowControl/>
      </w:pPr>
      <w:r>
        <w:t xml:space="preserve">Dewilde, C., &amp; Lancee, B. (2013). Income inequality and access to housing in Europe. </w:t>
      </w:r>
      <w:r>
        <w:rPr>
          <w:i/>
        </w:rPr>
        <w:t>European Sociological Review, 29</w:t>
      </w:r>
      <w:r>
        <w:t>(6), 1189–1200. https://doi.org/10.1093/esr/jct009</w:t>
      </w:r>
    </w:p>
    <w:p>
      <w:pPr>
        <w:pStyle w:val="References"/>
        <w:widowControl/>
      </w:pPr>
      <w:r>
        <w:t xml:space="preserve">Diamond, R., McQuade, T., &amp; Qian, F. (2019). The effects of rent control expansion on tenants, landlords, and inequality: Evidence from San Francisco. </w:t>
      </w:r>
      <w:r>
        <w:rPr>
          <w:i/>
        </w:rPr>
        <w:t>American Economic Review, 109</w:t>
      </w:r>
      <w:r>
        <w:t>(9), 3365–3394. https://doi.org/10.1257/aer.20181289</w:t>
      </w:r>
    </w:p>
    <w:p>
      <w:pPr>
        <w:pStyle w:val="References"/>
        <w:widowControl/>
      </w:pPr>
      <w:r>
        <w:t xml:space="preserve">Favilukis, J., Mabille, P., &amp; Van Nieuwerburgh, S. (2023). Affordable housing and city welfare. </w:t>
      </w:r>
      <w:r>
        <w:rPr>
          <w:i/>
        </w:rPr>
        <w:t>The Review of Economic Studies, 90</w:t>
      </w:r>
      <w:r>
        <w:t>(1), 293–330. https://doi.org/10.1093/restud/rdac024</w:t>
      </w:r>
    </w:p>
    <w:p>
      <w:pPr>
        <w:pStyle w:val="References"/>
        <w:widowControl/>
      </w:pPr>
      <w:r>
        <w:t xml:space="preserve">Gallin, J., &amp; Verbrugge, R. J. (2019). A theory of sticky rents: Search and bargaining with incomplete information. </w:t>
      </w:r>
      <w:r>
        <w:rPr>
          <w:i/>
        </w:rPr>
        <w:t>Journal of Economic Theory, 183</w:t>
      </w:r>
      <w:r>
        <w:t>, 478–519. https://doi.org/10.1016/j.jet.2019.06.003</w:t>
      </w:r>
    </w:p>
    <w:p>
      <w:pPr>
        <w:pStyle w:val="References"/>
        <w:widowControl/>
      </w:pPr>
      <w:r>
        <w:t xml:space="preserve">Genesove, D. (2003). The nominal rigidity of apartment rents. </w:t>
      </w:r>
      <w:r>
        <w:rPr>
          <w:i/>
        </w:rPr>
        <w:t>The Review of Economics and Statistics, 85</w:t>
      </w:r>
      <w:r>
        <w:t>(4), 844–853. https://doi.org/10.1162/003465303772815763</w:t>
      </w:r>
    </w:p>
    <w:p>
      <w:pPr>
        <w:pStyle w:val="References"/>
        <w:widowControl/>
      </w:pPr>
      <w:r>
        <w:t xml:space="preserve">Glaeser, E. L., &amp; Luttmer, E. F. P. (2003). The misallocation of housing under rent control. </w:t>
      </w:r>
      <w:r>
        <w:rPr>
          <w:i/>
        </w:rPr>
        <w:t>American Economic Review, 93</w:t>
      </w:r>
      <w:r>
        <w:t>(4), 1027–1046. https://doi.org/10.1257/000282803769206188</w:t>
      </w:r>
    </w:p>
    <w:p>
      <w:pPr>
        <w:pStyle w:val="References"/>
        <w:widowControl/>
      </w:pPr>
      <w:r>
        <w:t xml:space="preserve">Gyourko, J., &amp; Linneman, P. (1989). Equity and efficiency aspects of rent control: An empirical study of New York City. </w:t>
      </w:r>
      <w:r>
        <w:rPr>
          <w:i/>
        </w:rPr>
        <w:t>Journal of Urban Economics, 26</w:t>
      </w:r>
      <w:r>
        <w:t>(1), 54–74. https://doi.org/10.1016/0094-1190(89)90027-2</w:t>
      </w:r>
    </w:p>
    <w:p>
      <w:pPr>
        <w:pStyle w:val="References"/>
        <w:widowControl/>
      </w:pPr>
      <w:r>
        <w:t xml:space="preserve">Haffner, M., &amp; Heylen, K. (2011). User costs and housing expenses. Towards a more comprehensive approach to affordability. </w:t>
      </w:r>
      <w:r>
        <w:rPr>
          <w:i/>
        </w:rPr>
        <w:t>Housing Studies, 26</w:t>
      </w:r>
      <w:r>
        <w:t>(4), 593–614. https://doi.org/10.1080/02673037.2011.559754</w:t>
      </w:r>
    </w:p>
    <w:p>
      <w:pPr>
        <w:pStyle w:val="References"/>
        <w:widowControl/>
      </w:pPr>
      <w:r>
        <w:t xml:space="preserve">Hahn, A. M., Kholodilin, K. A., Waltl, S. R., &amp; Fongoni, M. (2024). Forward to the past: Short-term effects of the rent freeze in Berlin. </w:t>
      </w:r>
      <w:r>
        <w:rPr>
          <w:i/>
        </w:rPr>
        <w:t>Management Science, 70</w:t>
      </w:r>
      <w:r>
        <w:t>(3), 1901–1923. https://doi.org/10.1287/mnsc.2023.4775</w:t>
      </w:r>
    </w:p>
    <w:p>
      <w:pPr>
        <w:pStyle w:val="References"/>
        <w:widowControl/>
      </w:pPr>
      <w:r>
        <w:t xml:space="preserve">Hirano, K., Imbens, G. W., &amp; Ridder, G. (2003). Efficient estimation of average treatment effects using the estimated propensity score. </w:t>
      </w:r>
      <w:r>
        <w:rPr>
          <w:i/>
        </w:rPr>
        <w:t>Econometrica, 71</w:t>
      </w:r>
      <w:r>
        <w:t>(4), 1161–1189. https://doi.org/10.1111/1468-0262.00442</w:t>
      </w:r>
    </w:p>
    <w:p>
      <w:pPr>
        <w:pStyle w:val="References"/>
        <w:widowControl/>
      </w:pPr>
      <w:r>
        <w:t xml:space="preserve">Imbens, G. W., &amp; Wooldridge, J. M. (2009). Recent developments in the econometrics of program evaluation. </w:t>
      </w:r>
      <w:r>
        <w:rPr>
          <w:i/>
        </w:rPr>
        <w:t>Journal of Economic Literature, 47</w:t>
      </w:r>
      <w:r>
        <w:t>(1), 5–86. https://doi.org/10.1257/jel.47.1.5</w:t>
      </w:r>
    </w:p>
    <w:p>
      <w:pPr>
        <w:pStyle w:val="References"/>
        <w:widowControl/>
      </w:pPr>
      <w:r>
        <w:t xml:space="preserve">Kholodilin, K. A. (2024). Rent control effects through the lens of empirical research: An almost complete review of the literature. </w:t>
      </w:r>
      <w:r>
        <w:rPr>
          <w:i/>
        </w:rPr>
        <w:t>Journal of Housing Economics, 63</w:t>
      </w:r>
      <w:r>
        <w:t>, Article 101983. https://doi.org/10.1016/j.jhe.2024.101983</w:t>
      </w:r>
    </w:p>
    <w:p>
      <w:pPr>
        <w:pStyle w:val="References"/>
        <w:widowControl/>
      </w:pPr>
      <w:r>
        <w:t xml:space="preserve">Kutty, N. K. (2005). A new measure of housing affordability: Estimates and analytical results. </w:t>
      </w:r>
      <w:r>
        <w:rPr>
          <w:i/>
        </w:rPr>
        <w:t>Housing Policy Debate, 16</w:t>
      </w:r>
      <w:r>
        <w:t>(1), 113–142. https://doi.org/10.1080/10511482.2005.9521536</w:t>
      </w:r>
    </w:p>
    <w:p>
      <w:pPr>
        <w:pStyle w:val="References"/>
        <w:widowControl/>
      </w:pPr>
      <w:r>
        <w:t xml:space="preserve">Law No. 7409. (2022). </w:t>
      </w:r>
      <w:r>
        <w:rPr>
          <w:i/>
        </w:rPr>
        <w:t>Avukatlık Kanunu ile Türk Borçlar Kanununda Değişiklik Yapılmasına Dair Kanun</w:t>
      </w:r>
      <w:r>
        <w:t xml:space="preserve"> [Law amending the Attorneys' Act and the Turkish Code of Obligations]. Official Gazette, 31863, 11 June 2022. https://www.tbmm.gov.tr/Yasama/Kanun/F72877C1-FA64-037B-E050-007F01005610</w:t>
      </w:r>
    </w:p>
    <w:p>
      <w:pPr>
        <w:pStyle w:val="References"/>
        <w:widowControl/>
      </w:pPr>
      <w:r>
        <w:t xml:space="preserve">Law No. 7456. (2023). </w:t>
      </w:r>
      <w:r>
        <w:rPr>
          <w:i/>
        </w:rPr>
        <w:t>6/2/2023 tarihinde meydana gelen depremlerin yol açtığı ekonomik kayıpların telafisi için ek motorlu taşıtlar vergisi ihdası ile bazı kanunlarda ve 375 sayılı Kanun Hükmünde Kararnamede değişiklik yapılması hakkında kanun</w:t>
      </w:r>
      <w:r>
        <w:t xml:space="preserve"> [Law introducing an additional motor vehicle tax to compensate for the economic losses caused by the earthquakes of 6 February 2023 and amending certain laws and Decree-Law No. 375] (Adopted 14 July 2023). https://cdn.tbmm.gov.tr/KKBSPublicFile/D27/Y6/KanunMetni/307c8ce5-3d8b-4d86-8439-abae345e7626.htm</w:t>
      </w:r>
    </w:p>
    <w:p>
      <w:pPr>
        <w:pStyle w:val="References"/>
        <w:widowControl/>
      </w:pPr>
      <w:r>
        <w:t xml:space="preserve">MacKinnon, J. G., &amp; Webb, M. D. (2017). Wild bootstrap inference for wildly different cluster sizes. </w:t>
      </w:r>
      <w:r>
        <w:rPr>
          <w:i/>
        </w:rPr>
        <w:t>Journal of Applied Econometrics, 32</w:t>
      </w:r>
      <w:r>
        <w:t>(2), 233–254. https://doi.org/10.1002/jae.2508</w:t>
      </w:r>
    </w:p>
    <w:p>
      <w:pPr>
        <w:pStyle w:val="References"/>
        <w:widowControl/>
      </w:pPr>
      <w:r>
        <w:t xml:space="preserve">Mense, A., Michelsen, C., &amp; Kholodilin, K. A. (2019). The effects of second-generation rent control on land values. </w:t>
      </w:r>
      <w:r>
        <w:rPr>
          <w:i/>
        </w:rPr>
        <w:t>AEA Papers and Proceedings, 109</w:t>
      </w:r>
      <w:r>
        <w:t>, 385–388. https://doi.org/10.1257/pandp.20191023</w:t>
      </w:r>
    </w:p>
    <w:p>
      <w:pPr>
        <w:pStyle w:val="References"/>
        <w:widowControl/>
      </w:pPr>
      <w:r>
        <w:t xml:space="preserve">Mense, A., Michelsen, C., &amp; Kholodilin, K. A. (2023). Rent control, market segmentation, and misallocation: Causal evidence from a large-scale policy intervention. </w:t>
      </w:r>
      <w:r>
        <w:rPr>
          <w:i/>
        </w:rPr>
        <w:t>Journal of Urban Economics, 134</w:t>
      </w:r>
      <w:r>
        <w:t>, Article 103513. https://doi.org/10.1016/j.jue.2022.103513</w:t>
      </w:r>
    </w:p>
    <w:p>
      <w:pPr>
        <w:pStyle w:val="References"/>
        <w:widowControl/>
      </w:pPr>
      <w:r>
        <w:t xml:space="preserve">Munch, J. R., &amp; Svarer, M. (2002). Rent control and tenancy duration. </w:t>
      </w:r>
      <w:r>
        <w:rPr>
          <w:i/>
        </w:rPr>
        <w:t>Journal of Urban Economics, 52</w:t>
      </w:r>
      <w:r>
        <w:t>(3), 542–560. https://doi.org/10.1016/S0094-1190(02)00502-8</w:t>
      </w:r>
    </w:p>
    <w:p>
      <w:pPr>
        <w:pStyle w:val="References"/>
        <w:widowControl/>
      </w:pPr>
      <w:r>
        <w:t xml:space="preserve">Nagy, J. (1997). Do vacancy decontrol provisions undo rent control? </w:t>
      </w:r>
      <w:r>
        <w:rPr>
          <w:i/>
        </w:rPr>
        <w:t>Journal of Urban Economics, 42</w:t>
      </w:r>
      <w:r>
        <w:t>(1), 64–78. https://doi.org/10.1006/juec.1996.2014</w:t>
      </w:r>
    </w:p>
    <w:p>
      <w:pPr>
        <w:pStyle w:val="References"/>
        <w:widowControl/>
      </w:pPr>
      <w:r>
        <w:t xml:space="preserve">Rambachan, A., &amp; Roth, J. (2023). A more credible approach to parallel trends. </w:t>
      </w:r>
      <w:r>
        <w:rPr>
          <w:i/>
        </w:rPr>
        <w:t>The Review of Economic Studies, 90</w:t>
      </w:r>
      <w:r>
        <w:t>(5), 2555–2591. https://doi.org/10.1093/restud/rdad018</w:t>
      </w:r>
    </w:p>
    <w:p>
      <w:pPr>
        <w:pStyle w:val="References"/>
        <w:widowControl/>
      </w:pPr>
      <w:r>
        <w:t xml:space="preserve">Roth, J. (2022). Pretest with caution: Event-study estimates after testing for parallel trends. </w:t>
      </w:r>
      <w:r>
        <w:rPr>
          <w:i/>
        </w:rPr>
        <w:t>American Economic Review: Insights, 4</w:t>
      </w:r>
      <w:r>
        <w:t>(3), 305–322. https://doi.org/10.1257/aeri.20210236</w:t>
      </w:r>
    </w:p>
    <w:p>
      <w:pPr>
        <w:pStyle w:val="References"/>
        <w:widowControl/>
      </w:pPr>
      <w:r>
        <w:t xml:space="preserve">Roth, J., Sant'Anna, P. H. C., Bilinski, A., &amp; Poe, J. (2023). What's trending in difference-in-differences? A synthesis of the recent econometrics literature. </w:t>
      </w:r>
      <w:r>
        <w:rPr>
          <w:i/>
        </w:rPr>
        <w:t>Journal of Econometrics, 235</w:t>
      </w:r>
      <w:r>
        <w:t>(2), 2218–2244. https://doi.org/10.1016/j.jeconom.2023.03.008</w:t>
      </w:r>
    </w:p>
    <w:p>
      <w:pPr>
        <w:pStyle w:val="References"/>
        <w:widowControl/>
      </w:pPr>
      <w:r>
        <w:t xml:space="preserve">Solon, G., Haider, S. J., &amp; Wooldridge, J. M. (2015). What are we weighting for? </w:t>
      </w:r>
      <w:r>
        <w:rPr>
          <w:i/>
        </w:rPr>
        <w:t>Journal of Human Resources, 50</w:t>
      </w:r>
      <w:r>
        <w:t>(2), 301–316. https://doi.org/10.3368/jhr.50.2.301</w:t>
      </w:r>
    </w:p>
    <w:p>
      <w:pPr>
        <w:pStyle w:val="References"/>
        <w:widowControl/>
      </w:pPr>
      <w:r>
        <w:t xml:space="preserve">Stone, M. E. (2006). What is housing affordability? The case for the residual income approach. </w:t>
      </w:r>
      <w:r>
        <w:rPr>
          <w:i/>
        </w:rPr>
        <w:t>Housing Policy Debate, 17</w:t>
      </w:r>
      <w:r>
        <w:t>(1), 151–184. https://doi.org/10.1080/10511482.2006.9521564</w:t>
      </w:r>
    </w:p>
    <w:p>
      <w:pPr>
        <w:pStyle w:val="References"/>
        <w:widowControl/>
      </w:pPr>
      <w:r>
        <w:t>Turkish Code of Obligations, Law No. 6098. (2011). Official Gazette, 27836, 4 February 2011 (as amended). https://www.mevzuat.gov.tr/mevzuat?MevzuatNo=6098&amp;MevzuatTur=1&amp;MevzuatTertip=5</w:t>
      </w:r>
    </w:p>
    <w:p>
      <w:pPr>
        <w:pStyle w:val="References"/>
        <w:widowControl/>
      </w:pPr>
      <w:r>
        <w:t xml:space="preserve">Turkish Statistical Institute. (2014–2025). </w:t>
      </w:r>
      <w:r>
        <w:rPr>
          <w:i/>
        </w:rPr>
        <w:t>Gelir ve Yaşam Koşulları Araştırması, kesit mikro veri setleri, 2014–2025</w:t>
      </w:r>
      <w:r>
        <w:t xml:space="preserve"> [Survey of Income and Living Conditions, cross-sectional microdatasets, 2014–2025] [Data set]. TurkStat.</w:t>
      </w:r>
    </w:p>
    <w:p>
      <w:pPr>
        <w:pStyle w:val="References"/>
        <w:widowControl/>
      </w:pPr>
      <w:r>
        <w:t xml:space="preserve">Turkish Statistical Institute. (2016–2024). </w:t>
      </w:r>
      <w:r>
        <w:rPr>
          <w:i/>
        </w:rPr>
        <w:t>Hanehalkı Bütçe Araştırması mikro veri setleri, 2016–2019, 2022 ve 2024</w:t>
      </w:r>
      <w:r>
        <w:t xml:space="preserve"> [Household Budget Survey microdatasets, 2016–2019, 2022, and 2024] [Data set]. TurkStat.</w:t>
      </w:r>
    </w:p>
    <w:p>
      <w:pPr>
        <w:pStyle w:val="References"/>
        <w:widowControl/>
      </w:pPr>
      <w:r>
        <w:t xml:space="preserve">Webb, M. D. (2023). Reworking wild bootstrap-based inference for clustered errors. </w:t>
      </w:r>
      <w:r>
        <w:rPr>
          <w:i/>
        </w:rPr>
        <w:t>Canadian Journal of Economics/Revue canadienne d'économique, 56</w:t>
      </w:r>
      <w:r>
        <w:t>(3), 839–858. https://doi.org/10.1111/caje.12661</w:t>
      </w:r>
    </w:p>
    <w:p>
      <w:pPr>
        <w:sectPr>
          <w:headerReference w:type="even" r:id="rId9"/>
          <w:headerReference w:type="default" r:id="rId10"/>
          <w:footerReference w:type="even" r:id="rId11"/>
          <w:footerReference w:type="default" r:id="rId12"/>
          <w:headerReference w:type="first" r:id="rId13"/>
          <w:footerReference w:type="first" r:id="rId14"/>
          <w:pgSz w:w="11901" w:h="16840" w:code="9"/>
          <w:pgMar w:top="1418" w:right="1701" w:bottom="1418" w:left="1701" w:header="709" w:footer="709" w:gutter="0"/>
          <w:cols w:space="708"/>
          <w:docGrid w:linePitch="360"/>
        </w:sectPr>
      </w:pPr>
    </w:p>
    <w:p>
      <w:pPr>
        <w:pStyle w:val="Tabletitle"/>
        <w:keepNext/>
        <w:widowControl/>
        <w:spacing w:before="0"/>
      </w:pPr>
      <w:r>
        <w:t>Table 1. Characteristics of sitting and new tenants by period (SILC, weighted)</w:t>
      </w:r>
    </w:p>
    <w:tbl>
      <w:tblPr>
        <w:tblW w:type="dxa" w:w="13438"/>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35" w:type="dxa"/>
          <w:bottom w:w="35" w:type="dxa"/>
          <w:left w:w="60" w:type="dxa"/>
          <w:right w:w="60" w:type="dxa"/>
        </w:tblCellMar>
      </w:tblPr>
      <w:tblGrid>
        <w:gridCol w:w="3197"/>
        <w:gridCol w:w="1024"/>
        <w:gridCol w:w="1024"/>
        <w:gridCol w:w="1024"/>
        <w:gridCol w:w="1024"/>
        <w:gridCol w:w="1024"/>
        <w:gridCol w:w="1024"/>
        <w:gridCol w:w="1024"/>
        <w:gridCol w:w="1024"/>
        <w:gridCol w:w="1024"/>
        <w:gridCol w:w="1024"/>
      </w:tblGrid>
      <w:tr>
        <w:trPr>
          <w:cantSplit/>
          <w:tblHeader/>
        </w:trPr>
        <w:tc>
          <w:tcPr>
            <w:tcW w:type="dxa" w:w="3197"/>
            <w:vAlign w:val="center"/>
            <w:tcBorders>
              <w:bottom w:val="single" w:sz="4"/>
            </w:tcBorders>
          </w:tcPr>
          <w:p>
            <w:pPr>
              <w:keepNext/>
              <w:widowControl/>
              <w:spacing w:before="0" w:after="0" w:line="240" w:lineRule="auto"/>
              <w:jc w:val="left"/>
            </w:pPr>
            <w:r>
              <w:rPr>
                <w:b/>
                <w:sz w:val="20"/>
              </w:rPr>
              <w:t>Indicator</w:t>
            </w:r>
          </w:p>
        </w:tc>
        <w:tc>
          <w:tcPr>
            <w:tcW w:type="dxa" w:w="1024"/>
            <w:vAlign w:val="center"/>
            <w:tcBorders>
              <w:bottom w:val="single" w:sz="4"/>
            </w:tcBorders>
          </w:tcPr>
          <w:p>
            <w:pPr>
              <w:keepNext/>
              <w:widowControl/>
              <w:spacing w:before="0" w:after="0" w:line="240" w:lineRule="auto"/>
              <w:jc w:val="center"/>
            </w:pPr>
            <w:r>
              <w:rPr>
                <w:b/>
                <w:sz w:val="20"/>
              </w:rPr>
              <w:t>2016–2020</w:t>
              <w:br/>
              <w:t>New</w:t>
            </w:r>
          </w:p>
        </w:tc>
        <w:tc>
          <w:tcPr>
            <w:tcW w:type="dxa" w:w="1024"/>
            <w:vAlign w:val="center"/>
            <w:tcBorders>
              <w:bottom w:val="single" w:sz="4"/>
            </w:tcBorders>
          </w:tcPr>
          <w:p>
            <w:pPr>
              <w:keepNext/>
              <w:widowControl/>
              <w:spacing w:before="0" w:after="0" w:line="240" w:lineRule="auto"/>
              <w:jc w:val="center"/>
            </w:pPr>
            <w:r>
              <w:rPr>
                <w:b/>
                <w:sz w:val="20"/>
              </w:rPr>
              <w:t>2016–2020</w:t>
              <w:br/>
              <w:t>Sitting</w:t>
            </w:r>
          </w:p>
        </w:tc>
        <w:tc>
          <w:tcPr>
            <w:tcW w:type="dxa" w:w="1024"/>
            <w:vAlign w:val="center"/>
            <w:tcBorders>
              <w:bottom w:val="single" w:sz="4"/>
            </w:tcBorders>
          </w:tcPr>
          <w:p>
            <w:pPr>
              <w:keepNext/>
              <w:widowControl/>
              <w:spacing w:before="0" w:after="0" w:line="240" w:lineRule="auto"/>
              <w:jc w:val="center"/>
            </w:pPr>
            <w:r>
              <w:rPr>
                <w:b/>
                <w:sz w:val="20"/>
              </w:rPr>
              <w:t>2021</w:t>
              <w:br/>
              <w:t>New</w:t>
            </w:r>
          </w:p>
        </w:tc>
        <w:tc>
          <w:tcPr>
            <w:tcW w:type="dxa" w:w="1024"/>
            <w:vAlign w:val="center"/>
            <w:tcBorders>
              <w:bottom w:val="single" w:sz="4"/>
            </w:tcBorders>
          </w:tcPr>
          <w:p>
            <w:pPr>
              <w:keepNext/>
              <w:widowControl/>
              <w:spacing w:before="0" w:after="0" w:line="240" w:lineRule="auto"/>
              <w:jc w:val="center"/>
            </w:pPr>
            <w:r>
              <w:rPr>
                <w:b/>
                <w:sz w:val="20"/>
              </w:rPr>
              <w:t>2021</w:t>
              <w:br/>
              <w:t>Sitting</w:t>
            </w:r>
          </w:p>
        </w:tc>
        <w:tc>
          <w:tcPr>
            <w:tcW w:type="dxa" w:w="1024"/>
            <w:vAlign w:val="center"/>
            <w:tcBorders>
              <w:bottom w:val="single" w:sz="4"/>
            </w:tcBorders>
          </w:tcPr>
          <w:p>
            <w:pPr>
              <w:keepNext/>
              <w:widowControl/>
              <w:spacing w:before="0" w:after="0" w:line="240" w:lineRule="auto"/>
              <w:jc w:val="center"/>
            </w:pPr>
            <w:r>
              <w:rPr>
                <w:b/>
                <w:sz w:val="20"/>
              </w:rPr>
              <w:t>2022</w:t>
              <w:br/>
              <w:t>New</w:t>
            </w:r>
          </w:p>
        </w:tc>
        <w:tc>
          <w:tcPr>
            <w:tcW w:type="dxa" w:w="1024"/>
            <w:vAlign w:val="center"/>
            <w:tcBorders>
              <w:bottom w:val="single" w:sz="4"/>
            </w:tcBorders>
          </w:tcPr>
          <w:p>
            <w:pPr>
              <w:keepNext/>
              <w:widowControl/>
              <w:spacing w:before="0" w:after="0" w:line="240" w:lineRule="auto"/>
              <w:jc w:val="center"/>
            </w:pPr>
            <w:r>
              <w:rPr>
                <w:b/>
                <w:sz w:val="20"/>
              </w:rPr>
              <w:t>2022</w:t>
              <w:br/>
              <w:t>Sitting</w:t>
            </w:r>
          </w:p>
        </w:tc>
        <w:tc>
          <w:tcPr>
            <w:tcW w:type="dxa" w:w="1024"/>
            <w:vAlign w:val="center"/>
            <w:tcBorders>
              <w:bottom w:val="single" w:sz="4"/>
            </w:tcBorders>
          </w:tcPr>
          <w:p>
            <w:pPr>
              <w:keepNext/>
              <w:widowControl/>
              <w:spacing w:before="0" w:after="0" w:line="240" w:lineRule="auto"/>
              <w:jc w:val="center"/>
            </w:pPr>
            <w:r>
              <w:rPr>
                <w:b/>
                <w:sz w:val="20"/>
              </w:rPr>
              <w:t>2023–2024</w:t>
              <w:br/>
              <w:t>New</w:t>
            </w:r>
          </w:p>
        </w:tc>
        <w:tc>
          <w:tcPr>
            <w:tcW w:type="dxa" w:w="1024"/>
            <w:vAlign w:val="center"/>
            <w:tcBorders>
              <w:bottom w:val="single" w:sz="4"/>
            </w:tcBorders>
          </w:tcPr>
          <w:p>
            <w:pPr>
              <w:keepNext/>
              <w:widowControl/>
              <w:spacing w:before="0" w:after="0" w:line="240" w:lineRule="auto"/>
              <w:jc w:val="center"/>
            </w:pPr>
            <w:r>
              <w:rPr>
                <w:b/>
                <w:sz w:val="20"/>
              </w:rPr>
              <w:t>2023–2024</w:t>
              <w:br/>
              <w:t>Sitting</w:t>
            </w:r>
          </w:p>
        </w:tc>
        <w:tc>
          <w:tcPr>
            <w:tcW w:type="dxa" w:w="1024"/>
            <w:vAlign w:val="center"/>
            <w:tcBorders>
              <w:bottom w:val="single" w:sz="4"/>
            </w:tcBorders>
          </w:tcPr>
          <w:p>
            <w:pPr>
              <w:keepNext/>
              <w:widowControl/>
              <w:spacing w:before="0" w:after="0" w:line="240" w:lineRule="auto"/>
              <w:jc w:val="center"/>
            </w:pPr>
            <w:r>
              <w:rPr>
                <w:b/>
                <w:sz w:val="20"/>
              </w:rPr>
              <w:t>2025</w:t>
              <w:br/>
              <w:t>New</w:t>
            </w:r>
          </w:p>
        </w:tc>
        <w:tc>
          <w:tcPr>
            <w:tcW w:type="dxa" w:w="1024"/>
            <w:vAlign w:val="center"/>
            <w:tcBorders>
              <w:bottom w:val="single" w:sz="4"/>
            </w:tcBorders>
          </w:tcPr>
          <w:p>
            <w:pPr>
              <w:keepNext/>
              <w:widowControl/>
              <w:spacing w:before="0" w:after="0" w:line="240" w:lineRule="auto"/>
              <w:jc w:val="center"/>
            </w:pPr>
            <w:r>
              <w:rPr>
                <w:b/>
                <w:sz w:val="20"/>
              </w:rPr>
              <w:t>2025</w:t>
              <w:br/>
              <w:t>Sitting</w:t>
            </w:r>
          </w:p>
        </w:tc>
      </w:tr>
      <w:tr>
        <w:trPr>
          <w:cantSplit/>
        </w:trPr>
        <w:tc>
          <w:tcPr>
            <w:tcW w:type="dxa" w:w="3197"/>
            <w:vAlign w:val="center"/>
          </w:tcPr>
          <w:p>
            <w:pPr>
              <w:keepNext w:val="0"/>
              <w:widowControl/>
              <w:spacing w:before="0" w:after="0" w:line="240" w:lineRule="auto"/>
              <w:jc w:val="left"/>
            </w:pPr>
            <w:r>
              <w:rPr>
                <w:b w:val="0"/>
                <w:sz w:val="20"/>
              </w:rPr>
              <w:t>Observations (households)</w:t>
            </w:r>
          </w:p>
        </w:tc>
        <w:tc>
          <w:tcPr>
            <w:tcW w:type="dxa" w:w="1024"/>
            <w:vAlign w:val="center"/>
          </w:tcPr>
          <w:p>
            <w:pPr>
              <w:keepNext w:val="0"/>
              <w:widowControl/>
              <w:spacing w:before="0" w:after="0" w:line="240" w:lineRule="auto"/>
              <w:jc w:val="center"/>
            </w:pPr>
            <w:r>
              <w:rPr>
                <w:b w:val="0"/>
                <w:sz w:val="20"/>
              </w:rPr>
              <w:t>8,598</w:t>
            </w:r>
          </w:p>
        </w:tc>
        <w:tc>
          <w:tcPr>
            <w:tcW w:type="dxa" w:w="1024"/>
            <w:vAlign w:val="center"/>
          </w:tcPr>
          <w:p>
            <w:pPr>
              <w:keepNext w:val="0"/>
              <w:widowControl/>
              <w:spacing w:before="0" w:after="0" w:line="240" w:lineRule="auto"/>
              <w:jc w:val="center"/>
            </w:pPr>
            <w:r>
              <w:rPr>
                <w:b w:val="0"/>
                <w:sz w:val="20"/>
              </w:rPr>
              <w:t>20,123</w:t>
            </w:r>
          </w:p>
        </w:tc>
        <w:tc>
          <w:tcPr>
            <w:tcW w:type="dxa" w:w="1024"/>
            <w:vAlign w:val="center"/>
          </w:tcPr>
          <w:p>
            <w:pPr>
              <w:keepNext w:val="0"/>
              <w:widowControl/>
              <w:spacing w:before="0" w:after="0" w:line="240" w:lineRule="auto"/>
              <w:jc w:val="center"/>
            </w:pPr>
            <w:r>
              <w:rPr>
                <w:b w:val="0"/>
                <w:sz w:val="20"/>
              </w:rPr>
              <w:t>1,777</w:t>
            </w:r>
          </w:p>
        </w:tc>
        <w:tc>
          <w:tcPr>
            <w:tcW w:type="dxa" w:w="1024"/>
            <w:vAlign w:val="center"/>
          </w:tcPr>
          <w:p>
            <w:pPr>
              <w:keepNext w:val="0"/>
              <w:widowControl/>
              <w:spacing w:before="0" w:after="0" w:line="240" w:lineRule="auto"/>
              <w:jc w:val="center"/>
            </w:pPr>
            <w:r>
              <w:rPr>
                <w:b w:val="0"/>
                <w:sz w:val="20"/>
              </w:rPr>
              <w:t>4,869</w:t>
            </w:r>
          </w:p>
        </w:tc>
        <w:tc>
          <w:tcPr>
            <w:tcW w:type="dxa" w:w="1024"/>
            <w:vAlign w:val="center"/>
          </w:tcPr>
          <w:p>
            <w:pPr>
              <w:keepNext w:val="0"/>
              <w:widowControl/>
              <w:spacing w:before="0" w:after="0" w:line="240" w:lineRule="auto"/>
              <w:jc w:val="center"/>
            </w:pPr>
            <w:r>
              <w:rPr>
                <w:b w:val="0"/>
                <w:sz w:val="20"/>
              </w:rPr>
              <w:t>1,789</w:t>
            </w:r>
          </w:p>
        </w:tc>
        <w:tc>
          <w:tcPr>
            <w:tcW w:type="dxa" w:w="1024"/>
            <w:vAlign w:val="center"/>
          </w:tcPr>
          <w:p>
            <w:pPr>
              <w:keepNext w:val="0"/>
              <w:widowControl/>
              <w:spacing w:before="0" w:after="0" w:line="240" w:lineRule="auto"/>
              <w:jc w:val="center"/>
            </w:pPr>
            <w:r>
              <w:rPr>
                <w:b w:val="0"/>
                <w:sz w:val="20"/>
              </w:rPr>
              <w:t>5,096</w:t>
            </w:r>
          </w:p>
        </w:tc>
        <w:tc>
          <w:tcPr>
            <w:tcW w:type="dxa" w:w="1024"/>
            <w:vAlign w:val="center"/>
          </w:tcPr>
          <w:p>
            <w:pPr>
              <w:keepNext w:val="0"/>
              <w:widowControl/>
              <w:spacing w:before="0" w:after="0" w:line="240" w:lineRule="auto"/>
              <w:jc w:val="center"/>
            </w:pPr>
            <w:r>
              <w:rPr>
                <w:b w:val="0"/>
                <w:sz w:val="20"/>
              </w:rPr>
              <w:t>3,245</w:t>
            </w:r>
          </w:p>
        </w:tc>
        <w:tc>
          <w:tcPr>
            <w:tcW w:type="dxa" w:w="1024"/>
            <w:vAlign w:val="center"/>
          </w:tcPr>
          <w:p>
            <w:pPr>
              <w:keepNext w:val="0"/>
              <w:widowControl/>
              <w:spacing w:before="0" w:after="0" w:line="240" w:lineRule="auto"/>
              <w:jc w:val="center"/>
            </w:pPr>
            <w:r>
              <w:rPr>
                <w:b w:val="0"/>
                <w:sz w:val="20"/>
              </w:rPr>
              <w:t>10,388</w:t>
            </w:r>
          </w:p>
        </w:tc>
        <w:tc>
          <w:tcPr>
            <w:tcW w:type="dxa" w:w="1024"/>
            <w:vAlign w:val="center"/>
          </w:tcPr>
          <w:p>
            <w:pPr>
              <w:keepNext w:val="0"/>
              <w:widowControl/>
              <w:spacing w:before="0" w:after="0" w:line="240" w:lineRule="auto"/>
              <w:jc w:val="center"/>
            </w:pPr>
            <w:r>
              <w:rPr>
                <w:b w:val="0"/>
                <w:sz w:val="20"/>
              </w:rPr>
              <w:t>1,501</w:t>
            </w:r>
          </w:p>
        </w:tc>
        <w:tc>
          <w:tcPr>
            <w:tcW w:type="dxa" w:w="1024"/>
            <w:vAlign w:val="center"/>
          </w:tcPr>
          <w:p>
            <w:pPr>
              <w:keepNext w:val="0"/>
              <w:widowControl/>
              <w:spacing w:before="0" w:after="0" w:line="240" w:lineRule="auto"/>
              <w:jc w:val="center"/>
            </w:pPr>
            <w:r>
              <w:rPr>
                <w:b w:val="0"/>
                <w:sz w:val="20"/>
              </w:rPr>
              <w:t>5,234</w:t>
            </w:r>
          </w:p>
        </w:tc>
      </w:tr>
      <w:tr>
        <w:trPr>
          <w:cantSplit/>
        </w:trPr>
        <w:tc>
          <w:tcPr>
            <w:tcW w:type="dxa" w:w="3197"/>
            <w:vAlign w:val="center"/>
          </w:tcPr>
          <w:p>
            <w:pPr>
              <w:keepNext w:val="0"/>
              <w:widowControl/>
              <w:spacing w:before="0" w:after="0" w:line="240" w:lineRule="auto"/>
              <w:jc w:val="left"/>
            </w:pPr>
            <w:r>
              <w:rPr>
                <w:b w:val="0"/>
                <w:sz w:val="20"/>
              </w:rPr>
              <w:t>Median monthly rent (TRY)</w:t>
            </w:r>
          </w:p>
        </w:tc>
        <w:tc>
          <w:tcPr>
            <w:tcW w:type="dxa" w:w="1024"/>
            <w:vAlign w:val="center"/>
          </w:tcPr>
          <w:p>
            <w:pPr>
              <w:keepNext w:val="0"/>
              <w:widowControl/>
              <w:spacing w:before="0" w:after="0" w:line="240" w:lineRule="auto"/>
              <w:jc w:val="center"/>
            </w:pPr>
            <w:r>
              <w:rPr>
                <w:b w:val="0"/>
                <w:sz w:val="20"/>
              </w:rPr>
              <w:t>700</w:t>
            </w:r>
          </w:p>
        </w:tc>
        <w:tc>
          <w:tcPr>
            <w:tcW w:type="dxa" w:w="1024"/>
            <w:vAlign w:val="center"/>
          </w:tcPr>
          <w:p>
            <w:pPr>
              <w:keepNext w:val="0"/>
              <w:widowControl/>
              <w:spacing w:before="0" w:after="0" w:line="240" w:lineRule="auto"/>
              <w:jc w:val="center"/>
            </w:pPr>
            <w:r>
              <w:rPr>
                <w:b w:val="0"/>
                <w:sz w:val="20"/>
              </w:rPr>
              <w:t>600</w:t>
            </w:r>
          </w:p>
        </w:tc>
        <w:tc>
          <w:tcPr>
            <w:tcW w:type="dxa" w:w="1024"/>
            <w:vAlign w:val="center"/>
          </w:tcPr>
          <w:p>
            <w:pPr>
              <w:keepNext w:val="0"/>
              <w:widowControl/>
              <w:spacing w:before="0" w:after="0" w:line="240" w:lineRule="auto"/>
              <w:jc w:val="center"/>
            </w:pPr>
            <w:r>
              <w:rPr>
                <w:b w:val="0"/>
                <w:sz w:val="20"/>
              </w:rPr>
              <w:t>1,000</w:t>
            </w:r>
          </w:p>
        </w:tc>
        <w:tc>
          <w:tcPr>
            <w:tcW w:type="dxa" w:w="1024"/>
            <w:vAlign w:val="center"/>
          </w:tcPr>
          <w:p>
            <w:pPr>
              <w:keepNext w:val="0"/>
              <w:widowControl/>
              <w:spacing w:before="0" w:after="0" w:line="240" w:lineRule="auto"/>
              <w:jc w:val="center"/>
            </w:pPr>
            <w:r>
              <w:rPr>
                <w:b w:val="0"/>
                <w:sz w:val="20"/>
              </w:rPr>
              <w:t>850</w:t>
            </w:r>
          </w:p>
        </w:tc>
        <w:tc>
          <w:tcPr>
            <w:tcW w:type="dxa" w:w="1024"/>
            <w:vAlign w:val="center"/>
          </w:tcPr>
          <w:p>
            <w:pPr>
              <w:keepNext w:val="0"/>
              <w:widowControl/>
              <w:spacing w:before="0" w:after="0" w:line="240" w:lineRule="auto"/>
              <w:jc w:val="center"/>
            </w:pPr>
            <w:r>
              <w:rPr>
                <w:b w:val="0"/>
                <w:sz w:val="20"/>
              </w:rPr>
              <w:t>1,350</w:t>
            </w:r>
          </w:p>
        </w:tc>
        <w:tc>
          <w:tcPr>
            <w:tcW w:type="dxa" w:w="1024"/>
            <w:vAlign w:val="center"/>
          </w:tcPr>
          <w:p>
            <w:pPr>
              <w:keepNext w:val="0"/>
              <w:widowControl/>
              <w:spacing w:before="0" w:after="0" w:line="240" w:lineRule="auto"/>
              <w:jc w:val="center"/>
            </w:pPr>
            <w:r>
              <w:rPr>
                <w:b w:val="0"/>
                <w:sz w:val="20"/>
              </w:rPr>
              <w:t>1,100</w:t>
            </w:r>
          </w:p>
        </w:tc>
        <w:tc>
          <w:tcPr>
            <w:tcW w:type="dxa" w:w="1024"/>
            <w:vAlign w:val="center"/>
          </w:tcPr>
          <w:p>
            <w:pPr>
              <w:keepNext w:val="0"/>
              <w:widowControl/>
              <w:spacing w:before="0" w:after="0" w:line="240" w:lineRule="auto"/>
              <w:jc w:val="center"/>
            </w:pPr>
            <w:r>
              <w:rPr>
                <w:b w:val="0"/>
                <w:sz w:val="20"/>
              </w:rPr>
              <w:t>5,000</w:t>
            </w:r>
          </w:p>
        </w:tc>
        <w:tc>
          <w:tcPr>
            <w:tcW w:type="dxa" w:w="1024"/>
            <w:vAlign w:val="center"/>
          </w:tcPr>
          <w:p>
            <w:pPr>
              <w:keepNext w:val="0"/>
              <w:widowControl/>
              <w:spacing w:before="0" w:after="0" w:line="240" w:lineRule="auto"/>
              <w:jc w:val="center"/>
            </w:pPr>
            <w:r>
              <w:rPr>
                <w:b w:val="0"/>
                <w:sz w:val="20"/>
              </w:rPr>
              <w:t>3,500</w:t>
            </w:r>
          </w:p>
        </w:tc>
        <w:tc>
          <w:tcPr>
            <w:tcW w:type="dxa" w:w="1024"/>
            <w:vAlign w:val="center"/>
          </w:tcPr>
          <w:p>
            <w:pPr>
              <w:keepNext w:val="0"/>
              <w:widowControl/>
              <w:spacing w:before="0" w:after="0" w:line="240" w:lineRule="auto"/>
              <w:jc w:val="center"/>
            </w:pPr>
            <w:r>
              <w:rPr>
                <w:b w:val="0"/>
                <w:sz w:val="20"/>
              </w:rPr>
              <w:t>13,000</w:t>
            </w:r>
          </w:p>
        </w:tc>
        <w:tc>
          <w:tcPr>
            <w:tcW w:type="dxa" w:w="1024"/>
            <w:vAlign w:val="center"/>
          </w:tcPr>
          <w:p>
            <w:pPr>
              <w:keepNext w:val="0"/>
              <w:widowControl/>
              <w:spacing w:before="0" w:after="0" w:line="240" w:lineRule="auto"/>
              <w:jc w:val="center"/>
            </w:pPr>
            <w:r>
              <w:rPr>
                <w:b w:val="0"/>
                <w:sz w:val="20"/>
              </w:rPr>
              <w:t>10,000</w:t>
            </w:r>
          </w:p>
        </w:tc>
      </w:tr>
      <w:tr>
        <w:trPr>
          <w:cantSplit/>
        </w:trPr>
        <w:tc>
          <w:tcPr>
            <w:tcW w:type="dxa" w:w="3197"/>
            <w:vAlign w:val="center"/>
          </w:tcPr>
          <w:p>
            <w:pPr>
              <w:keepNext w:val="0"/>
              <w:widowControl/>
              <w:spacing w:before="0" w:after="0" w:line="240" w:lineRule="auto"/>
              <w:jc w:val="left"/>
            </w:pPr>
            <w:r>
              <w:rPr>
                <w:b w:val="0"/>
                <w:sz w:val="20"/>
              </w:rPr>
              <w:t>Median rent-to-income ratio (%)</w:t>
            </w:r>
          </w:p>
        </w:tc>
        <w:tc>
          <w:tcPr>
            <w:tcW w:type="dxa" w:w="1024"/>
            <w:vAlign w:val="center"/>
          </w:tcPr>
          <w:p>
            <w:pPr>
              <w:keepNext w:val="0"/>
              <w:widowControl/>
              <w:spacing w:before="0" w:after="0" w:line="240" w:lineRule="auto"/>
              <w:jc w:val="center"/>
            </w:pPr>
            <w:r>
              <w:rPr>
                <w:b w:val="0"/>
                <w:sz w:val="20"/>
              </w:rPr>
              <w:t>22.5</w:t>
            </w:r>
          </w:p>
        </w:tc>
        <w:tc>
          <w:tcPr>
            <w:tcW w:type="dxa" w:w="1024"/>
            <w:vAlign w:val="center"/>
          </w:tcPr>
          <w:p>
            <w:pPr>
              <w:keepNext w:val="0"/>
              <w:widowControl/>
              <w:spacing w:before="0" w:after="0" w:line="240" w:lineRule="auto"/>
              <w:jc w:val="center"/>
            </w:pPr>
            <w:r>
              <w:rPr>
                <w:b w:val="0"/>
                <w:sz w:val="20"/>
              </w:rPr>
              <w:t>18.9</w:t>
            </w:r>
          </w:p>
        </w:tc>
        <w:tc>
          <w:tcPr>
            <w:tcW w:type="dxa" w:w="1024"/>
            <w:vAlign w:val="center"/>
          </w:tcPr>
          <w:p>
            <w:pPr>
              <w:keepNext w:val="0"/>
              <w:widowControl/>
              <w:spacing w:before="0" w:after="0" w:line="240" w:lineRule="auto"/>
              <w:jc w:val="center"/>
            </w:pPr>
            <w:r>
              <w:rPr>
                <w:b w:val="0"/>
                <w:sz w:val="20"/>
              </w:rPr>
              <w:t>22.6</w:t>
            </w:r>
          </w:p>
        </w:tc>
        <w:tc>
          <w:tcPr>
            <w:tcW w:type="dxa" w:w="1024"/>
            <w:vAlign w:val="center"/>
          </w:tcPr>
          <w:p>
            <w:pPr>
              <w:keepNext w:val="0"/>
              <w:widowControl/>
              <w:spacing w:before="0" w:after="0" w:line="240" w:lineRule="auto"/>
              <w:jc w:val="center"/>
            </w:pPr>
            <w:r>
              <w:rPr>
                <w:b w:val="0"/>
                <w:sz w:val="20"/>
              </w:rPr>
              <w:t>18.6</w:t>
            </w:r>
          </w:p>
        </w:tc>
        <w:tc>
          <w:tcPr>
            <w:tcW w:type="dxa" w:w="1024"/>
            <w:vAlign w:val="center"/>
          </w:tcPr>
          <w:p>
            <w:pPr>
              <w:keepNext w:val="0"/>
              <w:widowControl/>
              <w:spacing w:before="0" w:after="0" w:line="240" w:lineRule="auto"/>
              <w:jc w:val="center"/>
            </w:pPr>
            <w:r>
              <w:rPr>
                <w:b w:val="0"/>
                <w:sz w:val="20"/>
              </w:rPr>
              <w:t>24.5</w:t>
            </w:r>
          </w:p>
        </w:tc>
        <w:tc>
          <w:tcPr>
            <w:tcW w:type="dxa" w:w="1024"/>
            <w:vAlign w:val="center"/>
          </w:tcPr>
          <w:p>
            <w:pPr>
              <w:keepNext w:val="0"/>
              <w:widowControl/>
              <w:spacing w:before="0" w:after="0" w:line="240" w:lineRule="auto"/>
              <w:jc w:val="center"/>
            </w:pPr>
            <w:r>
              <w:rPr>
                <w:b w:val="0"/>
                <w:sz w:val="20"/>
              </w:rPr>
              <w:t>19.1</w:t>
            </w:r>
          </w:p>
        </w:tc>
        <w:tc>
          <w:tcPr>
            <w:tcW w:type="dxa" w:w="1024"/>
            <w:vAlign w:val="center"/>
          </w:tcPr>
          <w:p>
            <w:pPr>
              <w:keepNext w:val="0"/>
              <w:widowControl/>
              <w:spacing w:before="0" w:after="0" w:line="240" w:lineRule="auto"/>
              <w:jc w:val="center"/>
            </w:pPr>
            <w:r>
              <w:rPr>
                <w:b w:val="0"/>
                <w:sz w:val="20"/>
              </w:rPr>
              <w:t>32.2</w:t>
            </w:r>
          </w:p>
        </w:tc>
        <w:tc>
          <w:tcPr>
            <w:tcW w:type="dxa" w:w="1024"/>
            <w:vAlign w:val="center"/>
          </w:tcPr>
          <w:p>
            <w:pPr>
              <w:keepNext w:val="0"/>
              <w:widowControl/>
              <w:spacing w:before="0" w:after="0" w:line="240" w:lineRule="auto"/>
              <w:jc w:val="center"/>
            </w:pPr>
            <w:r>
              <w:rPr>
                <w:b w:val="0"/>
                <w:sz w:val="20"/>
              </w:rPr>
              <w:t>23.4</w:t>
            </w:r>
          </w:p>
        </w:tc>
        <w:tc>
          <w:tcPr>
            <w:tcW w:type="dxa" w:w="1024"/>
            <w:vAlign w:val="center"/>
          </w:tcPr>
          <w:p>
            <w:pPr>
              <w:keepNext w:val="0"/>
              <w:widowControl/>
              <w:spacing w:before="0" w:after="0" w:line="240" w:lineRule="auto"/>
              <w:jc w:val="center"/>
            </w:pPr>
            <w:r>
              <w:rPr>
                <w:b w:val="0"/>
                <w:sz w:val="20"/>
              </w:rPr>
              <w:t>34.6</w:t>
            </w:r>
          </w:p>
        </w:tc>
        <w:tc>
          <w:tcPr>
            <w:tcW w:type="dxa" w:w="1024"/>
            <w:vAlign w:val="center"/>
          </w:tcPr>
          <w:p>
            <w:pPr>
              <w:keepNext w:val="0"/>
              <w:widowControl/>
              <w:spacing w:before="0" w:after="0" w:line="240" w:lineRule="auto"/>
              <w:jc w:val="center"/>
            </w:pPr>
            <w:r>
              <w:rPr>
                <w:b w:val="0"/>
                <w:sz w:val="20"/>
              </w:rPr>
              <w:t>26.3</w:t>
            </w:r>
          </w:p>
        </w:tc>
      </w:tr>
      <w:tr>
        <w:trPr>
          <w:cantSplit/>
        </w:trPr>
        <w:tc>
          <w:tcPr>
            <w:tcW w:type="dxa" w:w="3197"/>
            <w:vAlign w:val="center"/>
          </w:tcPr>
          <w:p>
            <w:pPr>
              <w:keepNext w:val="0"/>
              <w:widowControl/>
              <w:spacing w:before="0" w:after="0" w:line="240" w:lineRule="auto"/>
              <w:jc w:val="left"/>
            </w:pPr>
            <w:r>
              <w:rPr>
                <w:b w:val="0"/>
                <w:sz w:val="20"/>
              </w:rPr>
              <w:t>Rent/income &gt; 40% (%)</w:t>
            </w:r>
          </w:p>
        </w:tc>
        <w:tc>
          <w:tcPr>
            <w:tcW w:type="dxa" w:w="1024"/>
            <w:vAlign w:val="center"/>
          </w:tcPr>
          <w:p>
            <w:pPr>
              <w:keepNext w:val="0"/>
              <w:widowControl/>
              <w:spacing w:before="0" w:after="0" w:line="240" w:lineRule="auto"/>
              <w:jc w:val="center"/>
            </w:pPr>
            <w:r>
              <w:rPr>
                <w:b w:val="0"/>
                <w:sz w:val="20"/>
              </w:rPr>
              <w:t>16.5</w:t>
            </w:r>
          </w:p>
        </w:tc>
        <w:tc>
          <w:tcPr>
            <w:tcW w:type="dxa" w:w="1024"/>
            <w:vAlign w:val="center"/>
          </w:tcPr>
          <w:p>
            <w:pPr>
              <w:keepNext w:val="0"/>
              <w:widowControl/>
              <w:spacing w:before="0" w:after="0" w:line="240" w:lineRule="auto"/>
              <w:jc w:val="center"/>
            </w:pPr>
            <w:r>
              <w:rPr>
                <w:b w:val="0"/>
                <w:sz w:val="20"/>
              </w:rPr>
              <w:t>9.4</w:t>
            </w:r>
          </w:p>
        </w:tc>
        <w:tc>
          <w:tcPr>
            <w:tcW w:type="dxa" w:w="1024"/>
            <w:vAlign w:val="center"/>
          </w:tcPr>
          <w:p>
            <w:pPr>
              <w:keepNext w:val="0"/>
              <w:widowControl/>
              <w:spacing w:before="0" w:after="0" w:line="240" w:lineRule="auto"/>
              <w:jc w:val="center"/>
            </w:pPr>
            <w:r>
              <w:rPr>
                <w:b w:val="0"/>
                <w:sz w:val="20"/>
              </w:rPr>
              <w:t>17.2</w:t>
            </w:r>
          </w:p>
        </w:tc>
        <w:tc>
          <w:tcPr>
            <w:tcW w:type="dxa" w:w="1024"/>
            <w:vAlign w:val="center"/>
          </w:tcPr>
          <w:p>
            <w:pPr>
              <w:keepNext w:val="0"/>
              <w:widowControl/>
              <w:spacing w:before="0" w:after="0" w:line="240" w:lineRule="auto"/>
              <w:jc w:val="center"/>
            </w:pPr>
            <w:r>
              <w:rPr>
                <w:b w:val="0"/>
                <w:sz w:val="20"/>
              </w:rPr>
              <w:t>11.1</w:t>
            </w:r>
          </w:p>
        </w:tc>
        <w:tc>
          <w:tcPr>
            <w:tcW w:type="dxa" w:w="1024"/>
            <w:vAlign w:val="center"/>
          </w:tcPr>
          <w:p>
            <w:pPr>
              <w:keepNext w:val="0"/>
              <w:widowControl/>
              <w:spacing w:before="0" w:after="0" w:line="240" w:lineRule="auto"/>
              <w:jc w:val="center"/>
            </w:pPr>
            <w:r>
              <w:rPr>
                <w:b w:val="0"/>
                <w:sz w:val="20"/>
              </w:rPr>
              <w:t>23.2</w:t>
            </w:r>
          </w:p>
        </w:tc>
        <w:tc>
          <w:tcPr>
            <w:tcW w:type="dxa" w:w="1024"/>
            <w:vAlign w:val="center"/>
          </w:tcPr>
          <w:p>
            <w:pPr>
              <w:keepNext w:val="0"/>
              <w:widowControl/>
              <w:spacing w:before="0" w:after="0" w:line="240" w:lineRule="auto"/>
              <w:jc w:val="center"/>
            </w:pPr>
            <w:r>
              <w:rPr>
                <w:b w:val="0"/>
                <w:sz w:val="20"/>
              </w:rPr>
              <w:t>10.1</w:t>
            </w:r>
          </w:p>
        </w:tc>
        <w:tc>
          <w:tcPr>
            <w:tcW w:type="dxa" w:w="1024"/>
            <w:vAlign w:val="center"/>
          </w:tcPr>
          <w:p>
            <w:pPr>
              <w:keepNext w:val="0"/>
              <w:widowControl/>
              <w:spacing w:before="0" w:after="0" w:line="240" w:lineRule="auto"/>
              <w:jc w:val="center"/>
            </w:pPr>
            <w:r>
              <w:rPr>
                <w:b w:val="0"/>
                <w:sz w:val="20"/>
              </w:rPr>
              <w:t>37.5</w:t>
            </w:r>
          </w:p>
        </w:tc>
        <w:tc>
          <w:tcPr>
            <w:tcW w:type="dxa" w:w="1024"/>
            <w:vAlign w:val="center"/>
          </w:tcPr>
          <w:p>
            <w:pPr>
              <w:keepNext w:val="0"/>
              <w:widowControl/>
              <w:spacing w:before="0" w:after="0" w:line="240" w:lineRule="auto"/>
              <w:jc w:val="center"/>
            </w:pPr>
            <w:r>
              <w:rPr>
                <w:b w:val="0"/>
                <w:sz w:val="20"/>
              </w:rPr>
              <w:t>21.9</w:t>
            </w:r>
          </w:p>
        </w:tc>
        <w:tc>
          <w:tcPr>
            <w:tcW w:type="dxa" w:w="1024"/>
            <w:vAlign w:val="center"/>
          </w:tcPr>
          <w:p>
            <w:pPr>
              <w:keepNext w:val="0"/>
              <w:widowControl/>
              <w:spacing w:before="0" w:after="0" w:line="240" w:lineRule="auto"/>
              <w:jc w:val="center"/>
            </w:pPr>
            <w:r>
              <w:rPr>
                <w:b w:val="0"/>
                <w:sz w:val="20"/>
              </w:rPr>
              <w:t>41.5</w:t>
            </w:r>
          </w:p>
        </w:tc>
        <w:tc>
          <w:tcPr>
            <w:tcW w:type="dxa" w:w="1024"/>
            <w:vAlign w:val="center"/>
          </w:tcPr>
          <w:p>
            <w:pPr>
              <w:keepNext w:val="0"/>
              <w:widowControl/>
              <w:spacing w:before="0" w:after="0" w:line="240" w:lineRule="auto"/>
              <w:jc w:val="center"/>
            </w:pPr>
            <w:r>
              <w:rPr>
                <w:b w:val="0"/>
                <w:sz w:val="20"/>
              </w:rPr>
              <w:t>26.0</w:t>
            </w:r>
          </w:p>
        </w:tc>
      </w:tr>
      <w:tr>
        <w:trPr>
          <w:cantSplit/>
        </w:trPr>
        <w:tc>
          <w:tcPr>
            <w:tcW w:type="dxa" w:w="3197"/>
            <w:vAlign w:val="center"/>
          </w:tcPr>
          <w:p>
            <w:pPr>
              <w:keepNext w:val="0"/>
              <w:widowControl/>
              <w:spacing w:before="0" w:after="0" w:line="240" w:lineRule="auto"/>
              <w:jc w:val="left"/>
            </w:pPr>
            <w:r>
              <w:rPr>
                <w:b w:val="0"/>
                <w:sz w:val="20"/>
              </w:rPr>
              <w:t>Heavy housing cost burden (%)</w:t>
            </w:r>
          </w:p>
        </w:tc>
        <w:tc>
          <w:tcPr>
            <w:tcW w:type="dxa" w:w="1024"/>
            <w:vAlign w:val="center"/>
          </w:tcPr>
          <w:p>
            <w:pPr>
              <w:keepNext w:val="0"/>
              <w:widowControl/>
              <w:spacing w:before="0" w:after="0" w:line="240" w:lineRule="auto"/>
              <w:jc w:val="center"/>
            </w:pPr>
            <w:r>
              <w:rPr>
                <w:b w:val="0"/>
                <w:sz w:val="20"/>
              </w:rPr>
              <w:t>18.8</w:t>
            </w:r>
          </w:p>
        </w:tc>
        <w:tc>
          <w:tcPr>
            <w:tcW w:type="dxa" w:w="1024"/>
            <w:vAlign w:val="center"/>
          </w:tcPr>
          <w:p>
            <w:pPr>
              <w:keepNext w:val="0"/>
              <w:widowControl/>
              <w:spacing w:before="0" w:after="0" w:line="240" w:lineRule="auto"/>
              <w:jc w:val="center"/>
            </w:pPr>
            <w:r>
              <w:rPr>
                <w:b w:val="0"/>
                <w:sz w:val="20"/>
              </w:rPr>
              <w:t>20.7</w:t>
            </w:r>
          </w:p>
        </w:tc>
        <w:tc>
          <w:tcPr>
            <w:tcW w:type="dxa" w:w="1024"/>
            <w:vAlign w:val="center"/>
          </w:tcPr>
          <w:p>
            <w:pPr>
              <w:keepNext w:val="0"/>
              <w:widowControl/>
              <w:spacing w:before="0" w:after="0" w:line="240" w:lineRule="auto"/>
              <w:jc w:val="center"/>
            </w:pPr>
            <w:r>
              <w:rPr>
                <w:b w:val="0"/>
                <w:sz w:val="20"/>
              </w:rPr>
              <w:t>24.8</w:t>
            </w:r>
          </w:p>
        </w:tc>
        <w:tc>
          <w:tcPr>
            <w:tcW w:type="dxa" w:w="1024"/>
            <w:vAlign w:val="center"/>
          </w:tcPr>
          <w:p>
            <w:pPr>
              <w:keepNext w:val="0"/>
              <w:widowControl/>
              <w:spacing w:before="0" w:after="0" w:line="240" w:lineRule="auto"/>
              <w:jc w:val="center"/>
            </w:pPr>
            <w:r>
              <w:rPr>
                <w:b w:val="0"/>
                <w:sz w:val="20"/>
              </w:rPr>
              <w:t>28.4</w:t>
            </w:r>
          </w:p>
        </w:tc>
        <w:tc>
          <w:tcPr>
            <w:tcW w:type="dxa" w:w="1024"/>
            <w:vAlign w:val="center"/>
          </w:tcPr>
          <w:p>
            <w:pPr>
              <w:keepNext w:val="0"/>
              <w:widowControl/>
              <w:spacing w:before="0" w:after="0" w:line="240" w:lineRule="auto"/>
              <w:jc w:val="center"/>
            </w:pPr>
            <w:r>
              <w:rPr>
                <w:b w:val="0"/>
                <w:sz w:val="20"/>
              </w:rPr>
              <w:t>20.3</w:t>
            </w:r>
          </w:p>
        </w:tc>
        <w:tc>
          <w:tcPr>
            <w:tcW w:type="dxa" w:w="1024"/>
            <w:vAlign w:val="center"/>
          </w:tcPr>
          <w:p>
            <w:pPr>
              <w:keepNext w:val="0"/>
              <w:widowControl/>
              <w:spacing w:before="0" w:after="0" w:line="240" w:lineRule="auto"/>
              <w:jc w:val="center"/>
            </w:pPr>
            <w:r>
              <w:rPr>
                <w:b w:val="0"/>
                <w:sz w:val="20"/>
              </w:rPr>
              <w:t>24.5</w:t>
            </w:r>
          </w:p>
        </w:tc>
        <w:tc>
          <w:tcPr>
            <w:tcW w:type="dxa" w:w="1024"/>
            <w:vAlign w:val="center"/>
          </w:tcPr>
          <w:p>
            <w:pPr>
              <w:keepNext w:val="0"/>
              <w:widowControl/>
              <w:spacing w:before="0" w:after="0" w:line="240" w:lineRule="auto"/>
              <w:jc w:val="center"/>
            </w:pPr>
            <w:r>
              <w:rPr>
                <w:b w:val="0"/>
                <w:sz w:val="20"/>
              </w:rPr>
              <w:t>23.2</w:t>
            </w:r>
          </w:p>
        </w:tc>
        <w:tc>
          <w:tcPr>
            <w:tcW w:type="dxa" w:w="1024"/>
            <w:vAlign w:val="center"/>
          </w:tcPr>
          <w:p>
            <w:pPr>
              <w:keepNext w:val="0"/>
              <w:widowControl/>
              <w:spacing w:before="0" w:after="0" w:line="240" w:lineRule="auto"/>
              <w:jc w:val="center"/>
            </w:pPr>
            <w:r>
              <w:rPr>
                <w:b w:val="0"/>
                <w:sz w:val="20"/>
              </w:rPr>
              <w:t>21.7</w:t>
            </w:r>
          </w:p>
        </w:tc>
        <w:tc>
          <w:tcPr>
            <w:tcW w:type="dxa" w:w="1024"/>
            <w:vAlign w:val="center"/>
          </w:tcPr>
          <w:p>
            <w:pPr>
              <w:keepNext w:val="0"/>
              <w:widowControl/>
              <w:spacing w:before="0" w:after="0" w:line="240" w:lineRule="auto"/>
              <w:jc w:val="center"/>
            </w:pPr>
            <w:r>
              <w:rPr>
                <w:b w:val="0"/>
                <w:sz w:val="20"/>
              </w:rPr>
              <w:t>23.1</w:t>
            </w:r>
          </w:p>
        </w:tc>
        <w:tc>
          <w:tcPr>
            <w:tcW w:type="dxa" w:w="1024"/>
            <w:vAlign w:val="center"/>
          </w:tcPr>
          <w:p>
            <w:pPr>
              <w:keepNext w:val="0"/>
              <w:widowControl/>
              <w:spacing w:before="0" w:after="0" w:line="240" w:lineRule="auto"/>
              <w:jc w:val="center"/>
            </w:pPr>
            <w:r>
              <w:rPr>
                <w:b w:val="0"/>
                <w:sz w:val="20"/>
              </w:rPr>
              <w:t>21.2</w:t>
            </w:r>
          </w:p>
        </w:tc>
      </w:tr>
      <w:tr>
        <w:trPr>
          <w:cantSplit/>
        </w:trPr>
        <w:tc>
          <w:tcPr>
            <w:tcW w:type="dxa" w:w="3197"/>
            <w:vAlign w:val="center"/>
          </w:tcPr>
          <w:p>
            <w:pPr>
              <w:keepNext w:val="0"/>
              <w:widowControl/>
              <w:spacing w:before="0" w:after="0" w:line="240" w:lineRule="auto"/>
              <w:jc w:val="left"/>
            </w:pPr>
            <w:r>
              <w:rPr>
                <w:b w:val="0"/>
                <w:sz w:val="20"/>
              </w:rPr>
              <w:t>Rent/debt arrears (%)</w:t>
            </w:r>
          </w:p>
        </w:tc>
        <w:tc>
          <w:tcPr>
            <w:tcW w:type="dxa" w:w="1024"/>
            <w:vAlign w:val="center"/>
          </w:tcPr>
          <w:p>
            <w:pPr>
              <w:keepNext w:val="0"/>
              <w:widowControl/>
              <w:spacing w:before="0" w:after="0" w:line="240" w:lineRule="auto"/>
              <w:jc w:val="center"/>
            </w:pPr>
            <w:r>
              <w:rPr>
                <w:b w:val="0"/>
                <w:sz w:val="20"/>
              </w:rPr>
              <w:t>24.5</w:t>
            </w:r>
          </w:p>
        </w:tc>
        <w:tc>
          <w:tcPr>
            <w:tcW w:type="dxa" w:w="1024"/>
            <w:vAlign w:val="center"/>
          </w:tcPr>
          <w:p>
            <w:pPr>
              <w:keepNext w:val="0"/>
              <w:widowControl/>
              <w:spacing w:before="0" w:after="0" w:line="240" w:lineRule="auto"/>
              <w:jc w:val="center"/>
            </w:pPr>
            <w:r>
              <w:rPr>
                <w:b w:val="0"/>
                <w:sz w:val="20"/>
              </w:rPr>
              <w:t>32.2</w:t>
            </w:r>
          </w:p>
        </w:tc>
        <w:tc>
          <w:tcPr>
            <w:tcW w:type="dxa" w:w="1024"/>
            <w:vAlign w:val="center"/>
          </w:tcPr>
          <w:p>
            <w:pPr>
              <w:keepNext w:val="0"/>
              <w:widowControl/>
              <w:spacing w:before="0" w:after="0" w:line="240" w:lineRule="auto"/>
              <w:jc w:val="center"/>
            </w:pPr>
            <w:r>
              <w:rPr>
                <w:b w:val="0"/>
                <w:sz w:val="20"/>
              </w:rPr>
              <w:t>24.3</w:t>
            </w:r>
          </w:p>
        </w:tc>
        <w:tc>
          <w:tcPr>
            <w:tcW w:type="dxa" w:w="1024"/>
            <w:vAlign w:val="center"/>
          </w:tcPr>
          <w:p>
            <w:pPr>
              <w:keepNext w:val="0"/>
              <w:widowControl/>
              <w:spacing w:before="0" w:after="0" w:line="240" w:lineRule="auto"/>
              <w:jc w:val="center"/>
            </w:pPr>
            <w:r>
              <w:rPr>
                <w:b w:val="0"/>
                <w:sz w:val="20"/>
              </w:rPr>
              <w:t>33.4</w:t>
            </w:r>
          </w:p>
        </w:tc>
        <w:tc>
          <w:tcPr>
            <w:tcW w:type="dxa" w:w="1024"/>
            <w:vAlign w:val="center"/>
          </w:tcPr>
          <w:p>
            <w:pPr>
              <w:keepNext w:val="0"/>
              <w:widowControl/>
              <w:spacing w:before="0" w:after="0" w:line="240" w:lineRule="auto"/>
              <w:jc w:val="center"/>
            </w:pPr>
            <w:r>
              <w:rPr>
                <w:b w:val="0"/>
                <w:sz w:val="20"/>
              </w:rPr>
              <w:t>19.5</w:t>
            </w:r>
          </w:p>
        </w:tc>
        <w:tc>
          <w:tcPr>
            <w:tcW w:type="dxa" w:w="1024"/>
            <w:vAlign w:val="center"/>
          </w:tcPr>
          <w:p>
            <w:pPr>
              <w:keepNext w:val="0"/>
              <w:widowControl/>
              <w:spacing w:before="0" w:after="0" w:line="240" w:lineRule="auto"/>
              <w:jc w:val="center"/>
            </w:pPr>
            <w:r>
              <w:rPr>
                <w:b w:val="0"/>
                <w:sz w:val="20"/>
              </w:rPr>
              <w:t>28.0</w:t>
            </w:r>
          </w:p>
        </w:tc>
        <w:tc>
          <w:tcPr>
            <w:tcW w:type="dxa" w:w="1024"/>
            <w:vAlign w:val="center"/>
          </w:tcPr>
          <w:p>
            <w:pPr>
              <w:keepNext w:val="0"/>
              <w:widowControl/>
              <w:spacing w:before="0" w:after="0" w:line="240" w:lineRule="auto"/>
              <w:jc w:val="center"/>
            </w:pPr>
            <w:r>
              <w:rPr>
                <w:b w:val="0"/>
                <w:sz w:val="20"/>
              </w:rPr>
              <w:t>14.7</w:t>
            </w:r>
          </w:p>
        </w:tc>
        <w:tc>
          <w:tcPr>
            <w:tcW w:type="dxa" w:w="1024"/>
            <w:vAlign w:val="center"/>
          </w:tcPr>
          <w:p>
            <w:pPr>
              <w:keepNext w:val="0"/>
              <w:widowControl/>
              <w:spacing w:before="0" w:after="0" w:line="240" w:lineRule="auto"/>
              <w:jc w:val="center"/>
            </w:pPr>
            <w:r>
              <w:rPr>
                <w:b w:val="0"/>
                <w:sz w:val="20"/>
              </w:rPr>
              <w:t>19.2</w:t>
            </w:r>
          </w:p>
        </w:tc>
        <w:tc>
          <w:tcPr>
            <w:tcW w:type="dxa" w:w="1024"/>
            <w:vAlign w:val="center"/>
          </w:tcPr>
          <w:p>
            <w:pPr>
              <w:keepNext w:val="0"/>
              <w:widowControl/>
              <w:spacing w:before="0" w:after="0" w:line="240" w:lineRule="auto"/>
              <w:jc w:val="center"/>
            </w:pPr>
            <w:r>
              <w:rPr>
                <w:b w:val="0"/>
                <w:sz w:val="20"/>
              </w:rPr>
              <w:t>13.4</w:t>
            </w:r>
          </w:p>
        </w:tc>
        <w:tc>
          <w:tcPr>
            <w:tcW w:type="dxa" w:w="1024"/>
            <w:vAlign w:val="center"/>
          </w:tcPr>
          <w:p>
            <w:pPr>
              <w:keepNext w:val="0"/>
              <w:widowControl/>
              <w:spacing w:before="0" w:after="0" w:line="240" w:lineRule="auto"/>
              <w:jc w:val="center"/>
            </w:pPr>
            <w:r>
              <w:rPr>
                <w:b w:val="0"/>
                <w:sz w:val="20"/>
              </w:rPr>
              <w:t>13.6</w:t>
            </w:r>
          </w:p>
        </w:tc>
      </w:tr>
      <w:tr>
        <w:trPr>
          <w:cantSplit/>
        </w:trPr>
        <w:tc>
          <w:tcPr>
            <w:tcW w:type="dxa" w:w="3197"/>
            <w:vAlign w:val="center"/>
          </w:tcPr>
          <w:p>
            <w:pPr>
              <w:keepNext w:val="0"/>
              <w:widowControl/>
              <w:spacing w:before="0" w:after="0" w:line="240" w:lineRule="auto"/>
              <w:jc w:val="left"/>
            </w:pPr>
            <w:r>
              <w:rPr>
                <w:b w:val="0"/>
                <w:sz w:val="20"/>
              </w:rPr>
              <w:t>Utility arrears (%)</w:t>
            </w:r>
          </w:p>
        </w:tc>
        <w:tc>
          <w:tcPr>
            <w:tcW w:type="dxa" w:w="1024"/>
            <w:vAlign w:val="center"/>
          </w:tcPr>
          <w:p>
            <w:pPr>
              <w:keepNext w:val="0"/>
              <w:widowControl/>
              <w:spacing w:before="0" w:after="0" w:line="240" w:lineRule="auto"/>
              <w:jc w:val="center"/>
            </w:pPr>
            <w:r>
              <w:rPr>
                <w:b w:val="0"/>
                <w:sz w:val="20"/>
              </w:rPr>
              <w:t>25.1</w:t>
            </w:r>
          </w:p>
        </w:tc>
        <w:tc>
          <w:tcPr>
            <w:tcW w:type="dxa" w:w="1024"/>
            <w:vAlign w:val="center"/>
          </w:tcPr>
          <w:p>
            <w:pPr>
              <w:keepNext w:val="0"/>
              <w:widowControl/>
              <w:spacing w:before="0" w:after="0" w:line="240" w:lineRule="auto"/>
              <w:jc w:val="center"/>
            </w:pPr>
            <w:r>
              <w:rPr>
                <w:b w:val="0"/>
                <w:sz w:val="20"/>
              </w:rPr>
              <w:t>29.5</w:t>
            </w:r>
          </w:p>
        </w:tc>
        <w:tc>
          <w:tcPr>
            <w:tcW w:type="dxa" w:w="1024"/>
            <w:vAlign w:val="center"/>
          </w:tcPr>
          <w:p>
            <w:pPr>
              <w:keepNext w:val="0"/>
              <w:widowControl/>
              <w:spacing w:before="0" w:after="0" w:line="240" w:lineRule="auto"/>
              <w:jc w:val="center"/>
            </w:pPr>
            <w:r>
              <w:rPr>
                <w:b w:val="0"/>
                <w:sz w:val="20"/>
              </w:rPr>
              <w:t>25.6</w:t>
            </w:r>
          </w:p>
        </w:tc>
        <w:tc>
          <w:tcPr>
            <w:tcW w:type="dxa" w:w="1024"/>
            <w:vAlign w:val="center"/>
          </w:tcPr>
          <w:p>
            <w:pPr>
              <w:keepNext w:val="0"/>
              <w:widowControl/>
              <w:spacing w:before="0" w:after="0" w:line="240" w:lineRule="auto"/>
              <w:jc w:val="center"/>
            </w:pPr>
            <w:r>
              <w:rPr>
                <w:b w:val="0"/>
                <w:sz w:val="20"/>
              </w:rPr>
              <w:t>29.5</w:t>
            </w:r>
          </w:p>
        </w:tc>
        <w:tc>
          <w:tcPr>
            <w:tcW w:type="dxa" w:w="1024"/>
            <w:vAlign w:val="center"/>
          </w:tcPr>
          <w:p>
            <w:pPr>
              <w:keepNext w:val="0"/>
              <w:widowControl/>
              <w:spacing w:before="0" w:after="0" w:line="240" w:lineRule="auto"/>
              <w:jc w:val="center"/>
            </w:pPr>
            <w:r>
              <w:rPr>
                <w:b w:val="0"/>
                <w:sz w:val="20"/>
              </w:rPr>
              <w:t>18.6</w:t>
            </w:r>
          </w:p>
        </w:tc>
        <w:tc>
          <w:tcPr>
            <w:tcW w:type="dxa" w:w="1024"/>
            <w:vAlign w:val="center"/>
          </w:tcPr>
          <w:p>
            <w:pPr>
              <w:keepNext w:val="0"/>
              <w:widowControl/>
              <w:spacing w:before="0" w:after="0" w:line="240" w:lineRule="auto"/>
              <w:jc w:val="center"/>
            </w:pPr>
            <w:r>
              <w:rPr>
                <w:b w:val="0"/>
                <w:sz w:val="20"/>
              </w:rPr>
              <w:t>23.2</w:t>
            </w:r>
          </w:p>
        </w:tc>
        <w:tc>
          <w:tcPr>
            <w:tcW w:type="dxa" w:w="1024"/>
            <w:vAlign w:val="center"/>
          </w:tcPr>
          <w:p>
            <w:pPr>
              <w:keepNext w:val="0"/>
              <w:widowControl/>
              <w:spacing w:before="0" w:after="0" w:line="240" w:lineRule="auto"/>
              <w:jc w:val="center"/>
            </w:pPr>
            <w:r>
              <w:rPr>
                <w:b w:val="0"/>
                <w:sz w:val="20"/>
              </w:rPr>
              <w:t>15.0</w:t>
            </w:r>
          </w:p>
        </w:tc>
        <w:tc>
          <w:tcPr>
            <w:tcW w:type="dxa" w:w="1024"/>
            <w:vAlign w:val="center"/>
          </w:tcPr>
          <w:p>
            <w:pPr>
              <w:keepNext w:val="0"/>
              <w:widowControl/>
              <w:spacing w:before="0" w:after="0" w:line="240" w:lineRule="auto"/>
              <w:jc w:val="center"/>
            </w:pPr>
            <w:r>
              <w:rPr>
                <w:b w:val="0"/>
                <w:sz w:val="20"/>
              </w:rPr>
              <w:t>19.2</w:t>
            </w:r>
          </w:p>
        </w:tc>
        <w:tc>
          <w:tcPr>
            <w:tcW w:type="dxa" w:w="1024"/>
            <w:vAlign w:val="center"/>
          </w:tcPr>
          <w:p>
            <w:pPr>
              <w:keepNext w:val="0"/>
              <w:widowControl/>
              <w:spacing w:before="0" w:after="0" w:line="240" w:lineRule="auto"/>
              <w:jc w:val="center"/>
            </w:pPr>
            <w:r>
              <w:rPr>
                <w:b w:val="0"/>
                <w:sz w:val="20"/>
              </w:rPr>
              <w:t>21.6</w:t>
            </w:r>
          </w:p>
        </w:tc>
        <w:tc>
          <w:tcPr>
            <w:tcW w:type="dxa" w:w="1024"/>
            <w:vAlign w:val="center"/>
          </w:tcPr>
          <w:p>
            <w:pPr>
              <w:keepNext w:val="0"/>
              <w:widowControl/>
              <w:spacing w:before="0" w:after="0" w:line="240" w:lineRule="auto"/>
              <w:jc w:val="center"/>
            </w:pPr>
            <w:r>
              <w:rPr>
                <w:b w:val="0"/>
                <w:sz w:val="20"/>
              </w:rPr>
              <w:t>22.2</w:t>
            </w:r>
          </w:p>
        </w:tc>
      </w:tr>
      <w:tr>
        <w:trPr>
          <w:cantSplit/>
        </w:trPr>
        <w:tc>
          <w:tcPr>
            <w:tcW w:type="dxa" w:w="3197"/>
            <w:vAlign w:val="center"/>
          </w:tcPr>
          <w:p>
            <w:pPr>
              <w:keepNext w:val="0"/>
              <w:widowControl/>
              <w:spacing w:before="0" w:after="0" w:line="240" w:lineRule="auto"/>
              <w:jc w:val="left"/>
            </w:pPr>
            <w:r>
              <w:rPr>
                <w:b w:val="0"/>
                <w:sz w:val="20"/>
              </w:rPr>
              <w:t>Difficulty making ends meet (%)</w:t>
            </w:r>
          </w:p>
        </w:tc>
        <w:tc>
          <w:tcPr>
            <w:tcW w:type="dxa" w:w="1024"/>
            <w:vAlign w:val="center"/>
          </w:tcPr>
          <w:p>
            <w:pPr>
              <w:keepNext w:val="0"/>
              <w:widowControl/>
              <w:spacing w:before="0" w:after="0" w:line="240" w:lineRule="auto"/>
              <w:jc w:val="center"/>
            </w:pPr>
            <w:r>
              <w:rPr>
                <w:b w:val="0"/>
                <w:sz w:val="20"/>
              </w:rPr>
              <w:t>24.6</w:t>
            </w:r>
          </w:p>
        </w:tc>
        <w:tc>
          <w:tcPr>
            <w:tcW w:type="dxa" w:w="1024"/>
            <w:vAlign w:val="center"/>
          </w:tcPr>
          <w:p>
            <w:pPr>
              <w:keepNext w:val="0"/>
              <w:widowControl/>
              <w:spacing w:before="0" w:after="0" w:line="240" w:lineRule="auto"/>
              <w:jc w:val="center"/>
            </w:pPr>
            <w:r>
              <w:rPr>
                <w:b w:val="0"/>
                <w:sz w:val="20"/>
              </w:rPr>
              <w:t>23.7</w:t>
            </w:r>
          </w:p>
        </w:tc>
        <w:tc>
          <w:tcPr>
            <w:tcW w:type="dxa" w:w="1024"/>
            <w:vAlign w:val="center"/>
          </w:tcPr>
          <w:p>
            <w:pPr>
              <w:keepNext w:val="0"/>
              <w:widowControl/>
              <w:spacing w:before="0" w:after="0" w:line="240" w:lineRule="auto"/>
              <w:jc w:val="center"/>
            </w:pPr>
            <w:r>
              <w:rPr>
                <w:b w:val="0"/>
                <w:sz w:val="20"/>
              </w:rPr>
              <w:t>33.3</w:t>
            </w:r>
          </w:p>
        </w:tc>
        <w:tc>
          <w:tcPr>
            <w:tcW w:type="dxa" w:w="1024"/>
            <w:vAlign w:val="center"/>
          </w:tcPr>
          <w:p>
            <w:pPr>
              <w:keepNext w:val="0"/>
              <w:widowControl/>
              <w:spacing w:before="0" w:after="0" w:line="240" w:lineRule="auto"/>
              <w:jc w:val="center"/>
            </w:pPr>
            <w:r>
              <w:rPr>
                <w:b w:val="0"/>
                <w:sz w:val="20"/>
              </w:rPr>
              <w:t>33.9</w:t>
            </w:r>
          </w:p>
        </w:tc>
        <w:tc>
          <w:tcPr>
            <w:tcW w:type="dxa" w:w="1024"/>
            <w:vAlign w:val="center"/>
          </w:tcPr>
          <w:p>
            <w:pPr>
              <w:keepNext w:val="0"/>
              <w:widowControl/>
              <w:spacing w:before="0" w:after="0" w:line="240" w:lineRule="auto"/>
              <w:jc w:val="center"/>
            </w:pPr>
            <w:r>
              <w:rPr>
                <w:b w:val="0"/>
                <w:sz w:val="20"/>
              </w:rPr>
              <w:t>36.4</w:t>
            </w:r>
          </w:p>
        </w:tc>
        <w:tc>
          <w:tcPr>
            <w:tcW w:type="dxa" w:w="1024"/>
            <w:vAlign w:val="center"/>
          </w:tcPr>
          <w:p>
            <w:pPr>
              <w:keepNext w:val="0"/>
              <w:widowControl/>
              <w:spacing w:before="0" w:after="0" w:line="240" w:lineRule="auto"/>
              <w:jc w:val="center"/>
            </w:pPr>
            <w:r>
              <w:rPr>
                <w:b w:val="0"/>
                <w:sz w:val="20"/>
              </w:rPr>
              <w:t>38.3</w:t>
            </w:r>
          </w:p>
        </w:tc>
        <w:tc>
          <w:tcPr>
            <w:tcW w:type="dxa" w:w="1024"/>
            <w:vAlign w:val="center"/>
          </w:tcPr>
          <w:p>
            <w:pPr>
              <w:keepNext w:val="0"/>
              <w:widowControl/>
              <w:spacing w:before="0" w:after="0" w:line="240" w:lineRule="auto"/>
              <w:jc w:val="center"/>
            </w:pPr>
            <w:r>
              <w:rPr>
                <w:b w:val="0"/>
                <w:sz w:val="20"/>
              </w:rPr>
              <w:t>35.6</w:t>
            </w:r>
          </w:p>
        </w:tc>
        <w:tc>
          <w:tcPr>
            <w:tcW w:type="dxa" w:w="1024"/>
            <w:vAlign w:val="center"/>
          </w:tcPr>
          <w:p>
            <w:pPr>
              <w:keepNext w:val="0"/>
              <w:widowControl/>
              <w:spacing w:before="0" w:after="0" w:line="240" w:lineRule="auto"/>
              <w:jc w:val="center"/>
            </w:pPr>
            <w:r>
              <w:rPr>
                <w:b w:val="0"/>
                <w:sz w:val="20"/>
              </w:rPr>
              <w:t>37.8</w:t>
            </w:r>
          </w:p>
        </w:tc>
        <w:tc>
          <w:tcPr>
            <w:tcW w:type="dxa" w:w="1024"/>
            <w:vAlign w:val="center"/>
          </w:tcPr>
          <w:p>
            <w:pPr>
              <w:keepNext w:val="0"/>
              <w:widowControl/>
              <w:spacing w:before="0" w:after="0" w:line="240" w:lineRule="auto"/>
              <w:jc w:val="center"/>
            </w:pPr>
            <w:r>
              <w:rPr>
                <w:b w:val="0"/>
                <w:sz w:val="20"/>
              </w:rPr>
              <w:t>34.6</w:t>
            </w:r>
          </w:p>
        </w:tc>
        <w:tc>
          <w:tcPr>
            <w:tcW w:type="dxa" w:w="1024"/>
            <w:vAlign w:val="center"/>
          </w:tcPr>
          <w:p>
            <w:pPr>
              <w:keepNext w:val="0"/>
              <w:widowControl/>
              <w:spacing w:before="0" w:after="0" w:line="240" w:lineRule="auto"/>
              <w:jc w:val="center"/>
            </w:pPr>
            <w:r>
              <w:rPr>
                <w:b w:val="0"/>
                <w:sz w:val="20"/>
              </w:rPr>
              <w:t>38.8</w:t>
            </w:r>
          </w:p>
        </w:tc>
      </w:tr>
      <w:tr>
        <w:trPr>
          <w:cantSplit/>
        </w:trPr>
        <w:tc>
          <w:tcPr>
            <w:tcW w:type="dxa" w:w="3197"/>
            <w:vAlign w:val="center"/>
          </w:tcPr>
          <w:p>
            <w:pPr>
              <w:keepNext w:val="0"/>
              <w:widowControl/>
              <w:spacing w:before="0" w:after="0" w:line="240" w:lineRule="auto"/>
              <w:jc w:val="left"/>
            </w:pPr>
            <w:r>
              <w:rPr>
                <w:b w:val="0"/>
                <w:sz w:val="20"/>
              </w:rPr>
              <w:t>Median equivalised income (TRY, previous year)</w:t>
            </w:r>
          </w:p>
        </w:tc>
        <w:tc>
          <w:tcPr>
            <w:tcW w:type="dxa" w:w="1024"/>
            <w:vAlign w:val="center"/>
          </w:tcPr>
          <w:p>
            <w:pPr>
              <w:keepNext w:val="0"/>
              <w:widowControl/>
              <w:spacing w:before="0" w:after="0" w:line="240" w:lineRule="auto"/>
              <w:jc w:val="center"/>
            </w:pPr>
            <w:r>
              <w:rPr>
                <w:b w:val="0"/>
                <w:sz w:val="20"/>
              </w:rPr>
              <w:t>20,900</w:t>
            </w:r>
          </w:p>
        </w:tc>
        <w:tc>
          <w:tcPr>
            <w:tcW w:type="dxa" w:w="1024"/>
            <w:vAlign w:val="center"/>
          </w:tcPr>
          <w:p>
            <w:pPr>
              <w:keepNext w:val="0"/>
              <w:widowControl/>
              <w:spacing w:before="0" w:after="0" w:line="240" w:lineRule="auto"/>
              <w:jc w:val="center"/>
            </w:pPr>
            <w:r>
              <w:rPr>
                <w:b w:val="0"/>
                <w:sz w:val="20"/>
              </w:rPr>
              <w:t>19,904</w:t>
            </w:r>
          </w:p>
        </w:tc>
        <w:tc>
          <w:tcPr>
            <w:tcW w:type="dxa" w:w="1024"/>
            <w:vAlign w:val="center"/>
          </w:tcPr>
          <w:p>
            <w:pPr>
              <w:keepNext w:val="0"/>
              <w:widowControl/>
              <w:spacing w:before="0" w:after="0" w:line="240" w:lineRule="auto"/>
              <w:jc w:val="center"/>
            </w:pPr>
            <w:r>
              <w:rPr>
                <w:b w:val="0"/>
                <w:sz w:val="20"/>
              </w:rPr>
              <w:t>33,048</w:t>
            </w:r>
          </w:p>
        </w:tc>
        <w:tc>
          <w:tcPr>
            <w:tcW w:type="dxa" w:w="1024"/>
            <w:vAlign w:val="center"/>
          </w:tcPr>
          <w:p>
            <w:pPr>
              <w:keepNext w:val="0"/>
              <w:widowControl/>
              <w:spacing w:before="0" w:after="0" w:line="240" w:lineRule="auto"/>
              <w:jc w:val="center"/>
            </w:pPr>
            <w:r>
              <w:rPr>
                <w:b w:val="0"/>
                <w:sz w:val="20"/>
              </w:rPr>
              <w:t>29,486</w:t>
            </w:r>
          </w:p>
        </w:tc>
        <w:tc>
          <w:tcPr>
            <w:tcW w:type="dxa" w:w="1024"/>
            <w:vAlign w:val="center"/>
          </w:tcPr>
          <w:p>
            <w:pPr>
              <w:keepNext w:val="0"/>
              <w:widowControl/>
              <w:spacing w:before="0" w:after="0" w:line="240" w:lineRule="auto"/>
              <w:jc w:val="center"/>
            </w:pPr>
            <w:r>
              <w:rPr>
                <w:b w:val="0"/>
                <w:sz w:val="20"/>
              </w:rPr>
              <w:t>40,303</w:t>
            </w:r>
          </w:p>
        </w:tc>
        <w:tc>
          <w:tcPr>
            <w:tcW w:type="dxa" w:w="1024"/>
            <w:vAlign w:val="center"/>
          </w:tcPr>
          <w:p>
            <w:pPr>
              <w:keepNext w:val="0"/>
              <w:widowControl/>
              <w:spacing w:before="0" w:after="0" w:line="240" w:lineRule="auto"/>
              <w:jc w:val="center"/>
            </w:pPr>
            <w:r>
              <w:rPr>
                <w:b w:val="0"/>
                <w:sz w:val="20"/>
              </w:rPr>
              <w:t>37,709</w:t>
            </w:r>
          </w:p>
        </w:tc>
        <w:tc>
          <w:tcPr>
            <w:tcW w:type="dxa" w:w="1024"/>
            <w:vAlign w:val="center"/>
          </w:tcPr>
          <w:p>
            <w:pPr>
              <w:keepNext w:val="0"/>
              <w:widowControl/>
              <w:spacing w:before="0" w:after="0" w:line="240" w:lineRule="auto"/>
              <w:jc w:val="center"/>
            </w:pPr>
            <w:r>
              <w:rPr>
                <w:b w:val="0"/>
                <w:sz w:val="20"/>
              </w:rPr>
              <w:t>107,198</w:t>
            </w:r>
          </w:p>
        </w:tc>
        <w:tc>
          <w:tcPr>
            <w:tcW w:type="dxa" w:w="1024"/>
            <w:vAlign w:val="center"/>
          </w:tcPr>
          <w:p>
            <w:pPr>
              <w:keepNext w:val="0"/>
              <w:widowControl/>
              <w:spacing w:before="0" w:after="0" w:line="240" w:lineRule="auto"/>
              <w:jc w:val="center"/>
            </w:pPr>
            <w:r>
              <w:rPr>
                <w:b w:val="0"/>
                <w:sz w:val="20"/>
              </w:rPr>
              <w:t>99,123</w:t>
            </w:r>
          </w:p>
        </w:tc>
        <w:tc>
          <w:tcPr>
            <w:tcW w:type="dxa" w:w="1024"/>
            <w:vAlign w:val="center"/>
          </w:tcPr>
          <w:p>
            <w:pPr>
              <w:keepNext w:val="0"/>
              <w:widowControl/>
              <w:spacing w:before="0" w:after="0" w:line="240" w:lineRule="auto"/>
              <w:jc w:val="center"/>
            </w:pPr>
            <w:r>
              <w:rPr>
                <w:b w:val="0"/>
                <w:sz w:val="20"/>
              </w:rPr>
              <w:t>264,788</w:t>
            </w:r>
          </w:p>
        </w:tc>
        <w:tc>
          <w:tcPr>
            <w:tcW w:type="dxa" w:w="1024"/>
            <w:vAlign w:val="center"/>
          </w:tcPr>
          <w:p>
            <w:pPr>
              <w:keepNext w:val="0"/>
              <w:widowControl/>
              <w:spacing w:before="0" w:after="0" w:line="240" w:lineRule="auto"/>
              <w:jc w:val="center"/>
            </w:pPr>
            <w:r>
              <w:rPr>
                <w:b w:val="0"/>
                <w:sz w:val="20"/>
              </w:rPr>
              <w:t>260,713</w:t>
            </w:r>
          </w:p>
        </w:tc>
      </w:tr>
      <w:tr>
        <w:trPr>
          <w:cantSplit/>
        </w:trPr>
        <w:tc>
          <w:tcPr>
            <w:tcW w:type="dxa" w:w="3197"/>
            <w:vAlign w:val="center"/>
          </w:tcPr>
          <w:p>
            <w:pPr>
              <w:keepNext w:val="0"/>
              <w:widowControl/>
              <w:spacing w:before="0" w:after="0" w:line="240" w:lineRule="auto"/>
              <w:jc w:val="left"/>
            </w:pPr>
            <w:r>
              <w:rPr>
                <w:b w:val="0"/>
                <w:sz w:val="20"/>
              </w:rPr>
              <w:t>Number of rooms</w:t>
            </w:r>
          </w:p>
        </w:tc>
        <w:tc>
          <w:tcPr>
            <w:tcW w:type="dxa" w:w="1024"/>
            <w:vAlign w:val="center"/>
          </w:tcPr>
          <w:p>
            <w:pPr>
              <w:keepNext w:val="0"/>
              <w:widowControl/>
              <w:spacing w:before="0" w:after="0" w:line="240" w:lineRule="auto"/>
              <w:jc w:val="center"/>
            </w:pPr>
            <w:r>
              <w:rPr>
                <w:b w:val="0"/>
                <w:sz w:val="20"/>
              </w:rPr>
              <w:t>3.39</w:t>
            </w:r>
          </w:p>
        </w:tc>
        <w:tc>
          <w:tcPr>
            <w:tcW w:type="dxa" w:w="1024"/>
            <w:vAlign w:val="center"/>
          </w:tcPr>
          <w:p>
            <w:pPr>
              <w:keepNext w:val="0"/>
              <w:widowControl/>
              <w:spacing w:before="0" w:after="0" w:line="240" w:lineRule="auto"/>
              <w:jc w:val="center"/>
            </w:pPr>
            <w:r>
              <w:rPr>
                <w:b w:val="0"/>
                <w:sz w:val="20"/>
              </w:rPr>
              <w:t>3.45</w:t>
            </w:r>
          </w:p>
        </w:tc>
        <w:tc>
          <w:tcPr>
            <w:tcW w:type="dxa" w:w="1024"/>
            <w:vAlign w:val="center"/>
          </w:tcPr>
          <w:p>
            <w:pPr>
              <w:keepNext w:val="0"/>
              <w:widowControl/>
              <w:spacing w:before="0" w:after="0" w:line="240" w:lineRule="auto"/>
              <w:jc w:val="center"/>
            </w:pPr>
            <w:r>
              <w:rPr>
                <w:b w:val="0"/>
                <w:sz w:val="20"/>
              </w:rPr>
              <w:t>3.36</w:t>
            </w:r>
          </w:p>
        </w:tc>
        <w:tc>
          <w:tcPr>
            <w:tcW w:type="dxa" w:w="1024"/>
            <w:vAlign w:val="center"/>
          </w:tcPr>
          <w:p>
            <w:pPr>
              <w:keepNext w:val="0"/>
              <w:widowControl/>
              <w:spacing w:before="0" w:after="0" w:line="240" w:lineRule="auto"/>
              <w:jc w:val="center"/>
            </w:pPr>
            <w:r>
              <w:rPr>
                <w:b w:val="0"/>
                <w:sz w:val="20"/>
              </w:rPr>
              <w:t>3.43</w:t>
            </w:r>
          </w:p>
        </w:tc>
        <w:tc>
          <w:tcPr>
            <w:tcW w:type="dxa" w:w="1024"/>
            <w:vAlign w:val="center"/>
          </w:tcPr>
          <w:p>
            <w:pPr>
              <w:keepNext w:val="0"/>
              <w:widowControl/>
              <w:spacing w:before="0" w:after="0" w:line="240" w:lineRule="auto"/>
              <w:jc w:val="center"/>
            </w:pPr>
            <w:r>
              <w:rPr>
                <w:b w:val="0"/>
                <w:sz w:val="20"/>
              </w:rPr>
              <w:t>3.25</w:t>
            </w:r>
          </w:p>
        </w:tc>
        <w:tc>
          <w:tcPr>
            <w:tcW w:type="dxa" w:w="1024"/>
            <w:vAlign w:val="center"/>
          </w:tcPr>
          <w:p>
            <w:pPr>
              <w:keepNext w:val="0"/>
              <w:widowControl/>
              <w:spacing w:before="0" w:after="0" w:line="240" w:lineRule="auto"/>
              <w:jc w:val="center"/>
            </w:pPr>
            <w:r>
              <w:rPr>
                <w:b w:val="0"/>
                <w:sz w:val="20"/>
              </w:rPr>
              <w:t>3.42</w:t>
            </w:r>
          </w:p>
        </w:tc>
        <w:tc>
          <w:tcPr>
            <w:tcW w:type="dxa" w:w="1024"/>
            <w:vAlign w:val="center"/>
          </w:tcPr>
          <w:p>
            <w:pPr>
              <w:keepNext w:val="0"/>
              <w:widowControl/>
              <w:spacing w:before="0" w:after="0" w:line="240" w:lineRule="auto"/>
              <w:jc w:val="center"/>
            </w:pPr>
            <w:r>
              <w:rPr>
                <w:b w:val="0"/>
                <w:sz w:val="20"/>
              </w:rPr>
              <w:t>3.29</w:t>
            </w:r>
          </w:p>
        </w:tc>
        <w:tc>
          <w:tcPr>
            <w:tcW w:type="dxa" w:w="1024"/>
            <w:vAlign w:val="center"/>
          </w:tcPr>
          <w:p>
            <w:pPr>
              <w:keepNext w:val="0"/>
              <w:widowControl/>
              <w:spacing w:before="0" w:after="0" w:line="240" w:lineRule="auto"/>
              <w:jc w:val="center"/>
            </w:pPr>
            <w:r>
              <w:rPr>
                <w:b w:val="0"/>
                <w:sz w:val="20"/>
              </w:rPr>
              <w:t>3.39</w:t>
            </w:r>
          </w:p>
        </w:tc>
        <w:tc>
          <w:tcPr>
            <w:tcW w:type="dxa" w:w="1024"/>
            <w:vAlign w:val="center"/>
          </w:tcPr>
          <w:p>
            <w:pPr>
              <w:keepNext w:val="0"/>
              <w:widowControl/>
              <w:spacing w:before="0" w:after="0" w:line="240" w:lineRule="auto"/>
              <w:jc w:val="center"/>
            </w:pPr>
            <w:r>
              <w:rPr>
                <w:b w:val="0"/>
                <w:sz w:val="20"/>
              </w:rPr>
              <w:t>3.30</w:t>
            </w:r>
          </w:p>
        </w:tc>
        <w:tc>
          <w:tcPr>
            <w:tcW w:type="dxa" w:w="1024"/>
            <w:vAlign w:val="center"/>
          </w:tcPr>
          <w:p>
            <w:pPr>
              <w:keepNext w:val="0"/>
              <w:widowControl/>
              <w:spacing w:before="0" w:after="0" w:line="240" w:lineRule="auto"/>
              <w:jc w:val="center"/>
            </w:pPr>
            <w:r>
              <w:rPr>
                <w:b w:val="0"/>
                <w:sz w:val="20"/>
              </w:rPr>
              <w:t>3.40</w:t>
            </w:r>
          </w:p>
        </w:tc>
      </w:tr>
      <w:tr>
        <w:trPr>
          <w:cantSplit/>
        </w:trPr>
        <w:tc>
          <w:tcPr>
            <w:tcW w:type="dxa" w:w="3197"/>
            <w:vAlign w:val="center"/>
          </w:tcPr>
          <w:p>
            <w:pPr>
              <w:keepNext w:val="0"/>
              <w:widowControl/>
              <w:spacing w:before="0" w:after="0" w:line="240" w:lineRule="auto"/>
              <w:jc w:val="left"/>
            </w:pPr>
            <w:r>
              <w:rPr>
                <w:b w:val="0"/>
                <w:sz w:val="20"/>
              </w:rPr>
              <w:t>Dwelling area (m²)</w:t>
            </w:r>
          </w:p>
        </w:tc>
        <w:tc>
          <w:tcPr>
            <w:tcW w:type="dxa" w:w="1024"/>
            <w:vAlign w:val="center"/>
          </w:tcPr>
          <w:p>
            <w:pPr>
              <w:keepNext w:val="0"/>
              <w:widowControl/>
              <w:spacing w:before="0" w:after="0" w:line="240" w:lineRule="auto"/>
              <w:jc w:val="center"/>
            </w:pPr>
            <w:r>
              <w:rPr>
                <w:b w:val="0"/>
                <w:sz w:val="20"/>
              </w:rPr>
              <w:t>105.0</w:t>
            </w:r>
          </w:p>
        </w:tc>
        <w:tc>
          <w:tcPr>
            <w:tcW w:type="dxa" w:w="1024"/>
            <w:vAlign w:val="center"/>
          </w:tcPr>
          <w:p>
            <w:pPr>
              <w:keepNext w:val="0"/>
              <w:widowControl/>
              <w:spacing w:before="0" w:after="0" w:line="240" w:lineRule="auto"/>
              <w:jc w:val="center"/>
            </w:pPr>
            <w:r>
              <w:rPr>
                <w:b w:val="0"/>
                <w:sz w:val="20"/>
              </w:rPr>
              <w:t>104.9</w:t>
            </w:r>
          </w:p>
        </w:tc>
        <w:tc>
          <w:tcPr>
            <w:tcW w:type="dxa" w:w="1024"/>
            <w:vAlign w:val="center"/>
          </w:tcPr>
          <w:p>
            <w:pPr>
              <w:keepNext w:val="0"/>
              <w:widowControl/>
              <w:spacing w:before="0" w:after="0" w:line="240" w:lineRule="auto"/>
              <w:jc w:val="center"/>
            </w:pPr>
            <w:r>
              <w:rPr>
                <w:b w:val="0"/>
                <w:sz w:val="20"/>
              </w:rPr>
              <w:t>105.0</w:t>
            </w:r>
          </w:p>
        </w:tc>
        <w:tc>
          <w:tcPr>
            <w:tcW w:type="dxa" w:w="1024"/>
            <w:vAlign w:val="center"/>
          </w:tcPr>
          <w:p>
            <w:pPr>
              <w:keepNext w:val="0"/>
              <w:widowControl/>
              <w:spacing w:before="0" w:after="0" w:line="240" w:lineRule="auto"/>
              <w:jc w:val="center"/>
            </w:pPr>
            <w:r>
              <w:rPr>
                <w:b w:val="0"/>
                <w:sz w:val="20"/>
              </w:rPr>
              <w:t>105.2</w:t>
            </w:r>
          </w:p>
        </w:tc>
        <w:tc>
          <w:tcPr>
            <w:tcW w:type="dxa" w:w="1024"/>
            <w:vAlign w:val="center"/>
          </w:tcPr>
          <w:p>
            <w:pPr>
              <w:keepNext w:val="0"/>
              <w:widowControl/>
              <w:spacing w:before="0" w:after="0" w:line="240" w:lineRule="auto"/>
              <w:jc w:val="center"/>
            </w:pPr>
            <w:r>
              <w:rPr>
                <w:b w:val="0"/>
                <w:sz w:val="20"/>
              </w:rPr>
              <w:t>101.7</w:t>
            </w:r>
          </w:p>
        </w:tc>
        <w:tc>
          <w:tcPr>
            <w:tcW w:type="dxa" w:w="1024"/>
            <w:vAlign w:val="center"/>
          </w:tcPr>
          <w:p>
            <w:pPr>
              <w:keepNext w:val="0"/>
              <w:widowControl/>
              <w:spacing w:before="0" w:after="0" w:line="240" w:lineRule="auto"/>
              <w:jc w:val="center"/>
            </w:pPr>
            <w:r>
              <w:rPr>
                <w:b w:val="0"/>
                <w:sz w:val="20"/>
              </w:rPr>
              <w:t>105.1</w:t>
            </w:r>
          </w:p>
        </w:tc>
        <w:tc>
          <w:tcPr>
            <w:tcW w:type="dxa" w:w="1024"/>
            <w:vAlign w:val="center"/>
          </w:tcPr>
          <w:p>
            <w:pPr>
              <w:keepNext w:val="0"/>
              <w:widowControl/>
              <w:spacing w:before="0" w:after="0" w:line="240" w:lineRule="auto"/>
              <w:jc w:val="center"/>
            </w:pPr>
            <w:r>
              <w:rPr>
                <w:b w:val="0"/>
                <w:sz w:val="20"/>
              </w:rPr>
              <w:t>103.1</w:t>
            </w:r>
          </w:p>
        </w:tc>
        <w:tc>
          <w:tcPr>
            <w:tcW w:type="dxa" w:w="1024"/>
            <w:vAlign w:val="center"/>
          </w:tcPr>
          <w:p>
            <w:pPr>
              <w:keepNext w:val="0"/>
              <w:widowControl/>
              <w:spacing w:before="0" w:after="0" w:line="240" w:lineRule="auto"/>
              <w:jc w:val="center"/>
            </w:pPr>
            <w:r>
              <w:rPr>
                <w:b w:val="0"/>
                <w:sz w:val="20"/>
              </w:rPr>
              <w:t>104.3</w:t>
            </w:r>
          </w:p>
        </w:tc>
        <w:tc>
          <w:tcPr>
            <w:tcW w:type="dxa" w:w="1024"/>
            <w:vAlign w:val="center"/>
          </w:tcPr>
          <w:p>
            <w:pPr>
              <w:keepNext w:val="0"/>
              <w:widowControl/>
              <w:spacing w:before="0" w:after="0" w:line="240" w:lineRule="auto"/>
              <w:jc w:val="center"/>
            </w:pPr>
            <w:r>
              <w:rPr>
                <w:b w:val="0"/>
                <w:sz w:val="20"/>
              </w:rPr>
              <w:t>102.7</w:t>
            </w:r>
          </w:p>
        </w:tc>
        <w:tc>
          <w:tcPr>
            <w:tcW w:type="dxa" w:w="1024"/>
            <w:vAlign w:val="center"/>
          </w:tcPr>
          <w:p>
            <w:pPr>
              <w:keepNext w:val="0"/>
              <w:widowControl/>
              <w:spacing w:before="0" w:after="0" w:line="240" w:lineRule="auto"/>
              <w:jc w:val="center"/>
            </w:pPr>
            <w:r>
              <w:rPr>
                <w:b w:val="0"/>
                <w:sz w:val="20"/>
              </w:rPr>
              <w:t>105.1</w:t>
            </w:r>
          </w:p>
        </w:tc>
      </w:tr>
      <w:tr>
        <w:trPr>
          <w:cantSplit/>
        </w:trPr>
        <w:tc>
          <w:tcPr>
            <w:tcW w:type="dxa" w:w="3197"/>
            <w:vAlign w:val="center"/>
          </w:tcPr>
          <w:p>
            <w:pPr>
              <w:keepNext w:val="0"/>
              <w:widowControl/>
              <w:spacing w:before="0" w:after="0" w:line="240" w:lineRule="auto"/>
              <w:jc w:val="left"/>
            </w:pPr>
            <w:r>
              <w:rPr>
                <w:b w:val="0"/>
                <w:sz w:val="20"/>
              </w:rPr>
              <w:t>Household size</w:t>
            </w:r>
          </w:p>
        </w:tc>
        <w:tc>
          <w:tcPr>
            <w:tcW w:type="dxa" w:w="1024"/>
            <w:vAlign w:val="center"/>
          </w:tcPr>
          <w:p>
            <w:pPr>
              <w:keepNext w:val="0"/>
              <w:widowControl/>
              <w:spacing w:before="0" w:after="0" w:line="240" w:lineRule="auto"/>
              <w:jc w:val="center"/>
            </w:pPr>
            <w:r>
              <w:rPr>
                <w:b w:val="0"/>
                <w:sz w:val="20"/>
              </w:rPr>
              <w:t>2.89</w:t>
            </w:r>
          </w:p>
        </w:tc>
        <w:tc>
          <w:tcPr>
            <w:tcW w:type="dxa" w:w="1024"/>
            <w:vAlign w:val="center"/>
          </w:tcPr>
          <w:p>
            <w:pPr>
              <w:keepNext w:val="0"/>
              <w:widowControl/>
              <w:spacing w:before="0" w:after="0" w:line="240" w:lineRule="auto"/>
              <w:jc w:val="center"/>
            </w:pPr>
            <w:r>
              <w:rPr>
                <w:b w:val="0"/>
                <w:sz w:val="20"/>
              </w:rPr>
              <w:t>3.36</w:t>
            </w:r>
          </w:p>
        </w:tc>
        <w:tc>
          <w:tcPr>
            <w:tcW w:type="dxa" w:w="1024"/>
            <w:vAlign w:val="center"/>
          </w:tcPr>
          <w:p>
            <w:pPr>
              <w:keepNext w:val="0"/>
              <w:widowControl/>
              <w:spacing w:before="0" w:after="0" w:line="240" w:lineRule="auto"/>
              <w:jc w:val="center"/>
            </w:pPr>
            <w:r>
              <w:rPr>
                <w:b w:val="0"/>
                <w:sz w:val="20"/>
              </w:rPr>
              <w:t>2.75</w:t>
            </w:r>
          </w:p>
        </w:tc>
        <w:tc>
          <w:tcPr>
            <w:tcW w:type="dxa" w:w="1024"/>
            <w:vAlign w:val="center"/>
          </w:tcPr>
          <w:p>
            <w:pPr>
              <w:keepNext w:val="0"/>
              <w:widowControl/>
              <w:spacing w:before="0" w:after="0" w:line="240" w:lineRule="auto"/>
              <w:jc w:val="center"/>
            </w:pPr>
            <w:r>
              <w:rPr>
                <w:b w:val="0"/>
                <w:sz w:val="20"/>
              </w:rPr>
              <w:t>3.20</w:t>
            </w:r>
          </w:p>
        </w:tc>
        <w:tc>
          <w:tcPr>
            <w:tcW w:type="dxa" w:w="1024"/>
            <w:vAlign w:val="center"/>
          </w:tcPr>
          <w:p>
            <w:pPr>
              <w:keepNext w:val="0"/>
              <w:widowControl/>
              <w:spacing w:before="0" w:after="0" w:line="240" w:lineRule="auto"/>
              <w:jc w:val="center"/>
            </w:pPr>
            <w:r>
              <w:rPr>
                <w:b w:val="0"/>
                <w:sz w:val="20"/>
              </w:rPr>
              <w:t>2.59</w:t>
            </w:r>
          </w:p>
        </w:tc>
        <w:tc>
          <w:tcPr>
            <w:tcW w:type="dxa" w:w="1024"/>
            <w:vAlign w:val="center"/>
          </w:tcPr>
          <w:p>
            <w:pPr>
              <w:keepNext w:val="0"/>
              <w:widowControl/>
              <w:spacing w:before="0" w:after="0" w:line="240" w:lineRule="auto"/>
              <w:jc w:val="center"/>
            </w:pPr>
            <w:r>
              <w:rPr>
                <w:b w:val="0"/>
                <w:sz w:val="20"/>
              </w:rPr>
              <w:t>3.13</w:t>
            </w:r>
          </w:p>
        </w:tc>
        <w:tc>
          <w:tcPr>
            <w:tcW w:type="dxa" w:w="1024"/>
            <w:vAlign w:val="center"/>
          </w:tcPr>
          <w:p>
            <w:pPr>
              <w:keepNext w:val="0"/>
              <w:widowControl/>
              <w:spacing w:before="0" w:after="0" w:line="240" w:lineRule="auto"/>
              <w:jc w:val="center"/>
            </w:pPr>
            <w:r>
              <w:rPr>
                <w:b w:val="0"/>
                <w:sz w:val="20"/>
              </w:rPr>
              <w:t>2.75</w:t>
            </w:r>
          </w:p>
        </w:tc>
        <w:tc>
          <w:tcPr>
            <w:tcW w:type="dxa" w:w="1024"/>
            <w:vAlign w:val="center"/>
          </w:tcPr>
          <w:p>
            <w:pPr>
              <w:keepNext w:val="0"/>
              <w:widowControl/>
              <w:spacing w:before="0" w:after="0" w:line="240" w:lineRule="auto"/>
              <w:jc w:val="center"/>
            </w:pPr>
            <w:r>
              <w:rPr>
                <w:b w:val="0"/>
                <w:sz w:val="20"/>
              </w:rPr>
              <w:t>3.09</w:t>
            </w:r>
          </w:p>
        </w:tc>
        <w:tc>
          <w:tcPr>
            <w:tcW w:type="dxa" w:w="1024"/>
            <w:vAlign w:val="center"/>
          </w:tcPr>
          <w:p>
            <w:pPr>
              <w:keepNext w:val="0"/>
              <w:widowControl/>
              <w:spacing w:before="0" w:after="0" w:line="240" w:lineRule="auto"/>
              <w:jc w:val="center"/>
            </w:pPr>
            <w:r>
              <w:rPr>
                <w:b w:val="0"/>
                <w:sz w:val="20"/>
              </w:rPr>
              <w:t>2.76</w:t>
            </w:r>
          </w:p>
        </w:tc>
        <w:tc>
          <w:tcPr>
            <w:tcW w:type="dxa" w:w="1024"/>
            <w:vAlign w:val="center"/>
          </w:tcPr>
          <w:p>
            <w:pPr>
              <w:keepNext w:val="0"/>
              <w:widowControl/>
              <w:spacing w:before="0" w:after="0" w:line="240" w:lineRule="auto"/>
              <w:jc w:val="center"/>
            </w:pPr>
            <w:r>
              <w:rPr>
                <w:b w:val="0"/>
                <w:sz w:val="20"/>
              </w:rPr>
              <w:t>3.02</w:t>
            </w:r>
          </w:p>
        </w:tc>
      </w:tr>
      <w:tr>
        <w:trPr>
          <w:cantSplit/>
        </w:trPr>
        <w:tc>
          <w:tcPr>
            <w:tcW w:type="dxa" w:w="3197"/>
            <w:vAlign w:val="center"/>
          </w:tcPr>
          <w:p>
            <w:pPr>
              <w:keepNext w:val="0"/>
              <w:widowControl/>
              <w:spacing w:before="0" w:after="0" w:line="240" w:lineRule="auto"/>
              <w:jc w:val="left"/>
            </w:pPr>
            <w:r>
              <w:rPr>
                <w:b w:val="0"/>
                <w:sz w:val="20"/>
              </w:rPr>
              <w:t>Age of household head</w:t>
            </w:r>
          </w:p>
        </w:tc>
        <w:tc>
          <w:tcPr>
            <w:tcW w:type="dxa" w:w="1024"/>
            <w:vAlign w:val="center"/>
          </w:tcPr>
          <w:p>
            <w:pPr>
              <w:keepNext w:val="0"/>
              <w:widowControl/>
              <w:spacing w:before="0" w:after="0" w:line="240" w:lineRule="auto"/>
              <w:jc w:val="center"/>
            </w:pPr>
            <w:r>
              <w:rPr>
                <w:b w:val="0"/>
                <w:sz w:val="20"/>
              </w:rPr>
              <w:t>37.6</w:t>
            </w:r>
          </w:p>
        </w:tc>
        <w:tc>
          <w:tcPr>
            <w:tcW w:type="dxa" w:w="1024"/>
            <w:vAlign w:val="center"/>
          </w:tcPr>
          <w:p>
            <w:pPr>
              <w:keepNext w:val="0"/>
              <w:widowControl/>
              <w:spacing w:before="0" w:after="0" w:line="240" w:lineRule="auto"/>
              <w:jc w:val="center"/>
            </w:pPr>
            <w:r>
              <w:rPr>
                <w:b w:val="0"/>
                <w:sz w:val="20"/>
              </w:rPr>
              <w:t>43.7</w:t>
            </w:r>
          </w:p>
        </w:tc>
        <w:tc>
          <w:tcPr>
            <w:tcW w:type="dxa" w:w="1024"/>
            <w:vAlign w:val="center"/>
          </w:tcPr>
          <w:p>
            <w:pPr>
              <w:keepNext w:val="0"/>
              <w:widowControl/>
              <w:spacing w:before="0" w:after="0" w:line="240" w:lineRule="auto"/>
              <w:jc w:val="center"/>
            </w:pPr>
            <w:r>
              <w:rPr>
                <w:b w:val="0"/>
                <w:sz w:val="20"/>
              </w:rPr>
              <w:t>38.9</w:t>
            </w:r>
          </w:p>
        </w:tc>
        <w:tc>
          <w:tcPr>
            <w:tcW w:type="dxa" w:w="1024"/>
            <w:vAlign w:val="center"/>
          </w:tcPr>
          <w:p>
            <w:pPr>
              <w:keepNext w:val="0"/>
              <w:widowControl/>
              <w:spacing w:before="0" w:after="0" w:line="240" w:lineRule="auto"/>
              <w:jc w:val="center"/>
            </w:pPr>
            <w:r>
              <w:rPr>
                <w:b w:val="0"/>
                <w:sz w:val="20"/>
              </w:rPr>
              <w:t>43.6</w:t>
            </w:r>
          </w:p>
        </w:tc>
        <w:tc>
          <w:tcPr>
            <w:tcW w:type="dxa" w:w="1024"/>
            <w:vAlign w:val="center"/>
          </w:tcPr>
          <w:p>
            <w:pPr>
              <w:keepNext w:val="0"/>
              <w:widowControl/>
              <w:spacing w:before="0" w:after="0" w:line="240" w:lineRule="auto"/>
              <w:jc w:val="center"/>
            </w:pPr>
            <w:r>
              <w:rPr>
                <w:b w:val="0"/>
                <w:sz w:val="20"/>
              </w:rPr>
              <w:t>37.1</w:t>
            </w:r>
          </w:p>
        </w:tc>
        <w:tc>
          <w:tcPr>
            <w:tcW w:type="dxa" w:w="1024"/>
            <w:vAlign w:val="center"/>
          </w:tcPr>
          <w:p>
            <w:pPr>
              <w:keepNext w:val="0"/>
              <w:widowControl/>
              <w:spacing w:before="0" w:after="0" w:line="240" w:lineRule="auto"/>
              <w:jc w:val="center"/>
            </w:pPr>
            <w:r>
              <w:rPr>
                <w:b w:val="0"/>
                <w:sz w:val="20"/>
              </w:rPr>
              <w:t>43.9</w:t>
            </w:r>
          </w:p>
        </w:tc>
        <w:tc>
          <w:tcPr>
            <w:tcW w:type="dxa" w:w="1024"/>
            <w:vAlign w:val="center"/>
          </w:tcPr>
          <w:p>
            <w:pPr>
              <w:keepNext w:val="0"/>
              <w:widowControl/>
              <w:spacing w:before="0" w:after="0" w:line="240" w:lineRule="auto"/>
              <w:jc w:val="center"/>
            </w:pPr>
            <w:r>
              <w:rPr>
                <w:b w:val="0"/>
                <w:sz w:val="20"/>
              </w:rPr>
              <w:t>38.8</w:t>
            </w:r>
          </w:p>
        </w:tc>
        <w:tc>
          <w:tcPr>
            <w:tcW w:type="dxa" w:w="1024"/>
            <w:vAlign w:val="center"/>
          </w:tcPr>
          <w:p>
            <w:pPr>
              <w:keepNext w:val="0"/>
              <w:widowControl/>
              <w:spacing w:before="0" w:after="0" w:line="240" w:lineRule="auto"/>
              <w:jc w:val="center"/>
            </w:pPr>
            <w:r>
              <w:rPr>
                <w:b w:val="0"/>
                <w:sz w:val="20"/>
              </w:rPr>
              <w:t>43.9</w:t>
            </w:r>
          </w:p>
        </w:tc>
        <w:tc>
          <w:tcPr>
            <w:tcW w:type="dxa" w:w="1024"/>
            <w:vAlign w:val="center"/>
          </w:tcPr>
          <w:p>
            <w:pPr>
              <w:keepNext w:val="0"/>
              <w:widowControl/>
              <w:spacing w:before="0" w:after="0" w:line="240" w:lineRule="auto"/>
              <w:jc w:val="center"/>
            </w:pPr>
            <w:r>
              <w:rPr>
                <w:b w:val="0"/>
                <w:sz w:val="20"/>
              </w:rPr>
              <w:t>38.7</w:t>
            </w:r>
          </w:p>
        </w:tc>
        <w:tc>
          <w:tcPr>
            <w:tcW w:type="dxa" w:w="1024"/>
            <w:vAlign w:val="center"/>
          </w:tcPr>
          <w:p>
            <w:pPr>
              <w:keepNext w:val="0"/>
              <w:widowControl/>
              <w:spacing w:before="0" w:after="0" w:line="240" w:lineRule="auto"/>
              <w:jc w:val="center"/>
            </w:pPr>
            <w:r>
              <w:rPr>
                <w:b w:val="0"/>
                <w:sz w:val="20"/>
              </w:rPr>
              <w:t>44.3</w:t>
            </w:r>
          </w:p>
        </w:tc>
      </w:tr>
      <w:tr>
        <w:trPr>
          <w:cantSplit/>
        </w:trPr>
        <w:tc>
          <w:tcPr>
            <w:tcW w:type="dxa" w:w="3197"/>
            <w:vAlign w:val="center"/>
          </w:tcPr>
          <w:p>
            <w:pPr>
              <w:keepNext w:val="0"/>
              <w:widowControl/>
              <w:spacing w:before="0" w:after="0" w:line="240" w:lineRule="auto"/>
              <w:jc w:val="left"/>
            </w:pPr>
            <w:r>
              <w:rPr>
                <w:b w:val="0"/>
                <w:sz w:val="20"/>
              </w:rPr>
              <w:t>In the three metropolitan regions (%)</w:t>
            </w:r>
          </w:p>
        </w:tc>
        <w:tc>
          <w:tcPr>
            <w:tcW w:type="dxa" w:w="1024"/>
            <w:vAlign w:val="center"/>
          </w:tcPr>
          <w:p>
            <w:pPr>
              <w:keepNext w:val="0"/>
              <w:widowControl/>
              <w:spacing w:before="0" w:after="0" w:line="240" w:lineRule="auto"/>
              <w:jc w:val="center"/>
            </w:pPr>
            <w:r>
              <w:rPr>
                <w:b w:val="0"/>
                <w:sz w:val="20"/>
              </w:rPr>
              <w:t>38.3</w:t>
            </w:r>
          </w:p>
        </w:tc>
        <w:tc>
          <w:tcPr>
            <w:tcW w:type="dxa" w:w="1024"/>
            <w:vAlign w:val="center"/>
          </w:tcPr>
          <w:p>
            <w:pPr>
              <w:keepNext w:val="0"/>
              <w:widowControl/>
              <w:spacing w:before="0" w:after="0" w:line="240" w:lineRule="auto"/>
              <w:jc w:val="center"/>
            </w:pPr>
            <w:r>
              <w:rPr>
                <w:b w:val="0"/>
                <w:sz w:val="20"/>
              </w:rPr>
              <w:t>42.7</w:t>
            </w:r>
          </w:p>
        </w:tc>
        <w:tc>
          <w:tcPr>
            <w:tcW w:type="dxa" w:w="1024"/>
            <w:vAlign w:val="center"/>
          </w:tcPr>
          <w:p>
            <w:pPr>
              <w:keepNext w:val="0"/>
              <w:widowControl/>
              <w:spacing w:before="0" w:after="0" w:line="240" w:lineRule="auto"/>
              <w:jc w:val="center"/>
            </w:pPr>
            <w:r>
              <w:rPr>
                <w:b w:val="0"/>
                <w:sz w:val="20"/>
              </w:rPr>
              <w:t>34.8</w:t>
            </w:r>
          </w:p>
        </w:tc>
        <w:tc>
          <w:tcPr>
            <w:tcW w:type="dxa" w:w="1024"/>
            <w:vAlign w:val="center"/>
          </w:tcPr>
          <w:p>
            <w:pPr>
              <w:keepNext w:val="0"/>
              <w:widowControl/>
              <w:spacing w:before="0" w:after="0" w:line="240" w:lineRule="auto"/>
              <w:jc w:val="center"/>
            </w:pPr>
            <w:r>
              <w:rPr>
                <w:b w:val="0"/>
                <w:sz w:val="20"/>
              </w:rPr>
              <w:t>41.6</w:t>
            </w:r>
          </w:p>
        </w:tc>
        <w:tc>
          <w:tcPr>
            <w:tcW w:type="dxa" w:w="1024"/>
            <w:vAlign w:val="center"/>
          </w:tcPr>
          <w:p>
            <w:pPr>
              <w:keepNext w:val="0"/>
              <w:widowControl/>
              <w:spacing w:before="0" w:after="0" w:line="240" w:lineRule="auto"/>
              <w:jc w:val="center"/>
            </w:pPr>
            <w:r>
              <w:rPr>
                <w:b w:val="0"/>
                <w:sz w:val="20"/>
              </w:rPr>
              <w:t>35.3</w:t>
            </w:r>
          </w:p>
        </w:tc>
        <w:tc>
          <w:tcPr>
            <w:tcW w:type="dxa" w:w="1024"/>
            <w:vAlign w:val="center"/>
          </w:tcPr>
          <w:p>
            <w:pPr>
              <w:keepNext w:val="0"/>
              <w:widowControl/>
              <w:spacing w:before="0" w:after="0" w:line="240" w:lineRule="auto"/>
              <w:jc w:val="center"/>
            </w:pPr>
            <w:r>
              <w:rPr>
                <w:b w:val="0"/>
                <w:sz w:val="20"/>
              </w:rPr>
              <w:t>40.8</w:t>
            </w:r>
          </w:p>
        </w:tc>
        <w:tc>
          <w:tcPr>
            <w:tcW w:type="dxa" w:w="1024"/>
            <w:vAlign w:val="center"/>
          </w:tcPr>
          <w:p>
            <w:pPr>
              <w:keepNext w:val="0"/>
              <w:widowControl/>
              <w:spacing w:before="0" w:after="0" w:line="240" w:lineRule="auto"/>
              <w:jc w:val="center"/>
            </w:pPr>
            <w:r>
              <w:rPr>
                <w:b w:val="0"/>
                <w:sz w:val="20"/>
              </w:rPr>
              <w:t>33.6</w:t>
            </w:r>
          </w:p>
        </w:tc>
        <w:tc>
          <w:tcPr>
            <w:tcW w:type="dxa" w:w="1024"/>
            <w:vAlign w:val="center"/>
          </w:tcPr>
          <w:p>
            <w:pPr>
              <w:keepNext w:val="0"/>
              <w:widowControl/>
              <w:spacing w:before="0" w:after="0" w:line="240" w:lineRule="auto"/>
              <w:jc w:val="center"/>
            </w:pPr>
            <w:r>
              <w:rPr>
                <w:b w:val="0"/>
                <w:sz w:val="20"/>
              </w:rPr>
              <w:t>42.5</w:t>
            </w:r>
          </w:p>
        </w:tc>
        <w:tc>
          <w:tcPr>
            <w:tcW w:type="dxa" w:w="1024"/>
            <w:vAlign w:val="center"/>
          </w:tcPr>
          <w:p>
            <w:pPr>
              <w:keepNext w:val="0"/>
              <w:widowControl/>
              <w:spacing w:before="0" w:after="0" w:line="240" w:lineRule="auto"/>
              <w:jc w:val="center"/>
            </w:pPr>
            <w:r>
              <w:rPr>
                <w:b w:val="0"/>
                <w:sz w:val="20"/>
              </w:rPr>
              <w:t>34.0</w:t>
            </w:r>
          </w:p>
        </w:tc>
        <w:tc>
          <w:tcPr>
            <w:tcW w:type="dxa" w:w="1024"/>
            <w:vAlign w:val="center"/>
          </w:tcPr>
          <w:p>
            <w:pPr>
              <w:keepNext w:val="0"/>
              <w:widowControl/>
              <w:spacing w:before="0" w:after="0" w:line="240" w:lineRule="auto"/>
              <w:jc w:val="center"/>
            </w:pPr>
            <w:r>
              <w:rPr>
                <w:b w:val="0"/>
                <w:sz w:val="20"/>
              </w:rPr>
              <w:t>41.8</w:t>
            </w:r>
          </w:p>
        </w:tc>
      </w:tr>
      <w:tr>
        <w:trPr>
          <w:cantSplit/>
        </w:trPr>
        <w:tc>
          <w:tcPr>
            <w:tcW w:type="dxa" w:w="3197"/>
            <w:vAlign w:val="center"/>
          </w:tcPr>
          <w:p>
            <w:pPr>
              <w:keepNext w:val="0"/>
              <w:widowControl/>
              <w:spacing w:before="0" w:after="0" w:line="240" w:lineRule="auto"/>
              <w:jc w:val="left"/>
            </w:pPr>
            <w:r>
              <w:rPr>
                <w:b w:val="0"/>
                <w:sz w:val="20"/>
              </w:rPr>
              <w:t>Tenancy duration (years)</w:t>
            </w:r>
          </w:p>
        </w:tc>
        <w:tc>
          <w:tcPr>
            <w:tcW w:type="dxa" w:w="1024"/>
            <w:vAlign w:val="center"/>
          </w:tcPr>
          <w:p>
            <w:pPr>
              <w:keepNext w:val="0"/>
              <w:widowControl/>
              <w:spacing w:before="0" w:after="0" w:line="240" w:lineRule="auto"/>
              <w:jc w:val="center"/>
            </w:pPr>
            <w:r>
              <w:rPr>
                <w:b w:val="0"/>
                <w:sz w:val="20"/>
              </w:rPr>
              <w:t>0.80</w:t>
            </w:r>
          </w:p>
        </w:tc>
        <w:tc>
          <w:tcPr>
            <w:tcW w:type="dxa" w:w="1024"/>
            <w:vAlign w:val="center"/>
          </w:tcPr>
          <w:p>
            <w:pPr>
              <w:keepNext w:val="0"/>
              <w:widowControl/>
              <w:spacing w:before="0" w:after="0" w:line="240" w:lineRule="auto"/>
              <w:jc w:val="center"/>
            </w:pPr>
            <w:r>
              <w:rPr>
                <w:b w:val="0"/>
                <w:sz w:val="20"/>
              </w:rPr>
              <w:t>6.05</w:t>
            </w:r>
          </w:p>
        </w:tc>
        <w:tc>
          <w:tcPr>
            <w:tcW w:type="dxa" w:w="1024"/>
            <w:vAlign w:val="center"/>
          </w:tcPr>
          <w:p>
            <w:pPr>
              <w:keepNext w:val="0"/>
              <w:widowControl/>
              <w:spacing w:before="0" w:after="0" w:line="240" w:lineRule="auto"/>
              <w:jc w:val="center"/>
            </w:pPr>
            <w:r>
              <w:rPr>
                <w:b w:val="0"/>
                <w:sz w:val="20"/>
              </w:rPr>
              <w:t>0.75</w:t>
            </w:r>
          </w:p>
        </w:tc>
        <w:tc>
          <w:tcPr>
            <w:tcW w:type="dxa" w:w="1024"/>
            <w:vAlign w:val="center"/>
          </w:tcPr>
          <w:p>
            <w:pPr>
              <w:keepNext w:val="0"/>
              <w:widowControl/>
              <w:spacing w:before="0" w:after="0" w:line="240" w:lineRule="auto"/>
              <w:jc w:val="center"/>
            </w:pPr>
            <w:r>
              <w:rPr>
                <w:b w:val="0"/>
                <w:sz w:val="20"/>
              </w:rPr>
              <w:t>6.19</w:t>
            </w:r>
          </w:p>
        </w:tc>
        <w:tc>
          <w:tcPr>
            <w:tcW w:type="dxa" w:w="1024"/>
            <w:vAlign w:val="center"/>
          </w:tcPr>
          <w:p>
            <w:pPr>
              <w:keepNext w:val="0"/>
              <w:widowControl/>
              <w:spacing w:before="0" w:after="0" w:line="240" w:lineRule="auto"/>
              <w:jc w:val="center"/>
            </w:pPr>
            <w:r>
              <w:rPr>
                <w:b w:val="0"/>
                <w:sz w:val="20"/>
              </w:rPr>
              <w:t>0.81</w:t>
            </w:r>
          </w:p>
        </w:tc>
        <w:tc>
          <w:tcPr>
            <w:tcW w:type="dxa" w:w="1024"/>
            <w:vAlign w:val="center"/>
          </w:tcPr>
          <w:p>
            <w:pPr>
              <w:keepNext w:val="0"/>
              <w:widowControl/>
              <w:spacing w:before="0" w:after="0" w:line="240" w:lineRule="auto"/>
              <w:jc w:val="center"/>
            </w:pPr>
            <w:r>
              <w:rPr>
                <w:b w:val="0"/>
                <w:sz w:val="20"/>
              </w:rPr>
              <w:t>6.23</w:t>
            </w:r>
          </w:p>
        </w:tc>
        <w:tc>
          <w:tcPr>
            <w:tcW w:type="dxa" w:w="1024"/>
            <w:vAlign w:val="center"/>
          </w:tcPr>
          <w:p>
            <w:pPr>
              <w:keepNext w:val="0"/>
              <w:widowControl/>
              <w:spacing w:before="0" w:after="0" w:line="240" w:lineRule="auto"/>
              <w:jc w:val="center"/>
            </w:pPr>
            <w:r>
              <w:rPr>
                <w:b w:val="0"/>
                <w:sz w:val="20"/>
              </w:rPr>
              <w:t>0.79</w:t>
            </w:r>
          </w:p>
        </w:tc>
        <w:tc>
          <w:tcPr>
            <w:tcW w:type="dxa" w:w="1024"/>
            <w:vAlign w:val="center"/>
          </w:tcPr>
          <w:p>
            <w:pPr>
              <w:keepNext w:val="0"/>
              <w:widowControl/>
              <w:spacing w:before="0" w:after="0" w:line="240" w:lineRule="auto"/>
              <w:jc w:val="center"/>
            </w:pPr>
            <w:r>
              <w:rPr>
                <w:b w:val="0"/>
                <w:sz w:val="20"/>
              </w:rPr>
              <w:t>6.37</w:t>
            </w:r>
          </w:p>
        </w:tc>
        <w:tc>
          <w:tcPr>
            <w:tcW w:type="dxa" w:w="1024"/>
            <w:vAlign w:val="center"/>
          </w:tcPr>
          <w:p>
            <w:pPr>
              <w:keepNext w:val="0"/>
              <w:widowControl/>
              <w:spacing w:before="0" w:after="0" w:line="240" w:lineRule="auto"/>
              <w:jc w:val="center"/>
            </w:pPr>
            <w:r>
              <w:rPr>
                <w:b w:val="0"/>
                <w:sz w:val="20"/>
              </w:rPr>
              <w:t>0.79</w:t>
            </w:r>
          </w:p>
        </w:tc>
        <w:tc>
          <w:tcPr>
            <w:tcW w:type="dxa" w:w="1024"/>
            <w:vAlign w:val="center"/>
          </w:tcPr>
          <w:p>
            <w:pPr>
              <w:keepNext w:val="0"/>
              <w:widowControl/>
              <w:spacing w:before="0" w:after="0" w:line="240" w:lineRule="auto"/>
              <w:jc w:val="center"/>
            </w:pPr>
            <w:r>
              <w:rPr>
                <w:b w:val="0"/>
                <w:sz w:val="20"/>
              </w:rPr>
              <w:t>6.52</w:t>
            </w:r>
          </w:p>
        </w:tc>
      </w:tr>
    </w:tbl>
    <w:p>
      <w:pPr>
        <w:pStyle w:val="Paragraph"/>
        <w:widowControl/>
        <w:spacing w:before="140" w:line="240" w:lineRule="auto"/>
      </w:pPr>
      <w:r>
        <w:rPr>
          <w:i/>
          <w:sz w:val="20"/>
        </w:rPr>
        <w:t>Note:</w:t>
      </w:r>
      <w:r>
        <w:rPr>
          <w:sz w:val="20"/>
        </w:rPr>
        <w:t xml:space="preserve"> New tenants: survey year minus move-in year equals 0–1; sitting tenants: at least 2. Counts are unweighted; medians, proportions and means are household-weighted. Multi-year columns pool household observations rather than averaging annual medians. Income refers to the preceding calendar year; rent is measured at interview. Metropolitan regions are TR10, TR31 and TR51. Source: TurkStat SILC 2016–2025; author’s calculations.</w:t>
      </w:r>
    </w:p>
    <w:p>
      <w:pPr>
        <w:sectPr>
          <w:pgSz w:w="16840" w:h="11901" w:code="9" w:orient="landscape"/>
          <w:pgMar w:top="1418" w:right="1701" w:bottom="1418" w:left="1701" w:header="709" w:footer="709" w:gutter="0"/>
          <w:cols w:space="708"/>
          <w:docGrid w:linePitch="360"/>
        </w:sectPr>
      </w:pPr>
    </w:p>
    <w:p>
      <w:pPr>
        <w:pStyle w:val="Tabletitle"/>
        <w:keepNext/>
        <w:widowControl/>
        <w:spacing w:before="0"/>
      </w:pPr>
      <w:r>
        <w:t>Table 2. Changes in sitting–new tenant gaps by period: Equation (2)</w:t>
      </w:r>
    </w:p>
    <w:tbl>
      <w:tblPr>
        <w:tblW w:type="dxa" w:w="13438"/>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35" w:type="dxa"/>
          <w:bottom w:w="35" w:type="dxa"/>
          <w:left w:w="60" w:type="dxa"/>
          <w:right w:w="60" w:type="dxa"/>
        </w:tblCellMar>
      </w:tblPr>
      <w:tblGrid>
        <w:gridCol w:w="2880"/>
        <w:gridCol w:w="1760"/>
        <w:gridCol w:w="1760"/>
        <w:gridCol w:w="1760"/>
        <w:gridCol w:w="1760"/>
        <w:gridCol w:w="1760"/>
        <w:gridCol w:w="1760"/>
      </w:tblGrid>
      <w:tr>
        <w:trPr>
          <w:cantSplit/>
          <w:tblHeader/>
        </w:trPr>
        <w:tc>
          <w:tcPr>
            <w:tcW w:type="dxa" w:w="2880"/>
            <w:vAlign w:val="center"/>
            <w:tcBorders>
              <w:bottom w:val="single" w:sz="4"/>
            </w:tcBorders>
          </w:tcPr>
          <w:p>
            <w:pPr>
              <w:keepNext/>
              <w:widowControl/>
              <w:spacing w:before="0" w:after="0" w:line="240" w:lineRule="auto"/>
              <w:jc w:val="left"/>
            </w:pPr>
          </w:p>
        </w:tc>
        <w:tc>
          <w:tcPr>
            <w:tcW w:type="dxa" w:w="1760"/>
            <w:vAlign w:val="center"/>
            <w:tcBorders>
              <w:bottom w:val="single" w:sz="4"/>
            </w:tcBorders>
          </w:tcPr>
          <w:p>
            <w:pPr>
              <w:keepNext/>
              <w:widowControl/>
              <w:spacing w:before="0" w:after="0" w:line="240" w:lineRule="auto"/>
              <w:jc w:val="center"/>
            </w:pPr>
            <w:r>
              <w:rPr>
                <w:b/>
                <w:sz w:val="20"/>
              </w:rPr>
              <w:t>Log monthly rent</w:t>
            </w:r>
          </w:p>
        </w:tc>
        <w:tc>
          <w:tcPr>
            <w:tcW w:type="dxa" w:w="1760"/>
            <w:vAlign w:val="center"/>
            <w:tcBorders>
              <w:bottom w:val="single" w:sz="4"/>
            </w:tcBorders>
          </w:tcPr>
          <w:p>
            <w:pPr>
              <w:keepNext/>
              <w:widowControl/>
              <w:spacing w:before="0" w:after="0" w:line="240" w:lineRule="auto"/>
              <w:jc w:val="center"/>
            </w:pPr>
            <w:r>
              <w:rPr>
                <w:b/>
                <w:sz w:val="20"/>
              </w:rPr>
              <w:t>Rent/income &gt; 40%</w:t>
            </w:r>
          </w:p>
        </w:tc>
        <w:tc>
          <w:tcPr>
            <w:tcW w:type="dxa" w:w="1760"/>
            <w:vAlign w:val="center"/>
            <w:tcBorders>
              <w:bottom w:val="single" w:sz="4"/>
            </w:tcBorders>
          </w:tcPr>
          <w:p>
            <w:pPr>
              <w:keepNext/>
              <w:widowControl/>
              <w:spacing w:before="0" w:after="0" w:line="240" w:lineRule="auto"/>
              <w:jc w:val="center"/>
            </w:pPr>
            <w:r>
              <w:rPr>
                <w:b/>
                <w:sz w:val="20"/>
              </w:rPr>
              <w:t>Heavy housing cost burden</w:t>
            </w:r>
          </w:p>
        </w:tc>
        <w:tc>
          <w:tcPr>
            <w:tcW w:type="dxa" w:w="1760"/>
            <w:vAlign w:val="center"/>
            <w:tcBorders>
              <w:bottom w:val="single" w:sz="4"/>
            </w:tcBorders>
          </w:tcPr>
          <w:p>
            <w:pPr>
              <w:keepNext/>
              <w:widowControl/>
              <w:spacing w:before="0" w:after="0" w:line="240" w:lineRule="auto"/>
              <w:jc w:val="center"/>
            </w:pPr>
            <w:r>
              <w:rPr>
                <w:b/>
                <w:sz w:val="20"/>
              </w:rPr>
              <w:t>Rent/debt arrears</w:t>
            </w:r>
          </w:p>
        </w:tc>
        <w:tc>
          <w:tcPr>
            <w:tcW w:type="dxa" w:w="1760"/>
            <w:vAlign w:val="center"/>
            <w:tcBorders>
              <w:bottom w:val="single" w:sz="4"/>
            </w:tcBorders>
          </w:tcPr>
          <w:p>
            <w:pPr>
              <w:keepNext/>
              <w:widowControl/>
              <w:spacing w:before="0" w:after="0" w:line="240" w:lineRule="auto"/>
              <w:jc w:val="center"/>
            </w:pPr>
            <w:r>
              <w:rPr>
                <w:b/>
                <w:sz w:val="20"/>
              </w:rPr>
              <w:t>Utility arrears</w:t>
            </w:r>
          </w:p>
        </w:tc>
        <w:tc>
          <w:tcPr>
            <w:tcW w:type="dxa" w:w="1760"/>
            <w:vAlign w:val="center"/>
            <w:tcBorders>
              <w:bottom w:val="single" w:sz="4"/>
            </w:tcBorders>
          </w:tcPr>
          <w:p>
            <w:pPr>
              <w:keepNext/>
              <w:widowControl/>
              <w:spacing w:before="0" w:after="0" w:line="240" w:lineRule="auto"/>
              <w:jc w:val="center"/>
            </w:pPr>
            <w:r>
              <w:rPr>
                <w:b/>
                <w:sz w:val="20"/>
              </w:rPr>
              <w:t>Difficulty making ends meet</w:t>
            </w:r>
          </w:p>
        </w:tc>
      </w:tr>
      <w:tr>
        <w:trPr>
          <w:cantSplit/>
        </w:trPr>
        <w:tc>
          <w:tcPr>
            <w:tcW w:type="dxa" w:w="2880"/>
            <w:vAlign w:val="center"/>
          </w:tcPr>
          <w:p>
            <w:pPr>
              <w:keepNext w:val="0"/>
              <w:widowControl/>
              <w:spacing w:before="0" w:after="0" w:line="240" w:lineRule="auto"/>
              <w:jc w:val="left"/>
            </w:pPr>
            <w:r>
              <w:rPr>
                <w:b w:val="0"/>
                <w:sz w:val="20"/>
              </w:rPr>
              <w:t>Sitting × 2021</w:t>
            </w:r>
          </w:p>
        </w:tc>
        <w:tc>
          <w:tcPr>
            <w:tcW w:type="dxa" w:w="1760"/>
            <w:vAlign w:val="center"/>
          </w:tcPr>
          <w:p>
            <w:pPr>
              <w:keepNext w:val="0"/>
              <w:widowControl/>
              <w:spacing w:before="0" w:after="0" w:line="240" w:lineRule="auto"/>
              <w:jc w:val="center"/>
            </w:pPr>
            <w:r>
              <w:rPr>
                <w:b w:val="0"/>
                <w:sz w:val="20"/>
              </w:rPr>
              <w:t>−0.055***</w:t>
            </w:r>
          </w:p>
        </w:tc>
        <w:tc>
          <w:tcPr>
            <w:tcW w:type="dxa" w:w="1760"/>
            <w:vAlign w:val="center"/>
          </w:tcPr>
          <w:p>
            <w:pPr>
              <w:keepNext w:val="0"/>
              <w:widowControl/>
              <w:spacing w:before="0" w:after="0" w:line="240" w:lineRule="auto"/>
              <w:jc w:val="center"/>
            </w:pPr>
            <w:r>
              <w:rPr>
                <w:b w:val="0"/>
                <w:sz w:val="20"/>
              </w:rPr>
              <w:t>0.008</w:t>
            </w:r>
          </w:p>
        </w:tc>
        <w:tc>
          <w:tcPr>
            <w:tcW w:type="dxa" w:w="1760"/>
            <w:vAlign w:val="center"/>
          </w:tcPr>
          <w:p>
            <w:pPr>
              <w:keepNext w:val="0"/>
              <w:widowControl/>
              <w:spacing w:before="0" w:after="0" w:line="240" w:lineRule="auto"/>
              <w:jc w:val="center"/>
            </w:pPr>
            <w:r>
              <w:rPr>
                <w:b w:val="0"/>
                <w:sz w:val="20"/>
              </w:rPr>
              <w:t>0.022*</w:t>
            </w:r>
          </w:p>
        </w:tc>
        <w:tc>
          <w:tcPr>
            <w:tcW w:type="dxa" w:w="1760"/>
            <w:vAlign w:val="center"/>
          </w:tcPr>
          <w:p>
            <w:pPr>
              <w:keepNext w:val="0"/>
              <w:widowControl/>
              <w:spacing w:before="0" w:after="0" w:line="240" w:lineRule="auto"/>
              <w:jc w:val="center"/>
            </w:pPr>
            <w:r>
              <w:rPr>
                <w:b w:val="0"/>
                <w:sz w:val="20"/>
              </w:rPr>
              <w:t>0.022</w:t>
            </w:r>
          </w:p>
        </w:tc>
        <w:tc>
          <w:tcPr>
            <w:tcW w:type="dxa" w:w="1760"/>
            <w:vAlign w:val="center"/>
          </w:tcPr>
          <w:p>
            <w:pPr>
              <w:keepNext w:val="0"/>
              <w:widowControl/>
              <w:spacing w:before="0" w:after="0" w:line="240" w:lineRule="auto"/>
              <w:jc w:val="center"/>
            </w:pPr>
            <w:r>
              <w:rPr>
                <w:b w:val="0"/>
                <w:sz w:val="20"/>
              </w:rPr>
              <w:t>0.003</w:t>
            </w:r>
          </w:p>
        </w:tc>
        <w:tc>
          <w:tcPr>
            <w:tcW w:type="dxa" w:w="1760"/>
            <w:vAlign w:val="center"/>
          </w:tcPr>
          <w:p>
            <w:pPr>
              <w:keepNext w:val="0"/>
              <w:widowControl/>
              <w:spacing w:before="0" w:after="0" w:line="240" w:lineRule="auto"/>
              <w:jc w:val="center"/>
            </w:pPr>
            <w:r>
              <w:rPr>
                <w:b w:val="0"/>
                <w:sz w:val="20"/>
              </w:rPr>
              <w:t>0.028*</w:t>
            </w:r>
          </w:p>
        </w:tc>
      </w:tr>
      <w:tr>
        <w:trPr>
          <w:cantSplit/>
        </w:trPr>
        <w:tc>
          <w:tcPr>
            <w:tcW w:type="dxa" w:w="2880"/>
            <w:vAlign w:val="center"/>
          </w:tcPr>
          <w:p>
            <w:pPr>
              <w:keepNext w:val="0"/>
              <w:widowControl/>
              <w:spacing w:before="0" w:after="0" w:line="240" w:lineRule="auto"/>
              <w:jc w:val="left"/>
            </w:pPr>
          </w:p>
        </w:tc>
        <w:tc>
          <w:tcPr>
            <w:tcW w:type="dxa" w:w="1760"/>
            <w:vAlign w:val="center"/>
          </w:tcPr>
          <w:p>
            <w:pPr>
              <w:keepNext w:val="0"/>
              <w:widowControl/>
              <w:spacing w:before="0" w:after="0" w:line="240" w:lineRule="auto"/>
              <w:jc w:val="center"/>
            </w:pPr>
            <w:r>
              <w:rPr>
                <w:b w:val="0"/>
                <w:sz w:val="20"/>
              </w:rPr>
              <w:t>(0.013)</w:t>
            </w:r>
          </w:p>
        </w:tc>
        <w:tc>
          <w:tcPr>
            <w:tcW w:type="dxa" w:w="1760"/>
            <w:vAlign w:val="center"/>
          </w:tcPr>
          <w:p>
            <w:pPr>
              <w:keepNext w:val="0"/>
              <w:widowControl/>
              <w:spacing w:before="0" w:after="0" w:line="240" w:lineRule="auto"/>
              <w:jc w:val="center"/>
            </w:pPr>
            <w:r>
              <w:rPr>
                <w:b w:val="0"/>
                <w:sz w:val="20"/>
              </w:rPr>
              <w:t>(0.011)</w:t>
            </w:r>
          </w:p>
        </w:tc>
        <w:tc>
          <w:tcPr>
            <w:tcW w:type="dxa" w:w="1760"/>
            <w:vAlign w:val="center"/>
          </w:tcPr>
          <w:p>
            <w:pPr>
              <w:keepNext w:val="0"/>
              <w:widowControl/>
              <w:spacing w:before="0" w:after="0" w:line="240" w:lineRule="auto"/>
              <w:jc w:val="center"/>
            </w:pPr>
            <w:r>
              <w:rPr>
                <w:b w:val="0"/>
                <w:sz w:val="20"/>
              </w:rPr>
              <w:t>(0.011)</w:t>
            </w:r>
          </w:p>
        </w:tc>
        <w:tc>
          <w:tcPr>
            <w:tcW w:type="dxa" w:w="1760"/>
            <w:vAlign w:val="center"/>
          </w:tcPr>
          <w:p>
            <w:pPr>
              <w:keepNext w:val="0"/>
              <w:widowControl/>
              <w:spacing w:before="0" w:after="0" w:line="240" w:lineRule="auto"/>
              <w:jc w:val="center"/>
            </w:pPr>
            <w:r>
              <w:rPr>
                <w:b w:val="0"/>
                <w:sz w:val="20"/>
              </w:rPr>
              <w:t>(0.013)</w:t>
            </w:r>
          </w:p>
        </w:tc>
        <w:tc>
          <w:tcPr>
            <w:tcW w:type="dxa" w:w="1760"/>
            <w:vAlign w:val="center"/>
          </w:tcPr>
          <w:p>
            <w:pPr>
              <w:keepNext w:val="0"/>
              <w:widowControl/>
              <w:spacing w:before="0" w:after="0" w:line="240" w:lineRule="auto"/>
              <w:jc w:val="center"/>
            </w:pPr>
            <w:r>
              <w:rPr>
                <w:b w:val="0"/>
                <w:sz w:val="20"/>
              </w:rPr>
              <w:t>(0.012)</w:t>
            </w:r>
          </w:p>
        </w:tc>
        <w:tc>
          <w:tcPr>
            <w:tcW w:type="dxa" w:w="1760"/>
            <w:vAlign w:val="center"/>
          </w:tcPr>
          <w:p>
            <w:pPr>
              <w:keepNext w:val="0"/>
              <w:widowControl/>
              <w:spacing w:before="0" w:after="0" w:line="240" w:lineRule="auto"/>
              <w:jc w:val="center"/>
            </w:pPr>
            <w:r>
              <w:rPr>
                <w:b w:val="0"/>
                <w:sz w:val="20"/>
              </w:rPr>
              <w:t>(0.013)</w:t>
            </w:r>
          </w:p>
        </w:tc>
      </w:tr>
      <w:tr>
        <w:trPr>
          <w:cantSplit/>
        </w:trPr>
        <w:tc>
          <w:tcPr>
            <w:tcW w:type="dxa" w:w="2880"/>
            <w:vAlign w:val="center"/>
          </w:tcPr>
          <w:p>
            <w:pPr>
              <w:keepNext w:val="0"/>
              <w:widowControl/>
              <w:spacing w:before="0" w:after="0" w:line="240" w:lineRule="auto"/>
              <w:jc w:val="left"/>
            </w:pPr>
          </w:p>
        </w:tc>
        <w:tc>
          <w:tcPr>
            <w:tcW w:type="dxa" w:w="1760"/>
            <w:vAlign w:val="center"/>
          </w:tcPr>
          <w:p>
            <w:pPr>
              <w:keepNext w:val="0"/>
              <w:widowControl/>
              <w:spacing w:before="0" w:after="0" w:line="240" w:lineRule="auto"/>
              <w:jc w:val="center"/>
            </w:pPr>
            <w:r>
              <w:rPr>
                <w:b w:val="0"/>
                <w:sz w:val="20"/>
              </w:rPr>
              <w:t>[0.0020]</w:t>
            </w:r>
          </w:p>
        </w:tc>
        <w:tc>
          <w:tcPr>
            <w:tcW w:type="dxa" w:w="1760"/>
            <w:vAlign w:val="center"/>
          </w:tcPr>
          <w:p>
            <w:pPr>
              <w:keepNext w:val="0"/>
              <w:widowControl/>
              <w:spacing w:before="0" w:after="0" w:line="240" w:lineRule="auto"/>
              <w:jc w:val="center"/>
            </w:pPr>
            <w:r>
              <w:rPr>
                <w:b w:val="0"/>
                <w:sz w:val="20"/>
              </w:rPr>
              <w:t>[0.5009]</w:t>
            </w:r>
          </w:p>
        </w:tc>
        <w:tc>
          <w:tcPr>
            <w:tcW w:type="dxa" w:w="1760"/>
            <w:vAlign w:val="center"/>
          </w:tcPr>
          <w:p>
            <w:pPr>
              <w:keepNext w:val="0"/>
              <w:widowControl/>
              <w:spacing w:before="0" w:after="0" w:line="240" w:lineRule="auto"/>
              <w:jc w:val="center"/>
            </w:pPr>
            <w:r>
              <w:rPr>
                <w:b w:val="0"/>
                <w:sz w:val="20"/>
              </w:rPr>
              <w:t>[0.0571]</w:t>
            </w:r>
          </w:p>
        </w:tc>
        <w:tc>
          <w:tcPr>
            <w:tcW w:type="dxa" w:w="1760"/>
            <w:vAlign w:val="center"/>
          </w:tcPr>
          <w:p>
            <w:pPr>
              <w:keepNext w:val="0"/>
              <w:widowControl/>
              <w:spacing w:before="0" w:after="0" w:line="240" w:lineRule="auto"/>
              <w:jc w:val="center"/>
            </w:pPr>
            <w:r>
              <w:rPr>
                <w:b w:val="0"/>
                <w:sz w:val="20"/>
              </w:rPr>
              <w:t>[0.1963]</w:t>
            </w:r>
          </w:p>
        </w:tc>
        <w:tc>
          <w:tcPr>
            <w:tcW w:type="dxa" w:w="1760"/>
            <w:vAlign w:val="center"/>
          </w:tcPr>
          <w:p>
            <w:pPr>
              <w:keepNext w:val="0"/>
              <w:widowControl/>
              <w:spacing w:before="0" w:after="0" w:line="240" w:lineRule="auto"/>
              <w:jc w:val="center"/>
            </w:pPr>
            <w:r>
              <w:rPr>
                <w:b w:val="0"/>
                <w:sz w:val="20"/>
              </w:rPr>
              <w:t>[0.8204]</w:t>
            </w:r>
          </w:p>
        </w:tc>
        <w:tc>
          <w:tcPr>
            <w:tcW w:type="dxa" w:w="1760"/>
            <w:vAlign w:val="center"/>
          </w:tcPr>
          <w:p>
            <w:pPr>
              <w:keepNext w:val="0"/>
              <w:widowControl/>
              <w:spacing w:before="0" w:after="0" w:line="240" w:lineRule="auto"/>
              <w:jc w:val="center"/>
            </w:pPr>
            <w:r>
              <w:rPr>
                <w:b w:val="0"/>
                <w:sz w:val="20"/>
              </w:rPr>
              <w:t>[0.0802]</w:t>
            </w:r>
          </w:p>
        </w:tc>
      </w:tr>
      <w:tr>
        <w:trPr>
          <w:cantSplit/>
        </w:trPr>
        <w:tc>
          <w:tcPr>
            <w:tcW w:type="dxa" w:w="2880"/>
            <w:vAlign w:val="center"/>
          </w:tcPr>
          <w:p>
            <w:pPr>
              <w:keepNext w:val="0"/>
              <w:widowControl/>
              <w:spacing w:before="0" w:after="0" w:line="240" w:lineRule="auto"/>
              <w:jc w:val="left"/>
            </w:pPr>
            <w:r>
              <w:rPr>
                <w:b w:val="0"/>
                <w:sz w:val="20"/>
              </w:rPr>
              <w:t>Sitting × 2022</w:t>
            </w:r>
          </w:p>
        </w:tc>
        <w:tc>
          <w:tcPr>
            <w:tcW w:type="dxa" w:w="1760"/>
            <w:vAlign w:val="center"/>
          </w:tcPr>
          <w:p>
            <w:pPr>
              <w:keepNext w:val="0"/>
              <w:widowControl/>
              <w:spacing w:before="0" w:after="0" w:line="240" w:lineRule="auto"/>
              <w:jc w:val="center"/>
            </w:pPr>
            <w:r>
              <w:rPr>
                <w:b w:val="0"/>
                <w:sz w:val="20"/>
              </w:rPr>
              <w:t>−0.110***</w:t>
            </w:r>
          </w:p>
        </w:tc>
        <w:tc>
          <w:tcPr>
            <w:tcW w:type="dxa" w:w="1760"/>
            <w:vAlign w:val="center"/>
          </w:tcPr>
          <w:p>
            <w:pPr>
              <w:keepNext w:val="0"/>
              <w:widowControl/>
              <w:spacing w:before="0" w:after="0" w:line="240" w:lineRule="auto"/>
              <w:jc w:val="center"/>
            </w:pPr>
            <w:r>
              <w:rPr>
                <w:b w:val="0"/>
                <w:sz w:val="20"/>
              </w:rPr>
              <w:t>−0.059***</w:t>
            </w:r>
          </w:p>
        </w:tc>
        <w:tc>
          <w:tcPr>
            <w:tcW w:type="dxa" w:w="1760"/>
            <w:vAlign w:val="center"/>
          </w:tcPr>
          <w:p>
            <w:pPr>
              <w:keepNext w:val="0"/>
              <w:widowControl/>
              <w:spacing w:before="0" w:after="0" w:line="240" w:lineRule="auto"/>
              <w:jc w:val="center"/>
            </w:pPr>
            <w:r>
              <w:rPr>
                <w:b w:val="0"/>
                <w:sz w:val="20"/>
              </w:rPr>
              <w:t>0.031**</w:t>
            </w:r>
          </w:p>
        </w:tc>
        <w:tc>
          <w:tcPr>
            <w:tcW w:type="dxa" w:w="1760"/>
            <w:vAlign w:val="center"/>
          </w:tcPr>
          <w:p>
            <w:pPr>
              <w:keepNext w:val="0"/>
              <w:widowControl/>
              <w:spacing w:before="0" w:after="0" w:line="240" w:lineRule="auto"/>
              <w:jc w:val="center"/>
            </w:pPr>
            <w:r>
              <w:rPr>
                <w:b w:val="0"/>
                <w:sz w:val="20"/>
              </w:rPr>
              <w:t>0.021</w:t>
            </w:r>
          </w:p>
        </w:tc>
        <w:tc>
          <w:tcPr>
            <w:tcW w:type="dxa" w:w="1760"/>
            <w:vAlign w:val="center"/>
          </w:tcPr>
          <w:p>
            <w:pPr>
              <w:keepNext w:val="0"/>
              <w:widowControl/>
              <w:spacing w:before="0" w:after="0" w:line="240" w:lineRule="auto"/>
              <w:jc w:val="center"/>
            </w:pPr>
            <w:r>
              <w:rPr>
                <w:b w:val="0"/>
                <w:sz w:val="20"/>
              </w:rPr>
              <w:t>0.015</w:t>
            </w:r>
          </w:p>
        </w:tc>
        <w:tc>
          <w:tcPr>
            <w:tcW w:type="dxa" w:w="1760"/>
            <w:vAlign w:val="center"/>
          </w:tcPr>
          <w:p>
            <w:pPr>
              <w:keepNext w:val="0"/>
              <w:widowControl/>
              <w:spacing w:before="0" w:after="0" w:line="240" w:lineRule="auto"/>
              <w:jc w:val="center"/>
            </w:pPr>
            <w:r>
              <w:rPr>
                <w:b w:val="0"/>
                <w:sz w:val="20"/>
              </w:rPr>
              <w:t>0.035**</w:t>
            </w:r>
          </w:p>
        </w:tc>
      </w:tr>
      <w:tr>
        <w:trPr>
          <w:cantSplit/>
        </w:trPr>
        <w:tc>
          <w:tcPr>
            <w:tcW w:type="dxa" w:w="2880"/>
            <w:vAlign w:val="center"/>
          </w:tcPr>
          <w:p>
            <w:pPr>
              <w:keepNext w:val="0"/>
              <w:widowControl/>
              <w:spacing w:before="0" w:after="0" w:line="240" w:lineRule="auto"/>
              <w:jc w:val="left"/>
            </w:pPr>
          </w:p>
        </w:tc>
        <w:tc>
          <w:tcPr>
            <w:tcW w:type="dxa" w:w="1760"/>
            <w:vAlign w:val="center"/>
          </w:tcPr>
          <w:p>
            <w:pPr>
              <w:keepNext w:val="0"/>
              <w:widowControl/>
              <w:spacing w:before="0" w:after="0" w:line="240" w:lineRule="auto"/>
              <w:jc w:val="center"/>
            </w:pPr>
            <w:r>
              <w:rPr>
                <w:b w:val="0"/>
                <w:sz w:val="20"/>
              </w:rPr>
              <w:t>(0.029)</w:t>
            </w:r>
          </w:p>
        </w:tc>
        <w:tc>
          <w:tcPr>
            <w:tcW w:type="dxa" w:w="1760"/>
            <w:vAlign w:val="center"/>
          </w:tcPr>
          <w:p>
            <w:pPr>
              <w:keepNext w:val="0"/>
              <w:widowControl/>
              <w:spacing w:before="0" w:after="0" w:line="240" w:lineRule="auto"/>
              <w:jc w:val="center"/>
            </w:pPr>
            <w:r>
              <w:rPr>
                <w:b w:val="0"/>
                <w:sz w:val="20"/>
              </w:rPr>
              <w:t>(0.016)</w:t>
            </w:r>
          </w:p>
        </w:tc>
        <w:tc>
          <w:tcPr>
            <w:tcW w:type="dxa" w:w="1760"/>
            <w:vAlign w:val="center"/>
          </w:tcPr>
          <w:p>
            <w:pPr>
              <w:keepNext w:val="0"/>
              <w:widowControl/>
              <w:spacing w:before="0" w:after="0" w:line="240" w:lineRule="auto"/>
              <w:jc w:val="center"/>
            </w:pPr>
            <w:r>
              <w:rPr>
                <w:b w:val="0"/>
                <w:sz w:val="20"/>
              </w:rPr>
              <w:t>(0.011)</w:t>
            </w:r>
          </w:p>
        </w:tc>
        <w:tc>
          <w:tcPr>
            <w:tcW w:type="dxa" w:w="1760"/>
            <w:vAlign w:val="center"/>
          </w:tcPr>
          <w:p>
            <w:pPr>
              <w:keepNext w:val="0"/>
              <w:widowControl/>
              <w:spacing w:before="0" w:after="0" w:line="240" w:lineRule="auto"/>
              <w:jc w:val="center"/>
            </w:pPr>
            <w:r>
              <w:rPr>
                <w:b w:val="0"/>
                <w:sz w:val="20"/>
              </w:rPr>
              <w:t>(0.015)</w:t>
            </w:r>
          </w:p>
        </w:tc>
        <w:tc>
          <w:tcPr>
            <w:tcW w:type="dxa" w:w="1760"/>
            <w:vAlign w:val="center"/>
          </w:tcPr>
          <w:p>
            <w:pPr>
              <w:keepNext w:val="0"/>
              <w:widowControl/>
              <w:spacing w:before="0" w:after="0" w:line="240" w:lineRule="auto"/>
              <w:jc w:val="center"/>
            </w:pPr>
            <w:r>
              <w:rPr>
                <w:b w:val="0"/>
                <w:sz w:val="20"/>
              </w:rPr>
              <w:t>(0.014)</w:t>
            </w:r>
          </w:p>
        </w:tc>
        <w:tc>
          <w:tcPr>
            <w:tcW w:type="dxa" w:w="1760"/>
            <w:vAlign w:val="center"/>
          </w:tcPr>
          <w:p>
            <w:pPr>
              <w:keepNext w:val="0"/>
              <w:widowControl/>
              <w:spacing w:before="0" w:after="0" w:line="240" w:lineRule="auto"/>
              <w:jc w:val="center"/>
            </w:pPr>
            <w:r>
              <w:rPr>
                <w:b w:val="0"/>
                <w:sz w:val="20"/>
              </w:rPr>
              <w:t>(0.013)</w:t>
            </w:r>
          </w:p>
        </w:tc>
      </w:tr>
      <w:tr>
        <w:trPr>
          <w:cantSplit/>
        </w:trPr>
        <w:tc>
          <w:tcPr>
            <w:tcW w:type="dxa" w:w="2880"/>
            <w:vAlign w:val="center"/>
          </w:tcPr>
          <w:p>
            <w:pPr>
              <w:keepNext w:val="0"/>
              <w:widowControl/>
              <w:spacing w:before="0" w:after="0" w:line="240" w:lineRule="auto"/>
              <w:jc w:val="left"/>
            </w:pPr>
          </w:p>
        </w:tc>
        <w:tc>
          <w:tcPr>
            <w:tcW w:type="dxa" w:w="1760"/>
            <w:vAlign w:val="center"/>
          </w:tcPr>
          <w:p>
            <w:pPr>
              <w:keepNext w:val="0"/>
              <w:widowControl/>
              <w:spacing w:before="0" w:after="0" w:line="240" w:lineRule="auto"/>
              <w:jc w:val="center"/>
            </w:pPr>
            <w:r>
              <w:rPr>
                <w:b w:val="0"/>
                <w:sz w:val="20"/>
              </w:rPr>
              <w:t>[0.0016]</w:t>
            </w:r>
          </w:p>
        </w:tc>
        <w:tc>
          <w:tcPr>
            <w:tcW w:type="dxa" w:w="1760"/>
            <w:vAlign w:val="center"/>
          </w:tcPr>
          <w:p>
            <w:pPr>
              <w:keepNext w:val="0"/>
              <w:widowControl/>
              <w:spacing w:before="0" w:after="0" w:line="240" w:lineRule="auto"/>
              <w:jc w:val="center"/>
            </w:pPr>
            <w:r>
              <w:rPr>
                <w:b w:val="0"/>
                <w:sz w:val="20"/>
              </w:rPr>
              <w:t>[0.0066]</w:t>
            </w:r>
          </w:p>
        </w:tc>
        <w:tc>
          <w:tcPr>
            <w:tcW w:type="dxa" w:w="1760"/>
            <w:vAlign w:val="center"/>
          </w:tcPr>
          <w:p>
            <w:pPr>
              <w:keepNext w:val="0"/>
              <w:widowControl/>
              <w:spacing w:before="0" w:after="0" w:line="240" w:lineRule="auto"/>
              <w:jc w:val="center"/>
            </w:pPr>
            <w:r>
              <w:rPr>
                <w:b w:val="0"/>
                <w:sz w:val="20"/>
              </w:rPr>
              <w:t>[0.0213]</w:t>
            </w:r>
          </w:p>
        </w:tc>
        <w:tc>
          <w:tcPr>
            <w:tcW w:type="dxa" w:w="1760"/>
            <w:vAlign w:val="center"/>
          </w:tcPr>
          <w:p>
            <w:pPr>
              <w:keepNext w:val="0"/>
              <w:widowControl/>
              <w:spacing w:before="0" w:after="0" w:line="240" w:lineRule="auto"/>
              <w:jc w:val="center"/>
            </w:pPr>
            <w:r>
              <w:rPr>
                <w:b w:val="0"/>
                <w:sz w:val="20"/>
              </w:rPr>
              <w:t>[0.2367]</w:t>
            </w:r>
          </w:p>
        </w:tc>
        <w:tc>
          <w:tcPr>
            <w:tcW w:type="dxa" w:w="1760"/>
            <w:vAlign w:val="center"/>
          </w:tcPr>
          <w:p>
            <w:pPr>
              <w:keepNext w:val="0"/>
              <w:widowControl/>
              <w:spacing w:before="0" w:after="0" w:line="240" w:lineRule="auto"/>
              <w:jc w:val="center"/>
            </w:pPr>
            <w:r>
              <w:rPr>
                <w:b w:val="0"/>
                <w:sz w:val="20"/>
              </w:rPr>
              <w:t>[0.3283]</w:t>
            </w:r>
          </w:p>
        </w:tc>
        <w:tc>
          <w:tcPr>
            <w:tcW w:type="dxa" w:w="1760"/>
            <w:vAlign w:val="center"/>
          </w:tcPr>
          <w:p>
            <w:pPr>
              <w:keepNext w:val="0"/>
              <w:widowControl/>
              <w:spacing w:before="0" w:after="0" w:line="240" w:lineRule="auto"/>
              <w:jc w:val="center"/>
            </w:pPr>
            <w:r>
              <w:rPr>
                <w:b w:val="0"/>
                <w:sz w:val="20"/>
              </w:rPr>
              <w:t>[0.0335]</w:t>
            </w:r>
          </w:p>
        </w:tc>
      </w:tr>
      <w:tr>
        <w:trPr>
          <w:cantSplit/>
        </w:trPr>
        <w:tc>
          <w:tcPr>
            <w:tcW w:type="dxa" w:w="2880"/>
            <w:vAlign w:val="center"/>
          </w:tcPr>
          <w:p>
            <w:pPr>
              <w:keepNext w:val="0"/>
              <w:widowControl/>
              <w:spacing w:before="0" w:after="0" w:line="240" w:lineRule="auto"/>
              <w:jc w:val="left"/>
            </w:pPr>
            <w:r>
              <w:rPr>
                <w:b w:val="0"/>
                <w:sz w:val="20"/>
              </w:rPr>
              <w:t>Sitting × 2023–2024</w:t>
            </w:r>
          </w:p>
        </w:tc>
        <w:tc>
          <w:tcPr>
            <w:tcW w:type="dxa" w:w="1760"/>
            <w:vAlign w:val="center"/>
          </w:tcPr>
          <w:p>
            <w:pPr>
              <w:keepNext w:val="0"/>
              <w:widowControl/>
              <w:spacing w:before="0" w:after="0" w:line="240" w:lineRule="auto"/>
              <w:jc w:val="center"/>
            </w:pPr>
            <w:r>
              <w:rPr>
                <w:b w:val="0"/>
                <w:sz w:val="20"/>
              </w:rPr>
              <w:t>−0.250***</w:t>
            </w:r>
          </w:p>
        </w:tc>
        <w:tc>
          <w:tcPr>
            <w:tcW w:type="dxa" w:w="1760"/>
            <w:vAlign w:val="center"/>
          </w:tcPr>
          <w:p>
            <w:pPr>
              <w:keepNext w:val="0"/>
              <w:widowControl/>
              <w:spacing w:before="0" w:after="0" w:line="240" w:lineRule="auto"/>
              <w:jc w:val="center"/>
            </w:pPr>
            <w:r>
              <w:rPr>
                <w:b w:val="0"/>
                <w:sz w:val="20"/>
              </w:rPr>
              <w:t>−0.097***</w:t>
            </w:r>
          </w:p>
        </w:tc>
        <w:tc>
          <w:tcPr>
            <w:tcW w:type="dxa" w:w="1760"/>
            <w:vAlign w:val="center"/>
          </w:tcPr>
          <w:p>
            <w:pPr>
              <w:keepNext w:val="0"/>
              <w:widowControl/>
              <w:spacing w:before="0" w:after="0" w:line="240" w:lineRule="auto"/>
              <w:jc w:val="center"/>
            </w:pPr>
            <w:r>
              <w:rPr>
                <w:b w:val="0"/>
                <w:sz w:val="20"/>
              </w:rPr>
              <w:t>−0.032</w:t>
            </w:r>
          </w:p>
        </w:tc>
        <w:tc>
          <w:tcPr>
            <w:tcW w:type="dxa" w:w="1760"/>
            <w:vAlign w:val="center"/>
          </w:tcPr>
          <w:p>
            <w:pPr>
              <w:keepNext w:val="0"/>
              <w:widowControl/>
              <w:spacing w:before="0" w:after="0" w:line="240" w:lineRule="auto"/>
              <w:jc w:val="center"/>
            </w:pPr>
            <w:r>
              <w:rPr>
                <w:b w:val="0"/>
                <w:sz w:val="20"/>
              </w:rPr>
              <w:t>−0.009</w:t>
            </w:r>
          </w:p>
        </w:tc>
        <w:tc>
          <w:tcPr>
            <w:tcW w:type="dxa" w:w="1760"/>
            <w:vAlign w:val="center"/>
          </w:tcPr>
          <w:p>
            <w:pPr>
              <w:keepNext w:val="0"/>
              <w:widowControl/>
              <w:spacing w:before="0" w:after="0" w:line="240" w:lineRule="auto"/>
              <w:jc w:val="center"/>
            </w:pPr>
            <w:r>
              <w:rPr>
                <w:b w:val="0"/>
                <w:sz w:val="20"/>
              </w:rPr>
              <w:t>0.018**</w:t>
            </w:r>
          </w:p>
        </w:tc>
        <w:tc>
          <w:tcPr>
            <w:tcW w:type="dxa" w:w="1760"/>
            <w:vAlign w:val="center"/>
          </w:tcPr>
          <w:p>
            <w:pPr>
              <w:keepNext w:val="0"/>
              <w:widowControl/>
              <w:spacing w:before="0" w:after="0" w:line="240" w:lineRule="auto"/>
              <w:jc w:val="center"/>
            </w:pPr>
            <w:r>
              <w:rPr>
                <w:b w:val="0"/>
                <w:sz w:val="20"/>
              </w:rPr>
              <w:t>0.038**</w:t>
            </w:r>
          </w:p>
        </w:tc>
      </w:tr>
      <w:tr>
        <w:trPr>
          <w:cantSplit/>
        </w:trPr>
        <w:tc>
          <w:tcPr>
            <w:tcW w:type="dxa" w:w="2880"/>
            <w:vAlign w:val="center"/>
          </w:tcPr>
          <w:p>
            <w:pPr>
              <w:keepNext w:val="0"/>
              <w:widowControl/>
              <w:spacing w:before="0" w:after="0" w:line="240" w:lineRule="auto"/>
              <w:jc w:val="left"/>
            </w:pPr>
          </w:p>
        </w:tc>
        <w:tc>
          <w:tcPr>
            <w:tcW w:type="dxa" w:w="1760"/>
            <w:vAlign w:val="center"/>
          </w:tcPr>
          <w:p>
            <w:pPr>
              <w:keepNext w:val="0"/>
              <w:widowControl/>
              <w:spacing w:before="0" w:after="0" w:line="240" w:lineRule="auto"/>
              <w:jc w:val="center"/>
            </w:pPr>
            <w:r>
              <w:rPr>
                <w:b w:val="0"/>
                <w:sz w:val="20"/>
              </w:rPr>
              <w:t>(0.019)</w:t>
            </w:r>
          </w:p>
        </w:tc>
        <w:tc>
          <w:tcPr>
            <w:tcW w:type="dxa" w:w="1760"/>
            <w:vAlign w:val="center"/>
          </w:tcPr>
          <w:p>
            <w:pPr>
              <w:keepNext w:val="0"/>
              <w:widowControl/>
              <w:spacing w:before="0" w:after="0" w:line="240" w:lineRule="auto"/>
              <w:jc w:val="center"/>
            </w:pPr>
            <w:r>
              <w:rPr>
                <w:b w:val="0"/>
                <w:sz w:val="20"/>
              </w:rPr>
              <w:t>(0.017)</w:t>
            </w:r>
          </w:p>
        </w:tc>
        <w:tc>
          <w:tcPr>
            <w:tcW w:type="dxa" w:w="1760"/>
            <w:vAlign w:val="center"/>
          </w:tcPr>
          <w:p>
            <w:pPr>
              <w:keepNext w:val="0"/>
              <w:widowControl/>
              <w:spacing w:before="0" w:after="0" w:line="240" w:lineRule="auto"/>
              <w:jc w:val="center"/>
            </w:pPr>
            <w:r>
              <w:rPr>
                <w:b w:val="0"/>
                <w:sz w:val="20"/>
              </w:rPr>
              <w:t>(0.020)</w:t>
            </w:r>
          </w:p>
        </w:tc>
        <w:tc>
          <w:tcPr>
            <w:tcW w:type="dxa" w:w="1760"/>
            <w:vAlign w:val="center"/>
          </w:tcPr>
          <w:p>
            <w:pPr>
              <w:keepNext w:val="0"/>
              <w:widowControl/>
              <w:spacing w:before="0" w:after="0" w:line="240" w:lineRule="auto"/>
              <w:jc w:val="center"/>
            </w:pPr>
            <w:r>
              <w:rPr>
                <w:b w:val="0"/>
                <w:sz w:val="20"/>
              </w:rPr>
              <w:t>(0.007)</w:t>
            </w:r>
          </w:p>
        </w:tc>
        <w:tc>
          <w:tcPr>
            <w:tcW w:type="dxa" w:w="1760"/>
            <w:vAlign w:val="center"/>
          </w:tcPr>
          <w:p>
            <w:pPr>
              <w:keepNext w:val="0"/>
              <w:widowControl/>
              <w:spacing w:before="0" w:after="0" w:line="240" w:lineRule="auto"/>
              <w:jc w:val="center"/>
            </w:pPr>
            <w:r>
              <w:rPr>
                <w:b w:val="0"/>
                <w:sz w:val="20"/>
              </w:rPr>
              <w:t>(0.009)</w:t>
            </w:r>
          </w:p>
        </w:tc>
        <w:tc>
          <w:tcPr>
            <w:tcW w:type="dxa" w:w="1760"/>
            <w:vAlign w:val="center"/>
          </w:tcPr>
          <w:p>
            <w:pPr>
              <w:keepNext w:val="0"/>
              <w:widowControl/>
              <w:spacing w:before="0" w:after="0" w:line="240" w:lineRule="auto"/>
              <w:jc w:val="center"/>
            </w:pPr>
            <w:r>
              <w:rPr>
                <w:b w:val="0"/>
                <w:sz w:val="20"/>
              </w:rPr>
              <w:t>(0.013)</w:t>
            </w:r>
          </w:p>
        </w:tc>
      </w:tr>
      <w:tr>
        <w:trPr>
          <w:cantSplit/>
        </w:trPr>
        <w:tc>
          <w:tcPr>
            <w:tcW w:type="dxa" w:w="2880"/>
            <w:vAlign w:val="center"/>
          </w:tcPr>
          <w:p>
            <w:pPr>
              <w:keepNext w:val="0"/>
              <w:widowControl/>
              <w:spacing w:before="0" w:after="0" w:line="240" w:lineRule="auto"/>
              <w:jc w:val="left"/>
            </w:pPr>
          </w:p>
        </w:tc>
        <w:tc>
          <w:tcPr>
            <w:tcW w:type="dxa" w:w="1760"/>
            <w:vAlign w:val="center"/>
          </w:tcPr>
          <w:p>
            <w:pPr>
              <w:keepNext w:val="0"/>
              <w:widowControl/>
              <w:spacing w:before="0" w:after="0" w:line="240" w:lineRule="auto"/>
              <w:jc w:val="center"/>
            </w:pPr>
            <w:r>
              <w:rPr>
                <w:b w:val="0"/>
                <w:sz w:val="20"/>
              </w:rPr>
              <w:t>[0.0001]</w:t>
            </w:r>
          </w:p>
        </w:tc>
        <w:tc>
          <w:tcPr>
            <w:tcW w:type="dxa" w:w="1760"/>
            <w:vAlign w:val="center"/>
          </w:tcPr>
          <w:p>
            <w:pPr>
              <w:keepNext w:val="0"/>
              <w:widowControl/>
              <w:spacing w:before="0" w:after="0" w:line="240" w:lineRule="auto"/>
              <w:jc w:val="center"/>
            </w:pPr>
            <w:r>
              <w:rPr>
                <w:b w:val="0"/>
                <w:sz w:val="20"/>
              </w:rPr>
              <w:t>[0.0002]</w:t>
            </w:r>
          </w:p>
        </w:tc>
        <w:tc>
          <w:tcPr>
            <w:tcW w:type="dxa" w:w="1760"/>
            <w:vAlign w:val="center"/>
          </w:tcPr>
          <w:p>
            <w:pPr>
              <w:keepNext w:val="0"/>
              <w:widowControl/>
              <w:spacing w:before="0" w:after="0" w:line="240" w:lineRule="auto"/>
              <w:jc w:val="center"/>
            </w:pPr>
            <w:r>
              <w:rPr>
                <w:b w:val="0"/>
                <w:sz w:val="20"/>
              </w:rPr>
              <w:t>[0.2208]</w:t>
            </w:r>
          </w:p>
        </w:tc>
        <w:tc>
          <w:tcPr>
            <w:tcW w:type="dxa" w:w="1760"/>
            <w:vAlign w:val="center"/>
          </w:tcPr>
          <w:p>
            <w:pPr>
              <w:keepNext w:val="0"/>
              <w:widowControl/>
              <w:spacing w:before="0" w:after="0" w:line="240" w:lineRule="auto"/>
              <w:jc w:val="center"/>
            </w:pPr>
            <w:r>
              <w:rPr>
                <w:b w:val="0"/>
                <w:sz w:val="20"/>
              </w:rPr>
              <w:t>[0.2700]</w:t>
            </w:r>
          </w:p>
        </w:tc>
        <w:tc>
          <w:tcPr>
            <w:tcW w:type="dxa" w:w="1760"/>
            <w:vAlign w:val="center"/>
          </w:tcPr>
          <w:p>
            <w:pPr>
              <w:keepNext w:val="0"/>
              <w:widowControl/>
              <w:spacing w:before="0" w:after="0" w:line="240" w:lineRule="auto"/>
              <w:jc w:val="center"/>
            </w:pPr>
            <w:r>
              <w:rPr>
                <w:b w:val="0"/>
                <w:sz w:val="20"/>
              </w:rPr>
              <w:t>[0.0436]</w:t>
            </w:r>
          </w:p>
        </w:tc>
        <w:tc>
          <w:tcPr>
            <w:tcW w:type="dxa" w:w="1760"/>
            <w:vAlign w:val="center"/>
          </w:tcPr>
          <w:p>
            <w:pPr>
              <w:keepNext w:val="0"/>
              <w:widowControl/>
              <w:spacing w:before="0" w:after="0" w:line="240" w:lineRule="auto"/>
              <w:jc w:val="center"/>
            </w:pPr>
            <w:r>
              <w:rPr>
                <w:b w:val="0"/>
                <w:sz w:val="20"/>
              </w:rPr>
              <w:t>[0.0112]</w:t>
            </w:r>
          </w:p>
        </w:tc>
      </w:tr>
      <w:tr>
        <w:trPr>
          <w:cantSplit/>
        </w:trPr>
        <w:tc>
          <w:tcPr>
            <w:tcW w:type="dxa" w:w="2880"/>
            <w:vAlign w:val="center"/>
          </w:tcPr>
          <w:p>
            <w:pPr>
              <w:keepNext w:val="0"/>
              <w:widowControl/>
              <w:spacing w:before="0" w:after="0" w:line="240" w:lineRule="auto"/>
              <w:jc w:val="left"/>
            </w:pPr>
            <w:r>
              <w:rPr>
                <w:b w:val="0"/>
                <w:sz w:val="20"/>
              </w:rPr>
              <w:t>Sitting × 2025</w:t>
            </w:r>
          </w:p>
        </w:tc>
        <w:tc>
          <w:tcPr>
            <w:tcW w:type="dxa" w:w="1760"/>
            <w:vAlign w:val="center"/>
          </w:tcPr>
          <w:p>
            <w:pPr>
              <w:keepNext w:val="0"/>
              <w:widowControl/>
              <w:spacing w:before="0" w:after="0" w:line="240" w:lineRule="auto"/>
              <w:jc w:val="center"/>
            </w:pPr>
            <w:r>
              <w:rPr>
                <w:b w:val="0"/>
                <w:sz w:val="20"/>
              </w:rPr>
              <w:t>−0.189***</w:t>
            </w:r>
          </w:p>
        </w:tc>
        <w:tc>
          <w:tcPr>
            <w:tcW w:type="dxa" w:w="1760"/>
            <w:vAlign w:val="center"/>
          </w:tcPr>
          <w:p>
            <w:pPr>
              <w:keepNext w:val="0"/>
              <w:widowControl/>
              <w:spacing w:before="0" w:after="0" w:line="240" w:lineRule="auto"/>
              <w:jc w:val="center"/>
            </w:pPr>
            <w:r>
              <w:rPr>
                <w:b w:val="0"/>
                <w:sz w:val="20"/>
              </w:rPr>
              <w:t>−0.100***</w:t>
            </w:r>
          </w:p>
        </w:tc>
        <w:tc>
          <w:tcPr>
            <w:tcW w:type="dxa" w:w="1760"/>
            <w:vAlign w:val="center"/>
          </w:tcPr>
          <w:p>
            <w:pPr>
              <w:keepNext w:val="0"/>
              <w:widowControl/>
              <w:spacing w:before="0" w:after="0" w:line="240" w:lineRule="auto"/>
              <w:jc w:val="center"/>
            </w:pPr>
            <w:r>
              <w:rPr>
                <w:b w:val="0"/>
                <w:sz w:val="20"/>
              </w:rPr>
              <w:t>−0.031</w:t>
            </w:r>
          </w:p>
        </w:tc>
        <w:tc>
          <w:tcPr>
            <w:tcW w:type="dxa" w:w="1760"/>
            <w:vAlign w:val="center"/>
          </w:tcPr>
          <w:p>
            <w:pPr>
              <w:keepNext w:val="0"/>
              <w:widowControl/>
              <w:spacing w:before="0" w:after="0" w:line="240" w:lineRule="auto"/>
              <w:jc w:val="center"/>
            </w:pPr>
            <w:r>
              <w:rPr>
                <w:b w:val="0"/>
                <w:sz w:val="20"/>
              </w:rPr>
              <w:t>−0.052**</w:t>
            </w:r>
          </w:p>
        </w:tc>
        <w:tc>
          <w:tcPr>
            <w:tcW w:type="dxa" w:w="1760"/>
            <w:vAlign w:val="center"/>
          </w:tcPr>
          <w:p>
            <w:pPr>
              <w:keepNext w:val="0"/>
              <w:widowControl/>
              <w:spacing w:before="0" w:after="0" w:line="240" w:lineRule="auto"/>
              <w:jc w:val="center"/>
            </w:pPr>
            <w:r>
              <w:rPr>
                <w:b w:val="0"/>
                <w:sz w:val="20"/>
              </w:rPr>
              <w:t>−0.013</w:t>
            </w:r>
          </w:p>
        </w:tc>
        <w:tc>
          <w:tcPr>
            <w:tcW w:type="dxa" w:w="1760"/>
            <w:vAlign w:val="center"/>
          </w:tcPr>
          <w:p>
            <w:pPr>
              <w:keepNext w:val="0"/>
              <w:widowControl/>
              <w:spacing w:before="0" w:after="0" w:line="240" w:lineRule="auto"/>
              <w:jc w:val="center"/>
            </w:pPr>
            <w:r>
              <w:rPr>
                <w:b w:val="0"/>
                <w:sz w:val="20"/>
              </w:rPr>
              <w:t>0.064**</w:t>
            </w:r>
          </w:p>
        </w:tc>
      </w:tr>
      <w:tr>
        <w:trPr>
          <w:cantSplit/>
        </w:trPr>
        <w:tc>
          <w:tcPr>
            <w:tcW w:type="dxa" w:w="2880"/>
            <w:vAlign w:val="center"/>
          </w:tcPr>
          <w:p>
            <w:pPr>
              <w:keepNext w:val="0"/>
              <w:widowControl/>
              <w:spacing w:before="0" w:after="0" w:line="240" w:lineRule="auto"/>
              <w:jc w:val="left"/>
            </w:pPr>
          </w:p>
        </w:tc>
        <w:tc>
          <w:tcPr>
            <w:tcW w:type="dxa" w:w="1760"/>
            <w:vAlign w:val="center"/>
          </w:tcPr>
          <w:p>
            <w:pPr>
              <w:keepNext w:val="0"/>
              <w:widowControl/>
              <w:spacing w:before="0" w:after="0" w:line="240" w:lineRule="auto"/>
              <w:jc w:val="center"/>
            </w:pPr>
            <w:r>
              <w:rPr>
                <w:b w:val="0"/>
                <w:sz w:val="20"/>
              </w:rPr>
              <w:t>(0.017)</w:t>
            </w:r>
          </w:p>
        </w:tc>
        <w:tc>
          <w:tcPr>
            <w:tcW w:type="dxa" w:w="1760"/>
            <w:vAlign w:val="center"/>
          </w:tcPr>
          <w:p>
            <w:pPr>
              <w:keepNext w:val="0"/>
              <w:widowControl/>
              <w:spacing w:before="0" w:after="0" w:line="240" w:lineRule="auto"/>
              <w:jc w:val="center"/>
            </w:pPr>
            <w:r>
              <w:rPr>
                <w:b w:val="0"/>
                <w:sz w:val="20"/>
              </w:rPr>
              <w:t>(0.027)</w:t>
            </w:r>
          </w:p>
        </w:tc>
        <w:tc>
          <w:tcPr>
            <w:tcW w:type="dxa" w:w="1760"/>
            <w:vAlign w:val="center"/>
          </w:tcPr>
          <w:p>
            <w:pPr>
              <w:keepNext w:val="0"/>
              <w:widowControl/>
              <w:spacing w:before="0" w:after="0" w:line="240" w:lineRule="auto"/>
              <w:jc w:val="center"/>
            </w:pPr>
            <w:r>
              <w:rPr>
                <w:b w:val="0"/>
                <w:sz w:val="20"/>
              </w:rPr>
              <w:t>(0.016)</w:t>
            </w:r>
          </w:p>
        </w:tc>
        <w:tc>
          <w:tcPr>
            <w:tcW w:type="dxa" w:w="1760"/>
            <w:vAlign w:val="center"/>
          </w:tcPr>
          <w:p>
            <w:pPr>
              <w:keepNext w:val="0"/>
              <w:widowControl/>
              <w:spacing w:before="0" w:after="0" w:line="240" w:lineRule="auto"/>
              <w:jc w:val="center"/>
            </w:pPr>
            <w:r>
              <w:rPr>
                <w:b w:val="0"/>
                <w:sz w:val="20"/>
              </w:rPr>
              <w:t>(0.019)</w:t>
            </w:r>
          </w:p>
        </w:tc>
        <w:tc>
          <w:tcPr>
            <w:tcW w:type="dxa" w:w="1760"/>
            <w:vAlign w:val="center"/>
          </w:tcPr>
          <w:p>
            <w:pPr>
              <w:keepNext w:val="0"/>
              <w:widowControl/>
              <w:spacing w:before="0" w:after="0" w:line="240" w:lineRule="auto"/>
              <w:jc w:val="center"/>
            </w:pPr>
            <w:r>
              <w:rPr>
                <w:b w:val="0"/>
                <w:sz w:val="20"/>
              </w:rPr>
              <w:t>(0.026)</w:t>
            </w:r>
          </w:p>
        </w:tc>
        <w:tc>
          <w:tcPr>
            <w:tcW w:type="dxa" w:w="1760"/>
            <w:vAlign w:val="center"/>
          </w:tcPr>
          <w:p>
            <w:pPr>
              <w:keepNext w:val="0"/>
              <w:widowControl/>
              <w:spacing w:before="0" w:after="0" w:line="240" w:lineRule="auto"/>
              <w:jc w:val="center"/>
            </w:pPr>
            <w:r>
              <w:rPr>
                <w:b w:val="0"/>
                <w:sz w:val="20"/>
              </w:rPr>
              <w:t>(0.021)</w:t>
            </w:r>
          </w:p>
        </w:tc>
      </w:tr>
      <w:tr>
        <w:trPr>
          <w:cantSplit/>
        </w:trPr>
        <w:tc>
          <w:tcPr>
            <w:tcW w:type="dxa" w:w="2880"/>
            <w:vAlign w:val="center"/>
          </w:tcPr>
          <w:p>
            <w:pPr>
              <w:keepNext w:val="0"/>
              <w:widowControl/>
              <w:spacing w:before="0" w:after="0" w:line="240" w:lineRule="auto"/>
              <w:jc w:val="left"/>
            </w:pPr>
          </w:p>
        </w:tc>
        <w:tc>
          <w:tcPr>
            <w:tcW w:type="dxa" w:w="1760"/>
            <w:vAlign w:val="center"/>
          </w:tcPr>
          <w:p>
            <w:pPr>
              <w:keepNext w:val="0"/>
              <w:widowControl/>
              <w:spacing w:before="0" w:after="0" w:line="240" w:lineRule="auto"/>
              <w:jc w:val="center"/>
            </w:pPr>
            <w:r>
              <w:rPr>
                <w:b w:val="0"/>
                <w:sz w:val="20"/>
              </w:rPr>
              <w:t>[0.0001]</w:t>
            </w:r>
          </w:p>
        </w:tc>
        <w:tc>
          <w:tcPr>
            <w:tcW w:type="dxa" w:w="1760"/>
            <w:vAlign w:val="center"/>
          </w:tcPr>
          <w:p>
            <w:pPr>
              <w:keepNext w:val="0"/>
              <w:widowControl/>
              <w:spacing w:before="0" w:after="0" w:line="240" w:lineRule="auto"/>
              <w:jc w:val="center"/>
            </w:pPr>
            <w:r>
              <w:rPr>
                <w:b w:val="0"/>
                <w:sz w:val="20"/>
              </w:rPr>
              <w:t>[0.0014]</w:t>
            </w:r>
          </w:p>
        </w:tc>
        <w:tc>
          <w:tcPr>
            <w:tcW w:type="dxa" w:w="1760"/>
            <w:vAlign w:val="center"/>
          </w:tcPr>
          <w:p>
            <w:pPr>
              <w:keepNext w:val="0"/>
              <w:widowControl/>
              <w:spacing w:before="0" w:after="0" w:line="240" w:lineRule="auto"/>
              <w:jc w:val="center"/>
            </w:pPr>
            <w:r>
              <w:rPr>
                <w:b w:val="0"/>
                <w:sz w:val="20"/>
              </w:rPr>
              <w:t>[0.1232]</w:t>
            </w:r>
          </w:p>
        </w:tc>
        <w:tc>
          <w:tcPr>
            <w:tcW w:type="dxa" w:w="1760"/>
            <w:vAlign w:val="center"/>
          </w:tcPr>
          <w:p>
            <w:pPr>
              <w:keepNext w:val="0"/>
              <w:widowControl/>
              <w:spacing w:before="0" w:after="0" w:line="240" w:lineRule="auto"/>
              <w:jc w:val="center"/>
            </w:pPr>
            <w:r>
              <w:rPr>
                <w:b w:val="0"/>
                <w:sz w:val="20"/>
              </w:rPr>
              <w:t>[0.0134]</w:t>
            </w:r>
          </w:p>
        </w:tc>
        <w:tc>
          <w:tcPr>
            <w:tcW w:type="dxa" w:w="1760"/>
            <w:vAlign w:val="center"/>
          </w:tcPr>
          <w:p>
            <w:pPr>
              <w:keepNext w:val="0"/>
              <w:widowControl/>
              <w:spacing w:before="0" w:after="0" w:line="240" w:lineRule="auto"/>
              <w:jc w:val="center"/>
            </w:pPr>
            <w:r>
              <w:rPr>
                <w:b w:val="0"/>
                <w:sz w:val="20"/>
              </w:rPr>
              <w:t>[0.8476]</w:t>
            </w:r>
          </w:p>
        </w:tc>
        <w:tc>
          <w:tcPr>
            <w:tcW w:type="dxa" w:w="1760"/>
            <w:vAlign w:val="center"/>
          </w:tcPr>
          <w:p>
            <w:pPr>
              <w:keepNext w:val="0"/>
              <w:widowControl/>
              <w:spacing w:before="0" w:after="0" w:line="240" w:lineRule="auto"/>
              <w:jc w:val="center"/>
            </w:pPr>
            <w:r>
              <w:rPr>
                <w:b w:val="0"/>
                <w:sz w:val="20"/>
              </w:rPr>
              <w:t>[0.0250]</w:t>
            </w:r>
          </w:p>
        </w:tc>
      </w:tr>
      <w:tr>
        <w:trPr>
          <w:cantSplit/>
        </w:trPr>
        <w:tc>
          <w:tcPr>
            <w:tcW w:type="dxa" w:w="2880"/>
            <w:vAlign w:val="center"/>
          </w:tcPr>
          <w:p>
            <w:pPr>
              <w:keepNext w:val="0"/>
              <w:widowControl/>
              <w:spacing w:before="0" w:after="0" w:line="240" w:lineRule="auto"/>
              <w:jc w:val="left"/>
            </w:pPr>
            <w:r>
              <w:rPr>
                <w:b w:val="0"/>
                <w:sz w:val="20"/>
              </w:rPr>
              <w:t>2023–2024 − 2022</w:t>
            </w:r>
          </w:p>
        </w:tc>
        <w:tc>
          <w:tcPr>
            <w:tcW w:type="dxa" w:w="1760"/>
            <w:vAlign w:val="center"/>
          </w:tcPr>
          <w:p>
            <w:pPr>
              <w:keepNext w:val="0"/>
              <w:widowControl/>
              <w:spacing w:before="0" w:after="0" w:line="240" w:lineRule="auto"/>
              <w:jc w:val="center"/>
            </w:pPr>
            <w:r>
              <w:rPr>
                <w:b w:val="0"/>
                <w:sz w:val="20"/>
              </w:rPr>
              <w:t>−0.139*** (0.030)</w:t>
            </w:r>
          </w:p>
        </w:tc>
        <w:tc>
          <w:tcPr>
            <w:tcW w:type="dxa" w:w="1760"/>
            <w:vAlign w:val="center"/>
          </w:tcPr>
          <w:p>
            <w:pPr>
              <w:keepNext w:val="0"/>
              <w:widowControl/>
              <w:spacing w:before="0" w:after="0" w:line="240" w:lineRule="auto"/>
              <w:jc w:val="center"/>
            </w:pPr>
            <w:r>
              <w:rPr>
                <w:b w:val="0"/>
                <w:sz w:val="20"/>
              </w:rPr>
              <w:t>−0.039** (0.015)</w:t>
            </w:r>
          </w:p>
        </w:tc>
        <w:tc>
          <w:tcPr>
            <w:tcW w:type="dxa" w:w="1760"/>
            <w:vAlign w:val="center"/>
          </w:tcPr>
          <w:p>
            <w:pPr>
              <w:keepNext w:val="0"/>
              <w:widowControl/>
              <w:spacing w:before="0" w:after="0" w:line="240" w:lineRule="auto"/>
              <w:jc w:val="center"/>
            </w:pPr>
            <w:r>
              <w:rPr>
                <w:b w:val="0"/>
                <w:sz w:val="20"/>
              </w:rPr>
              <w:t>−0.063*** (0.018)</w:t>
            </w:r>
          </w:p>
        </w:tc>
        <w:tc>
          <w:tcPr>
            <w:tcW w:type="dxa" w:w="1760"/>
            <w:vAlign w:val="center"/>
          </w:tcPr>
          <w:p>
            <w:pPr>
              <w:keepNext w:val="0"/>
              <w:widowControl/>
              <w:spacing w:before="0" w:after="0" w:line="240" w:lineRule="auto"/>
              <w:jc w:val="center"/>
            </w:pPr>
            <w:r>
              <w:rPr>
                <w:b w:val="0"/>
                <w:sz w:val="20"/>
              </w:rPr>
              <w:t>−0.030 (0.017)</w:t>
            </w:r>
          </w:p>
        </w:tc>
        <w:tc>
          <w:tcPr>
            <w:tcW w:type="dxa" w:w="1760"/>
            <w:vAlign w:val="center"/>
          </w:tcPr>
          <w:p>
            <w:pPr>
              <w:keepNext w:val="0"/>
              <w:widowControl/>
              <w:spacing w:before="0" w:after="0" w:line="240" w:lineRule="auto"/>
              <w:jc w:val="center"/>
            </w:pPr>
            <w:r>
              <w:rPr>
                <w:b w:val="0"/>
                <w:sz w:val="20"/>
              </w:rPr>
              <w:t>0.004 (0.017)</w:t>
            </w:r>
          </w:p>
        </w:tc>
        <w:tc>
          <w:tcPr>
            <w:tcW w:type="dxa" w:w="1760"/>
            <w:vAlign w:val="center"/>
          </w:tcPr>
          <w:p>
            <w:pPr>
              <w:keepNext w:val="0"/>
              <w:widowControl/>
              <w:spacing w:before="0" w:after="0" w:line="240" w:lineRule="auto"/>
              <w:jc w:val="center"/>
            </w:pPr>
            <w:r>
              <w:rPr>
                <w:b w:val="0"/>
                <w:sz w:val="20"/>
              </w:rPr>
              <w:t>0.003 (0.014)</w:t>
            </w:r>
          </w:p>
        </w:tc>
      </w:tr>
      <w:tr>
        <w:trPr>
          <w:cantSplit/>
        </w:trPr>
        <w:tc>
          <w:tcPr>
            <w:tcW w:type="dxa" w:w="2880"/>
            <w:vAlign w:val="center"/>
          </w:tcPr>
          <w:p>
            <w:pPr>
              <w:keepNext w:val="0"/>
              <w:widowControl/>
              <w:spacing w:before="0" w:after="0" w:line="240" w:lineRule="auto"/>
              <w:jc w:val="left"/>
            </w:pPr>
          </w:p>
        </w:tc>
        <w:tc>
          <w:tcPr>
            <w:tcW w:type="dxa" w:w="1760"/>
            <w:vAlign w:val="center"/>
          </w:tcPr>
          <w:p>
            <w:pPr>
              <w:keepNext w:val="0"/>
              <w:widowControl/>
              <w:spacing w:before="0" w:after="0" w:line="240" w:lineRule="auto"/>
              <w:jc w:val="center"/>
            </w:pPr>
            <w:r>
              <w:rPr>
                <w:b w:val="0"/>
                <w:sz w:val="20"/>
              </w:rPr>
              <w:t>[0.0001]</w:t>
            </w:r>
          </w:p>
        </w:tc>
        <w:tc>
          <w:tcPr>
            <w:tcW w:type="dxa" w:w="1760"/>
            <w:vAlign w:val="center"/>
          </w:tcPr>
          <w:p>
            <w:pPr>
              <w:keepNext w:val="0"/>
              <w:widowControl/>
              <w:spacing w:before="0" w:after="0" w:line="240" w:lineRule="auto"/>
              <w:jc w:val="center"/>
            </w:pPr>
            <w:r>
              <w:rPr>
                <w:b w:val="0"/>
                <w:sz w:val="20"/>
              </w:rPr>
              <w:t>[0.0245]</w:t>
            </w:r>
          </w:p>
        </w:tc>
        <w:tc>
          <w:tcPr>
            <w:tcW w:type="dxa" w:w="1760"/>
            <w:vAlign w:val="center"/>
          </w:tcPr>
          <w:p>
            <w:pPr>
              <w:keepNext w:val="0"/>
              <w:widowControl/>
              <w:spacing w:before="0" w:after="0" w:line="240" w:lineRule="auto"/>
              <w:jc w:val="center"/>
            </w:pPr>
            <w:r>
              <w:rPr>
                <w:b w:val="0"/>
                <w:sz w:val="20"/>
              </w:rPr>
              <w:t>[0.0075]</w:t>
            </w:r>
          </w:p>
        </w:tc>
        <w:tc>
          <w:tcPr>
            <w:tcW w:type="dxa" w:w="1760"/>
            <w:vAlign w:val="center"/>
          </w:tcPr>
          <w:p>
            <w:pPr>
              <w:keepNext w:val="0"/>
              <w:widowControl/>
              <w:spacing w:before="0" w:after="0" w:line="240" w:lineRule="auto"/>
              <w:jc w:val="center"/>
            </w:pPr>
            <w:r>
              <w:rPr>
                <w:b w:val="0"/>
                <w:sz w:val="20"/>
              </w:rPr>
              <w:t>[0.1664]</w:t>
            </w:r>
          </w:p>
        </w:tc>
        <w:tc>
          <w:tcPr>
            <w:tcW w:type="dxa" w:w="1760"/>
            <w:vAlign w:val="center"/>
          </w:tcPr>
          <w:p>
            <w:pPr>
              <w:keepNext w:val="0"/>
              <w:widowControl/>
              <w:spacing w:before="0" w:after="0" w:line="240" w:lineRule="auto"/>
              <w:jc w:val="center"/>
            </w:pPr>
            <w:r>
              <w:rPr>
                <w:b w:val="0"/>
                <w:sz w:val="20"/>
              </w:rPr>
              <w:t>[0.8327]</w:t>
            </w:r>
          </w:p>
        </w:tc>
        <w:tc>
          <w:tcPr>
            <w:tcW w:type="dxa" w:w="1760"/>
            <w:vAlign w:val="center"/>
          </w:tcPr>
          <w:p>
            <w:pPr>
              <w:keepNext w:val="0"/>
              <w:widowControl/>
              <w:spacing w:before="0" w:after="0" w:line="240" w:lineRule="auto"/>
              <w:jc w:val="center"/>
            </w:pPr>
            <w:r>
              <w:rPr>
                <w:b w:val="0"/>
                <w:sz w:val="20"/>
              </w:rPr>
              <w:t>[0.8645]</w:t>
            </w:r>
          </w:p>
        </w:tc>
      </w:tr>
      <w:tr>
        <w:trPr>
          <w:cantSplit/>
        </w:trPr>
        <w:tc>
          <w:tcPr>
            <w:tcW w:type="dxa" w:w="2880"/>
            <w:vAlign w:val="center"/>
          </w:tcPr>
          <w:p>
            <w:pPr>
              <w:keepNext w:val="0"/>
              <w:widowControl/>
              <w:spacing w:before="0" w:after="0" w:line="240" w:lineRule="auto"/>
              <w:jc w:val="left"/>
            </w:pPr>
            <w:r>
              <w:rPr>
                <w:b w:val="0"/>
                <w:sz w:val="20"/>
              </w:rPr>
              <w:t>2025 − 2023–2024</w:t>
            </w:r>
          </w:p>
        </w:tc>
        <w:tc>
          <w:tcPr>
            <w:tcW w:type="dxa" w:w="1760"/>
            <w:vAlign w:val="center"/>
          </w:tcPr>
          <w:p>
            <w:pPr>
              <w:keepNext w:val="0"/>
              <w:widowControl/>
              <w:spacing w:before="0" w:after="0" w:line="240" w:lineRule="auto"/>
              <w:jc w:val="center"/>
            </w:pPr>
            <w:r>
              <w:rPr>
                <w:b w:val="0"/>
                <w:sz w:val="20"/>
              </w:rPr>
              <w:t>0.060** (0.019)</w:t>
            </w:r>
          </w:p>
        </w:tc>
        <w:tc>
          <w:tcPr>
            <w:tcW w:type="dxa" w:w="1760"/>
            <w:vAlign w:val="center"/>
          </w:tcPr>
          <w:p>
            <w:pPr>
              <w:keepNext w:val="0"/>
              <w:widowControl/>
              <w:spacing w:before="0" w:after="0" w:line="240" w:lineRule="auto"/>
              <w:jc w:val="center"/>
            </w:pPr>
            <w:r>
              <w:rPr>
                <w:b w:val="0"/>
                <w:sz w:val="20"/>
              </w:rPr>
              <w:t>−0.002 (0.022)</w:t>
            </w:r>
          </w:p>
        </w:tc>
        <w:tc>
          <w:tcPr>
            <w:tcW w:type="dxa" w:w="1760"/>
            <w:vAlign w:val="center"/>
          </w:tcPr>
          <w:p>
            <w:pPr>
              <w:keepNext w:val="0"/>
              <w:widowControl/>
              <w:spacing w:before="0" w:after="0" w:line="240" w:lineRule="auto"/>
              <w:jc w:val="center"/>
            </w:pPr>
            <w:r>
              <w:rPr>
                <w:b w:val="0"/>
                <w:sz w:val="20"/>
              </w:rPr>
              <w:t>0.000 (0.018)</w:t>
            </w:r>
          </w:p>
        </w:tc>
        <w:tc>
          <w:tcPr>
            <w:tcW w:type="dxa" w:w="1760"/>
            <w:vAlign w:val="center"/>
          </w:tcPr>
          <w:p>
            <w:pPr>
              <w:keepNext w:val="0"/>
              <w:widowControl/>
              <w:spacing w:before="0" w:after="0" w:line="240" w:lineRule="auto"/>
              <w:jc w:val="center"/>
            </w:pPr>
            <w:r>
              <w:rPr>
                <w:b w:val="0"/>
                <w:sz w:val="20"/>
              </w:rPr>
              <w:t>−0.043** (0.017)</w:t>
            </w:r>
          </w:p>
        </w:tc>
        <w:tc>
          <w:tcPr>
            <w:tcW w:type="dxa" w:w="1760"/>
            <w:vAlign w:val="center"/>
          </w:tcPr>
          <w:p>
            <w:pPr>
              <w:keepNext w:val="0"/>
              <w:widowControl/>
              <w:spacing w:before="0" w:after="0" w:line="240" w:lineRule="auto"/>
              <w:jc w:val="center"/>
            </w:pPr>
            <w:r>
              <w:rPr>
                <w:b w:val="0"/>
                <w:sz w:val="20"/>
              </w:rPr>
              <w:t>−0.031 (0.025)</w:t>
            </w:r>
          </w:p>
        </w:tc>
        <w:tc>
          <w:tcPr>
            <w:tcW w:type="dxa" w:w="1760"/>
            <w:vAlign w:val="center"/>
          </w:tcPr>
          <w:p>
            <w:pPr>
              <w:keepNext w:val="0"/>
              <w:widowControl/>
              <w:spacing w:before="0" w:after="0" w:line="240" w:lineRule="auto"/>
              <w:jc w:val="center"/>
            </w:pPr>
            <w:r>
              <w:rPr>
                <w:b w:val="0"/>
                <w:sz w:val="20"/>
              </w:rPr>
              <w:t>0.026 (0.017)</w:t>
            </w:r>
          </w:p>
        </w:tc>
      </w:tr>
      <w:tr>
        <w:trPr>
          <w:cantSplit/>
        </w:trPr>
        <w:tc>
          <w:tcPr>
            <w:tcW w:type="dxa" w:w="2880"/>
            <w:vAlign w:val="center"/>
          </w:tcPr>
          <w:p>
            <w:pPr>
              <w:keepNext w:val="0"/>
              <w:widowControl/>
              <w:spacing w:before="0" w:after="0" w:line="240" w:lineRule="auto"/>
              <w:jc w:val="left"/>
            </w:pPr>
          </w:p>
        </w:tc>
        <w:tc>
          <w:tcPr>
            <w:tcW w:type="dxa" w:w="1760"/>
            <w:vAlign w:val="center"/>
          </w:tcPr>
          <w:p>
            <w:pPr>
              <w:keepNext w:val="0"/>
              <w:widowControl/>
              <w:spacing w:before="0" w:after="0" w:line="240" w:lineRule="auto"/>
              <w:jc w:val="center"/>
            </w:pPr>
            <w:r>
              <w:rPr>
                <w:b w:val="0"/>
                <w:sz w:val="20"/>
              </w:rPr>
              <w:t>[0.0148]</w:t>
            </w:r>
          </w:p>
        </w:tc>
        <w:tc>
          <w:tcPr>
            <w:tcW w:type="dxa" w:w="1760"/>
            <w:vAlign w:val="center"/>
          </w:tcPr>
          <w:p>
            <w:pPr>
              <w:keepNext w:val="0"/>
              <w:widowControl/>
              <w:spacing w:before="0" w:after="0" w:line="240" w:lineRule="auto"/>
              <w:jc w:val="center"/>
            </w:pPr>
            <w:r>
              <w:rPr>
                <w:b w:val="0"/>
                <w:sz w:val="20"/>
              </w:rPr>
              <w:t>[0.9207]</w:t>
            </w:r>
          </w:p>
        </w:tc>
        <w:tc>
          <w:tcPr>
            <w:tcW w:type="dxa" w:w="1760"/>
            <w:vAlign w:val="center"/>
          </w:tcPr>
          <w:p>
            <w:pPr>
              <w:keepNext w:val="0"/>
              <w:widowControl/>
              <w:spacing w:before="0" w:after="0" w:line="240" w:lineRule="auto"/>
              <w:jc w:val="center"/>
            </w:pPr>
            <w:r>
              <w:rPr>
                <w:b w:val="0"/>
                <w:sz w:val="20"/>
              </w:rPr>
              <w:t>[0.9882]</w:t>
            </w:r>
          </w:p>
        </w:tc>
        <w:tc>
          <w:tcPr>
            <w:tcW w:type="dxa" w:w="1760"/>
            <w:vAlign w:val="center"/>
          </w:tcPr>
          <w:p>
            <w:pPr>
              <w:keepNext w:val="0"/>
              <w:widowControl/>
              <w:spacing w:before="0" w:after="0" w:line="240" w:lineRule="auto"/>
              <w:jc w:val="center"/>
            </w:pPr>
            <w:r>
              <w:rPr>
                <w:b w:val="0"/>
                <w:sz w:val="20"/>
              </w:rPr>
              <w:t>[0.0304]</w:t>
            </w:r>
          </w:p>
        </w:tc>
        <w:tc>
          <w:tcPr>
            <w:tcW w:type="dxa" w:w="1760"/>
            <w:vAlign w:val="center"/>
          </w:tcPr>
          <w:p>
            <w:pPr>
              <w:keepNext w:val="0"/>
              <w:widowControl/>
              <w:spacing w:before="0" w:after="0" w:line="240" w:lineRule="auto"/>
              <w:jc w:val="center"/>
            </w:pPr>
            <w:r>
              <w:rPr>
                <w:b w:val="0"/>
                <w:sz w:val="20"/>
              </w:rPr>
              <w:t>[0.3816]</w:t>
            </w:r>
          </w:p>
        </w:tc>
        <w:tc>
          <w:tcPr>
            <w:tcW w:type="dxa" w:w="1760"/>
            <w:vAlign w:val="center"/>
          </w:tcPr>
          <w:p>
            <w:pPr>
              <w:keepNext w:val="0"/>
              <w:widowControl/>
              <w:spacing w:before="0" w:after="0" w:line="240" w:lineRule="auto"/>
              <w:jc w:val="center"/>
            </w:pPr>
            <w:r>
              <w:rPr>
                <w:b w:val="0"/>
                <w:sz w:val="20"/>
              </w:rPr>
              <w:t>[0.1837]</w:t>
            </w:r>
          </w:p>
        </w:tc>
      </w:tr>
      <w:tr>
        <w:trPr>
          <w:cantSplit/>
        </w:trPr>
        <w:tc>
          <w:tcPr>
            <w:tcW w:type="dxa" w:w="2880"/>
            <w:vAlign w:val="center"/>
          </w:tcPr>
          <w:p>
            <w:pPr>
              <w:keepNext w:val="0"/>
              <w:widowControl/>
              <w:spacing w:before="0" w:after="0" w:line="240" w:lineRule="auto"/>
              <w:jc w:val="left"/>
            </w:pPr>
            <w:r>
              <w:rPr>
                <w:b w:val="0"/>
                <w:sz w:val="20"/>
              </w:rPr>
              <w:t>Pre-trend F(4, 25)</w:t>
            </w:r>
          </w:p>
        </w:tc>
        <w:tc>
          <w:tcPr>
            <w:tcW w:type="dxa" w:w="1760"/>
            <w:vAlign w:val="center"/>
          </w:tcPr>
          <w:p>
            <w:pPr>
              <w:keepNext w:val="0"/>
              <w:widowControl/>
              <w:spacing w:before="0" w:after="0" w:line="240" w:lineRule="auto"/>
              <w:jc w:val="center"/>
            </w:pPr>
            <w:r>
              <w:rPr>
                <w:b w:val="0"/>
                <w:sz w:val="20"/>
              </w:rPr>
              <w:t>1.06 (p = 0.395)</w:t>
            </w:r>
          </w:p>
        </w:tc>
        <w:tc>
          <w:tcPr>
            <w:tcW w:type="dxa" w:w="1760"/>
            <w:vAlign w:val="center"/>
          </w:tcPr>
          <w:p>
            <w:pPr>
              <w:keepNext w:val="0"/>
              <w:widowControl/>
              <w:spacing w:before="0" w:after="0" w:line="240" w:lineRule="auto"/>
              <w:jc w:val="center"/>
            </w:pPr>
            <w:r>
              <w:rPr>
                <w:b w:val="0"/>
                <w:sz w:val="20"/>
              </w:rPr>
              <w:t>0.19 (p = 0.941)</w:t>
            </w:r>
          </w:p>
        </w:tc>
        <w:tc>
          <w:tcPr>
            <w:tcW w:type="dxa" w:w="1760"/>
            <w:vAlign w:val="center"/>
          </w:tcPr>
          <w:p>
            <w:pPr>
              <w:keepNext w:val="0"/>
              <w:widowControl/>
              <w:spacing w:before="0" w:after="0" w:line="240" w:lineRule="auto"/>
              <w:jc w:val="center"/>
            </w:pPr>
            <w:r>
              <w:rPr>
                <w:b w:val="0"/>
                <w:sz w:val="20"/>
              </w:rPr>
              <w:t>1.32 (p = 0.289)</w:t>
            </w:r>
          </w:p>
        </w:tc>
        <w:tc>
          <w:tcPr>
            <w:tcW w:type="dxa" w:w="1760"/>
            <w:vAlign w:val="center"/>
          </w:tcPr>
          <w:p>
            <w:pPr>
              <w:keepNext w:val="0"/>
              <w:widowControl/>
              <w:spacing w:before="0" w:after="0" w:line="240" w:lineRule="auto"/>
              <w:jc w:val="center"/>
            </w:pPr>
            <w:r>
              <w:rPr>
                <w:b w:val="0"/>
                <w:sz w:val="20"/>
              </w:rPr>
              <w:t>2.19 (p = 0.099)</w:t>
            </w:r>
          </w:p>
        </w:tc>
        <w:tc>
          <w:tcPr>
            <w:tcW w:type="dxa" w:w="1760"/>
            <w:vAlign w:val="center"/>
          </w:tcPr>
          <w:p>
            <w:pPr>
              <w:keepNext w:val="0"/>
              <w:widowControl/>
              <w:spacing w:before="0" w:after="0" w:line="240" w:lineRule="auto"/>
              <w:jc w:val="center"/>
            </w:pPr>
            <w:r>
              <w:rPr>
                <w:b w:val="0"/>
                <w:sz w:val="20"/>
              </w:rPr>
              <w:t>2.51 (p = 0.067)</w:t>
            </w:r>
          </w:p>
        </w:tc>
        <w:tc>
          <w:tcPr>
            <w:tcW w:type="dxa" w:w="1760"/>
            <w:vAlign w:val="center"/>
          </w:tcPr>
          <w:p>
            <w:pPr>
              <w:keepNext w:val="0"/>
              <w:widowControl/>
              <w:spacing w:before="0" w:after="0" w:line="240" w:lineRule="auto"/>
              <w:jc w:val="center"/>
            </w:pPr>
            <w:r>
              <w:rPr>
                <w:b w:val="0"/>
                <w:sz w:val="20"/>
              </w:rPr>
              <w:t>2.85 (p = 0.045)</w:t>
            </w:r>
          </w:p>
        </w:tc>
      </w:tr>
      <w:tr>
        <w:trPr>
          <w:cantSplit/>
        </w:trPr>
        <w:tc>
          <w:tcPr>
            <w:tcW w:type="dxa" w:w="2880"/>
            <w:vAlign w:val="center"/>
          </w:tcPr>
          <w:p>
            <w:pPr>
              <w:keepNext w:val="0"/>
              <w:widowControl/>
              <w:spacing w:before="0" w:after="0" w:line="240" w:lineRule="auto"/>
              <w:jc w:val="left"/>
            </w:pPr>
            <w:r>
              <w:rPr>
                <w:b w:val="0"/>
                <w:sz w:val="20"/>
              </w:rPr>
              <w:t>Sitting-tenant mean, 2016–2020</w:t>
            </w:r>
          </w:p>
        </w:tc>
        <w:tc>
          <w:tcPr>
            <w:tcW w:type="dxa" w:w="1760"/>
            <w:vAlign w:val="center"/>
          </w:tcPr>
          <w:p>
            <w:pPr>
              <w:keepNext w:val="0"/>
              <w:widowControl/>
              <w:spacing w:before="0" w:after="0" w:line="240" w:lineRule="auto"/>
              <w:jc w:val="center"/>
            </w:pPr>
            <w:r>
              <w:rPr>
                <w:b w:val="0"/>
                <w:sz w:val="20"/>
              </w:rPr>
              <w:t>6.409</w:t>
            </w:r>
          </w:p>
        </w:tc>
        <w:tc>
          <w:tcPr>
            <w:tcW w:type="dxa" w:w="1760"/>
            <w:vAlign w:val="center"/>
          </w:tcPr>
          <w:p>
            <w:pPr>
              <w:keepNext w:val="0"/>
              <w:widowControl/>
              <w:spacing w:before="0" w:after="0" w:line="240" w:lineRule="auto"/>
              <w:jc w:val="center"/>
            </w:pPr>
            <w:r>
              <w:rPr>
                <w:b w:val="0"/>
                <w:sz w:val="20"/>
              </w:rPr>
              <w:t>0.094</w:t>
            </w:r>
          </w:p>
        </w:tc>
        <w:tc>
          <w:tcPr>
            <w:tcW w:type="dxa" w:w="1760"/>
            <w:vAlign w:val="center"/>
          </w:tcPr>
          <w:p>
            <w:pPr>
              <w:keepNext w:val="0"/>
              <w:widowControl/>
              <w:spacing w:before="0" w:after="0" w:line="240" w:lineRule="auto"/>
              <w:jc w:val="center"/>
            </w:pPr>
            <w:r>
              <w:rPr>
                <w:b w:val="0"/>
                <w:sz w:val="20"/>
              </w:rPr>
              <w:t>0.207</w:t>
            </w:r>
          </w:p>
        </w:tc>
        <w:tc>
          <w:tcPr>
            <w:tcW w:type="dxa" w:w="1760"/>
            <w:vAlign w:val="center"/>
          </w:tcPr>
          <w:p>
            <w:pPr>
              <w:keepNext w:val="0"/>
              <w:widowControl/>
              <w:spacing w:before="0" w:after="0" w:line="240" w:lineRule="auto"/>
              <w:jc w:val="center"/>
            </w:pPr>
            <w:r>
              <w:rPr>
                <w:b w:val="0"/>
                <w:sz w:val="20"/>
              </w:rPr>
              <w:t>0.322</w:t>
            </w:r>
          </w:p>
        </w:tc>
        <w:tc>
          <w:tcPr>
            <w:tcW w:type="dxa" w:w="1760"/>
            <w:vAlign w:val="center"/>
          </w:tcPr>
          <w:p>
            <w:pPr>
              <w:keepNext w:val="0"/>
              <w:widowControl/>
              <w:spacing w:before="0" w:after="0" w:line="240" w:lineRule="auto"/>
              <w:jc w:val="center"/>
            </w:pPr>
            <w:r>
              <w:rPr>
                <w:b w:val="0"/>
                <w:sz w:val="20"/>
              </w:rPr>
              <w:t>0.295</w:t>
            </w:r>
          </w:p>
        </w:tc>
        <w:tc>
          <w:tcPr>
            <w:tcW w:type="dxa" w:w="1760"/>
            <w:vAlign w:val="center"/>
          </w:tcPr>
          <w:p>
            <w:pPr>
              <w:keepNext w:val="0"/>
              <w:widowControl/>
              <w:spacing w:before="0" w:after="0" w:line="240" w:lineRule="auto"/>
              <w:jc w:val="center"/>
            </w:pPr>
            <w:r>
              <w:rPr>
                <w:b w:val="0"/>
                <w:sz w:val="20"/>
              </w:rPr>
              <w:t>0.237</w:t>
            </w:r>
          </w:p>
        </w:tc>
      </w:tr>
      <w:tr>
        <w:trPr>
          <w:cantSplit/>
        </w:trPr>
        <w:tc>
          <w:tcPr>
            <w:tcW w:type="dxa" w:w="2880"/>
            <w:vAlign w:val="center"/>
          </w:tcPr>
          <w:p>
            <w:pPr>
              <w:keepNext w:val="0"/>
              <w:widowControl/>
              <w:spacing w:before="0" w:after="0" w:line="240" w:lineRule="auto"/>
              <w:jc w:val="left"/>
            </w:pPr>
            <w:r>
              <w:rPr>
                <w:b w:val="0"/>
                <w:sz w:val="20"/>
              </w:rPr>
              <w:t>Observations</w:t>
            </w:r>
          </w:p>
        </w:tc>
        <w:tc>
          <w:tcPr>
            <w:tcW w:type="dxa" w:w="1760"/>
            <w:vAlign w:val="center"/>
          </w:tcPr>
          <w:p>
            <w:pPr>
              <w:keepNext w:val="0"/>
              <w:widowControl/>
              <w:spacing w:before="0" w:after="0" w:line="240" w:lineRule="auto"/>
              <w:jc w:val="center"/>
            </w:pPr>
            <w:r>
              <w:rPr>
                <w:b w:val="0"/>
                <w:sz w:val="20"/>
              </w:rPr>
              <w:t>62,619</w:t>
            </w:r>
          </w:p>
        </w:tc>
        <w:tc>
          <w:tcPr>
            <w:tcW w:type="dxa" w:w="1760"/>
            <w:vAlign w:val="center"/>
          </w:tcPr>
          <w:p>
            <w:pPr>
              <w:keepNext w:val="0"/>
              <w:widowControl/>
              <w:spacing w:before="0" w:after="0" w:line="240" w:lineRule="auto"/>
              <w:jc w:val="center"/>
            </w:pPr>
            <w:r>
              <w:rPr>
                <w:b w:val="0"/>
                <w:sz w:val="20"/>
              </w:rPr>
              <w:t>62,619</w:t>
            </w:r>
          </w:p>
        </w:tc>
        <w:tc>
          <w:tcPr>
            <w:tcW w:type="dxa" w:w="1760"/>
            <w:vAlign w:val="center"/>
          </w:tcPr>
          <w:p>
            <w:pPr>
              <w:keepNext w:val="0"/>
              <w:widowControl/>
              <w:spacing w:before="0" w:after="0" w:line="240" w:lineRule="auto"/>
              <w:jc w:val="center"/>
            </w:pPr>
            <w:r>
              <w:rPr>
                <w:b w:val="0"/>
                <w:sz w:val="20"/>
              </w:rPr>
              <w:t>62,619</w:t>
            </w:r>
          </w:p>
        </w:tc>
        <w:tc>
          <w:tcPr>
            <w:tcW w:type="dxa" w:w="1760"/>
            <w:vAlign w:val="center"/>
          </w:tcPr>
          <w:p>
            <w:pPr>
              <w:keepNext w:val="0"/>
              <w:widowControl/>
              <w:spacing w:before="0" w:after="0" w:line="240" w:lineRule="auto"/>
              <w:jc w:val="center"/>
            </w:pPr>
            <w:r>
              <w:rPr>
                <w:b w:val="0"/>
                <w:sz w:val="20"/>
              </w:rPr>
              <w:t>62,619</w:t>
            </w:r>
          </w:p>
        </w:tc>
        <w:tc>
          <w:tcPr>
            <w:tcW w:type="dxa" w:w="1760"/>
            <w:vAlign w:val="center"/>
          </w:tcPr>
          <w:p>
            <w:pPr>
              <w:keepNext w:val="0"/>
              <w:widowControl/>
              <w:spacing w:before="0" w:after="0" w:line="240" w:lineRule="auto"/>
              <w:jc w:val="center"/>
            </w:pPr>
            <w:r>
              <w:rPr>
                <w:b w:val="0"/>
                <w:sz w:val="20"/>
              </w:rPr>
              <w:t>62,619</w:t>
            </w:r>
          </w:p>
        </w:tc>
        <w:tc>
          <w:tcPr>
            <w:tcW w:type="dxa" w:w="1760"/>
            <w:vAlign w:val="center"/>
          </w:tcPr>
          <w:p>
            <w:pPr>
              <w:keepNext w:val="0"/>
              <w:widowControl/>
              <w:spacing w:before="0" w:after="0" w:line="240" w:lineRule="auto"/>
              <w:jc w:val="center"/>
            </w:pPr>
            <w:r>
              <w:rPr>
                <w:b w:val="0"/>
                <w:sz w:val="20"/>
              </w:rPr>
              <w:t>62,619</w:t>
            </w:r>
          </w:p>
        </w:tc>
      </w:tr>
    </w:tbl>
    <w:p>
      <w:pPr>
        <w:pStyle w:val="Paragraph"/>
        <w:widowControl/>
        <w:spacing w:before="140" w:line="240" w:lineRule="auto"/>
      </w:pPr>
      <w:r>
        <w:rPr>
          <w:i/>
          <w:sz w:val="20"/>
        </w:rPr>
        <w:t>Note:</w:t>
      </w:r>
      <w:r>
        <w:rPr>
          <w:sz w:val="20"/>
        </w:rPr>
        <w:t xml:space="preserve"> Coefficients measure changes in conditional sitting–new gaps relative to 2016–2020. All models include region × year fixed effects and dwelling and household controls, with household weights. Parentheses contain CR1 standard errors clustered in 26 NUTS-2 regions; square brackets contain restricted wild cluster bootstrap-t p-values (Webb weights, 9,999 replications, seed 20261010). Stars use these bootstrap p-values: *** p &lt; 0.01, ** p &lt; 0.05, * p &lt; 0.10. P-values equal (exceedance count + 1)/10,000; 0.0001 is the minimum reportable value. The pre-trend F-test assesses joint equality to zero of the 2016, 2017, 2018 and 2020 coefficients using conventional cluster-robust inference. Binary outcomes are in probability units; multiply by 100 for percentage points. Source: TurkStat SILC 2016–2025; author’s estimates.</w:t>
      </w:r>
    </w:p>
    <w:p>
      <w:pPr>
        <w:sectPr>
          <w:pgSz w:w="16840" w:h="11901" w:code="9" w:orient="landscape"/>
          <w:pgMar w:top="1418" w:right="1701" w:bottom="1418" w:left="1701" w:header="709" w:footer="709" w:gutter="0"/>
          <w:cols w:space="708"/>
          <w:docGrid w:linePitch="360"/>
        </w:sectPr>
      </w:pPr>
    </w:p>
    <w:p>
      <w:pPr>
        <w:pStyle w:val="Tabletitle"/>
        <w:keepNext/>
        <w:widowControl/>
        <w:spacing w:before="0"/>
      </w:pPr>
      <w:r>
        <w:t>Table 3. Heterogeneity by tenancy duration, income and metropolitan region</w:t>
      </w:r>
    </w:p>
    <w:p>
      <w:pPr>
        <w:pStyle w:val="Paragraph"/>
        <w:keepNext/>
        <w:widowControl/>
        <w:spacing w:line="240" w:lineRule="auto" w:before="160" w:after="80"/>
      </w:pPr>
      <w:r>
        <w:rPr>
          <w:i/>
          <w:sz w:val="22"/>
        </w:rPr>
        <w:t>Panel A. Tenancy duration (reference: new tenants)</w:t>
      </w:r>
    </w:p>
    <w:tbl>
      <w:tblPr>
        <w:tblW w:type="dxa" w:w="13438"/>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10" w:type="dxa"/>
          <w:bottom w:w="10" w:type="dxa"/>
          <w:left w:w="60" w:type="dxa"/>
          <w:right w:w="60" w:type="dxa"/>
        </w:tblCellMar>
      </w:tblPr>
      <w:tblGrid>
        <w:gridCol w:w="2880"/>
        <w:gridCol w:w="2112"/>
        <w:gridCol w:w="2112"/>
        <w:gridCol w:w="2112"/>
        <w:gridCol w:w="2112"/>
        <w:gridCol w:w="2112"/>
      </w:tblGrid>
      <w:tr>
        <w:trPr>
          <w:cantSplit/>
          <w:tblHeader/>
        </w:trPr>
        <w:tc>
          <w:tcPr>
            <w:tcW w:type="dxa" w:w="2880"/>
            <w:vAlign w:val="center"/>
            <w:tcBorders>
              <w:bottom w:val="single" w:sz="4"/>
            </w:tcBorders>
          </w:tcPr>
          <w:p>
            <w:pPr>
              <w:keepNext/>
              <w:widowControl/>
              <w:spacing w:before="0" w:after="0" w:line="240" w:lineRule="auto"/>
              <w:jc w:val="left"/>
            </w:pPr>
          </w:p>
        </w:tc>
        <w:tc>
          <w:tcPr>
            <w:tcW w:type="dxa" w:w="2112"/>
            <w:vAlign w:val="center"/>
            <w:tcBorders>
              <w:bottom w:val="single" w:sz="4"/>
            </w:tcBorders>
          </w:tcPr>
          <w:p>
            <w:pPr>
              <w:keepNext/>
              <w:widowControl/>
              <w:spacing w:before="0" w:after="0" w:line="240" w:lineRule="auto"/>
              <w:jc w:val="center"/>
            </w:pPr>
            <w:r>
              <w:rPr>
                <w:b/>
                <w:sz w:val="20"/>
              </w:rPr>
              <w:t>Log rent</w:t>
              <w:br/>
              <w:t>2023–24</w:t>
            </w:r>
          </w:p>
        </w:tc>
        <w:tc>
          <w:tcPr>
            <w:tcW w:type="dxa" w:w="2112"/>
            <w:vAlign w:val="center"/>
            <w:tcBorders>
              <w:bottom w:val="single" w:sz="4"/>
            </w:tcBorders>
          </w:tcPr>
          <w:p>
            <w:pPr>
              <w:keepNext/>
              <w:widowControl/>
              <w:spacing w:before="0" w:after="0" w:line="240" w:lineRule="auto"/>
              <w:jc w:val="center"/>
            </w:pPr>
            <w:r>
              <w:rPr>
                <w:b/>
                <w:sz w:val="20"/>
              </w:rPr>
              <w:t>Log rent</w:t>
              <w:br/>
              <w:t>2025</w:t>
            </w:r>
          </w:p>
        </w:tc>
        <w:tc>
          <w:tcPr>
            <w:tcW w:type="dxa" w:w="2112"/>
            <w:vAlign w:val="center"/>
            <w:tcBorders>
              <w:bottom w:val="single" w:sz="4"/>
            </w:tcBorders>
          </w:tcPr>
          <w:p>
            <w:pPr>
              <w:keepNext/>
              <w:widowControl/>
              <w:spacing w:before="0" w:after="0" w:line="240" w:lineRule="auto"/>
              <w:jc w:val="center"/>
            </w:pPr>
            <w:r>
              <w:rPr>
                <w:b/>
                <w:sz w:val="20"/>
              </w:rPr>
              <w:t>Rent/income &gt; 40%</w:t>
              <w:br/>
              <w:t>2023–24</w:t>
            </w:r>
          </w:p>
        </w:tc>
        <w:tc>
          <w:tcPr>
            <w:tcW w:type="dxa" w:w="2112"/>
            <w:vAlign w:val="center"/>
            <w:tcBorders>
              <w:bottom w:val="single" w:sz="4"/>
            </w:tcBorders>
          </w:tcPr>
          <w:p>
            <w:pPr>
              <w:keepNext/>
              <w:widowControl/>
              <w:spacing w:before="0" w:after="0" w:line="240" w:lineRule="auto"/>
              <w:jc w:val="center"/>
            </w:pPr>
            <w:r>
              <w:rPr>
                <w:b/>
                <w:sz w:val="20"/>
              </w:rPr>
              <w:t>Heavy burden</w:t>
              <w:br/>
              <w:t>2023–24</w:t>
            </w:r>
          </w:p>
        </w:tc>
        <w:tc>
          <w:tcPr>
            <w:tcW w:type="dxa" w:w="2112"/>
            <w:vAlign w:val="center"/>
            <w:tcBorders>
              <w:bottom w:val="single" w:sz="4"/>
            </w:tcBorders>
          </w:tcPr>
          <w:p>
            <w:pPr>
              <w:keepNext/>
              <w:widowControl/>
              <w:spacing w:before="0" w:after="0" w:line="240" w:lineRule="auto"/>
              <w:jc w:val="center"/>
            </w:pPr>
            <w:r>
              <w:rPr>
                <w:b/>
                <w:sz w:val="20"/>
              </w:rPr>
              <w:t>Rent/debt arrears</w:t>
              <w:br/>
              <w:t>2025</w:t>
            </w:r>
          </w:p>
        </w:tc>
      </w:tr>
      <w:tr>
        <w:trPr>
          <w:cantSplit/>
        </w:trPr>
        <w:tc>
          <w:tcPr>
            <w:tcW w:type="dxa" w:w="2880"/>
            <w:vAlign w:val="center"/>
          </w:tcPr>
          <w:p>
            <w:pPr>
              <w:keepNext w:val="0"/>
              <w:widowControl/>
              <w:spacing w:before="0" w:after="0" w:line="240" w:lineRule="auto"/>
              <w:jc w:val="left"/>
            </w:pPr>
            <w:r>
              <w:rPr>
                <w:b w:val="0"/>
                <w:sz w:val="20"/>
              </w:rPr>
              <w:t>2–4 years</w:t>
            </w:r>
          </w:p>
        </w:tc>
        <w:tc>
          <w:tcPr>
            <w:tcW w:type="dxa" w:w="2112"/>
            <w:vAlign w:val="center"/>
          </w:tcPr>
          <w:p>
            <w:pPr>
              <w:keepNext w:val="0"/>
              <w:widowControl/>
              <w:spacing w:before="0" w:after="0" w:line="240" w:lineRule="auto"/>
              <w:jc w:val="center"/>
            </w:pPr>
            <w:r>
              <w:rPr>
                <w:b w:val="0"/>
                <w:sz w:val="20"/>
              </w:rPr>
              <w:t>−0.244*** (0.020)</w:t>
            </w:r>
          </w:p>
        </w:tc>
        <w:tc>
          <w:tcPr>
            <w:tcW w:type="dxa" w:w="2112"/>
            <w:vAlign w:val="center"/>
          </w:tcPr>
          <w:p>
            <w:pPr>
              <w:keepNext w:val="0"/>
              <w:widowControl/>
              <w:spacing w:before="0" w:after="0" w:line="240" w:lineRule="auto"/>
              <w:jc w:val="center"/>
            </w:pPr>
            <w:r>
              <w:rPr>
                <w:b w:val="0"/>
                <w:sz w:val="20"/>
              </w:rPr>
              <w:t>−0.159*** (0.016)</w:t>
            </w:r>
          </w:p>
        </w:tc>
        <w:tc>
          <w:tcPr>
            <w:tcW w:type="dxa" w:w="2112"/>
            <w:vAlign w:val="center"/>
          </w:tcPr>
          <w:p>
            <w:pPr>
              <w:keepNext w:val="0"/>
              <w:widowControl/>
              <w:spacing w:before="0" w:after="0" w:line="240" w:lineRule="auto"/>
              <w:jc w:val="center"/>
            </w:pPr>
            <w:r>
              <w:rPr>
                <w:b w:val="0"/>
                <w:sz w:val="20"/>
              </w:rPr>
              <w:t>−0.110*** (0.022)</w:t>
            </w:r>
          </w:p>
        </w:tc>
        <w:tc>
          <w:tcPr>
            <w:tcW w:type="dxa" w:w="2112"/>
            <w:vAlign w:val="center"/>
          </w:tcPr>
          <w:p>
            <w:pPr>
              <w:keepNext w:val="0"/>
              <w:widowControl/>
              <w:spacing w:before="0" w:after="0" w:line="240" w:lineRule="auto"/>
              <w:jc w:val="center"/>
            </w:pPr>
            <w:r>
              <w:rPr>
                <w:b w:val="0"/>
                <w:sz w:val="20"/>
              </w:rPr>
              <w:t>−0.038* (0.022)</w:t>
            </w:r>
          </w:p>
        </w:tc>
        <w:tc>
          <w:tcPr>
            <w:tcW w:type="dxa" w:w="2112"/>
            <w:vAlign w:val="center"/>
          </w:tcPr>
          <w:p>
            <w:pPr>
              <w:keepNext w:val="0"/>
              <w:widowControl/>
              <w:spacing w:before="0" w:after="0" w:line="240" w:lineRule="auto"/>
              <w:jc w:val="center"/>
            </w:pPr>
            <w:r>
              <w:rPr>
                <w:b w:val="0"/>
                <w:sz w:val="20"/>
              </w:rPr>
              <w:t>−0.048* (0.024)</w:t>
            </w:r>
          </w:p>
        </w:tc>
      </w:tr>
      <w:tr>
        <w:trPr>
          <w:cantSplit/>
        </w:trPr>
        <w:tc>
          <w:tcPr>
            <w:tcW w:type="dxa" w:w="2880"/>
            <w:vAlign w:val="center"/>
          </w:tcPr>
          <w:p>
            <w:pPr>
              <w:keepNext w:val="0"/>
              <w:widowControl/>
              <w:spacing w:before="0" w:after="0" w:line="240" w:lineRule="auto"/>
              <w:jc w:val="left"/>
            </w:pPr>
            <w:r>
              <w:rPr>
                <w:b w:val="0"/>
                <w:sz w:val="20"/>
              </w:rPr>
              <w:t>5–9 years</w:t>
            </w:r>
          </w:p>
        </w:tc>
        <w:tc>
          <w:tcPr>
            <w:tcW w:type="dxa" w:w="2112"/>
            <w:vAlign w:val="center"/>
          </w:tcPr>
          <w:p>
            <w:pPr>
              <w:keepNext w:val="0"/>
              <w:widowControl/>
              <w:spacing w:before="0" w:after="0" w:line="240" w:lineRule="auto"/>
              <w:jc w:val="center"/>
            </w:pPr>
            <w:r>
              <w:rPr>
                <w:b w:val="0"/>
                <w:sz w:val="20"/>
              </w:rPr>
              <w:t>−0.235*** (0.024)</w:t>
            </w:r>
          </w:p>
        </w:tc>
        <w:tc>
          <w:tcPr>
            <w:tcW w:type="dxa" w:w="2112"/>
            <w:vAlign w:val="center"/>
          </w:tcPr>
          <w:p>
            <w:pPr>
              <w:keepNext w:val="0"/>
              <w:widowControl/>
              <w:spacing w:before="0" w:after="0" w:line="240" w:lineRule="auto"/>
              <w:jc w:val="center"/>
            </w:pPr>
            <w:r>
              <w:rPr>
                <w:b w:val="0"/>
                <w:sz w:val="20"/>
              </w:rPr>
              <w:t>−0.201*** (0.026)</w:t>
            </w:r>
          </w:p>
        </w:tc>
        <w:tc>
          <w:tcPr>
            <w:tcW w:type="dxa" w:w="2112"/>
            <w:vAlign w:val="center"/>
          </w:tcPr>
          <w:p>
            <w:pPr>
              <w:keepNext w:val="0"/>
              <w:widowControl/>
              <w:spacing w:before="0" w:after="0" w:line="240" w:lineRule="auto"/>
              <w:jc w:val="center"/>
            </w:pPr>
            <w:r>
              <w:rPr>
                <w:b w:val="0"/>
                <w:sz w:val="20"/>
              </w:rPr>
              <w:t>−0.084*** (0.017)</w:t>
            </w:r>
          </w:p>
        </w:tc>
        <w:tc>
          <w:tcPr>
            <w:tcW w:type="dxa" w:w="2112"/>
            <w:vAlign w:val="center"/>
          </w:tcPr>
          <w:p>
            <w:pPr>
              <w:keepNext w:val="0"/>
              <w:widowControl/>
              <w:spacing w:before="0" w:after="0" w:line="240" w:lineRule="auto"/>
              <w:jc w:val="center"/>
            </w:pPr>
            <w:r>
              <w:rPr>
                <w:b w:val="0"/>
                <w:sz w:val="20"/>
              </w:rPr>
              <w:t>−0.023 (0.014)</w:t>
            </w:r>
          </w:p>
        </w:tc>
        <w:tc>
          <w:tcPr>
            <w:tcW w:type="dxa" w:w="2112"/>
            <w:vAlign w:val="center"/>
          </w:tcPr>
          <w:p>
            <w:pPr>
              <w:keepNext w:val="0"/>
              <w:widowControl/>
              <w:spacing w:before="0" w:after="0" w:line="240" w:lineRule="auto"/>
              <w:jc w:val="center"/>
            </w:pPr>
            <w:r>
              <w:rPr>
                <w:b w:val="0"/>
                <w:sz w:val="20"/>
              </w:rPr>
              <w:t>−0.056*** (0.017)</w:t>
            </w:r>
          </w:p>
        </w:tc>
      </w:tr>
      <w:tr>
        <w:trPr>
          <w:cantSplit/>
        </w:trPr>
        <w:tc>
          <w:tcPr>
            <w:tcW w:type="dxa" w:w="2880"/>
            <w:vAlign w:val="center"/>
          </w:tcPr>
          <w:p>
            <w:pPr>
              <w:keepNext w:val="0"/>
              <w:widowControl/>
              <w:spacing w:before="0" w:after="0" w:line="240" w:lineRule="auto"/>
              <w:jc w:val="left"/>
            </w:pPr>
            <w:r>
              <w:rPr>
                <w:b w:val="0"/>
                <w:sz w:val="20"/>
              </w:rPr>
              <w:t>10+ years</w:t>
            </w:r>
          </w:p>
        </w:tc>
        <w:tc>
          <w:tcPr>
            <w:tcW w:type="dxa" w:w="2112"/>
            <w:vAlign w:val="center"/>
          </w:tcPr>
          <w:p>
            <w:pPr>
              <w:keepNext w:val="0"/>
              <w:widowControl/>
              <w:spacing w:before="0" w:after="0" w:line="240" w:lineRule="auto"/>
              <w:jc w:val="center"/>
            </w:pPr>
            <w:r>
              <w:rPr>
                <w:b w:val="0"/>
                <w:sz w:val="20"/>
              </w:rPr>
              <w:t>−0.270*** (0.037)</w:t>
            </w:r>
          </w:p>
        </w:tc>
        <w:tc>
          <w:tcPr>
            <w:tcW w:type="dxa" w:w="2112"/>
            <w:vAlign w:val="center"/>
          </w:tcPr>
          <w:p>
            <w:pPr>
              <w:keepNext w:val="0"/>
              <w:widowControl/>
              <w:spacing w:before="0" w:after="0" w:line="240" w:lineRule="auto"/>
              <w:jc w:val="center"/>
            </w:pPr>
            <w:r>
              <w:rPr>
                <w:b w:val="0"/>
                <w:sz w:val="20"/>
              </w:rPr>
              <w:t>−0.217*** (0.027)</w:t>
            </w:r>
          </w:p>
        </w:tc>
        <w:tc>
          <w:tcPr>
            <w:tcW w:type="dxa" w:w="2112"/>
            <w:vAlign w:val="center"/>
          </w:tcPr>
          <w:p>
            <w:pPr>
              <w:keepNext w:val="0"/>
              <w:widowControl/>
              <w:spacing w:before="0" w:after="0" w:line="240" w:lineRule="auto"/>
              <w:jc w:val="center"/>
            </w:pPr>
            <w:r>
              <w:rPr>
                <w:b w:val="0"/>
                <w:sz w:val="20"/>
              </w:rPr>
              <w:t>−0.087*** (0.021)</w:t>
            </w:r>
          </w:p>
        </w:tc>
        <w:tc>
          <w:tcPr>
            <w:tcW w:type="dxa" w:w="2112"/>
            <w:vAlign w:val="center"/>
          </w:tcPr>
          <w:p>
            <w:pPr>
              <w:keepNext w:val="0"/>
              <w:widowControl/>
              <w:spacing w:before="0" w:after="0" w:line="240" w:lineRule="auto"/>
              <w:jc w:val="center"/>
            </w:pPr>
            <w:r>
              <w:rPr>
                <w:b w:val="0"/>
                <w:sz w:val="20"/>
              </w:rPr>
              <w:t>−0.028 (0.033)</w:t>
            </w:r>
          </w:p>
        </w:tc>
        <w:tc>
          <w:tcPr>
            <w:tcW w:type="dxa" w:w="2112"/>
            <w:vAlign w:val="center"/>
          </w:tcPr>
          <w:p>
            <w:pPr>
              <w:keepNext w:val="0"/>
              <w:widowControl/>
              <w:spacing w:before="0" w:after="0" w:line="240" w:lineRule="auto"/>
              <w:jc w:val="center"/>
            </w:pPr>
            <w:r>
              <w:rPr>
                <w:b w:val="0"/>
                <w:sz w:val="20"/>
              </w:rPr>
              <w:t>−0.056*** (0.018)</w:t>
            </w:r>
          </w:p>
        </w:tc>
      </w:tr>
      <w:tr>
        <w:trPr>
          <w:cantSplit/>
        </w:trPr>
        <w:tc>
          <w:tcPr>
            <w:tcW w:type="dxa" w:w="2880"/>
            <w:vAlign w:val="center"/>
          </w:tcPr>
          <w:p>
            <w:pPr>
              <w:keepNext w:val="0"/>
              <w:widowControl/>
              <w:spacing w:before="0" w:after="0" w:line="240" w:lineRule="auto"/>
              <w:jc w:val="left"/>
            </w:pPr>
            <w:r>
              <w:rPr>
                <w:b w:val="0"/>
                <w:sz w:val="20"/>
              </w:rPr>
              <w:t>Difference: 2–4 − 5–9 years</w:t>
            </w:r>
          </w:p>
        </w:tc>
        <w:tc>
          <w:tcPr>
            <w:tcW w:type="dxa" w:w="2112"/>
            <w:vAlign w:val="center"/>
          </w:tcPr>
          <w:p>
            <w:pPr>
              <w:keepNext w:val="0"/>
              <w:widowControl/>
              <w:spacing w:before="0" w:after="0" w:line="240" w:lineRule="auto"/>
              <w:jc w:val="center"/>
            </w:pPr>
            <w:r>
              <w:rPr>
                <w:b w:val="0"/>
                <w:sz w:val="20"/>
              </w:rPr>
              <w:t>−0.010 (p = 0.715)</w:t>
            </w:r>
          </w:p>
        </w:tc>
        <w:tc>
          <w:tcPr>
            <w:tcW w:type="dxa" w:w="2112"/>
            <w:vAlign w:val="center"/>
          </w:tcPr>
          <w:p>
            <w:pPr>
              <w:keepNext w:val="0"/>
              <w:widowControl/>
              <w:spacing w:before="0" w:after="0" w:line="240" w:lineRule="auto"/>
              <w:jc w:val="center"/>
            </w:pPr>
            <w:r>
              <w:rPr>
                <w:b w:val="0"/>
                <w:sz w:val="20"/>
              </w:rPr>
              <w:t>0.042 (p = 0.048)</w:t>
            </w:r>
          </w:p>
        </w:tc>
        <w:tc>
          <w:tcPr>
            <w:tcW w:type="dxa" w:w="2112"/>
            <w:vAlign w:val="center"/>
          </w:tcPr>
          <w:p>
            <w:pPr>
              <w:keepNext w:val="0"/>
              <w:widowControl/>
              <w:spacing w:before="0" w:after="0" w:line="240" w:lineRule="auto"/>
              <w:jc w:val="center"/>
            </w:pPr>
            <w:r>
              <w:rPr>
                <w:b w:val="0"/>
                <w:sz w:val="20"/>
              </w:rPr>
              <w:t>−0.025 (p = 0.073)</w:t>
            </w:r>
          </w:p>
        </w:tc>
        <w:tc>
          <w:tcPr>
            <w:tcW w:type="dxa" w:w="2112"/>
            <w:vAlign w:val="center"/>
          </w:tcPr>
          <w:p>
            <w:pPr>
              <w:keepNext w:val="0"/>
              <w:widowControl/>
              <w:spacing w:before="0" w:after="0" w:line="240" w:lineRule="auto"/>
              <w:jc w:val="center"/>
            </w:pPr>
            <w:r>
              <w:rPr>
                <w:b w:val="0"/>
                <w:sz w:val="20"/>
              </w:rPr>
              <w:t>−0.015 (p = 0.218)</w:t>
            </w:r>
          </w:p>
        </w:tc>
        <w:tc>
          <w:tcPr>
            <w:tcW w:type="dxa" w:w="2112"/>
            <w:vAlign w:val="center"/>
          </w:tcPr>
          <w:p>
            <w:pPr>
              <w:keepNext w:val="0"/>
              <w:widowControl/>
              <w:spacing w:before="0" w:after="0" w:line="240" w:lineRule="auto"/>
              <w:jc w:val="center"/>
            </w:pPr>
            <w:r>
              <w:rPr>
                <w:b w:val="0"/>
                <w:sz w:val="20"/>
              </w:rPr>
              <w:t>0.008 (p = 0.627)</w:t>
            </w:r>
          </w:p>
        </w:tc>
      </w:tr>
    </w:tbl>
    <w:p>
      <w:pPr>
        <w:pStyle w:val="Paragraph"/>
        <w:keepNext/>
        <w:widowControl/>
        <w:spacing w:line="240" w:lineRule="auto" w:before="160" w:after="80"/>
      </w:pPr>
      <w:r>
        <w:rPr>
          <w:i/>
          <w:sz w:val="22"/>
        </w:rPr>
        <w:t>Panel B. Equivalised-income quintiles (separate estimates)</w:t>
      </w:r>
    </w:p>
    <w:tbl>
      <w:tblPr>
        <w:tblW w:type="dxa" w:w="13438"/>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10" w:type="dxa"/>
          <w:bottom w:w="10" w:type="dxa"/>
          <w:left w:w="60" w:type="dxa"/>
          <w:right w:w="60" w:type="dxa"/>
        </w:tblCellMar>
      </w:tblPr>
      <w:tblGrid>
        <w:gridCol w:w="2880"/>
        <w:gridCol w:w="2112"/>
        <w:gridCol w:w="2112"/>
        <w:gridCol w:w="2112"/>
        <w:gridCol w:w="2112"/>
        <w:gridCol w:w="2112"/>
      </w:tblGrid>
      <w:tr>
        <w:trPr>
          <w:cantSplit/>
          <w:tblHeader/>
        </w:trPr>
        <w:tc>
          <w:tcPr>
            <w:tcW w:type="dxa" w:w="2880"/>
            <w:vAlign w:val="center"/>
            <w:tcBorders>
              <w:bottom w:val="single" w:sz="4"/>
            </w:tcBorders>
          </w:tcPr>
          <w:p>
            <w:pPr>
              <w:keepNext/>
              <w:widowControl/>
              <w:spacing w:before="0" w:after="0" w:line="240" w:lineRule="auto"/>
              <w:jc w:val="left"/>
            </w:pPr>
            <w:r>
              <w:rPr>
                <w:b/>
                <w:sz w:val="20"/>
              </w:rPr>
              <w:t>Equivalised-income quintile</w:t>
            </w:r>
          </w:p>
        </w:tc>
        <w:tc>
          <w:tcPr>
            <w:tcW w:type="dxa" w:w="2112"/>
            <w:vAlign w:val="center"/>
            <w:tcBorders>
              <w:bottom w:val="single" w:sz="4"/>
            </w:tcBorders>
          </w:tcPr>
          <w:p>
            <w:pPr>
              <w:keepNext/>
              <w:widowControl/>
              <w:spacing w:before="0" w:after="0" w:line="240" w:lineRule="auto"/>
              <w:jc w:val="center"/>
            </w:pPr>
            <w:r>
              <w:rPr>
                <w:b/>
                <w:sz w:val="20"/>
              </w:rPr>
              <w:t>Log rent</w:t>
              <w:br/>
              <w:t>2023–24</w:t>
            </w:r>
          </w:p>
        </w:tc>
        <w:tc>
          <w:tcPr>
            <w:tcW w:type="dxa" w:w="2112"/>
            <w:vAlign w:val="center"/>
            <w:tcBorders>
              <w:bottom w:val="single" w:sz="4"/>
            </w:tcBorders>
          </w:tcPr>
          <w:p>
            <w:pPr>
              <w:keepNext/>
              <w:widowControl/>
              <w:spacing w:before="0" w:after="0" w:line="240" w:lineRule="auto"/>
              <w:jc w:val="center"/>
            </w:pPr>
            <w:r>
              <w:rPr>
                <w:b/>
                <w:sz w:val="20"/>
              </w:rPr>
              <w:t>Log rent</w:t>
              <w:br/>
              <w:t>2025</w:t>
            </w:r>
          </w:p>
        </w:tc>
        <w:tc>
          <w:tcPr>
            <w:tcW w:type="dxa" w:w="2112"/>
            <w:vAlign w:val="center"/>
            <w:tcBorders>
              <w:bottom w:val="single" w:sz="4"/>
            </w:tcBorders>
          </w:tcPr>
          <w:p>
            <w:pPr>
              <w:keepNext/>
              <w:widowControl/>
              <w:spacing w:before="0" w:after="0" w:line="240" w:lineRule="auto"/>
              <w:jc w:val="center"/>
            </w:pPr>
            <w:r>
              <w:rPr>
                <w:b/>
                <w:sz w:val="20"/>
              </w:rPr>
              <w:t>Heavy burden</w:t>
              <w:br/>
              <w:t>2023–24</w:t>
            </w:r>
          </w:p>
        </w:tc>
        <w:tc>
          <w:tcPr>
            <w:tcW w:type="dxa" w:w="2112"/>
            <w:vAlign w:val="center"/>
            <w:tcBorders>
              <w:bottom w:val="single" w:sz="4"/>
            </w:tcBorders>
          </w:tcPr>
          <w:p>
            <w:pPr>
              <w:keepNext/>
              <w:widowControl/>
              <w:spacing w:before="0" w:after="0" w:line="240" w:lineRule="auto"/>
              <w:jc w:val="center"/>
            </w:pPr>
            <w:r>
              <w:rPr>
                <w:b/>
                <w:sz w:val="20"/>
              </w:rPr>
              <w:t>Rent/debt arrears</w:t>
              <w:br/>
              <w:t>2025</w:t>
            </w:r>
          </w:p>
        </w:tc>
        <w:tc>
          <w:tcPr>
            <w:tcW w:type="dxa" w:w="2112"/>
            <w:vAlign w:val="center"/>
            <w:tcBorders>
              <w:bottom w:val="single" w:sz="4"/>
            </w:tcBorders>
          </w:tcPr>
          <w:p>
            <w:pPr>
              <w:keepNext/>
              <w:widowControl/>
              <w:spacing w:before="0" w:after="0" w:line="240" w:lineRule="auto"/>
              <w:jc w:val="center"/>
            </w:pPr>
            <w:r>
              <w:rPr>
                <w:b/>
                <w:sz w:val="20"/>
              </w:rPr>
              <w:t>N</w:t>
            </w:r>
          </w:p>
        </w:tc>
      </w:tr>
      <w:tr>
        <w:trPr>
          <w:cantSplit/>
        </w:trPr>
        <w:tc>
          <w:tcPr>
            <w:tcW w:type="dxa" w:w="2880"/>
            <w:vAlign w:val="center"/>
          </w:tcPr>
          <w:p>
            <w:pPr>
              <w:keepNext w:val="0"/>
              <w:widowControl/>
              <w:spacing w:before="0" w:after="0" w:line="240" w:lineRule="auto"/>
              <w:jc w:val="left"/>
            </w:pPr>
            <w:r>
              <w:rPr>
                <w:b w:val="0"/>
                <w:sz w:val="20"/>
              </w:rPr>
              <w:t>Q1</w:t>
            </w:r>
          </w:p>
        </w:tc>
        <w:tc>
          <w:tcPr>
            <w:tcW w:type="dxa" w:w="2112"/>
            <w:vAlign w:val="center"/>
          </w:tcPr>
          <w:p>
            <w:pPr>
              <w:keepNext w:val="0"/>
              <w:widowControl/>
              <w:spacing w:before="0" w:after="0" w:line="240" w:lineRule="auto"/>
              <w:jc w:val="center"/>
            </w:pPr>
            <w:r>
              <w:rPr>
                <w:b w:val="0"/>
                <w:sz w:val="20"/>
              </w:rPr>
              <w:t>−0.230*** (0.023)</w:t>
            </w:r>
          </w:p>
        </w:tc>
        <w:tc>
          <w:tcPr>
            <w:tcW w:type="dxa" w:w="2112"/>
            <w:vAlign w:val="center"/>
          </w:tcPr>
          <w:p>
            <w:pPr>
              <w:keepNext w:val="0"/>
              <w:widowControl/>
              <w:spacing w:before="0" w:after="0" w:line="240" w:lineRule="auto"/>
              <w:jc w:val="center"/>
            </w:pPr>
            <w:r>
              <w:rPr>
                <w:b w:val="0"/>
                <w:sz w:val="20"/>
              </w:rPr>
              <w:t>−0.138*** (0.037)</w:t>
            </w:r>
          </w:p>
        </w:tc>
        <w:tc>
          <w:tcPr>
            <w:tcW w:type="dxa" w:w="2112"/>
            <w:vAlign w:val="center"/>
          </w:tcPr>
          <w:p>
            <w:pPr>
              <w:keepNext w:val="0"/>
              <w:widowControl/>
              <w:spacing w:before="0" w:after="0" w:line="240" w:lineRule="auto"/>
              <w:jc w:val="center"/>
            </w:pPr>
            <w:r>
              <w:rPr>
                <w:b w:val="0"/>
                <w:sz w:val="20"/>
              </w:rPr>
              <w:t>−0.067* (0.037)</w:t>
            </w:r>
          </w:p>
        </w:tc>
        <w:tc>
          <w:tcPr>
            <w:tcW w:type="dxa" w:w="2112"/>
            <w:vAlign w:val="center"/>
          </w:tcPr>
          <w:p>
            <w:pPr>
              <w:keepNext w:val="0"/>
              <w:widowControl/>
              <w:spacing w:before="0" w:after="0" w:line="240" w:lineRule="auto"/>
              <w:jc w:val="center"/>
            </w:pPr>
            <w:r>
              <w:rPr>
                <w:b w:val="0"/>
                <w:sz w:val="20"/>
              </w:rPr>
              <w:t>−0.050 (0.038)</w:t>
            </w:r>
          </w:p>
        </w:tc>
        <w:tc>
          <w:tcPr>
            <w:tcW w:type="dxa" w:w="2112"/>
            <w:vAlign w:val="center"/>
          </w:tcPr>
          <w:p>
            <w:pPr>
              <w:keepNext w:val="0"/>
              <w:widowControl/>
              <w:spacing w:before="0" w:after="0" w:line="240" w:lineRule="auto"/>
              <w:jc w:val="center"/>
            </w:pPr>
            <w:r>
              <w:rPr>
                <w:b w:val="0"/>
                <w:sz w:val="20"/>
              </w:rPr>
              <w:t>14,983</w:t>
            </w:r>
          </w:p>
        </w:tc>
      </w:tr>
      <w:tr>
        <w:trPr>
          <w:cantSplit/>
        </w:trPr>
        <w:tc>
          <w:tcPr>
            <w:tcW w:type="dxa" w:w="2880"/>
            <w:vAlign w:val="center"/>
          </w:tcPr>
          <w:p>
            <w:pPr>
              <w:keepNext w:val="0"/>
              <w:widowControl/>
              <w:spacing w:before="0" w:after="0" w:line="240" w:lineRule="auto"/>
              <w:jc w:val="left"/>
            </w:pPr>
            <w:r>
              <w:rPr>
                <w:b w:val="0"/>
                <w:sz w:val="20"/>
              </w:rPr>
              <w:t>Q2</w:t>
            </w:r>
          </w:p>
        </w:tc>
        <w:tc>
          <w:tcPr>
            <w:tcW w:type="dxa" w:w="2112"/>
            <w:vAlign w:val="center"/>
          </w:tcPr>
          <w:p>
            <w:pPr>
              <w:keepNext w:val="0"/>
              <w:widowControl/>
              <w:spacing w:before="0" w:after="0" w:line="240" w:lineRule="auto"/>
              <w:jc w:val="center"/>
            </w:pPr>
            <w:r>
              <w:rPr>
                <w:b w:val="0"/>
                <w:sz w:val="20"/>
              </w:rPr>
              <w:t>−0.171*** (0.023)</w:t>
            </w:r>
          </w:p>
        </w:tc>
        <w:tc>
          <w:tcPr>
            <w:tcW w:type="dxa" w:w="2112"/>
            <w:vAlign w:val="center"/>
          </w:tcPr>
          <w:p>
            <w:pPr>
              <w:keepNext w:val="0"/>
              <w:widowControl/>
              <w:spacing w:before="0" w:after="0" w:line="240" w:lineRule="auto"/>
              <w:jc w:val="center"/>
            </w:pPr>
            <w:r>
              <w:rPr>
                <w:b w:val="0"/>
                <w:sz w:val="20"/>
              </w:rPr>
              <w:t>−0.163*** (0.031)</w:t>
            </w:r>
          </w:p>
        </w:tc>
        <w:tc>
          <w:tcPr>
            <w:tcW w:type="dxa" w:w="2112"/>
            <w:vAlign w:val="center"/>
          </w:tcPr>
          <w:p>
            <w:pPr>
              <w:keepNext w:val="0"/>
              <w:widowControl/>
              <w:spacing w:before="0" w:after="0" w:line="240" w:lineRule="auto"/>
              <w:jc w:val="center"/>
            </w:pPr>
            <w:r>
              <w:rPr>
                <w:b w:val="0"/>
                <w:sz w:val="20"/>
              </w:rPr>
              <w:t>−0.034 (0.024)</w:t>
            </w:r>
          </w:p>
        </w:tc>
        <w:tc>
          <w:tcPr>
            <w:tcW w:type="dxa" w:w="2112"/>
            <w:vAlign w:val="center"/>
          </w:tcPr>
          <w:p>
            <w:pPr>
              <w:keepNext w:val="0"/>
              <w:widowControl/>
              <w:spacing w:before="0" w:after="0" w:line="240" w:lineRule="auto"/>
              <w:jc w:val="center"/>
            </w:pPr>
            <w:r>
              <w:rPr>
                <w:b w:val="0"/>
                <w:sz w:val="20"/>
              </w:rPr>
              <w:t>−0.089 (0.052)</w:t>
            </w:r>
          </w:p>
        </w:tc>
        <w:tc>
          <w:tcPr>
            <w:tcW w:type="dxa" w:w="2112"/>
            <w:vAlign w:val="center"/>
          </w:tcPr>
          <w:p>
            <w:pPr>
              <w:keepNext w:val="0"/>
              <w:widowControl/>
              <w:spacing w:before="0" w:after="0" w:line="240" w:lineRule="auto"/>
              <w:jc w:val="center"/>
            </w:pPr>
            <w:r>
              <w:rPr>
                <w:b w:val="0"/>
                <w:sz w:val="20"/>
              </w:rPr>
              <w:t>13,121</w:t>
            </w:r>
          </w:p>
        </w:tc>
      </w:tr>
      <w:tr>
        <w:trPr>
          <w:cantSplit/>
        </w:trPr>
        <w:tc>
          <w:tcPr>
            <w:tcW w:type="dxa" w:w="2880"/>
            <w:vAlign w:val="center"/>
          </w:tcPr>
          <w:p>
            <w:pPr>
              <w:keepNext w:val="0"/>
              <w:widowControl/>
              <w:spacing w:before="0" w:after="0" w:line="240" w:lineRule="auto"/>
              <w:jc w:val="left"/>
            </w:pPr>
            <w:r>
              <w:rPr>
                <w:b w:val="0"/>
                <w:sz w:val="20"/>
              </w:rPr>
              <w:t>Q3</w:t>
            </w:r>
          </w:p>
        </w:tc>
        <w:tc>
          <w:tcPr>
            <w:tcW w:type="dxa" w:w="2112"/>
            <w:vAlign w:val="center"/>
          </w:tcPr>
          <w:p>
            <w:pPr>
              <w:keepNext w:val="0"/>
              <w:widowControl/>
              <w:spacing w:before="0" w:after="0" w:line="240" w:lineRule="auto"/>
              <w:jc w:val="center"/>
            </w:pPr>
            <w:r>
              <w:rPr>
                <w:b w:val="0"/>
                <w:sz w:val="20"/>
              </w:rPr>
              <w:t>−0.224*** (0.037)</w:t>
            </w:r>
          </w:p>
        </w:tc>
        <w:tc>
          <w:tcPr>
            <w:tcW w:type="dxa" w:w="2112"/>
            <w:vAlign w:val="center"/>
          </w:tcPr>
          <w:p>
            <w:pPr>
              <w:keepNext w:val="0"/>
              <w:widowControl/>
              <w:spacing w:before="0" w:after="0" w:line="240" w:lineRule="auto"/>
              <w:jc w:val="center"/>
            </w:pPr>
            <w:r>
              <w:rPr>
                <w:b w:val="0"/>
                <w:sz w:val="20"/>
              </w:rPr>
              <w:t>−0.168*** (0.036)</w:t>
            </w:r>
          </w:p>
        </w:tc>
        <w:tc>
          <w:tcPr>
            <w:tcW w:type="dxa" w:w="2112"/>
            <w:vAlign w:val="center"/>
          </w:tcPr>
          <w:p>
            <w:pPr>
              <w:keepNext w:val="0"/>
              <w:widowControl/>
              <w:spacing w:before="0" w:after="0" w:line="240" w:lineRule="auto"/>
              <w:jc w:val="center"/>
            </w:pPr>
            <w:r>
              <w:rPr>
                <w:b w:val="0"/>
                <w:sz w:val="20"/>
              </w:rPr>
              <w:t>0.004 (0.025)</w:t>
            </w:r>
          </w:p>
        </w:tc>
        <w:tc>
          <w:tcPr>
            <w:tcW w:type="dxa" w:w="2112"/>
            <w:vAlign w:val="center"/>
          </w:tcPr>
          <w:p>
            <w:pPr>
              <w:keepNext w:val="0"/>
              <w:widowControl/>
              <w:spacing w:before="0" w:after="0" w:line="240" w:lineRule="auto"/>
              <w:jc w:val="center"/>
            </w:pPr>
            <w:r>
              <w:rPr>
                <w:b w:val="0"/>
                <w:sz w:val="20"/>
              </w:rPr>
              <w:t>−0.048 (0.036)</w:t>
            </w:r>
          </w:p>
        </w:tc>
        <w:tc>
          <w:tcPr>
            <w:tcW w:type="dxa" w:w="2112"/>
            <w:vAlign w:val="center"/>
          </w:tcPr>
          <w:p>
            <w:pPr>
              <w:keepNext w:val="0"/>
              <w:widowControl/>
              <w:spacing w:before="0" w:after="0" w:line="240" w:lineRule="auto"/>
              <w:jc w:val="center"/>
            </w:pPr>
            <w:r>
              <w:rPr>
                <w:b w:val="0"/>
                <w:sz w:val="20"/>
              </w:rPr>
              <w:t>12,174</w:t>
            </w:r>
          </w:p>
        </w:tc>
      </w:tr>
      <w:tr>
        <w:trPr>
          <w:cantSplit/>
        </w:trPr>
        <w:tc>
          <w:tcPr>
            <w:tcW w:type="dxa" w:w="2880"/>
            <w:vAlign w:val="center"/>
          </w:tcPr>
          <w:p>
            <w:pPr>
              <w:keepNext w:val="0"/>
              <w:widowControl/>
              <w:spacing w:before="0" w:after="0" w:line="240" w:lineRule="auto"/>
              <w:jc w:val="left"/>
            </w:pPr>
            <w:r>
              <w:rPr>
                <w:b w:val="0"/>
                <w:sz w:val="20"/>
              </w:rPr>
              <w:t>Q4</w:t>
            </w:r>
          </w:p>
        </w:tc>
        <w:tc>
          <w:tcPr>
            <w:tcW w:type="dxa" w:w="2112"/>
            <w:vAlign w:val="center"/>
          </w:tcPr>
          <w:p>
            <w:pPr>
              <w:keepNext w:val="0"/>
              <w:widowControl/>
              <w:spacing w:before="0" w:after="0" w:line="240" w:lineRule="auto"/>
              <w:jc w:val="center"/>
            </w:pPr>
            <w:r>
              <w:rPr>
                <w:b w:val="0"/>
                <w:sz w:val="20"/>
              </w:rPr>
              <w:t>−0.240*** (0.028)</w:t>
            </w:r>
          </w:p>
        </w:tc>
        <w:tc>
          <w:tcPr>
            <w:tcW w:type="dxa" w:w="2112"/>
            <w:vAlign w:val="center"/>
          </w:tcPr>
          <w:p>
            <w:pPr>
              <w:keepNext w:val="0"/>
              <w:widowControl/>
              <w:spacing w:before="0" w:after="0" w:line="240" w:lineRule="auto"/>
              <w:jc w:val="center"/>
            </w:pPr>
            <w:r>
              <w:rPr>
                <w:b w:val="0"/>
                <w:sz w:val="20"/>
              </w:rPr>
              <w:t>−0.202*** (0.032)</w:t>
            </w:r>
          </w:p>
        </w:tc>
        <w:tc>
          <w:tcPr>
            <w:tcW w:type="dxa" w:w="2112"/>
            <w:vAlign w:val="center"/>
          </w:tcPr>
          <w:p>
            <w:pPr>
              <w:keepNext w:val="0"/>
              <w:widowControl/>
              <w:spacing w:before="0" w:after="0" w:line="240" w:lineRule="auto"/>
              <w:jc w:val="center"/>
            </w:pPr>
            <w:r>
              <w:rPr>
                <w:b w:val="0"/>
                <w:sz w:val="20"/>
              </w:rPr>
              <w:t>−0.046* (0.027)</w:t>
            </w:r>
          </w:p>
        </w:tc>
        <w:tc>
          <w:tcPr>
            <w:tcW w:type="dxa" w:w="2112"/>
            <w:vAlign w:val="center"/>
          </w:tcPr>
          <w:p>
            <w:pPr>
              <w:keepNext w:val="0"/>
              <w:widowControl/>
              <w:spacing w:before="0" w:after="0" w:line="240" w:lineRule="auto"/>
              <w:jc w:val="center"/>
            </w:pPr>
            <w:r>
              <w:rPr>
                <w:b w:val="0"/>
                <w:sz w:val="20"/>
              </w:rPr>
              <w:t>−0.041** (0.017)</w:t>
            </w:r>
          </w:p>
        </w:tc>
        <w:tc>
          <w:tcPr>
            <w:tcW w:type="dxa" w:w="2112"/>
            <w:vAlign w:val="center"/>
          </w:tcPr>
          <w:p>
            <w:pPr>
              <w:keepNext w:val="0"/>
              <w:widowControl/>
              <w:spacing w:before="0" w:after="0" w:line="240" w:lineRule="auto"/>
              <w:jc w:val="center"/>
            </w:pPr>
            <w:r>
              <w:rPr>
                <w:b w:val="0"/>
                <w:sz w:val="20"/>
              </w:rPr>
              <w:t>11,590</w:t>
            </w:r>
          </w:p>
        </w:tc>
      </w:tr>
      <w:tr>
        <w:trPr>
          <w:cantSplit/>
        </w:trPr>
        <w:tc>
          <w:tcPr>
            <w:tcW w:type="dxa" w:w="2880"/>
            <w:vAlign w:val="center"/>
          </w:tcPr>
          <w:p>
            <w:pPr>
              <w:keepNext w:val="0"/>
              <w:widowControl/>
              <w:spacing w:before="0" w:after="0" w:line="240" w:lineRule="auto"/>
              <w:jc w:val="left"/>
            </w:pPr>
            <w:r>
              <w:rPr>
                <w:b w:val="0"/>
                <w:sz w:val="20"/>
              </w:rPr>
              <w:t>Q5</w:t>
            </w:r>
          </w:p>
        </w:tc>
        <w:tc>
          <w:tcPr>
            <w:tcW w:type="dxa" w:w="2112"/>
            <w:vAlign w:val="center"/>
          </w:tcPr>
          <w:p>
            <w:pPr>
              <w:keepNext w:val="0"/>
              <w:widowControl/>
              <w:spacing w:before="0" w:after="0" w:line="240" w:lineRule="auto"/>
              <w:jc w:val="center"/>
            </w:pPr>
            <w:r>
              <w:rPr>
                <w:b w:val="0"/>
                <w:sz w:val="20"/>
              </w:rPr>
              <w:t>−0.308*** (0.032)</w:t>
            </w:r>
          </w:p>
        </w:tc>
        <w:tc>
          <w:tcPr>
            <w:tcW w:type="dxa" w:w="2112"/>
            <w:vAlign w:val="center"/>
          </w:tcPr>
          <w:p>
            <w:pPr>
              <w:keepNext w:val="0"/>
              <w:widowControl/>
              <w:spacing w:before="0" w:after="0" w:line="240" w:lineRule="auto"/>
              <w:jc w:val="center"/>
            </w:pPr>
            <w:r>
              <w:rPr>
                <w:b w:val="0"/>
                <w:sz w:val="20"/>
              </w:rPr>
              <w:t>−0.220*** (0.031)</w:t>
            </w:r>
          </w:p>
        </w:tc>
        <w:tc>
          <w:tcPr>
            <w:tcW w:type="dxa" w:w="2112"/>
            <w:vAlign w:val="center"/>
          </w:tcPr>
          <w:p>
            <w:pPr>
              <w:keepNext w:val="0"/>
              <w:widowControl/>
              <w:spacing w:before="0" w:after="0" w:line="240" w:lineRule="auto"/>
              <w:jc w:val="center"/>
            </w:pPr>
            <w:r>
              <w:rPr>
                <w:b w:val="0"/>
                <w:sz w:val="20"/>
              </w:rPr>
              <w:t>−0.041 (0.029)</w:t>
            </w:r>
          </w:p>
        </w:tc>
        <w:tc>
          <w:tcPr>
            <w:tcW w:type="dxa" w:w="2112"/>
            <w:vAlign w:val="center"/>
          </w:tcPr>
          <w:p>
            <w:pPr>
              <w:keepNext w:val="0"/>
              <w:widowControl/>
              <w:spacing w:before="0" w:after="0" w:line="240" w:lineRule="auto"/>
              <w:jc w:val="center"/>
            </w:pPr>
            <w:r>
              <w:rPr>
                <w:b w:val="0"/>
                <w:sz w:val="20"/>
              </w:rPr>
              <w:t>−0.045** (0.018)</w:t>
            </w:r>
          </w:p>
        </w:tc>
        <w:tc>
          <w:tcPr>
            <w:tcW w:type="dxa" w:w="2112"/>
            <w:vAlign w:val="center"/>
          </w:tcPr>
          <w:p>
            <w:pPr>
              <w:keepNext w:val="0"/>
              <w:widowControl/>
              <w:spacing w:before="0" w:after="0" w:line="240" w:lineRule="auto"/>
              <w:jc w:val="center"/>
            </w:pPr>
            <w:r>
              <w:rPr>
                <w:b w:val="0"/>
                <w:sz w:val="20"/>
              </w:rPr>
              <w:t>10,751</w:t>
            </w:r>
          </w:p>
        </w:tc>
      </w:tr>
      <w:tr>
        <w:trPr>
          <w:cantSplit/>
        </w:trPr>
        <w:tc>
          <w:tcPr>
            <w:tcW w:type="dxa" w:w="2880"/>
            <w:vAlign w:val="center"/>
          </w:tcPr>
          <w:p>
            <w:pPr>
              <w:keepNext w:val="0"/>
              <w:widowControl/>
              <w:spacing w:before="0" w:after="0" w:line="240" w:lineRule="auto"/>
              <w:jc w:val="left"/>
            </w:pPr>
            <w:r>
              <w:rPr>
                <w:b w:val="0"/>
                <w:sz w:val="20"/>
              </w:rPr>
              <w:t>Q5 − Q1 (joint model)</w:t>
            </w:r>
          </w:p>
        </w:tc>
        <w:tc>
          <w:tcPr>
            <w:tcW w:type="dxa" w:w="2112"/>
            <w:vAlign w:val="center"/>
          </w:tcPr>
          <w:p>
            <w:pPr>
              <w:keepNext w:val="0"/>
              <w:widowControl/>
              <w:spacing w:before="0" w:after="0" w:line="240" w:lineRule="auto"/>
              <w:jc w:val="center"/>
            </w:pPr>
            <w:r>
              <w:rPr>
                <w:b w:val="0"/>
                <w:sz w:val="20"/>
              </w:rPr>
              <w:t>−0.078 (0.037)</w:t>
            </w:r>
          </w:p>
        </w:tc>
        <w:tc>
          <w:tcPr>
            <w:tcW w:type="dxa" w:w="2112"/>
            <w:vAlign w:val="center"/>
          </w:tcPr>
          <w:p>
            <w:pPr>
              <w:keepNext w:val="0"/>
              <w:widowControl/>
              <w:spacing w:before="0" w:after="0" w:line="240" w:lineRule="auto"/>
              <w:jc w:val="center"/>
            </w:pPr>
            <w:r>
              <w:rPr>
                <w:b w:val="0"/>
                <w:sz w:val="20"/>
              </w:rPr>
              <w:t>−0.083 (0.056)</w:t>
            </w:r>
          </w:p>
        </w:tc>
        <w:tc>
          <w:tcPr>
            <w:tcW w:type="dxa" w:w="2112"/>
            <w:vAlign w:val="center"/>
          </w:tcPr>
          <w:p>
            <w:pPr>
              <w:keepNext w:val="0"/>
              <w:widowControl/>
              <w:spacing w:before="0" w:after="0" w:line="240" w:lineRule="auto"/>
              <w:jc w:val="center"/>
            </w:pPr>
            <w:r>
              <w:rPr>
                <w:b w:val="0"/>
                <w:sz w:val="20"/>
              </w:rPr>
              <w:t>–</w:t>
            </w:r>
          </w:p>
        </w:tc>
        <w:tc>
          <w:tcPr>
            <w:tcW w:type="dxa" w:w="2112"/>
            <w:vAlign w:val="center"/>
          </w:tcPr>
          <w:p>
            <w:pPr>
              <w:keepNext w:val="0"/>
              <w:widowControl/>
              <w:spacing w:before="0" w:after="0" w:line="240" w:lineRule="auto"/>
              <w:jc w:val="center"/>
            </w:pPr>
            <w:r>
              <w:rPr>
                <w:b w:val="0"/>
                <w:sz w:val="20"/>
              </w:rPr>
              <w:t>–</w:t>
            </w:r>
          </w:p>
        </w:tc>
        <w:tc>
          <w:tcPr>
            <w:tcW w:type="dxa" w:w="2112"/>
            <w:vAlign w:val="center"/>
          </w:tcPr>
          <w:p>
            <w:pPr>
              <w:keepNext w:val="0"/>
              <w:widowControl/>
              <w:spacing w:before="0" w:after="0" w:line="240" w:lineRule="auto"/>
              <w:jc w:val="center"/>
            </w:pPr>
            <w:r>
              <w:rPr>
                <w:b w:val="0"/>
                <w:sz w:val="20"/>
              </w:rPr>
              <w:t>62,619</w:t>
            </w:r>
          </w:p>
        </w:tc>
      </w:tr>
      <w:tr>
        <w:trPr>
          <w:cantSplit/>
        </w:trPr>
        <w:tc>
          <w:tcPr>
            <w:tcW w:type="dxa" w:w="2880"/>
            <w:vAlign w:val="center"/>
          </w:tcPr>
          <w:p>
            <w:pPr>
              <w:keepNext w:val="0"/>
              <w:widowControl/>
              <w:spacing w:before="0" w:after="0" w:line="240" w:lineRule="auto"/>
              <w:jc w:val="left"/>
            </w:pPr>
            <w:r>
              <w:rPr>
                <w:b w:val="0"/>
                <w:sz w:val="20"/>
              </w:rPr>
              <w:t>Q5 − Q1: t(25) p</w:t>
            </w:r>
          </w:p>
        </w:tc>
        <w:tc>
          <w:tcPr>
            <w:tcW w:type="dxa" w:w="2112"/>
            <w:vAlign w:val="center"/>
          </w:tcPr>
          <w:p>
            <w:pPr>
              <w:keepNext w:val="0"/>
              <w:widowControl/>
              <w:spacing w:before="0" w:after="0" w:line="240" w:lineRule="auto"/>
              <w:jc w:val="center"/>
            </w:pPr>
            <w:r>
              <w:rPr>
                <w:b w:val="0"/>
                <w:sz w:val="20"/>
              </w:rPr>
              <w:t>0.0436</w:t>
            </w:r>
          </w:p>
        </w:tc>
        <w:tc>
          <w:tcPr>
            <w:tcW w:type="dxa" w:w="2112"/>
            <w:vAlign w:val="center"/>
          </w:tcPr>
          <w:p>
            <w:pPr>
              <w:keepNext w:val="0"/>
              <w:widowControl/>
              <w:spacing w:before="0" w:after="0" w:line="240" w:lineRule="auto"/>
              <w:jc w:val="center"/>
            </w:pPr>
            <w:r>
              <w:rPr>
                <w:b w:val="0"/>
                <w:sz w:val="20"/>
              </w:rPr>
              <w:t>0.1537</w:t>
            </w:r>
          </w:p>
        </w:tc>
        <w:tc>
          <w:tcPr>
            <w:tcW w:type="dxa" w:w="2112"/>
            <w:vAlign w:val="center"/>
          </w:tcPr>
          <w:p>
            <w:pPr>
              <w:keepNext w:val="0"/>
              <w:widowControl/>
              <w:spacing w:before="0" w:after="0" w:line="240" w:lineRule="auto"/>
              <w:jc w:val="center"/>
            </w:pPr>
            <w:r>
              <w:rPr>
                <w:b w:val="0"/>
                <w:sz w:val="20"/>
              </w:rPr>
              <w:t>–</w:t>
            </w:r>
          </w:p>
        </w:tc>
        <w:tc>
          <w:tcPr>
            <w:tcW w:type="dxa" w:w="2112"/>
            <w:vAlign w:val="center"/>
          </w:tcPr>
          <w:p>
            <w:pPr>
              <w:keepNext w:val="0"/>
              <w:widowControl/>
              <w:spacing w:before="0" w:after="0" w:line="240" w:lineRule="auto"/>
              <w:jc w:val="center"/>
            </w:pPr>
            <w:r>
              <w:rPr>
                <w:b w:val="0"/>
                <w:sz w:val="20"/>
              </w:rPr>
              <w:t>–</w:t>
            </w:r>
          </w:p>
        </w:tc>
        <w:tc>
          <w:tcPr>
            <w:tcW w:type="dxa" w:w="2112"/>
            <w:vAlign w:val="center"/>
          </w:tcPr>
          <w:p>
            <w:pPr>
              <w:keepNext w:val="0"/>
              <w:widowControl/>
              <w:spacing w:before="0" w:after="0" w:line="240" w:lineRule="auto"/>
              <w:jc w:val="center"/>
            </w:pPr>
            <w:r>
              <w:rPr>
                <w:b w:val="0"/>
                <w:sz w:val="20"/>
              </w:rPr>
              <w:t>–</w:t>
            </w:r>
          </w:p>
        </w:tc>
      </w:tr>
      <w:tr>
        <w:trPr>
          <w:cantSplit/>
        </w:trPr>
        <w:tc>
          <w:tcPr>
            <w:tcW w:type="dxa" w:w="2880"/>
            <w:vAlign w:val="center"/>
          </w:tcPr>
          <w:p>
            <w:pPr>
              <w:keepNext w:val="0"/>
              <w:widowControl/>
              <w:spacing w:before="0" w:after="0" w:line="240" w:lineRule="auto"/>
              <w:jc w:val="left"/>
            </w:pPr>
            <w:r>
              <w:rPr>
                <w:b w:val="0"/>
                <w:sz w:val="20"/>
              </w:rPr>
              <w:t>Q5 − Q1: bootstrap p</w:t>
            </w:r>
          </w:p>
        </w:tc>
        <w:tc>
          <w:tcPr>
            <w:tcW w:type="dxa" w:w="2112"/>
            <w:vAlign w:val="center"/>
          </w:tcPr>
          <w:p>
            <w:pPr>
              <w:keepNext w:val="0"/>
              <w:widowControl/>
              <w:spacing w:before="0" w:after="0" w:line="240" w:lineRule="auto"/>
              <w:jc w:val="center"/>
            </w:pPr>
            <w:r>
              <w:rPr>
                <w:b w:val="0"/>
                <w:sz w:val="20"/>
              </w:rPr>
              <w:t>0.0843</w:t>
            </w:r>
          </w:p>
        </w:tc>
        <w:tc>
          <w:tcPr>
            <w:tcW w:type="dxa" w:w="2112"/>
            <w:vAlign w:val="center"/>
          </w:tcPr>
          <w:p>
            <w:pPr>
              <w:keepNext w:val="0"/>
              <w:widowControl/>
              <w:spacing w:before="0" w:after="0" w:line="240" w:lineRule="auto"/>
              <w:jc w:val="center"/>
            </w:pPr>
            <w:r>
              <w:rPr>
                <w:b w:val="0"/>
                <w:sz w:val="20"/>
              </w:rPr>
              <w:t>0.1686</w:t>
            </w:r>
          </w:p>
        </w:tc>
        <w:tc>
          <w:tcPr>
            <w:tcW w:type="dxa" w:w="2112"/>
            <w:vAlign w:val="center"/>
          </w:tcPr>
          <w:p>
            <w:pPr>
              <w:keepNext w:val="0"/>
              <w:widowControl/>
              <w:spacing w:before="0" w:after="0" w:line="240" w:lineRule="auto"/>
              <w:jc w:val="center"/>
            </w:pPr>
            <w:r>
              <w:rPr>
                <w:b w:val="0"/>
                <w:sz w:val="20"/>
              </w:rPr>
              <w:t>–</w:t>
            </w:r>
          </w:p>
        </w:tc>
        <w:tc>
          <w:tcPr>
            <w:tcW w:type="dxa" w:w="2112"/>
            <w:vAlign w:val="center"/>
          </w:tcPr>
          <w:p>
            <w:pPr>
              <w:keepNext w:val="0"/>
              <w:widowControl/>
              <w:spacing w:before="0" w:after="0" w:line="240" w:lineRule="auto"/>
              <w:jc w:val="center"/>
            </w:pPr>
            <w:r>
              <w:rPr>
                <w:b w:val="0"/>
                <w:sz w:val="20"/>
              </w:rPr>
              <w:t>–</w:t>
            </w:r>
          </w:p>
        </w:tc>
        <w:tc>
          <w:tcPr>
            <w:tcW w:type="dxa" w:w="2112"/>
            <w:vAlign w:val="center"/>
          </w:tcPr>
          <w:p>
            <w:pPr>
              <w:keepNext w:val="0"/>
              <w:widowControl/>
              <w:spacing w:before="0" w:after="0" w:line="240" w:lineRule="auto"/>
              <w:jc w:val="center"/>
            </w:pPr>
            <w:r>
              <w:rPr>
                <w:b w:val="0"/>
                <w:sz w:val="20"/>
              </w:rPr>
              <w:t>–</w:t>
            </w:r>
          </w:p>
        </w:tc>
      </w:tr>
    </w:tbl>
    <w:p>
      <w:pPr>
        <w:pStyle w:val="Paragraph"/>
        <w:keepNext/>
        <w:widowControl/>
        <w:spacing w:line="240" w:lineRule="auto" w:before="160" w:after="80"/>
      </w:pPr>
      <w:r>
        <w:rPr>
          <w:i/>
          <w:sz w:val="22"/>
        </w:rPr>
        <w:t>Panel C. Interactions for the three metropolitan regions</w:t>
      </w:r>
    </w:p>
    <w:tbl>
      <w:tblPr>
        <w:tblW w:type="dxa" w:w="13438"/>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10" w:type="dxa"/>
          <w:bottom w:w="10" w:type="dxa"/>
          <w:left w:w="60" w:type="dxa"/>
          <w:right w:w="60" w:type="dxa"/>
        </w:tblCellMar>
      </w:tblPr>
      <w:tblGrid>
        <w:gridCol w:w="5040"/>
        <w:gridCol w:w="2799"/>
        <w:gridCol w:w="2799"/>
        <w:gridCol w:w="2799"/>
      </w:tblGrid>
      <w:tr>
        <w:trPr>
          <w:cantSplit/>
          <w:tblHeader/>
        </w:trPr>
        <w:tc>
          <w:tcPr>
            <w:tcW w:type="dxa" w:w="5040"/>
            <w:vAlign w:val="center"/>
            <w:tcBorders>
              <w:bottom w:val="single" w:sz="4"/>
            </w:tcBorders>
          </w:tcPr>
          <w:p>
            <w:pPr>
              <w:keepNext/>
              <w:widowControl/>
              <w:spacing w:before="0" w:after="0" w:line="240" w:lineRule="auto"/>
              <w:jc w:val="left"/>
            </w:pPr>
            <w:r>
              <w:rPr>
                <w:b/>
                <w:sz w:val="20"/>
              </w:rPr>
              <w:t>Metropolitan interaction</w:t>
            </w:r>
          </w:p>
        </w:tc>
        <w:tc>
          <w:tcPr>
            <w:tcW w:type="dxa" w:w="2799"/>
            <w:vAlign w:val="center"/>
            <w:tcBorders>
              <w:bottom w:val="single" w:sz="4"/>
            </w:tcBorders>
          </w:tcPr>
          <w:p>
            <w:pPr>
              <w:keepNext/>
              <w:widowControl/>
              <w:spacing w:before="0" w:after="0" w:line="240" w:lineRule="auto"/>
              <w:jc w:val="center"/>
            </w:pPr>
            <w:r>
              <w:rPr>
                <w:b/>
                <w:sz w:val="20"/>
              </w:rPr>
              <w:t>Log rent</w:t>
            </w:r>
          </w:p>
        </w:tc>
        <w:tc>
          <w:tcPr>
            <w:tcW w:type="dxa" w:w="2799"/>
            <w:vAlign w:val="center"/>
            <w:tcBorders>
              <w:bottom w:val="single" w:sz="4"/>
            </w:tcBorders>
          </w:tcPr>
          <w:p>
            <w:pPr>
              <w:keepNext/>
              <w:widowControl/>
              <w:spacing w:before="0" w:after="0" w:line="240" w:lineRule="auto"/>
              <w:jc w:val="center"/>
            </w:pPr>
            <w:r>
              <w:rPr>
                <w:b/>
                <w:sz w:val="20"/>
              </w:rPr>
              <w:t>Heavy burden</w:t>
            </w:r>
          </w:p>
        </w:tc>
        <w:tc>
          <w:tcPr>
            <w:tcW w:type="dxa" w:w="2799"/>
            <w:vAlign w:val="center"/>
            <w:tcBorders>
              <w:bottom w:val="single" w:sz="4"/>
            </w:tcBorders>
          </w:tcPr>
          <w:p>
            <w:pPr>
              <w:keepNext/>
              <w:widowControl/>
              <w:spacing w:before="0" w:after="0" w:line="240" w:lineRule="auto"/>
              <w:jc w:val="center"/>
            </w:pPr>
            <w:r>
              <w:rPr>
                <w:b/>
                <w:sz w:val="20"/>
              </w:rPr>
              <w:t>Rent/debt arrears</w:t>
            </w:r>
          </w:p>
        </w:tc>
      </w:tr>
      <w:tr>
        <w:trPr>
          <w:cantSplit/>
        </w:trPr>
        <w:tc>
          <w:tcPr>
            <w:tcW w:type="dxa" w:w="5040"/>
            <w:vAlign w:val="center"/>
          </w:tcPr>
          <w:p>
            <w:pPr>
              <w:keepNext w:val="0"/>
              <w:widowControl/>
              <w:spacing w:before="0" w:after="0" w:line="240" w:lineRule="auto"/>
              <w:jc w:val="left"/>
            </w:pPr>
            <w:r>
              <w:rPr>
                <w:b w:val="0"/>
                <w:sz w:val="20"/>
              </w:rPr>
              <w:t>Sitting × cap period (other regions)</w:t>
            </w:r>
          </w:p>
        </w:tc>
        <w:tc>
          <w:tcPr>
            <w:tcW w:type="dxa" w:w="2799"/>
            <w:vAlign w:val="center"/>
          </w:tcPr>
          <w:p>
            <w:pPr>
              <w:keepNext w:val="0"/>
              <w:widowControl/>
              <w:spacing w:before="0" w:after="0" w:line="240" w:lineRule="auto"/>
              <w:jc w:val="center"/>
            </w:pPr>
            <w:r>
              <w:rPr>
                <w:b w:val="0"/>
                <w:sz w:val="20"/>
              </w:rPr>
              <w:t>−0.236*** (0.026)</w:t>
            </w:r>
          </w:p>
        </w:tc>
        <w:tc>
          <w:tcPr>
            <w:tcW w:type="dxa" w:w="2799"/>
            <w:vAlign w:val="center"/>
          </w:tcPr>
          <w:p>
            <w:pPr>
              <w:keepNext w:val="0"/>
              <w:widowControl/>
              <w:spacing w:before="0" w:after="0" w:line="240" w:lineRule="auto"/>
              <w:jc w:val="center"/>
            </w:pPr>
            <w:r>
              <w:rPr>
                <w:b w:val="0"/>
                <w:sz w:val="20"/>
              </w:rPr>
              <w:t>−0.008 (0.023)</w:t>
            </w:r>
          </w:p>
        </w:tc>
        <w:tc>
          <w:tcPr>
            <w:tcW w:type="dxa" w:w="2799"/>
            <w:vAlign w:val="center"/>
          </w:tcPr>
          <w:p>
            <w:pPr>
              <w:keepNext w:val="0"/>
              <w:widowControl/>
              <w:spacing w:before="0" w:after="0" w:line="240" w:lineRule="auto"/>
              <w:jc w:val="center"/>
            </w:pPr>
            <w:r>
              <w:rPr>
                <w:b w:val="0"/>
                <w:sz w:val="20"/>
              </w:rPr>
              <w:t>−0.003 (0.011)</w:t>
            </w:r>
          </w:p>
        </w:tc>
      </w:tr>
      <w:tr>
        <w:trPr>
          <w:cantSplit/>
        </w:trPr>
        <w:tc>
          <w:tcPr>
            <w:tcW w:type="dxa" w:w="5040"/>
            <w:vAlign w:val="center"/>
          </w:tcPr>
          <w:p>
            <w:pPr>
              <w:keepNext w:val="0"/>
              <w:widowControl/>
              <w:spacing w:before="0" w:after="0" w:line="240" w:lineRule="auto"/>
              <w:jc w:val="left"/>
            </w:pPr>
            <w:r>
              <w:rPr>
                <w:b w:val="0"/>
                <w:sz w:val="20"/>
              </w:rPr>
              <w:t>Additional difference: metropolitan × cap period</w:t>
            </w:r>
          </w:p>
        </w:tc>
        <w:tc>
          <w:tcPr>
            <w:tcW w:type="dxa" w:w="2799"/>
            <w:vAlign w:val="center"/>
          </w:tcPr>
          <w:p>
            <w:pPr>
              <w:keepNext w:val="0"/>
              <w:widowControl/>
              <w:spacing w:before="0" w:after="0" w:line="240" w:lineRule="auto"/>
              <w:jc w:val="center"/>
            </w:pPr>
            <w:r>
              <w:rPr>
                <w:b w:val="0"/>
                <w:sz w:val="20"/>
              </w:rPr>
              <w:t>−0.042 (0.030)</w:t>
            </w:r>
          </w:p>
        </w:tc>
        <w:tc>
          <w:tcPr>
            <w:tcW w:type="dxa" w:w="2799"/>
            <w:vAlign w:val="center"/>
          </w:tcPr>
          <w:p>
            <w:pPr>
              <w:keepNext w:val="0"/>
              <w:widowControl/>
              <w:spacing w:before="0" w:after="0" w:line="240" w:lineRule="auto"/>
              <w:jc w:val="center"/>
            </w:pPr>
            <w:r>
              <w:rPr>
                <w:b w:val="0"/>
                <w:sz w:val="20"/>
              </w:rPr>
              <w:t>−0.068** (0.029)</w:t>
            </w:r>
          </w:p>
        </w:tc>
        <w:tc>
          <w:tcPr>
            <w:tcW w:type="dxa" w:w="2799"/>
            <w:vAlign w:val="center"/>
          </w:tcPr>
          <w:p>
            <w:pPr>
              <w:keepNext w:val="0"/>
              <w:widowControl/>
              <w:spacing w:before="0" w:after="0" w:line="240" w:lineRule="auto"/>
              <w:jc w:val="center"/>
            </w:pPr>
            <w:r>
              <w:rPr>
                <w:b w:val="0"/>
                <w:sz w:val="20"/>
              </w:rPr>
              <w:t>−0.015 (0.012)</w:t>
            </w:r>
          </w:p>
        </w:tc>
      </w:tr>
      <w:tr>
        <w:trPr>
          <w:cantSplit/>
        </w:trPr>
        <w:tc>
          <w:tcPr>
            <w:tcW w:type="dxa" w:w="5040"/>
            <w:vAlign w:val="center"/>
          </w:tcPr>
          <w:p>
            <w:pPr>
              <w:keepNext w:val="0"/>
              <w:widowControl/>
              <w:spacing w:before="0" w:after="0" w:line="240" w:lineRule="auto"/>
              <w:jc w:val="left"/>
            </w:pPr>
            <w:r>
              <w:rPr>
                <w:b w:val="0"/>
                <w:sz w:val="20"/>
              </w:rPr>
              <w:t>Sitting × 2025 (other regions)</w:t>
            </w:r>
          </w:p>
        </w:tc>
        <w:tc>
          <w:tcPr>
            <w:tcW w:type="dxa" w:w="2799"/>
            <w:vAlign w:val="center"/>
          </w:tcPr>
          <w:p>
            <w:pPr>
              <w:keepNext w:val="0"/>
              <w:widowControl/>
              <w:spacing w:before="0" w:after="0" w:line="240" w:lineRule="auto"/>
              <w:jc w:val="center"/>
            </w:pPr>
            <w:r>
              <w:rPr>
                <w:b w:val="0"/>
                <w:sz w:val="20"/>
              </w:rPr>
              <w:t>−0.199*** (0.022)</w:t>
            </w:r>
          </w:p>
        </w:tc>
        <w:tc>
          <w:tcPr>
            <w:tcW w:type="dxa" w:w="2799"/>
            <w:vAlign w:val="center"/>
          </w:tcPr>
          <w:p>
            <w:pPr>
              <w:keepNext w:val="0"/>
              <w:widowControl/>
              <w:spacing w:before="0" w:after="0" w:line="240" w:lineRule="auto"/>
              <w:jc w:val="center"/>
            </w:pPr>
            <w:r>
              <w:rPr>
                <w:b w:val="0"/>
                <w:sz w:val="20"/>
              </w:rPr>
              <w:t>−0.027 (0.020)</w:t>
            </w:r>
          </w:p>
        </w:tc>
        <w:tc>
          <w:tcPr>
            <w:tcW w:type="dxa" w:w="2799"/>
            <w:vAlign w:val="center"/>
          </w:tcPr>
          <w:p>
            <w:pPr>
              <w:keepNext w:val="0"/>
              <w:widowControl/>
              <w:spacing w:before="0" w:after="0" w:line="240" w:lineRule="auto"/>
              <w:jc w:val="center"/>
            </w:pPr>
            <w:r>
              <w:rPr>
                <w:b w:val="0"/>
                <w:sz w:val="20"/>
              </w:rPr>
              <w:t>−0.030** (0.013)</w:t>
            </w:r>
          </w:p>
        </w:tc>
      </w:tr>
      <w:tr>
        <w:trPr>
          <w:cantSplit/>
        </w:trPr>
        <w:tc>
          <w:tcPr>
            <w:tcW w:type="dxa" w:w="5040"/>
            <w:vAlign w:val="center"/>
          </w:tcPr>
          <w:p>
            <w:pPr>
              <w:keepNext w:val="0"/>
              <w:widowControl/>
              <w:spacing w:before="0" w:after="0" w:line="240" w:lineRule="auto"/>
              <w:jc w:val="left"/>
            </w:pPr>
            <w:r>
              <w:rPr>
                <w:b w:val="0"/>
                <w:sz w:val="20"/>
              </w:rPr>
              <w:t>Additional difference: metropolitan × 2025</w:t>
            </w:r>
          </w:p>
        </w:tc>
        <w:tc>
          <w:tcPr>
            <w:tcW w:type="dxa" w:w="2799"/>
            <w:vAlign w:val="center"/>
          </w:tcPr>
          <w:p>
            <w:pPr>
              <w:keepNext w:val="0"/>
              <w:widowControl/>
              <w:spacing w:before="0" w:after="0" w:line="240" w:lineRule="auto"/>
              <w:jc w:val="center"/>
            </w:pPr>
            <w:r>
              <w:rPr>
                <w:b w:val="0"/>
                <w:sz w:val="20"/>
              </w:rPr>
              <w:t>0.023 (0.036)</w:t>
            </w:r>
          </w:p>
        </w:tc>
        <w:tc>
          <w:tcPr>
            <w:tcW w:type="dxa" w:w="2799"/>
            <w:vAlign w:val="center"/>
          </w:tcPr>
          <w:p>
            <w:pPr>
              <w:keepNext w:val="0"/>
              <w:widowControl/>
              <w:spacing w:before="0" w:after="0" w:line="240" w:lineRule="auto"/>
              <w:jc w:val="center"/>
            </w:pPr>
            <w:r>
              <w:rPr>
                <w:b w:val="0"/>
                <w:sz w:val="20"/>
              </w:rPr>
              <w:t>−0.014 (0.030)</w:t>
            </w:r>
          </w:p>
        </w:tc>
        <w:tc>
          <w:tcPr>
            <w:tcW w:type="dxa" w:w="2799"/>
            <w:vAlign w:val="center"/>
          </w:tcPr>
          <w:p>
            <w:pPr>
              <w:keepNext w:val="0"/>
              <w:widowControl/>
              <w:spacing w:before="0" w:after="0" w:line="240" w:lineRule="auto"/>
              <w:jc w:val="center"/>
            </w:pPr>
            <w:r>
              <w:rPr>
                <w:b w:val="0"/>
                <w:sz w:val="20"/>
              </w:rPr>
              <w:t>−0.059* (0.031)</w:t>
            </w:r>
          </w:p>
        </w:tc>
      </w:tr>
    </w:tbl>
    <w:p>
      <w:pPr>
        <w:pStyle w:val="Paragraph"/>
        <w:widowControl/>
        <w:spacing w:before="140" w:line="240" w:lineRule="auto"/>
      </w:pPr>
      <w:r>
        <w:rPr>
          <w:i/>
          <w:sz w:val="20"/>
        </w:rPr>
        <w:t>Note:</w:t>
      </w:r>
      <w:r>
        <w:rPr>
          <w:sz w:val="20"/>
        </w:rPr>
        <w:t xml:space="preserve"> Panel A uses a joint model replacing the sitting-tenant indicator with three duration groups; the difference row compares 2–4 with 5–9 years. Panel B’s Q1–Q5 rows are separate-quintile estimates. Q5–Q1 rows use a joint log-rent model interacting all controls and region × year fixed effects with income quintiles, accounting for within-region cross-quintile covariance. The joint test reports t(25) and restricted Webb bootstrap p-values separately (9,999 replications). Panel C’s metropolitan indicator covers TR10, TR31 and TR51; additional differences rely on only three regions and warrant descriptive interpretation. Models are household-weighted. Parentheses contain region-clustered CR1 standard errors. Outside the Q5–Q1 rows, stars use t(25) p-values: *** p &lt; 0.01, ** p &lt; 0.05, * p &lt; 0.10. Source: TurkStat SILC 2016–2025; author’s estimates.</w:t>
      </w:r>
    </w:p>
    <w:p>
      <w:pPr>
        <w:sectPr>
          <w:pgSz w:w="16840" w:h="11901" w:code="9" w:orient="landscape"/>
          <w:pgMar w:top="1418" w:right="1701" w:bottom="1418" w:left="1701" w:header="709" w:footer="709" w:gutter="0"/>
          <w:cols w:space="708"/>
          <w:docGrid w:linePitch="360"/>
        </w:sectPr>
      </w:pPr>
    </w:p>
    <w:p>
      <w:pPr>
        <w:pStyle w:val="Tabletitle"/>
        <w:keepNext/>
        <w:widowControl/>
        <w:spacing w:before="0"/>
      </w:pPr>
      <w:r>
        <w:t>Table 4. Household Budget Survey: changes in sitting–new tenant gaps</w:t>
      </w:r>
    </w:p>
    <w:tbl>
      <w:tblPr>
        <w:tblW w:type="dxa" w:w="13438"/>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35" w:type="dxa"/>
          <w:bottom w:w="35" w:type="dxa"/>
          <w:left w:w="60" w:type="dxa"/>
          <w:right w:w="60" w:type="dxa"/>
        </w:tblCellMar>
      </w:tblPr>
      <w:tblGrid>
        <w:gridCol w:w="3600"/>
        <w:gridCol w:w="2376"/>
        <w:gridCol w:w="2376"/>
        <w:gridCol w:w="1800"/>
        <w:gridCol w:w="3286"/>
      </w:tblGrid>
      <w:tr>
        <w:trPr>
          <w:cantSplit/>
          <w:tblHeader/>
        </w:trPr>
        <w:tc>
          <w:tcPr>
            <w:tcW w:type="dxa" w:w="3600"/>
            <w:vAlign w:val="center"/>
            <w:tcBorders>
              <w:bottom w:val="single" w:sz="4"/>
            </w:tcBorders>
          </w:tcPr>
          <w:p>
            <w:pPr>
              <w:keepNext/>
              <w:widowControl/>
              <w:spacing w:before="0" w:after="0" w:line="240" w:lineRule="auto"/>
              <w:jc w:val="left"/>
            </w:pPr>
            <w:r>
              <w:rPr>
                <w:b/>
                <w:sz w:val="20"/>
              </w:rPr>
              <w:t>Dependent variable</w:t>
            </w:r>
          </w:p>
        </w:tc>
        <w:tc>
          <w:tcPr>
            <w:tcW w:type="dxa" w:w="2376"/>
            <w:vAlign w:val="center"/>
            <w:tcBorders>
              <w:bottom w:val="single" w:sz="4"/>
            </w:tcBorders>
          </w:tcPr>
          <w:p>
            <w:pPr>
              <w:keepNext/>
              <w:widowControl/>
              <w:spacing w:before="0" w:after="0" w:line="240" w:lineRule="auto"/>
              <w:jc w:val="center"/>
            </w:pPr>
            <w:r>
              <w:rPr>
                <w:b/>
                <w:sz w:val="20"/>
              </w:rPr>
              <w:t>Sitting × 2022</w:t>
            </w:r>
          </w:p>
        </w:tc>
        <w:tc>
          <w:tcPr>
            <w:tcW w:type="dxa" w:w="2376"/>
            <w:vAlign w:val="center"/>
            <w:tcBorders>
              <w:bottom w:val="single" w:sz="4"/>
            </w:tcBorders>
          </w:tcPr>
          <w:p>
            <w:pPr>
              <w:keepNext/>
              <w:widowControl/>
              <w:spacing w:before="0" w:after="0" w:line="240" w:lineRule="auto"/>
              <w:jc w:val="center"/>
            </w:pPr>
            <w:r>
              <w:rPr>
                <w:b/>
                <w:sz w:val="20"/>
              </w:rPr>
              <w:t>Sitting × 2024</w:t>
            </w:r>
          </w:p>
        </w:tc>
        <w:tc>
          <w:tcPr>
            <w:tcW w:type="dxa" w:w="1800"/>
            <w:vAlign w:val="center"/>
            <w:tcBorders>
              <w:bottom w:val="single" w:sz="4"/>
            </w:tcBorders>
          </w:tcPr>
          <w:p>
            <w:pPr>
              <w:keepNext/>
              <w:widowControl/>
              <w:spacing w:before="0" w:after="0" w:line="240" w:lineRule="auto"/>
              <w:jc w:val="center"/>
            </w:pPr>
            <w:r>
              <w:rPr>
                <w:b/>
                <w:sz w:val="20"/>
              </w:rPr>
              <w:t>Pre-trend F(3) p</w:t>
            </w:r>
          </w:p>
        </w:tc>
        <w:tc>
          <w:tcPr>
            <w:tcW w:type="dxa" w:w="3286"/>
            <w:vAlign w:val="center"/>
            <w:tcBorders>
              <w:bottom w:val="single" w:sz="4"/>
            </w:tcBorders>
          </w:tcPr>
          <w:p>
            <w:pPr>
              <w:keepNext/>
              <w:widowControl/>
              <w:spacing w:before="0" w:after="0" w:line="240" w:lineRule="auto"/>
              <w:jc w:val="center"/>
            </w:pPr>
            <w:r>
              <w:rPr>
                <w:b/>
                <w:sz w:val="20"/>
              </w:rPr>
              <w:t>Sitting-tenant mean (2016–2019)</w:t>
            </w:r>
          </w:p>
        </w:tc>
      </w:tr>
      <w:tr>
        <w:trPr>
          <w:cantSplit/>
        </w:trPr>
        <w:tc>
          <w:tcPr>
            <w:tcW w:type="dxa" w:w="3600"/>
            <w:vAlign w:val="center"/>
          </w:tcPr>
          <w:p>
            <w:pPr>
              <w:keepNext w:val="0"/>
              <w:widowControl/>
              <w:spacing w:before="0" w:after="0" w:line="240" w:lineRule="auto"/>
              <w:jc w:val="left"/>
            </w:pPr>
            <w:r>
              <w:rPr>
                <w:b w:val="0"/>
                <w:sz w:val="20"/>
              </w:rPr>
              <w:t>Log rent</w:t>
            </w:r>
          </w:p>
        </w:tc>
        <w:tc>
          <w:tcPr>
            <w:tcW w:type="dxa" w:w="2376"/>
            <w:vAlign w:val="center"/>
          </w:tcPr>
          <w:p>
            <w:pPr>
              <w:keepNext w:val="0"/>
              <w:widowControl/>
              <w:spacing w:before="0" w:after="0" w:line="240" w:lineRule="auto"/>
              <w:jc w:val="center"/>
            </w:pPr>
            <w:r>
              <w:rPr>
                <w:b w:val="0"/>
                <w:sz w:val="20"/>
              </w:rPr>
              <w:t>−0.096*** (0.030)</w:t>
            </w:r>
          </w:p>
        </w:tc>
        <w:tc>
          <w:tcPr>
            <w:tcW w:type="dxa" w:w="2376"/>
            <w:vAlign w:val="center"/>
          </w:tcPr>
          <w:p>
            <w:pPr>
              <w:keepNext w:val="0"/>
              <w:widowControl/>
              <w:spacing w:before="0" w:after="0" w:line="240" w:lineRule="auto"/>
              <w:jc w:val="center"/>
            </w:pPr>
            <w:r>
              <w:rPr>
                <w:b w:val="0"/>
                <w:sz w:val="20"/>
              </w:rPr>
              <w:t>−0.222*** (0.033)</w:t>
            </w:r>
          </w:p>
        </w:tc>
        <w:tc>
          <w:tcPr>
            <w:tcW w:type="dxa" w:w="1800"/>
            <w:vAlign w:val="center"/>
          </w:tcPr>
          <w:p>
            <w:pPr>
              <w:keepNext w:val="0"/>
              <w:widowControl/>
              <w:spacing w:before="0" w:after="0" w:line="240" w:lineRule="auto"/>
              <w:jc w:val="center"/>
            </w:pPr>
            <w:r>
              <w:rPr>
                <w:b w:val="0"/>
                <w:sz w:val="20"/>
              </w:rPr>
              <w:t>0.411</w:t>
            </w:r>
          </w:p>
        </w:tc>
        <w:tc>
          <w:tcPr>
            <w:tcW w:type="dxa" w:w="3286"/>
            <w:vAlign w:val="center"/>
          </w:tcPr>
          <w:p>
            <w:pPr>
              <w:keepNext w:val="0"/>
              <w:widowControl/>
              <w:spacing w:before="0" w:after="0" w:line="240" w:lineRule="auto"/>
              <w:jc w:val="center"/>
            </w:pPr>
            <w:r>
              <w:rPr>
                <w:b w:val="0"/>
                <w:sz w:val="20"/>
              </w:rPr>
              <w:t>6.36</w:t>
            </w:r>
          </w:p>
        </w:tc>
      </w:tr>
      <w:tr>
        <w:trPr>
          <w:cantSplit/>
        </w:trPr>
        <w:tc>
          <w:tcPr>
            <w:tcW w:type="dxa" w:w="3600"/>
            <w:vAlign w:val="center"/>
          </w:tcPr>
          <w:p>
            <w:pPr>
              <w:keepNext w:val="0"/>
              <w:widowControl/>
              <w:spacing w:before="0" w:after="0" w:line="240" w:lineRule="auto"/>
              <w:jc w:val="left"/>
            </w:pPr>
            <w:r>
              <w:rPr>
                <w:b w:val="0"/>
                <w:sz w:val="20"/>
              </w:rPr>
              <w:t>Rent share</w:t>
            </w:r>
          </w:p>
        </w:tc>
        <w:tc>
          <w:tcPr>
            <w:tcW w:type="dxa" w:w="2376"/>
            <w:vAlign w:val="center"/>
          </w:tcPr>
          <w:p>
            <w:pPr>
              <w:keepNext w:val="0"/>
              <w:widowControl/>
              <w:spacing w:before="0" w:after="0" w:line="240" w:lineRule="auto"/>
              <w:jc w:val="center"/>
            </w:pPr>
            <w:r>
              <w:rPr>
                <w:b w:val="0"/>
                <w:sz w:val="20"/>
              </w:rPr>
              <w:t>−0.637 (0.598)</w:t>
            </w:r>
          </w:p>
        </w:tc>
        <w:tc>
          <w:tcPr>
            <w:tcW w:type="dxa" w:w="2376"/>
            <w:vAlign w:val="center"/>
          </w:tcPr>
          <w:p>
            <w:pPr>
              <w:keepNext w:val="0"/>
              <w:widowControl/>
              <w:spacing w:before="0" w:after="0" w:line="240" w:lineRule="auto"/>
              <w:jc w:val="center"/>
            </w:pPr>
            <w:r>
              <w:rPr>
                <w:b w:val="0"/>
                <w:sz w:val="20"/>
              </w:rPr>
              <w:t>−3.527*** (0.757)</w:t>
            </w:r>
          </w:p>
        </w:tc>
        <w:tc>
          <w:tcPr>
            <w:tcW w:type="dxa" w:w="1800"/>
            <w:vAlign w:val="center"/>
          </w:tcPr>
          <w:p>
            <w:pPr>
              <w:keepNext w:val="0"/>
              <w:widowControl/>
              <w:spacing w:before="0" w:after="0" w:line="240" w:lineRule="auto"/>
              <w:jc w:val="center"/>
            </w:pPr>
            <w:r>
              <w:rPr>
                <w:b w:val="0"/>
                <w:sz w:val="20"/>
              </w:rPr>
              <w:t>0.722</w:t>
            </w:r>
          </w:p>
        </w:tc>
        <w:tc>
          <w:tcPr>
            <w:tcW w:type="dxa" w:w="3286"/>
            <w:vAlign w:val="center"/>
          </w:tcPr>
          <w:p>
            <w:pPr>
              <w:keepNext w:val="0"/>
              <w:widowControl/>
              <w:spacing w:before="0" w:after="0" w:line="240" w:lineRule="auto"/>
              <w:jc w:val="center"/>
            </w:pPr>
            <w:r>
              <w:rPr>
                <w:b w:val="0"/>
                <w:sz w:val="20"/>
              </w:rPr>
              <w:t>20.72</w:t>
            </w:r>
          </w:p>
        </w:tc>
      </w:tr>
      <w:tr>
        <w:trPr>
          <w:cantSplit/>
        </w:trPr>
        <w:tc>
          <w:tcPr>
            <w:tcW w:type="dxa" w:w="3600"/>
            <w:vAlign w:val="center"/>
          </w:tcPr>
          <w:p>
            <w:pPr>
              <w:keepNext w:val="0"/>
              <w:widowControl/>
              <w:spacing w:before="0" w:after="0" w:line="240" w:lineRule="auto"/>
              <w:jc w:val="left"/>
            </w:pPr>
            <w:r>
              <w:rPr>
                <w:b w:val="0"/>
                <w:sz w:val="20"/>
              </w:rPr>
              <w:t>Food share</w:t>
            </w:r>
          </w:p>
        </w:tc>
        <w:tc>
          <w:tcPr>
            <w:tcW w:type="dxa" w:w="2376"/>
            <w:vAlign w:val="center"/>
          </w:tcPr>
          <w:p>
            <w:pPr>
              <w:keepNext w:val="0"/>
              <w:widowControl/>
              <w:spacing w:before="0" w:after="0" w:line="240" w:lineRule="auto"/>
              <w:jc w:val="center"/>
            </w:pPr>
            <w:r>
              <w:rPr>
                <w:b w:val="0"/>
                <w:sz w:val="20"/>
              </w:rPr>
              <w:t>1.341** (0.600)</w:t>
            </w:r>
          </w:p>
        </w:tc>
        <w:tc>
          <w:tcPr>
            <w:tcW w:type="dxa" w:w="2376"/>
            <w:vAlign w:val="center"/>
          </w:tcPr>
          <w:p>
            <w:pPr>
              <w:keepNext w:val="0"/>
              <w:widowControl/>
              <w:spacing w:before="0" w:after="0" w:line="240" w:lineRule="auto"/>
              <w:jc w:val="center"/>
            </w:pPr>
            <w:r>
              <w:rPr>
                <w:b w:val="0"/>
                <w:sz w:val="20"/>
              </w:rPr>
              <w:t>0.812 (0.621)</w:t>
            </w:r>
          </w:p>
        </w:tc>
        <w:tc>
          <w:tcPr>
            <w:tcW w:type="dxa" w:w="1800"/>
            <w:vAlign w:val="center"/>
          </w:tcPr>
          <w:p>
            <w:pPr>
              <w:keepNext w:val="0"/>
              <w:widowControl/>
              <w:spacing w:before="0" w:after="0" w:line="240" w:lineRule="auto"/>
              <w:jc w:val="center"/>
            </w:pPr>
            <w:r>
              <w:rPr>
                <w:b w:val="0"/>
                <w:sz w:val="20"/>
              </w:rPr>
              <w:t>0.092</w:t>
            </w:r>
          </w:p>
        </w:tc>
        <w:tc>
          <w:tcPr>
            <w:tcW w:type="dxa" w:w="3286"/>
            <w:vAlign w:val="center"/>
          </w:tcPr>
          <w:p>
            <w:pPr>
              <w:keepNext w:val="0"/>
              <w:widowControl/>
              <w:spacing w:before="0" w:after="0" w:line="240" w:lineRule="auto"/>
              <w:jc w:val="center"/>
            </w:pPr>
            <w:r>
              <w:rPr>
                <w:b w:val="0"/>
                <w:sz w:val="20"/>
              </w:rPr>
              <w:t>21.09</w:t>
            </w:r>
          </w:p>
        </w:tc>
      </w:tr>
      <w:tr>
        <w:trPr>
          <w:cantSplit/>
        </w:trPr>
        <w:tc>
          <w:tcPr>
            <w:tcW w:type="dxa" w:w="3600"/>
            <w:vAlign w:val="center"/>
          </w:tcPr>
          <w:p>
            <w:pPr>
              <w:keepNext w:val="0"/>
              <w:widowControl/>
              <w:spacing w:before="0" w:after="0" w:line="240" w:lineRule="auto"/>
              <w:jc w:val="left"/>
            </w:pPr>
            <w:r>
              <w:rPr>
                <w:b w:val="0"/>
                <w:sz w:val="20"/>
              </w:rPr>
              <w:t>Health share</w:t>
            </w:r>
          </w:p>
        </w:tc>
        <w:tc>
          <w:tcPr>
            <w:tcW w:type="dxa" w:w="2376"/>
            <w:vAlign w:val="center"/>
          </w:tcPr>
          <w:p>
            <w:pPr>
              <w:keepNext w:val="0"/>
              <w:widowControl/>
              <w:spacing w:before="0" w:after="0" w:line="240" w:lineRule="auto"/>
              <w:jc w:val="center"/>
            </w:pPr>
            <w:r>
              <w:rPr>
                <w:b w:val="0"/>
                <w:sz w:val="20"/>
              </w:rPr>
              <w:t>0.054 (0.232)</w:t>
            </w:r>
          </w:p>
        </w:tc>
        <w:tc>
          <w:tcPr>
            <w:tcW w:type="dxa" w:w="2376"/>
            <w:vAlign w:val="center"/>
          </w:tcPr>
          <w:p>
            <w:pPr>
              <w:keepNext w:val="0"/>
              <w:widowControl/>
              <w:spacing w:before="0" w:after="0" w:line="240" w:lineRule="auto"/>
              <w:jc w:val="center"/>
            </w:pPr>
            <w:r>
              <w:rPr>
                <w:b w:val="0"/>
                <w:sz w:val="20"/>
              </w:rPr>
              <w:t>0.010 (0.284)</w:t>
            </w:r>
          </w:p>
        </w:tc>
        <w:tc>
          <w:tcPr>
            <w:tcW w:type="dxa" w:w="1800"/>
            <w:vAlign w:val="center"/>
          </w:tcPr>
          <w:p>
            <w:pPr>
              <w:keepNext w:val="0"/>
              <w:widowControl/>
              <w:spacing w:before="0" w:after="0" w:line="240" w:lineRule="auto"/>
              <w:jc w:val="center"/>
            </w:pPr>
            <w:r>
              <w:rPr>
                <w:b w:val="0"/>
                <w:sz w:val="20"/>
              </w:rPr>
              <w:t>0.308</w:t>
            </w:r>
          </w:p>
        </w:tc>
        <w:tc>
          <w:tcPr>
            <w:tcW w:type="dxa" w:w="3286"/>
            <w:vAlign w:val="center"/>
          </w:tcPr>
          <w:p>
            <w:pPr>
              <w:keepNext w:val="0"/>
              <w:widowControl/>
              <w:spacing w:before="0" w:after="0" w:line="240" w:lineRule="auto"/>
              <w:jc w:val="center"/>
            </w:pPr>
            <w:r>
              <w:rPr>
                <w:b w:val="0"/>
                <w:sz w:val="20"/>
              </w:rPr>
              <w:t>1.93</w:t>
            </w:r>
          </w:p>
        </w:tc>
      </w:tr>
      <w:tr>
        <w:trPr>
          <w:cantSplit/>
        </w:trPr>
        <w:tc>
          <w:tcPr>
            <w:tcW w:type="dxa" w:w="3600"/>
            <w:vAlign w:val="center"/>
          </w:tcPr>
          <w:p>
            <w:pPr>
              <w:keepNext w:val="0"/>
              <w:widowControl/>
              <w:spacing w:before="0" w:after="0" w:line="240" w:lineRule="auto"/>
              <w:jc w:val="left"/>
            </w:pPr>
            <w:r>
              <w:rPr>
                <w:b w:val="0"/>
                <w:sz w:val="20"/>
              </w:rPr>
              <w:t>Education share</w:t>
            </w:r>
          </w:p>
        </w:tc>
        <w:tc>
          <w:tcPr>
            <w:tcW w:type="dxa" w:w="2376"/>
            <w:vAlign w:val="center"/>
          </w:tcPr>
          <w:p>
            <w:pPr>
              <w:keepNext w:val="0"/>
              <w:widowControl/>
              <w:spacing w:before="0" w:after="0" w:line="240" w:lineRule="auto"/>
              <w:jc w:val="center"/>
            </w:pPr>
            <w:r>
              <w:rPr>
                <w:b w:val="0"/>
                <w:sz w:val="20"/>
              </w:rPr>
              <w:t>−0.757** (0.353)</w:t>
            </w:r>
          </w:p>
        </w:tc>
        <w:tc>
          <w:tcPr>
            <w:tcW w:type="dxa" w:w="2376"/>
            <w:vAlign w:val="center"/>
          </w:tcPr>
          <w:p>
            <w:pPr>
              <w:keepNext w:val="0"/>
              <w:widowControl/>
              <w:spacing w:before="0" w:after="0" w:line="240" w:lineRule="auto"/>
              <w:jc w:val="center"/>
            </w:pPr>
            <w:r>
              <w:rPr>
                <w:b w:val="0"/>
                <w:sz w:val="20"/>
              </w:rPr>
              <w:t>0.293 (0.194)</w:t>
            </w:r>
          </w:p>
        </w:tc>
        <w:tc>
          <w:tcPr>
            <w:tcW w:type="dxa" w:w="1800"/>
            <w:vAlign w:val="center"/>
          </w:tcPr>
          <w:p>
            <w:pPr>
              <w:keepNext w:val="0"/>
              <w:widowControl/>
              <w:spacing w:before="0" w:after="0" w:line="240" w:lineRule="auto"/>
              <w:jc w:val="center"/>
            </w:pPr>
            <w:r>
              <w:rPr>
                <w:b w:val="0"/>
                <w:sz w:val="20"/>
              </w:rPr>
              <w:t>0.534</w:t>
            </w:r>
          </w:p>
        </w:tc>
        <w:tc>
          <w:tcPr>
            <w:tcW w:type="dxa" w:w="3286"/>
            <w:vAlign w:val="center"/>
          </w:tcPr>
          <w:p>
            <w:pPr>
              <w:keepNext w:val="0"/>
              <w:widowControl/>
              <w:spacing w:before="0" w:after="0" w:line="240" w:lineRule="auto"/>
              <w:jc w:val="center"/>
            </w:pPr>
            <w:r>
              <w:rPr>
                <w:b w:val="0"/>
                <w:sz w:val="20"/>
              </w:rPr>
              <w:t>1.42</w:t>
            </w:r>
          </w:p>
        </w:tc>
      </w:tr>
      <w:tr>
        <w:trPr>
          <w:cantSplit/>
        </w:trPr>
        <w:tc>
          <w:tcPr>
            <w:tcW w:type="dxa" w:w="3600"/>
            <w:vAlign w:val="center"/>
          </w:tcPr>
          <w:p>
            <w:pPr>
              <w:keepNext w:val="0"/>
              <w:widowControl/>
              <w:spacing w:before="0" w:after="0" w:line="240" w:lineRule="auto"/>
              <w:jc w:val="left"/>
            </w:pPr>
            <w:r>
              <w:rPr>
                <w:b w:val="0"/>
                <w:sz w:val="20"/>
              </w:rPr>
              <w:t>Transport share</w:t>
            </w:r>
          </w:p>
        </w:tc>
        <w:tc>
          <w:tcPr>
            <w:tcW w:type="dxa" w:w="2376"/>
            <w:vAlign w:val="center"/>
          </w:tcPr>
          <w:p>
            <w:pPr>
              <w:keepNext w:val="0"/>
              <w:widowControl/>
              <w:spacing w:before="0" w:after="0" w:line="240" w:lineRule="auto"/>
              <w:jc w:val="center"/>
            </w:pPr>
            <w:r>
              <w:rPr>
                <w:b w:val="0"/>
                <w:sz w:val="20"/>
              </w:rPr>
              <w:t>−1.540 (0.939)</w:t>
            </w:r>
          </w:p>
        </w:tc>
        <w:tc>
          <w:tcPr>
            <w:tcW w:type="dxa" w:w="2376"/>
            <w:vAlign w:val="center"/>
          </w:tcPr>
          <w:p>
            <w:pPr>
              <w:keepNext w:val="0"/>
              <w:widowControl/>
              <w:spacing w:before="0" w:after="0" w:line="240" w:lineRule="auto"/>
              <w:jc w:val="center"/>
            </w:pPr>
            <w:r>
              <w:rPr>
                <w:b w:val="0"/>
                <w:sz w:val="20"/>
              </w:rPr>
              <w:t>−0.492 (0.952)</w:t>
            </w:r>
          </w:p>
        </w:tc>
        <w:tc>
          <w:tcPr>
            <w:tcW w:type="dxa" w:w="1800"/>
            <w:vAlign w:val="center"/>
          </w:tcPr>
          <w:p>
            <w:pPr>
              <w:keepNext w:val="0"/>
              <w:widowControl/>
              <w:spacing w:before="0" w:after="0" w:line="240" w:lineRule="auto"/>
              <w:jc w:val="center"/>
            </w:pPr>
            <w:r>
              <w:rPr>
                <w:b w:val="0"/>
                <w:sz w:val="20"/>
              </w:rPr>
              <w:t>0.877</w:t>
            </w:r>
          </w:p>
        </w:tc>
        <w:tc>
          <w:tcPr>
            <w:tcW w:type="dxa" w:w="3286"/>
            <w:vAlign w:val="center"/>
          </w:tcPr>
          <w:p>
            <w:pPr>
              <w:keepNext w:val="0"/>
              <w:widowControl/>
              <w:spacing w:before="0" w:after="0" w:line="240" w:lineRule="auto"/>
              <w:jc w:val="center"/>
            </w:pPr>
            <w:r>
              <w:rPr>
                <w:b w:val="0"/>
                <w:sz w:val="20"/>
              </w:rPr>
              <w:t>12.58</w:t>
            </w:r>
          </w:p>
        </w:tc>
      </w:tr>
      <w:tr>
        <w:trPr>
          <w:cantSplit/>
        </w:trPr>
        <w:tc>
          <w:tcPr>
            <w:tcW w:type="dxa" w:w="3600"/>
            <w:vAlign w:val="center"/>
          </w:tcPr>
          <w:p>
            <w:pPr>
              <w:keepNext w:val="0"/>
              <w:widowControl/>
              <w:spacing w:before="0" w:after="0" w:line="240" w:lineRule="auto"/>
              <w:jc w:val="left"/>
            </w:pPr>
            <w:r>
              <w:rPr>
                <w:b w:val="0"/>
                <w:sz w:val="20"/>
              </w:rPr>
              <w:t>Restaurant–hotel share</w:t>
            </w:r>
          </w:p>
        </w:tc>
        <w:tc>
          <w:tcPr>
            <w:tcW w:type="dxa" w:w="2376"/>
            <w:vAlign w:val="center"/>
          </w:tcPr>
          <w:p>
            <w:pPr>
              <w:keepNext w:val="0"/>
              <w:widowControl/>
              <w:spacing w:before="0" w:after="0" w:line="240" w:lineRule="auto"/>
              <w:jc w:val="center"/>
            </w:pPr>
            <w:r>
              <w:rPr>
                <w:b w:val="0"/>
                <w:sz w:val="20"/>
              </w:rPr>
              <w:t>−0.209 (0.443)</w:t>
            </w:r>
          </w:p>
        </w:tc>
        <w:tc>
          <w:tcPr>
            <w:tcW w:type="dxa" w:w="2376"/>
            <w:vAlign w:val="center"/>
          </w:tcPr>
          <w:p>
            <w:pPr>
              <w:keepNext w:val="0"/>
              <w:widowControl/>
              <w:spacing w:before="0" w:after="0" w:line="240" w:lineRule="auto"/>
              <w:jc w:val="center"/>
            </w:pPr>
            <w:r>
              <w:rPr>
                <w:b w:val="0"/>
                <w:sz w:val="20"/>
              </w:rPr>
              <w:t>1.400*** (0.471)</w:t>
            </w:r>
          </w:p>
        </w:tc>
        <w:tc>
          <w:tcPr>
            <w:tcW w:type="dxa" w:w="1800"/>
            <w:vAlign w:val="center"/>
          </w:tcPr>
          <w:p>
            <w:pPr>
              <w:keepNext w:val="0"/>
              <w:widowControl/>
              <w:spacing w:before="0" w:after="0" w:line="240" w:lineRule="auto"/>
              <w:jc w:val="center"/>
            </w:pPr>
            <w:r>
              <w:rPr>
                <w:b w:val="0"/>
                <w:sz w:val="20"/>
              </w:rPr>
              <w:t>0.073</w:t>
            </w:r>
          </w:p>
        </w:tc>
        <w:tc>
          <w:tcPr>
            <w:tcW w:type="dxa" w:w="3286"/>
            <w:vAlign w:val="center"/>
          </w:tcPr>
          <w:p>
            <w:pPr>
              <w:keepNext w:val="0"/>
              <w:widowControl/>
              <w:spacing w:before="0" w:after="0" w:line="240" w:lineRule="auto"/>
              <w:jc w:val="center"/>
            </w:pPr>
            <w:r>
              <w:rPr>
                <w:b w:val="0"/>
                <w:sz w:val="20"/>
              </w:rPr>
              <w:t>7.78</w:t>
            </w:r>
          </w:p>
        </w:tc>
      </w:tr>
      <w:tr>
        <w:trPr>
          <w:cantSplit/>
        </w:trPr>
        <w:tc>
          <w:tcPr>
            <w:tcW w:type="dxa" w:w="3600"/>
            <w:vAlign w:val="center"/>
          </w:tcPr>
          <w:p>
            <w:pPr>
              <w:keepNext w:val="0"/>
              <w:widowControl/>
              <w:spacing w:before="0" w:after="0" w:line="240" w:lineRule="auto"/>
              <w:jc w:val="left"/>
            </w:pPr>
            <w:r>
              <w:rPr>
                <w:b w:val="0"/>
                <w:sz w:val="20"/>
              </w:rPr>
              <w:t>Log total consumption</w:t>
            </w:r>
          </w:p>
        </w:tc>
        <w:tc>
          <w:tcPr>
            <w:tcW w:type="dxa" w:w="2376"/>
            <w:vAlign w:val="center"/>
          </w:tcPr>
          <w:p>
            <w:pPr>
              <w:keepNext w:val="0"/>
              <w:widowControl/>
              <w:spacing w:before="0" w:after="0" w:line="240" w:lineRule="auto"/>
              <w:jc w:val="center"/>
            </w:pPr>
            <w:r>
              <w:rPr>
                <w:b w:val="0"/>
                <w:sz w:val="20"/>
              </w:rPr>
              <w:t>−0.053 (0.036)</w:t>
            </w:r>
          </w:p>
        </w:tc>
        <w:tc>
          <w:tcPr>
            <w:tcW w:type="dxa" w:w="2376"/>
            <w:vAlign w:val="center"/>
          </w:tcPr>
          <w:p>
            <w:pPr>
              <w:keepNext w:val="0"/>
              <w:widowControl/>
              <w:spacing w:before="0" w:after="0" w:line="240" w:lineRule="auto"/>
              <w:jc w:val="center"/>
            </w:pPr>
            <w:r>
              <w:rPr>
                <w:b w:val="0"/>
                <w:sz w:val="20"/>
              </w:rPr>
              <w:t>−0.043 (0.037)</w:t>
            </w:r>
          </w:p>
        </w:tc>
        <w:tc>
          <w:tcPr>
            <w:tcW w:type="dxa" w:w="1800"/>
            <w:vAlign w:val="center"/>
          </w:tcPr>
          <w:p>
            <w:pPr>
              <w:keepNext w:val="0"/>
              <w:widowControl/>
              <w:spacing w:before="0" w:after="0" w:line="240" w:lineRule="auto"/>
              <w:jc w:val="center"/>
            </w:pPr>
            <w:r>
              <w:rPr>
                <w:b w:val="0"/>
                <w:sz w:val="20"/>
              </w:rPr>
              <w:t>0.192</w:t>
            </w:r>
          </w:p>
        </w:tc>
        <w:tc>
          <w:tcPr>
            <w:tcW w:type="dxa" w:w="3286"/>
            <w:vAlign w:val="center"/>
          </w:tcPr>
          <w:p>
            <w:pPr>
              <w:keepNext w:val="0"/>
              <w:widowControl/>
              <w:spacing w:before="0" w:after="0" w:line="240" w:lineRule="auto"/>
              <w:jc w:val="center"/>
            </w:pPr>
            <w:r>
              <w:rPr>
                <w:b w:val="0"/>
                <w:sz w:val="20"/>
              </w:rPr>
              <w:t>8.08</w:t>
            </w:r>
          </w:p>
        </w:tc>
      </w:tr>
      <w:tr>
        <w:trPr>
          <w:cantSplit/>
        </w:trPr>
        <w:tc>
          <w:tcPr>
            <w:tcW w:type="dxa" w:w="3600"/>
            <w:vAlign w:val="center"/>
          </w:tcPr>
          <w:p>
            <w:pPr>
              <w:keepNext w:val="0"/>
              <w:widowControl/>
              <w:spacing w:before="0" w:after="0" w:line="240" w:lineRule="auto"/>
              <w:jc w:val="left"/>
            </w:pPr>
            <w:r>
              <w:rPr>
                <w:b w:val="0"/>
                <w:sz w:val="20"/>
              </w:rPr>
              <w:t>Log non-rent consumption</w:t>
            </w:r>
          </w:p>
        </w:tc>
        <w:tc>
          <w:tcPr>
            <w:tcW w:type="dxa" w:w="2376"/>
            <w:vAlign w:val="center"/>
          </w:tcPr>
          <w:p>
            <w:pPr>
              <w:keepNext w:val="0"/>
              <w:widowControl/>
              <w:spacing w:before="0" w:after="0" w:line="240" w:lineRule="auto"/>
              <w:jc w:val="center"/>
            </w:pPr>
            <w:r>
              <w:rPr>
                <w:b w:val="0"/>
                <w:sz w:val="20"/>
              </w:rPr>
              <w:t>−0.045 (0.042)</w:t>
            </w:r>
          </w:p>
        </w:tc>
        <w:tc>
          <w:tcPr>
            <w:tcW w:type="dxa" w:w="2376"/>
            <w:vAlign w:val="center"/>
          </w:tcPr>
          <w:p>
            <w:pPr>
              <w:keepNext w:val="0"/>
              <w:widowControl/>
              <w:spacing w:before="0" w:after="0" w:line="240" w:lineRule="auto"/>
              <w:jc w:val="center"/>
            </w:pPr>
            <w:r>
              <w:rPr>
                <w:b w:val="0"/>
                <w:sz w:val="20"/>
              </w:rPr>
              <w:t>0.012 (0.044)</w:t>
            </w:r>
          </w:p>
        </w:tc>
        <w:tc>
          <w:tcPr>
            <w:tcW w:type="dxa" w:w="1800"/>
            <w:vAlign w:val="center"/>
          </w:tcPr>
          <w:p>
            <w:pPr>
              <w:keepNext w:val="0"/>
              <w:widowControl/>
              <w:spacing w:before="0" w:after="0" w:line="240" w:lineRule="auto"/>
              <w:jc w:val="center"/>
            </w:pPr>
            <w:r>
              <w:rPr>
                <w:b w:val="0"/>
                <w:sz w:val="20"/>
              </w:rPr>
              <w:t>0.208</w:t>
            </w:r>
          </w:p>
        </w:tc>
        <w:tc>
          <w:tcPr>
            <w:tcW w:type="dxa" w:w="3286"/>
            <w:vAlign w:val="center"/>
          </w:tcPr>
          <w:p>
            <w:pPr>
              <w:keepNext w:val="0"/>
              <w:widowControl/>
              <w:spacing w:before="0" w:after="0" w:line="240" w:lineRule="auto"/>
              <w:jc w:val="center"/>
            </w:pPr>
            <w:r>
              <w:rPr>
                <w:b w:val="0"/>
                <w:sz w:val="20"/>
              </w:rPr>
              <w:t>7.83</w:t>
            </w:r>
          </w:p>
        </w:tc>
      </w:tr>
      <w:tr>
        <w:trPr>
          <w:cantSplit/>
        </w:trPr>
        <w:tc>
          <w:tcPr>
            <w:tcW w:type="dxa" w:w="3600"/>
            <w:vAlign w:val="center"/>
          </w:tcPr>
          <w:p>
            <w:pPr>
              <w:keepNext w:val="0"/>
              <w:widowControl/>
              <w:spacing w:before="0" w:after="0" w:line="240" w:lineRule="auto"/>
              <w:jc w:val="left"/>
            </w:pPr>
            <w:r>
              <w:rPr>
                <w:b w:val="0"/>
                <w:sz w:val="20"/>
              </w:rPr>
              <w:t>Log food expenditure</w:t>
            </w:r>
          </w:p>
        </w:tc>
        <w:tc>
          <w:tcPr>
            <w:tcW w:type="dxa" w:w="2376"/>
            <w:vAlign w:val="center"/>
          </w:tcPr>
          <w:p>
            <w:pPr>
              <w:keepNext w:val="0"/>
              <w:widowControl/>
              <w:spacing w:before="0" w:after="0" w:line="240" w:lineRule="auto"/>
              <w:jc w:val="center"/>
            </w:pPr>
            <w:r>
              <w:rPr>
                <w:b w:val="0"/>
                <w:sz w:val="20"/>
              </w:rPr>
              <w:t>−0.002 (0.037)</w:t>
            </w:r>
          </w:p>
        </w:tc>
        <w:tc>
          <w:tcPr>
            <w:tcW w:type="dxa" w:w="2376"/>
            <w:vAlign w:val="center"/>
          </w:tcPr>
          <w:p>
            <w:pPr>
              <w:keepNext w:val="0"/>
              <w:widowControl/>
              <w:spacing w:before="0" w:after="0" w:line="240" w:lineRule="auto"/>
              <w:jc w:val="center"/>
            </w:pPr>
            <w:r>
              <w:rPr>
                <w:b w:val="0"/>
                <w:sz w:val="20"/>
              </w:rPr>
              <w:t>−0.025 (0.038)</w:t>
            </w:r>
          </w:p>
        </w:tc>
        <w:tc>
          <w:tcPr>
            <w:tcW w:type="dxa" w:w="1800"/>
            <w:vAlign w:val="center"/>
          </w:tcPr>
          <w:p>
            <w:pPr>
              <w:keepNext w:val="0"/>
              <w:widowControl/>
              <w:spacing w:before="0" w:after="0" w:line="240" w:lineRule="auto"/>
              <w:jc w:val="center"/>
            </w:pPr>
            <w:r>
              <w:rPr>
                <w:b w:val="0"/>
                <w:sz w:val="20"/>
              </w:rPr>
              <w:t>0.557</w:t>
            </w:r>
          </w:p>
        </w:tc>
        <w:tc>
          <w:tcPr>
            <w:tcW w:type="dxa" w:w="3286"/>
            <w:vAlign w:val="center"/>
          </w:tcPr>
          <w:p>
            <w:pPr>
              <w:keepNext w:val="0"/>
              <w:widowControl/>
              <w:spacing w:before="0" w:after="0" w:line="240" w:lineRule="auto"/>
              <w:jc w:val="center"/>
            </w:pPr>
            <w:r>
              <w:rPr>
                <w:b w:val="0"/>
                <w:sz w:val="20"/>
              </w:rPr>
              <w:t>6.36</w:t>
            </w:r>
          </w:p>
        </w:tc>
      </w:tr>
      <w:tr>
        <w:trPr>
          <w:cantSplit/>
        </w:trPr>
        <w:tc>
          <w:tcPr>
            <w:tcW w:type="dxa" w:w="3600"/>
            <w:vAlign w:val="center"/>
          </w:tcPr>
          <w:p>
            <w:pPr>
              <w:keepNext w:val="0"/>
              <w:widowControl/>
              <w:spacing w:before="0" w:after="0" w:line="240" w:lineRule="auto"/>
              <w:jc w:val="left"/>
            </w:pPr>
            <w:r>
              <w:rPr>
                <w:b w:val="0"/>
                <w:sz w:val="20"/>
              </w:rPr>
              <w:t>Rent share (purchases)</w:t>
            </w:r>
          </w:p>
        </w:tc>
        <w:tc>
          <w:tcPr>
            <w:tcW w:type="dxa" w:w="2376"/>
            <w:vAlign w:val="center"/>
          </w:tcPr>
          <w:p>
            <w:pPr>
              <w:keepNext w:val="0"/>
              <w:widowControl/>
              <w:spacing w:before="0" w:after="0" w:line="240" w:lineRule="auto"/>
              <w:jc w:val="center"/>
            </w:pPr>
            <w:r>
              <w:rPr>
                <w:b w:val="0"/>
                <w:sz w:val="20"/>
              </w:rPr>
              <w:t>−0.611 (0.634)</w:t>
            </w:r>
          </w:p>
        </w:tc>
        <w:tc>
          <w:tcPr>
            <w:tcW w:type="dxa" w:w="2376"/>
            <w:vAlign w:val="center"/>
          </w:tcPr>
          <w:p>
            <w:pPr>
              <w:keepNext w:val="0"/>
              <w:widowControl/>
              <w:spacing w:before="0" w:after="0" w:line="240" w:lineRule="auto"/>
              <w:jc w:val="center"/>
            </w:pPr>
            <w:r>
              <w:rPr>
                <w:b w:val="0"/>
                <w:sz w:val="20"/>
              </w:rPr>
              <w:t>−3.216*** (0.785)</w:t>
            </w:r>
          </w:p>
        </w:tc>
        <w:tc>
          <w:tcPr>
            <w:tcW w:type="dxa" w:w="1800"/>
            <w:vAlign w:val="center"/>
          </w:tcPr>
          <w:p>
            <w:pPr>
              <w:keepNext w:val="0"/>
              <w:widowControl/>
              <w:spacing w:before="0" w:after="0" w:line="240" w:lineRule="auto"/>
              <w:jc w:val="center"/>
            </w:pPr>
            <w:r>
              <w:rPr>
                <w:b w:val="0"/>
                <w:sz w:val="20"/>
              </w:rPr>
              <w:t>0.468</w:t>
            </w:r>
          </w:p>
        </w:tc>
        <w:tc>
          <w:tcPr>
            <w:tcW w:type="dxa" w:w="3286"/>
            <w:vAlign w:val="center"/>
          </w:tcPr>
          <w:p>
            <w:pPr>
              <w:keepNext w:val="0"/>
              <w:widowControl/>
              <w:spacing w:before="0" w:after="0" w:line="240" w:lineRule="auto"/>
              <w:jc w:val="center"/>
            </w:pPr>
            <w:r>
              <w:rPr>
                <w:b w:val="0"/>
                <w:sz w:val="20"/>
              </w:rPr>
              <w:t>22.31</w:t>
            </w:r>
          </w:p>
        </w:tc>
      </w:tr>
      <w:tr>
        <w:trPr>
          <w:cantSplit/>
        </w:trPr>
        <w:tc>
          <w:tcPr>
            <w:tcW w:type="dxa" w:w="3600"/>
            <w:vAlign w:val="center"/>
          </w:tcPr>
          <w:p>
            <w:pPr>
              <w:keepNext w:val="0"/>
              <w:widowControl/>
              <w:spacing w:before="0" w:after="0" w:line="240" w:lineRule="auto"/>
              <w:jc w:val="left"/>
            </w:pPr>
            <w:r>
              <w:rPr>
                <w:b w:val="0"/>
                <w:sz w:val="20"/>
              </w:rPr>
              <w:t>Food share (purchases)</w:t>
            </w:r>
          </w:p>
        </w:tc>
        <w:tc>
          <w:tcPr>
            <w:tcW w:type="dxa" w:w="2376"/>
            <w:vAlign w:val="center"/>
          </w:tcPr>
          <w:p>
            <w:pPr>
              <w:keepNext w:val="0"/>
              <w:widowControl/>
              <w:spacing w:before="0" w:after="0" w:line="240" w:lineRule="auto"/>
              <w:jc w:val="center"/>
            </w:pPr>
            <w:r>
              <w:rPr>
                <w:b w:val="0"/>
                <w:sz w:val="20"/>
              </w:rPr>
              <w:t>1.183* (0.628)</w:t>
            </w:r>
          </w:p>
        </w:tc>
        <w:tc>
          <w:tcPr>
            <w:tcW w:type="dxa" w:w="2376"/>
            <w:vAlign w:val="center"/>
          </w:tcPr>
          <w:p>
            <w:pPr>
              <w:keepNext w:val="0"/>
              <w:widowControl/>
              <w:spacing w:before="0" w:after="0" w:line="240" w:lineRule="auto"/>
              <w:jc w:val="center"/>
            </w:pPr>
            <w:r>
              <w:rPr>
                <w:b w:val="0"/>
                <w:sz w:val="20"/>
              </w:rPr>
              <w:t>1.101* (0.624)</w:t>
            </w:r>
          </w:p>
        </w:tc>
        <w:tc>
          <w:tcPr>
            <w:tcW w:type="dxa" w:w="1800"/>
            <w:vAlign w:val="center"/>
          </w:tcPr>
          <w:p>
            <w:pPr>
              <w:keepNext w:val="0"/>
              <w:widowControl/>
              <w:spacing w:before="0" w:after="0" w:line="240" w:lineRule="auto"/>
              <w:jc w:val="center"/>
            </w:pPr>
            <w:r>
              <w:rPr>
                <w:b w:val="0"/>
                <w:sz w:val="20"/>
              </w:rPr>
              <w:t>0.132</w:t>
            </w:r>
          </w:p>
        </w:tc>
        <w:tc>
          <w:tcPr>
            <w:tcW w:type="dxa" w:w="3286"/>
            <w:vAlign w:val="center"/>
          </w:tcPr>
          <w:p>
            <w:pPr>
              <w:keepNext w:val="0"/>
              <w:widowControl/>
              <w:spacing w:before="0" w:after="0" w:line="240" w:lineRule="auto"/>
              <w:jc w:val="center"/>
            </w:pPr>
            <w:r>
              <w:rPr>
                <w:b w:val="0"/>
                <w:sz w:val="20"/>
              </w:rPr>
              <w:t>21.91</w:t>
            </w:r>
          </w:p>
        </w:tc>
      </w:tr>
    </w:tbl>
    <w:p>
      <w:pPr>
        <w:pStyle w:val="Paragraph"/>
        <w:widowControl/>
        <w:spacing w:before="140" w:line="240" w:lineRule="auto"/>
      </w:pPr>
      <w:r>
        <w:rPr>
          <w:i/>
          <w:sz w:val="20"/>
        </w:rPr>
        <w:t>Note:</w:t>
      </w:r>
      <w:r>
        <w:rPr>
          <w:sz w:val="20"/>
        </w:rPr>
        <w:t xml:space="preserve"> Coefficients measure changes in sitting–new gaps in 2022 and 2024 relative to 2016–2019. Shares are percentages of total consumption excluding imputed rent; ‘purchases’ rows use cash purchases only. Models include year effects, household size, children, rooms, log dwelling area, heating system and dwelling type, with household weights. Parentheses contain HC1 standard errors. The pre-trend test assesses joint equality to zero of the event-study coefficients for 2016–2018 (reference: 2019). N = 16,559. *** p &lt; 0.01, ** p &lt; 0.05, * p &lt; 0.10. Source: TurkStat HBS 2016–2019, 2022 and 2024; author’s estimates.</w:t>
      </w:r>
    </w:p>
    <w:p>
      <w:pPr>
        <w:sectPr>
          <w:pgSz w:w="16840" w:h="11901" w:code="9" w:orient="landscape"/>
          <w:pgMar w:top="1418" w:right="1701" w:bottom="1418" w:left="1701" w:header="709" w:footer="709" w:gutter="0"/>
          <w:cols w:space="708"/>
          <w:docGrid w:linePitch="360"/>
        </w:sectPr>
      </w:pPr>
    </w:p>
    <w:p>
      <w:pPr>
        <w:pStyle w:val="Figurecaption"/>
        <w:keepNext/>
        <w:widowControl/>
        <w:spacing w:before="0"/>
      </w:pPr>
      <w:r>
        <w:t>Figure 1</w:t>
      </w:r>
    </w:p>
    <w:p>
      <w:pPr>
        <w:widowControl/>
        <w:spacing w:line="240" w:lineRule="auto"/>
      </w:pPr>
      <w:r>
        <w:drawing>
          <wp:inline xmlns:a="http://schemas.openxmlformats.org/drawingml/2006/main" xmlns:pic="http://schemas.openxmlformats.org/drawingml/2006/picture">
            <wp:extent cx="5394960" cy="3034665"/>
            <wp:docPr id="1" name="Picture 1" descr="Event-study changes in the sitting–new conditional log-rent gap, relative to 2019, with 95% confidence intervals."/>
            <wp:cNvGraphicFramePr>
              <a:graphicFrameLocks noChangeAspect="1"/>
            </wp:cNvGraphicFramePr>
            <a:graphic>
              <a:graphicData uri="http://schemas.openxmlformats.org/drawingml/2006/picture">
                <pic:pic>
                  <pic:nvPicPr>
                    <pic:cNvPr id="0" name="sekil2_olay_calismasi_kira_EN.png"/>
                    <pic:cNvPicPr/>
                  </pic:nvPicPr>
                  <pic:blipFill>
                    <a:blip r:embed="rId17"/>
                    <a:stretch>
                      <a:fillRect/>
                    </a:stretch>
                  </pic:blipFill>
                  <pic:spPr>
                    <a:xfrm>
                      <a:off x="0" y="0"/>
                      <a:ext cx="5394960" cy="3034665"/>
                    </a:xfrm>
                    <a:prstGeom prst="rect"/>
                  </pic:spPr>
                </pic:pic>
              </a:graphicData>
            </a:graphic>
          </wp:inline>
        </w:drawing>
      </w:r>
    </w:p>
    <w:p>
      <w:pPr>
        <w:sectPr>
          <w:pgSz w:w="11901" w:h="16840" w:code="9"/>
          <w:pgMar w:top="1418" w:right="1701" w:bottom="1418" w:left="1701" w:header="709" w:footer="709" w:gutter="0"/>
          <w:cols w:space="708"/>
          <w:docGrid w:linePitch="360"/>
        </w:sectPr>
      </w:pPr>
    </w:p>
    <w:p>
      <w:pPr>
        <w:pStyle w:val="Figurecaption"/>
        <w:keepNext/>
        <w:widowControl/>
        <w:spacing w:before="0"/>
      </w:pPr>
      <w:r>
        <w:t>Figure 2</w:t>
      </w:r>
    </w:p>
    <w:p>
      <w:pPr>
        <w:widowControl/>
        <w:spacing w:line="240" w:lineRule="auto"/>
      </w:pPr>
      <w:r>
        <w:drawing>
          <wp:inline xmlns:a="http://schemas.openxmlformats.org/drawingml/2006/main" xmlns:pic="http://schemas.openxmlformats.org/drawingml/2006/picture">
            <wp:extent cx="5394960" cy="2866072"/>
            <wp:docPr id="2" name="Picture 2" descr="Weighted new-tenant shares, 2014–2025, and the linear trend fitted to 2014–2020 annual shares."/>
            <wp:cNvGraphicFramePr>
              <a:graphicFrameLocks noChangeAspect="1"/>
            </wp:cNvGraphicFramePr>
            <a:graphic>
              <a:graphicData uri="http://schemas.openxmlformats.org/drawingml/2006/picture">
                <pic:pic>
                  <pic:nvPicPr>
                    <pic:cNvPr id="0" name="sekil5_yeni_kiraci_payi_EN.png"/>
                    <pic:cNvPicPr/>
                  </pic:nvPicPr>
                  <pic:blipFill>
                    <a:blip r:embed="rId18"/>
                    <a:stretch>
                      <a:fillRect/>
                    </a:stretch>
                  </pic:blipFill>
                  <pic:spPr>
                    <a:xfrm>
                      <a:off x="0" y="0"/>
                      <a:ext cx="5394960" cy="2866072"/>
                    </a:xfrm>
                    <a:prstGeom prst="rect"/>
                  </pic:spPr>
                </pic:pic>
              </a:graphicData>
            </a:graphic>
          </wp:inline>
        </w:drawing>
      </w:r>
    </w:p>
    <w:p>
      <w:pPr>
        <w:spacing w:before="0" w:after="0" w:line="240" w:lineRule="auto"/>
      </w:pPr>
      <w:r>
        <w:br w:type="page"/>
      </w:r>
    </w:p>
    <w:p>
      <w:pPr>
        <w:pStyle w:val="Heading1"/>
        <w:widowControl/>
      </w:pPr>
      <w:r>
        <w:t>Figure captions</w:t>
      </w:r>
    </w:p>
    <w:p>
      <w:pPr>
        <w:pStyle w:val="Figurecaption"/>
        <w:widowControl/>
      </w:pPr>
      <w:r>
        <w:rPr>
          <w:i/>
        </w:rPr>
        <w:t>Figure 1.</w:t>
      </w:r>
      <w:r>
        <w:t xml:space="preserve"> Log monthly rent coefficients (</w:t>
      </w:r>
      <m:oMath>
        <m:sSub>
          <m:e>
            <m:r>
              <m:t>β</m:t>
              <w:rPr>
                <w:rFonts w:ascii="Cambria Math" w:hAnsi="Cambria Math"/>
              </w:rPr>
            </m:r>
          </m:e>
          <m:sub>
            <m:r>
              <m:t>k</m:t>
              <w:rPr>
                <w:rFonts w:ascii="Cambria Math" w:hAnsi="Cambria Math"/>
              </w:rPr>
            </m:r>
          </m:sub>
        </m:sSub>
      </m:oMath>
      <w:r>
        <w:t>) from Equation (1), with 95% confidence intervals. Reference year: 2019. The model includes region × year fixed effects and dwelling and household controls; standard errors are clustered in 26 NUTS-2 regions. Shading: 2023–2024 calendar period. Source: TurkStat SILC 2016–2025; author’s estimates.</w:t>
      </w:r>
    </w:p>
    <w:p>
      <w:pPr>
        <w:pStyle w:val="Figurecaption"/>
        <w:widowControl/>
      </w:pPr>
      <w:r>
        <w:rPr>
          <w:i/>
        </w:rPr>
        <w:t>Figure 2.</w:t>
      </w:r>
      <w:r>
        <w:t xml:space="preserve"> Share of tenant households moving in during the survey year or preceding calendar year (percentage, weighted), and the linear trend estimated from 2014–2020. Source: TurkStat SILC 2014–2025; author’s calculations. The dashed line is a descriptive linear trend fitted to annual shares, not an estimate from Equation (3), which includes regional and household characteristics. Vertical gaps therefore differ from the controlled deviations.</w:t>
      </w:r>
    </w:p>
    <w:sectPr w:rsidR="00FE4713" w:rsidSect="00074B81">
      <w:pgSz w:w="11901" w:h="16840" w:code="9"/>
      <w:pgMar w:top="1418" w:right="1701" w:bottom="1418" w:left="1701" w:header="709" w:footer="709"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12"/>
    </wne:keymap>
    <wne:keymap wne:kcmPrimary="0632">
      <wne:acd wne:acdName="acd13"/>
    </wne:keymap>
    <wne:keymap wne:kcmPrimary="0633">
      <wne:acd wne:acdName="acd14"/>
    </wne:keymap>
    <wne:keymap wne:kcmPrimary="0634">
      <wne:acd wne:acdName="acd8"/>
    </wne:keymap>
    <wne:keymap wne:kcmPrimary="0641">
      <wne:acd wne:acdName="acd2"/>
    </wne:keymap>
    <wne:keymap wne:kcmPrimary="0642">
      <wne:acd wne:acdName="acd7"/>
    </wne:keymap>
    <wne:keymap wne:kcmPrimary="0643">
      <wne:acd wne:acdName="acd6"/>
    </wne:keymap>
    <wne:keymap wne:kcmPrimary="0645">
      <wne:acd wne:acdName="acd20"/>
    </wne:keymap>
    <wne:keymap wne:kcmPrimary="0646">
      <wne:acd wne:acdName="acd24"/>
    </wne:keymap>
    <wne:keymap wne:kcmPrimary="0649">
      <wne:acd wne:acdName="acd22"/>
    </wne:keymap>
    <wne:keymap wne:kcmPrimary="064A">
      <wne:acd wne:acdName="acd18"/>
    </wne:keymap>
    <wne:keymap wne:kcmPrimary="064B">
      <wne:acd wne:acdName="acd16"/>
    </wne:keymap>
    <wne:keymap wne:kcmPrimary="064C">
      <wne:acd wne:acdName="acd26"/>
    </wne:keymap>
    <wne:keymap wne:kcmPrimary="064E">
      <wne:acd wne:acdName="acd4"/>
    </wne:keymap>
    <wne:keymap wne:kcmPrimary="064F">
      <wne:acd wne:acdName="acd11"/>
    </wne:keymap>
    <wne:keymap wne:kcmPrimary="0650">
      <wne:acd wne:acdName="acd28"/>
    </wne:keymap>
    <wne:keymap wne:kcmPrimary="0651">
      <wne:acd wne:acdName="acd9"/>
    </wne:keymap>
    <wne:keymap wne:kcmPrimary="0652">
      <wne:acd wne:acdName="acd21"/>
    </wne:keymap>
    <wne:keymap wne:kcmPrimary="0653">
      <wne:acd wne:acdName="acd0"/>
    </wne:keymap>
    <wne:keymap wne:kcmPrimary="0654">
      <wne:acd wne:acdName="acd3"/>
    </wne:keymap>
    <wne:keymap wne:kcmPrimary="0655">
      <wne:acd wne:acdName="acd19"/>
    </wne:keymap>
    <wne:keymap wne:kcmPrimary="0657">
      <wne:acd wne:acdName="acd1"/>
    </wne:keymap>
    <wne:keymap wne:kcmPrimary="0658">
      <wne:acd wne:acdName="acd23"/>
    </wne:keymap>
    <wne:keymap wne:kcmPrimary="065A">
      <wne:acd wne:acdName="acd2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Manifest>
    <wne:toolbarData r:id="rId1"/>
  </wne:toolbars>
  <wne:acds>
    <wne:acd wne:argValue="AgBBAGIAcwB0AHIAYQBjAHQA" wne:acdName="acd0" wne:fciIndexBasedOn="0065"/>
    <wne:acd wne:argValue="AgBBAGMAawBuAG8AdwBsAGUAZABnAGUAbQBlAG4AdABzAA==" wne:acdName="acd1" wne:fciIndexBasedOn="0065"/>
    <wne:acd wne:argValue="AgBBAGYAZgBpAGwAaQBhAHQAaQBvAG4A" wne:acdName="acd2" wne:fciIndexBasedOn="0065"/>
    <wne:acd wne:argValue="AgBBAHIAdABpAGMAbABlACAAdABpAHQAbABlAA==" wne:acdName="acd3" wne:fciIndexBasedOn="0065"/>
    <wne:acd wne:argValue="AgBBAHUAdABoAG8AcgAgAG4AYQBtAGUAcwA=" wne:acdName="acd4" wne:fciIndexBasedOn="0065"/>
    <wne:acd wne:argValue="AgBIAGUAYQBkAGkAbgBnACAANAAgACsAIABQAGEAcgBhAGcAcgBhAHAAaAA=" wne:acdName="acd5" wne:fciIndexBasedOn="0065"/>
    <wne:acd wne:argValue="AgBDAG8AcgByAGUAcwBwAG8AbgBkAGUAbgBjAGUAIABkAGUAdABhAGkAbABzAA==" wne:acdName="acd6" wne:fciIndexBasedOn="0065"/>
    <wne:acd wne:argValue="AgBCAHUAbABsAGUAdABlAGQAIABsAGkAcwB0AA==" wne:acdName="acd7" wne:fciIndexBasedOn="0065"/>
    <wne:acd wne:argValue="AgBIAGUAYQBkAGkAbgBnACAANAAgACsAIABQAGEAcgBhAGcAcgBhAHAAaAA=" wne:acdName="acd8" wne:fciIndexBasedOn="0065"/>
    <wne:acd wne:argValue="AgBEAGkAcwBwAGwAYQB5AGUAZAAgAHEAdQBvAHQAYQB0AGkAbwBuAA==" wne:acdName="acd9" wne:fciIndexBasedOn="0065"/>
    <wne:acd wne:acdName="acd10" wne:fciIndexBasedOn="0065"/>
    <wne:acd wne:argValue="AgBGAG8AbwB0AG4AbwB0AGUAcwA=" wne:acdName="acd11" wne:fciIndexBasedOn="0065"/>
    <wne:acd wne:argValue="AQAAAAEA" wne:acdName="acd12" wne:fciIndexBasedOn="0065"/>
    <wne:acd wne:argValue="AQAAAAIA" wne:acdName="acd13" wne:fciIndexBasedOn="0065"/>
    <wne:acd wne:argValue="AQAAAAMA" wne:acdName="acd14" wne:fciIndexBasedOn="0065"/>
    <wne:acd wne:acdName="acd15" wne:fciIndexBasedOn="0065"/>
    <wne:acd wne:argValue="AgBLAGUAeQB3AG8AcgBkAHMA" wne:acdName="acd16" wne:fciIndexBasedOn="0065"/>
    <wne:acd wne:argValue="AgBOAHUAbQBiAGUAcgBlAGQAIABsAGkAcwB0AA==" wne:acdName="acd17" wne:fciIndexBasedOn="0065"/>
    <wne:acd wne:argValue="AgBTAHUAYgBqAGUAYwB0ACAAYwBvAGQAZQBzAA==" wne:acdName="acd18" wne:fciIndexBasedOn="0065"/>
    <wne:acd wne:argValue="AgBOAG8AdABlAHMAIABvAG4AIABjAG8AbgB0AHIAaQBiAHUAdABvAHIAcwA=" wne:acdName="acd19" wne:fciIndexBasedOn="0065"/>
    <wne:acd wne:argValue="AgBEAGkAcwBwAGwAYQB5AGUAZAAgAGUAcQB1AGEAdABpAG8AbgA=" wne:acdName="acd20" wne:fciIndexBasedOn="0065"/>
    <wne:acd wne:argValue="AgBSAGUAYwBlAGkAdgBlAGQAIABkAGEAdABlAHMA" wne:acdName="acd21" wne:fciIndexBasedOn="0065"/>
    <wne:acd wne:argValue="AgBUAGEAYgBsAGUAIAB0AGkAdABsAGUA" wne:acdName="acd22" wne:fciIndexBasedOn="0065"/>
    <wne:acd wne:argValue="AgBSAGUAZgBlAHIAZQBuAGMAZQBzAA==" wne:acdName="acd23" wne:fciIndexBasedOn="0065"/>
    <wne:acd wne:argValue="AgBGAGkAZwB1AHIAZQAgAGMAYQBwAHQAaQBvAG4A" wne:acdName="acd24" wne:fciIndexBasedOn="0065"/>
    <wne:acd wne:acdName="acd25" wne:fciIndexBasedOn="0065"/>
    <wne:acd wne:argValue="AgBOAHUAbQBiAGUAcgBlAGQAIABsAGkAcwB0AA==" wne:acdName="acd26" wne:fciIndexBasedOn="0065"/>
    <wne:acd wne:acdName="acd27" wne:fciIndexBasedOn="0065"/>
    <wne:acd wne:argValue="AgBQAGEAcgBhAGcAcgBhAHAAaAA=" wne:acdName="acd28" wne:fciIndexBasedOn="0065"/>
    <wne:acd wne:argValue="AgBOAGUAdwAgAHAAYQByAGEAZwByAGEAcABoAA==" wne:acdName="acd2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3020" w:rsidRDefault="005A3020" w:rsidP="00AF2C92">
      <w:r>
        <w:separator/>
      </w:r>
    </w:p>
  </w:endnote>
  <w:endnote w:type="continuationSeparator" w:id="0">
    <w:p w:rsidR="005A3020" w:rsidRDefault="005A3020"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jc w:val="center"/>
    </w:pPr>
    <w:fldSimple w:instr="PAG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3020" w:rsidRDefault="005A3020" w:rsidP="00AF2C92">
      <w:r>
        <w:separator/>
      </w:r>
    </w:p>
  </w:footnote>
  <w:footnote w:type="continuationSeparator" w:id="0">
    <w:p w:rsidR="005A3020" w:rsidRDefault="005A3020" w:rsidP="00AF2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22968D"/>
  <w14:defaultImageDpi w14:val="330"/>
  <w:removePersonalInform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2">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type="paragraph" w:default="1" w:styleId="Normal">
    <w:name w:val="Normal"/>
    <w:qFormat/>
    <w:rsid w:val="00EB096F"/>
    <w:pPr>
      <w:spacing w:line="480" w:lineRule="auto"/>
    </w:pPr>
    <w:rPr>
      <w:sz w:val="24"/>
      <w:szCs w:val="24"/>
    </w:rPr>
  </w:style>
  <w:style w:type="paragraph" w:styleId="Heading1">
    <w:name w:val="heading 1"/>
    <w:basedOn w:val="Normal"/>
    <w:next w:val="Paragraph"/>
    <w:link w:val="Heading1Char"/>
    <w:qFormat/>
    <w:rsid w:val="00AE1ED4"/>
    <w:pPr>
      <w:keepNext/>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qFormat/>
    <w:rsid w:val="008D07FB"/>
    <w:pPr>
      <w:keepNext/>
      <w:spacing w:before="360" w:after="60" w:line="360" w:lineRule="auto"/>
      <w:ind w:right="567"/>
      <w:contextualSpacing/>
      <w:outlineLvl w:val="1"/>
    </w:pPr>
    <w:rPr>
      <w:rFonts w:cs="Arial"/>
      <w:b/>
      <w:bCs/>
      <w:i/>
      <w:iCs/>
      <w:szCs w:val="28"/>
    </w:rPr>
  </w:style>
  <w:style w:type="paragraph" w:styleId="Heading3">
    <w:name w:val="heading 3"/>
    <w:basedOn w:val="Normal"/>
    <w:next w:val="Paragraph"/>
    <w:link w:val="Heading3Char"/>
    <w:qFormat/>
    <w:rsid w:val="00DF7EE2"/>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rsid w:val="00F43B9D"/>
    <w:pPr>
      <w:spacing w:before="360"/>
      <w:outlineLvl w:val="3"/>
    </w:pPr>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next w:val="Normal"/>
    <w:qFormat/>
    <w:rsid w:val="0024692A"/>
    <w:pPr>
      <w:spacing w:after="120" w:line="360" w:lineRule="auto"/>
    </w:pPr>
    <w:rPr>
      <w:b/>
      <w:sz w:val="28"/>
    </w:rPr>
  </w:style>
  <w:style w:type="paragraph" w:customStyle="1" w:styleId="Authornames">
    <w:name w:val="Author names"/>
    <w:basedOn w:val="Normal"/>
    <w:next w:val="Normal"/>
    <w:qFormat/>
    <w:rsid w:val="00F04900"/>
    <w:pPr>
      <w:spacing w:before="240" w:line="360" w:lineRule="auto"/>
    </w:pPr>
    <w:rPr>
      <w:sz w:val="28"/>
    </w:rPr>
  </w:style>
  <w:style w:type="paragraph" w:customStyle="1" w:styleId="Affiliation">
    <w:name w:val="Affiliation"/>
    <w:basedOn w:val="Normal"/>
    <w:qFormat/>
    <w:rsid w:val="00F04900"/>
    <w:pPr>
      <w:spacing w:before="240" w:line="360" w:lineRule="auto"/>
    </w:pPr>
    <w:rPr>
      <w:i/>
    </w:rPr>
  </w:style>
  <w:style w:type="paragraph" w:customStyle="1" w:styleId="Receiveddates">
    <w:name w:val="Received dates"/>
    <w:basedOn w:val="Affiliation"/>
    <w:next w:val="Normal"/>
    <w:qFormat/>
    <w:rsid w:val="00CC474B"/>
  </w:style>
  <w:style w:type="paragraph" w:customStyle="1" w:styleId="Abstract">
    <w:name w:val="Abstract"/>
    <w:basedOn w:val="Normal"/>
    <w:next w:val="Keywords"/>
    <w:qFormat/>
    <w:rsid w:val="00310E13"/>
    <w:pPr>
      <w:spacing w:before="360" w:after="300" w:line="360" w:lineRule="auto"/>
      <w:ind w:left="720" w:right="567"/>
    </w:pPr>
    <w:rPr>
      <w:sz w:val="22"/>
    </w:rPr>
  </w:style>
  <w:style w:type="paragraph" w:customStyle="1" w:styleId="Keywords">
    <w:name w:val="Keywords"/>
    <w:basedOn w:val="Normal"/>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
    <w:qFormat/>
    <w:rsid w:val="00F04900"/>
    <w:pPr>
      <w:spacing w:before="240" w:line="360" w:lineRule="auto"/>
    </w:pPr>
  </w:style>
  <w:style w:type="paragraph" w:customStyle="1" w:styleId="Displayedquotation">
    <w:name w:val="Displayed quotation"/>
    <w:basedOn w:val="Normal"/>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spacing w:after="240"/>
      <w:contextualSpacing/>
    </w:pPr>
  </w:style>
  <w:style w:type="paragraph" w:customStyle="1" w:styleId="Displayedequation">
    <w:name w:val="Displayed equation"/>
    <w:basedOn w:val="Normal"/>
    <w:next w:val="Paragraph"/>
    <w:qFormat/>
    <w:rsid w:val="00EF0F45"/>
    <w:pPr>
      <w:tabs>
        <w:tab w:val="center" w:pos="4253"/>
        <w:tab w:val="right" w:pos="8222"/>
      </w:tabs>
      <w:spacing w:before="240" w:after="240"/>
      <w:jc w:val="center"/>
    </w:pPr>
  </w:style>
  <w:style w:type="paragraph" w:customStyle="1" w:styleId="Acknowledgements">
    <w:name w:val="Acknowledgements"/>
    <w:basedOn w:val="Normal"/>
    <w:next w:val="Normal"/>
    <w:qFormat/>
    <w:rsid w:val="00D379A3"/>
    <w:pPr>
      <w:spacing w:before="120" w:line="360" w:lineRule="auto"/>
    </w:pPr>
    <w:rPr>
      <w:sz w:val="22"/>
    </w:rPr>
  </w:style>
  <w:style w:type="paragraph" w:customStyle="1" w:styleId="Tabletitle">
    <w:name w:val="Table title"/>
    <w:basedOn w:val="Normal"/>
    <w:next w:val="Normal"/>
    <w:qFormat/>
    <w:rsid w:val="0031686C"/>
    <w:pPr>
      <w:spacing w:before="240" w:line="360" w:lineRule="auto"/>
    </w:pPr>
  </w:style>
  <w:style w:type="paragraph" w:customStyle="1" w:styleId="Figurecaption">
    <w:name w:val="Figure caption"/>
    <w:basedOn w:val="Normal"/>
    <w:next w:val="Normal"/>
    <w:qFormat/>
    <w:rsid w:val="0031686C"/>
    <w:pPr>
      <w:spacing w:before="240" w:line="360" w:lineRule="auto"/>
    </w:pPr>
  </w:style>
  <w:style w:type="paragraph" w:customStyle="1" w:styleId="Footnotes">
    <w:name w:val="Footnotes"/>
    <w:basedOn w:val="Normal"/>
    <w:qFormat/>
    <w:rsid w:val="006C6936"/>
    <w:pPr>
      <w:spacing w:before="120" w:line="360" w:lineRule="auto"/>
      <w:ind w:left="482" w:hanging="482"/>
      <w:contextualSpacing/>
    </w:pPr>
    <w:rPr>
      <w:sz w:val="22"/>
    </w:rPr>
  </w:style>
  <w:style w:type="paragraph" w:customStyle="1" w:styleId="Notesoncontributors">
    <w:name w:val="Notes on contributors"/>
    <w:basedOn w:val="Normal"/>
    <w:qFormat/>
    <w:rsid w:val="00F04900"/>
    <w:pPr>
      <w:spacing w:before="240" w:line="360" w:lineRule="auto"/>
    </w:pPr>
    <w:rPr>
      <w:sz w:val="22"/>
    </w:rPr>
  </w:style>
  <w:style w:type="paragraph" w:customStyle="1" w:styleId="Normalparagraphstyle">
    <w:name w:val="Normal paragraph style"/>
    <w:basedOn w:val="Normal"/>
    <w:next w:val="Normal"/>
    <w:rsid w:val="00562DEF"/>
  </w:style>
  <w:style w:type="paragraph" w:customStyle="1" w:styleId="Paragraph">
    <w:name w:val="Paragraph"/>
    <w:basedOn w:val="Normal"/>
    <w:next w:val="Newparagraph"/>
    <w:qFormat/>
    <w:rsid w:val="001B7681"/>
    <w:pPr>
      <w:widowControl w:val="0"/>
      <w:spacing w:before="240"/>
    </w:pPr>
  </w:style>
  <w:style w:type="paragraph" w:customStyle="1" w:styleId="Newparagraph">
    <w:name w:val="New paragraph"/>
    <w:basedOn w:val="Normal"/>
    <w:qFormat/>
    <w:rsid w:val="00AE2F8D"/>
    <w:pPr>
      <w:ind w:firstLine="720"/>
    </w:pPr>
  </w:style>
  <w:style w:type="paragraph" w:styleId="NormalIndent">
    <w:name w:val="Normal Indent"/>
    <w:basedOn w:val="Normal"/>
    <w:rsid w:val="00526454"/>
    <w:pPr>
      <w:ind w:left="720"/>
    </w:pPr>
  </w:style>
  <w:style w:type="paragraph" w:customStyle="1" w:styleId="References">
    <w:name w:val="References"/>
    <w:basedOn w:val="Normal"/>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Heading2Char">
    <w:name w:val="Heading 2 Char"/>
    <w:basedOn w:val="DefaultParagraphFont"/>
    <w:link w:val="Heading2"/>
    <w:rsid w:val="008D07FB"/>
    <w:rPr>
      <w:rFonts w:cs="Arial"/>
      <w:b/>
      <w:bCs/>
      <w:i/>
      <w:iCs/>
      <w:sz w:val="24"/>
      <w:szCs w:val="28"/>
    </w:rPr>
  </w:style>
  <w:style w:type="character" w:customStyle="1" w:styleId="Heading1Char">
    <w:name w:val="Heading 1 Char"/>
    <w:basedOn w:val="DefaultParagraphFont"/>
    <w:link w:val="Heading1"/>
    <w:rsid w:val="00AE1ED4"/>
    <w:rPr>
      <w:rFonts w:cs="Arial"/>
      <w:b/>
      <w:bCs/>
      <w:kern w:val="32"/>
      <w:sz w:val="24"/>
      <w:szCs w:val="32"/>
    </w:rPr>
  </w:style>
  <w:style w:type="character" w:customStyle="1" w:styleId="Heading3Char">
    <w:name w:val="Heading 3 Char"/>
    <w:basedOn w:val="DefaultParagraphFont"/>
    <w:link w:val="Heading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FootnoteText">
    <w:name w:val="footnote text"/>
    <w:basedOn w:val="Normal"/>
    <w:link w:val="FootnoteTextChar"/>
    <w:autoRedefine/>
    <w:rsid w:val="006C19B2"/>
    <w:pPr>
      <w:ind w:left="284" w:hanging="284"/>
    </w:pPr>
    <w:rPr>
      <w:sz w:val="22"/>
      <w:szCs w:val="20"/>
    </w:rPr>
  </w:style>
  <w:style w:type="character" w:customStyle="1" w:styleId="FootnoteTextChar">
    <w:name w:val="Footnote Text Char"/>
    <w:basedOn w:val="DefaultParagraphFont"/>
    <w:link w:val="FootnoteText"/>
    <w:rsid w:val="006C19B2"/>
    <w:rPr>
      <w:sz w:val="22"/>
    </w:rPr>
  </w:style>
  <w:style w:type="character" w:styleId="FootnoteReference">
    <w:name w:val="footnote reference"/>
    <w:basedOn w:val="DefaultParagraphFont"/>
    <w:rsid w:val="00AF2C92"/>
    <w:rPr>
      <w:vertAlign w:val="superscript"/>
    </w:rPr>
  </w:style>
  <w:style w:type="paragraph" w:styleId="EndnoteText">
    <w:name w:val="endnote text"/>
    <w:basedOn w:val="Normal"/>
    <w:link w:val="EndnoteTextChar"/>
    <w:autoRedefine/>
    <w:rsid w:val="006C19B2"/>
    <w:pPr>
      <w:ind w:left="284" w:hanging="284"/>
    </w:pPr>
    <w:rPr>
      <w:sz w:val="22"/>
      <w:szCs w:val="20"/>
    </w:rPr>
  </w:style>
  <w:style w:type="character" w:customStyle="1" w:styleId="EndnoteTextChar">
    <w:name w:val="Endnote Text Char"/>
    <w:basedOn w:val="DefaultParagraphFont"/>
    <w:link w:val="EndnoteText"/>
    <w:rsid w:val="006C19B2"/>
    <w:rPr>
      <w:sz w:val="22"/>
    </w:rPr>
  </w:style>
  <w:style w:type="character" w:styleId="EndnoteReference">
    <w:name w:val="endnote reference"/>
    <w:basedOn w:val="DefaultParagraphFont"/>
    <w:rsid w:val="00EC571B"/>
    <w:rPr>
      <w:vertAlign w:val="superscript"/>
    </w:rPr>
  </w:style>
  <w:style w:type="character" w:customStyle="1" w:styleId="Heading4Char">
    <w:name w:val="Heading 4 Char"/>
    <w:basedOn w:val="DefaultParagraphFont"/>
    <w:link w:val="Heading4"/>
    <w:rsid w:val="00F43B9D"/>
    <w:rPr>
      <w:bCs/>
      <w:sz w:val="24"/>
      <w:szCs w:val="28"/>
    </w:rPr>
  </w:style>
  <w:style w:type="paragraph" w:styleId="Header">
    <w:name w:val="header"/>
    <w:basedOn w:val="Normal"/>
    <w:link w:val="HeaderChar"/>
    <w:rsid w:val="003F193A"/>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3F193A"/>
    <w:rPr>
      <w:rFonts w:eastAsia="Times New Roman"/>
      <w:sz w:val="24"/>
      <w:szCs w:val="24"/>
      <w:lang w:eastAsia="en-GB"/>
    </w:rPr>
  </w:style>
  <w:style w:type="paragraph" w:styleId="Footer">
    <w:name w:val="footer"/>
    <w:basedOn w:val="Normal"/>
    <w:link w:val="FooterChar"/>
    <w:rsid w:val="00AE6A21"/>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1.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2914E-4C3A-4163-A6C9-332A453E9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TF_Template_Word_Windows_2016.dotx</Template>
  <TotalTime>61</TotalTime>
  <Pages>3</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Tenancy Rent Caps under High Inflation: Divergence between Sitting and New Tenants in Türkiye</dc:title>
  <dc:creator/>
  <cp:lastModifiedBy/>
  <cp:revision>1</cp:revision>
  <cp:lastPrinted>2011-07-22T14:54:00Z</cp:lastPrinted>
  <dcterms:created xsi:type="dcterms:W3CDTF">2017-01-06T14:30:00Z</dcterms:created>
  <dcterms:modified xsi:type="dcterms:W3CDTF">2017-01-09T14:28:00Z</dcterms:modified>
  <dc:subject/>
  <dc:description/>
  <cp:keywords/>
</cp:coreProperties>
</file>