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xial-logo.png"/>
                    <pic:cNvPicPr/>
                  </pic:nvPicPr>
                  <pic:blipFill>
                    <a:blip r:embed="rId9"/>
                    <a:stretch>
                      <a:fillRect/>
                    </a:stretch>
                  </pic:blipFill>
                  <pic:spPr>
                    <a:xfrm>
                      <a:off x="0" y="0"/>
                      <a:ext cx="1005840" cy="1005840"/>
                    </a:xfrm>
                    <a:prstGeom prst="rect"/>
                  </pic:spPr>
                </pic:pic>
              </a:graphicData>
            </a:graphic>
          </wp:inline>
        </w:drawing>
      </w:r>
    </w:p>
    <w:p>
      <w:pPr>
        <w:pStyle w:val="Heading1"/>
      </w:pPr>
      <w:r>
        <w:t>Axial — a dossier for readers, researchers and institutions</w:t>
      </w:r>
    </w:p>
    <w:p>
      <w:r>
        <w:rPr>
          <w:b/>
        </w:rPr>
        <w:t>What it is, how it differs from the tools you already have, how it was tested, and what the tests showed</w:t>
      </w:r>
    </w:p>
    <w:p>
      <w:r>
        <w:t>Version 2.0 · 6 August 2026 · Muhanad Abulhusn</w:t>
      </w:r>
    </w:p>
    <w:p>
      <w:r>
        <w:rPr>
          <w:i/>
        </w:rPr>
        <w:t>Supersedes version 1.0 (1 August 2026). Version 1.0 described a system whose retrieval layer and final deliverable have both since been replaced. This version describes what exists.</w:t>
      </w:r>
    </w:p>
    <w:p>
      <w:pPr>
        <w:pStyle w:val="Heading2"/>
      </w:pPr>
      <w:r>
        <w:t>Contents</w:t>
      </w:r>
    </w:p>
    <w:p>
      <w:pPr>
        <w:pStyle w:val="ListBullet"/>
        <w:spacing w:after="60"/>
      </w:pPr>
      <w:r>
        <w:rPr>
          <w:color w:val="C8553D"/>
        </w:rPr>
        <w:t>1. What Axial is</w:t>
      </w:r>
    </w:p>
    <w:p>
      <w:pPr>
        <w:pStyle w:val="ListBullet"/>
        <w:spacing w:after="60"/>
      </w:pPr>
      <w:r>
        <w:rPr>
          <w:color w:val="C8553D"/>
        </w:rPr>
        <w:t>2. Why the tools you already have do not do this</w:t>
      </w:r>
    </w:p>
    <w:p>
      <w:pPr>
        <w:pStyle w:val="ListBullet"/>
        <w:spacing w:after="60"/>
      </w:pPr>
      <w:r>
        <w:rPr>
          <w:color w:val="C8553D"/>
        </w:rPr>
        <w:t>3. How it works</w:t>
      </w:r>
    </w:p>
    <w:p>
      <w:pPr>
        <w:pStyle w:val="ListBullet"/>
        <w:spacing w:after="60"/>
      </w:pPr>
      <w:r>
        <w:rPr>
          <w:color w:val="C8553D"/>
        </w:rPr>
        <w:t>4. Every question Axial asks</w:t>
      </w:r>
    </w:p>
    <w:p>
      <w:pPr>
        <w:pStyle w:val="ListBullet"/>
        <w:spacing w:after="60"/>
      </w:pPr>
      <w:r>
        <w:rPr>
          <w:color w:val="C8553D"/>
        </w:rPr>
        <w:t>5. Why questions, and not tags</w:t>
      </w:r>
    </w:p>
    <w:p>
      <w:pPr>
        <w:pStyle w:val="ListBullet"/>
        <w:spacing w:after="60"/>
      </w:pPr>
      <w:r>
        <w:rPr>
          <w:color w:val="C8553D"/>
        </w:rPr>
        <w:t>6. Why any of it can be checked</w:t>
      </w:r>
    </w:p>
    <w:p>
      <w:pPr>
        <w:pStyle w:val="ListBullet"/>
        <w:spacing w:after="60"/>
      </w:pPr>
      <w:r>
        <w:rPr>
          <w:color w:val="C8553D"/>
        </w:rPr>
        <w:t>7. What is actually in the library</w:t>
      </w:r>
    </w:p>
    <w:p>
      <w:pPr>
        <w:pStyle w:val="ListBullet"/>
        <w:spacing w:after="60"/>
      </w:pPr>
      <w:r>
        <w:rPr>
          <w:color w:val="C8553D"/>
        </w:rPr>
        <w:t>8. How it was tested, and what the tests showed</w:t>
      </w:r>
    </w:p>
    <w:p>
      <w:pPr>
        <w:pStyle w:val="ListBullet"/>
        <w:spacing w:after="60"/>
      </w:pPr>
      <w:r>
        <w:rPr>
          <w:color w:val="C8553D"/>
        </w:rPr>
        <w:t>9. Known limits and open problems</w:t>
      </w:r>
    </w:p>
    <w:p>
      <w:pPr>
        <w:pStyle w:val="ListBullet"/>
        <w:spacing w:after="60"/>
      </w:pPr>
      <w:r>
        <w:rPr>
          <w:color w:val="C8553D"/>
        </w:rPr>
        <w:t>10. Where this stands, and what we are asking for</w:t>
      </w:r>
    </w:p>
    <w:p>
      <w:pPr>
        <w:pStyle w:val="ListBullet"/>
        <w:spacing w:after="60"/>
      </w:pPr>
      <w:r>
        <w:rPr>
          <w:color w:val="C8553D"/>
        </w:rPr>
        <w:t>Appendix A — How the test questions were designed</w:t>
      </w:r>
    </w:p>
    <w:p>
      <w:pPr>
        <w:pStyle w:val="ListBullet"/>
        <w:spacing w:after="60"/>
      </w:pPr>
      <w:r>
        <w:rPr>
          <w:color w:val="C8553D"/>
        </w:rPr>
        <w:t>Appendix B — How answers and papers are judged</w:t>
      </w:r>
    </w:p>
    <w:p>
      <w:pPr>
        <w:pStyle w:val="ListBullet"/>
        <w:spacing w:after="60"/>
      </w:pPr>
      <w:r>
        <w:rPr>
          <w:color w:val="C8553D"/>
        </w:rPr>
        <w:t>Appendix C — The library</w:t>
      </w:r>
    </w:p>
    <w:p>
      <w:pPr>
        <w:pStyle w:val="ListBullet"/>
        <w:spacing w:after="60"/>
      </w:pPr>
      <w:r>
        <w:rPr>
          <w:color w:val="C8553D"/>
        </w:rPr>
        <w:t>Appendix D — The first paper, and the questions behind it</w:t>
      </w:r>
    </w:p>
    <w:p>
      <w:pPr>
        <w:pStyle w:val="ListBullet"/>
        <w:spacing w:after="60"/>
      </w:pPr>
      <w:r>
        <w:rPr>
          <w:color w:val="C8553D"/>
        </w:rPr>
        <w:t>Appendix E — The second paper, and the questions behind it</w:t>
      </w:r>
    </w:p>
    <w:p>
      <w:pPr>
        <w:pStyle w:val="ListBullet"/>
        <w:spacing w:after="60"/>
      </w:pPr>
      <w:r>
        <w:rPr>
          <w:color w:val="C8553D"/>
        </w:rPr>
        <w:t>Appendix F — Glossary</w:t>
      </w:r>
    </w:p>
    <w:p>
      <w:pPr>
        <w:pStyle w:val="Heading2"/>
      </w:pPr>
      <w:r>
        <w:t>1. What Axial is</w:t>
      </w:r>
    </w:p>
    <w:p>
      <w:r>
        <w:t>Axial reads a shelf of academic books once, in full, and writes down what every passage says. Then it answers research questions out of that reading, and ends by drafting the paper the answer is the material for.</w:t>
      </w:r>
    </w:p>
    <w:p>
      <w:r>
        <w:t xml:space="preserve">The unit is not the book and not the chapter. It is the </w:t>
      </w:r>
      <w:r>
        <w:rPr>
          <w:b/>
        </w:rPr>
        <w:t>passage</w:t>
      </w:r>
      <w:r>
        <w:t>: a few paragraphs, about the size of one complete move in an argument. Axial reads every passage in the library, one at a time, in isolation, and records what that passage claims, whose position it is, who it argues against, whom it cites, and every named thing in it. That reading happens before any question is asked, and it is the only time a book is read.</w:t>
      </w:r>
    </w:p>
    <w:p>
      <w:r>
        <w:t>What the reading produces is three things, in layers.</w:t>
      </w:r>
    </w:p>
    <w:p>
      <w:r>
        <w:rPr>
          <w:b/>
        </w:rPr>
        <w:t>An encyclopaedia of names.</w:t>
      </w:r>
      <w:r>
        <w:t xml:space="preserve"> Every scholar, country, institution, event and concept any passage mentions gets a page. The page lists the passages that mention it and, where the page is big enough to hold an argument, states what the authors gathered there disagree about. Two books that never cite each other meet on the page for the name they both use.</w:t>
      </w:r>
    </w:p>
    <w:p>
      <w:pPr>
        <w:spacing w:before="80"/>
        <w:ind w:left="432"/>
      </w:pPr>
      <w:r>
        <w:rPr>
          <w:b/>
          <w:i/>
        </w:rPr>
        <w:t>Name, and name page.</w:t>
      </w:r>
      <w:r>
        <w:rPr>
          <w:i/>
        </w:rPr>
        <w:t xml:space="preserve"> A </w:t>
      </w:r>
      <w:r>
        <w:rPr>
          <w:i/>
        </w:rPr>
        <w:t>name</w:t>
      </w:r>
      <w:r>
        <w:rPr>
          <w:i/>
        </w:rPr>
        <w:t xml:space="preserve"> in Axial is any specific thing a passage names: a person (Charles Tilly), a place (Aleppo), an institution (the French Mandate), an event (the 1925 revolt), a concept (infrastructural power), or a book. It is whatever the passage itself named, in the passage's own words, not a category chosen from a list. A </w:t>
      </w:r>
      <w:r>
        <w:rPr>
          <w:i/>
        </w:rPr>
        <w:t>name page</w:t>
      </w:r>
      <w:r>
        <w:rPr>
          <w:i/>
        </w:rPr>
        <w:t xml:space="preserve"> is the page Axial builds for one such name, and it works like an encyclopaedia entry that writes itself: it holds every passage in the library that mentioned that name, from whichever book, and it is the place where two authors who never read each other end up side by side. The library currently has 47,584 of them.</w:t>
      </w:r>
    </w:p>
    <w:p>
      <w:r>
        <w:rPr>
          <w:b/>
        </w:rPr>
        <w:t>A map of arguments.</w:t>
      </w:r>
      <w:r>
        <w:t xml:space="preserve"> Passages that make the same argument are grouped into a </w:t>
      </w:r>
      <w:r>
        <w:rPr>
          <w:b/>
        </w:rPr>
        <w:t>position</w:t>
      </w:r>
      <w:r>
        <w:t>, once, offline.</w:t>
      </w:r>
    </w:p>
    <w:p>
      <w:pPr>
        <w:spacing w:before="80"/>
        <w:ind w:left="432"/>
      </w:pPr>
      <w:r>
        <w:rPr>
          <w:b/>
          <w:i/>
        </w:rPr>
        <w:t>Position.</w:t>
      </w:r>
      <w:r>
        <w:rPr>
          <w:i/>
        </w:rPr>
        <w:t xml:space="preserve"> A </w:t>
      </w:r>
      <w:r>
        <w:rPr>
          <w:i/>
        </w:rPr>
        <w:t>position</w:t>
      </w:r>
      <w:r>
        <w:rPr>
          <w:i/>
        </w:rPr>
        <w:t xml:space="preserve"> is one argument, held by however many passages make it. If eleven passages spread over five books all argue that states build bureaucracies in order to pay for war, those eleven passages are one position, and the position is stated in a single sentence drawn from their own wording. It is not a topic and not a category. It is a claim someone could disagree with, and the disagreement is exactly what the map is built to find. A position keeps every passage behind it, so it can always be opened back up into the books it came from.</w:t>
      </w:r>
    </w:p>
    <w:p>
      <w:r>
        <w:t xml:space="preserve">Then every position is asked how it stands to its neighbours. The result is a graph of what supports, qualifies, exemplifies and contradicts what, across the whole library, stated in the corpus's own words. Nobody handed the model a menu of relationship types; it coined 504 distinct labels on this corpus, of which the four commonest are </w:t>
      </w:r>
      <w:r>
        <w:rPr>
          <w:i/>
        </w:rPr>
        <w:t>supports</w:t>
      </w:r>
      <w:r>
        <w:t xml:space="preserve">, </w:t>
      </w:r>
      <w:r>
        <w:rPr>
          <w:i/>
        </w:rPr>
        <w:t>exemplifies</w:t>
      </w:r>
      <w:r>
        <w:t xml:space="preserve">, </w:t>
      </w:r>
      <w:r>
        <w:rPr>
          <w:i/>
        </w:rPr>
        <w:t>qualifies</w:t>
      </w:r>
      <w:r>
        <w:t xml:space="preserve"> and </w:t>
      </w:r>
      <w:r>
        <w:rPr>
          <w:i/>
        </w:rPr>
        <w:t>contradicts</w:t>
      </w:r>
      <w:r>
        <w:t>.</w:t>
      </w:r>
    </w:p>
    <w:p>
      <w:r>
        <w:rPr>
          <w:b/>
        </w:rPr>
        <w:t>A paper.</w:t>
      </w:r>
      <w:r>
        <w:t xml:space="preserve"> You give Axial a case and a request. It interrogates the question before answering it, walks the two layers above for evidence, writes an answer as a list of claims each marked for what kind of claim it is and pointed at the passages behind it, runs a set of mechanical checks the model cannot reach, and then drafts a paper from the claims that survived. One command does all of it.</w:t>
      </w:r>
    </w:p>
    <w:p>
      <w:r>
        <w:t>The finished paper reads like a journal article. Every citation in it resolves to a passage in a real book on the shelf, and the chain from sentence to passage is machine-checkable at every link.</w:t>
      </w:r>
    </w:p>
    <w:p>
      <w:pPr>
        <w:pStyle w:val="Heading3"/>
      </w:pPr>
      <w:r>
        <w:t>What it is not</w:t>
      </w:r>
    </w:p>
    <w:p>
      <w:r>
        <w:t>It is not a chatbot, not a search engine, and not a summariser. It never reaches the open web, and it cannot cite anything that is not in the library. It has no opinion it did not build from the corpus, and where the corpus is silent it is designed to say so rather than fill the gap from what the model happens to remember.</w:t>
      </w:r>
    </w:p>
    <w:p>
      <w:pPr>
        <w:pStyle w:val="Heading2"/>
      </w:pPr>
      <w:r>
        <w:t>2. Why the tools you already have do not do this</w:t>
      </w:r>
    </w:p>
    <w:p>
      <w:r>
        <w:t>You have probably uploaded PDFs to a chat assistant and asked questions, or pressed a "deep research" button. Those tools are useful. They are built for a different job, and the difference is structural rather than a matter of quality.</w:t>
      </w:r>
    </w:p>
    <w:p>
      <w:r>
        <w:rPr>
          <w:b/>
        </w:rPr>
        <w:t>The order of operations is inverted.</w:t>
      </w:r>
      <w:r>
        <w:t xml:space="preserve"> Every retrieval-based tool searches first and reads second: it finds text that looks relevant to your question, then writes something on top of it. That has one well-known failure and one less obvious one. The known failure is that plausible-sounding text gets retrieved and plausible-sounding prose gets written over it, and nobody can check the join. The less obvious failure is that the tool can only ever see the part of the library your query happened to reach. It has no idea what is in the rest.</w:t>
      </w:r>
    </w:p>
    <w:p>
      <w:r>
        <w:t>Axial reads everything before anything is asked. Retrieval then runs over a record of a completed reading, not over raw text. The question cannot decide what gets read, because the reading is already done.</w:t>
      </w:r>
    </w:p>
    <w:p>
      <w:r>
        <w:rPr>
          <w:b/>
        </w:rPr>
        <w:t>Against uploading books to a chat assistant.</w:t>
      </w:r>
      <w:r>
        <w:t xml:space="preserve"> The assistant retrieves a few passages and paraphrases them. It rarely separates what a source </w:t>
      </w:r>
      <w:r>
        <w:rPr>
          <w:i/>
        </w:rPr>
        <w:t>claims</w:t>
      </w:r>
      <w:r>
        <w:t xml:space="preserve"> from what it is </w:t>
      </w:r>
      <w:r>
        <w:rPr>
          <w:i/>
        </w:rPr>
        <w:t>inferring</w:t>
      </w:r>
      <w:r>
        <w:t>, it attributes unreliably, and it will produce a confident paragraph whether or not the sources support one. It never tells you what it left out. In Axial every assertion in an answer is marked as exactly one of three kinds, and the marking is enforced by a check that blocks release, not requested in a prompt.</w:t>
      </w:r>
    </w:p>
    <w:p>
      <w:r>
        <w:rPr>
          <w:b/>
        </w:rPr>
        <w:t>Against RAG and knowledge-graph systems.</w:t>
      </w:r>
    </w:p>
    <w:p>
      <w:pPr>
        <w:spacing w:before="80"/>
        <w:ind w:left="432"/>
      </w:pPr>
      <w:r>
        <w:rPr>
          <w:b/>
          <w:i/>
        </w:rPr>
        <w:t>RAG.</w:t>
      </w:r>
      <w:r>
        <w:rPr>
          <w:i/>
        </w:rPr>
        <w:t xml:space="preserve"> Short for </w:t>
      </w:r>
      <w:r>
        <w:rPr>
          <w:i/>
        </w:rPr>
        <w:t>retrieval-augmented generation</w:t>
      </w:r>
      <w:r>
        <w:rPr>
          <w:i/>
        </w:rPr>
        <w:t xml:space="preserve">, and it is the standard way almost every "chat with your documents" product works. The documents are cut into fragments and indexed. When you ask a question, the system searches that index, pulls out the handful of fragments that look most similar to your wording, pastes them invisibly above your question, and asks a language model to answer using them. It is a genuine improvement on a model answering from memory alone, because at least something real is in front of it. Its two limits are structural rather than fixable by a better search: the model only ever sees what your question happened to retrieve, and nothing in the arrangement distinguishes a sentence a source actually asserted from a sentence the model composed on top of it. A </w:t>
      </w:r>
      <w:r>
        <w:rPr>
          <w:i/>
        </w:rPr>
        <w:t>knowledge-graph</w:t>
      </w:r>
      <w:r>
        <w:rPr>
          <w:i/>
        </w:rPr>
        <w:t xml:space="preserve"> system is a more sophisticated relative — it first extracts entities and the links between them, then searches that structure instead of raw text — but the order of operations, and therefore both limits, are the same.</w:t>
      </w:r>
    </w:p>
    <w:p>
      <w:r>
        <w:t xml:space="preserve">Those systems improve retrieval: they find better passages, and some of them build a graph of entities to find them by. Axial builds that layer too, and then does the thing retrieval systems do not attempt, which is </w:t>
      </w:r>
      <w:r>
        <w:rPr>
          <w:b/>
        </w:rPr>
        <w:t>synthesis</w:t>
      </w:r>
      <w:r>
        <w:t xml:space="preserve"> — producing an argument no single source made, across sources, the way a scholar writes a review essay, held to the attribution a scholar is held to. A knowledge graph tells you that Tilly and Mann are both connected to "state formation". Axial's argument map records that a specific claim of Mann's </w:t>
      </w:r>
      <w:r>
        <w:rPr>
          <w:i/>
        </w:rPr>
        <w:t>qualifies</w:t>
      </w:r>
      <w:r>
        <w:t xml:space="preserve"> a specific claim of Tilly's, in a sentence, with the passages on both sides.</w:t>
      </w:r>
    </w:p>
    <w:p>
      <w:pPr>
        <w:spacing w:before="80"/>
        <w:ind w:left="432"/>
      </w:pPr>
      <w:r>
        <w:rPr>
          <w:b/>
          <w:i/>
        </w:rPr>
        <w:t>Tilly and Mann.</w:t>
      </w:r>
      <w:r>
        <w:rPr>
          <w:i/>
        </w:rPr>
        <w:t xml:space="preserve"> The two scholars this report keeps returning to, because they are the two the library's own passages meet over most often.</w:t>
      </w:r>
    </w:p>
    <w:p>
      <w:r>
        <w:t>&gt;</w:t>
      </w:r>
    </w:p>
    <w:p>
      <w:pPr>
        <w:spacing w:before="80"/>
        <w:ind w:left="432"/>
      </w:pPr>
      <w:r>
        <w:rPr>
          <w:b/>
          <w:i/>
        </w:rPr>
        <w:t>Charles Tilly</w:t>
      </w:r>
      <w:r>
        <w:rPr>
          <w:i/>
        </w:rPr>
        <w:t xml:space="preserve"> (1929–2008) was an American sociologist and historian, at his death the Joseph L. Buttenwieser Professor of Social Science at Columbia, holding a joint appointment in sociology and political science. He published over fifty books and some six hundred articles, and effectively created the field now called contentious politics — the study of strikes, riots, revolutions and social movements as one family of behaviour. He is best known outside that field for the argument compressed into the phrase </w:t>
      </w:r>
      <w:r>
        <w:rPr>
          <w:i/>
        </w:rPr>
        <w:t>war made the state, and the state made war</w:t>
      </w:r>
      <w:r>
        <w:rPr>
          <w:i/>
        </w:rPr>
        <w:t xml:space="preserve">: rulers who needed to fight had to extract taxes to pay for it, extracting taxes required a bureaucracy, resisting subjects had to be bargained with, and the modern European state is what came out the other end. Tilly himself put the comparison bluntly, likening the arrangement to a protection racket. The library holds his </w:t>
      </w:r>
      <w:r>
        <w:rPr>
          <w:i/>
        </w:rPr>
        <w:t>From Mobilization to Revolution</w:t>
      </w:r>
      <w:r>
        <w:rPr>
          <w:i/>
        </w:rPr>
        <w:t xml:space="preserve"> (1978).</w:t>
      </w:r>
    </w:p>
    <w:p>
      <w:r>
        <w:t>&gt;</w:t>
      </w:r>
    </w:p>
    <w:p>
      <w:pPr>
        <w:spacing w:before="80"/>
        <w:ind w:left="432"/>
      </w:pPr>
      <w:r>
        <w:rPr>
          <w:b/>
          <w:i/>
        </w:rPr>
        <w:t>Michael Mann</w:t>
      </w:r>
      <w:r>
        <w:rPr>
          <w:i/>
        </w:rPr>
        <w:t xml:space="preserve"> (b. 1942, Manchester) is Distinguished Research Professor Emeritus of Sociology at UCLA, where he taught from 1987, after a decade at the London School of Economics. His principal work is the four-volume </w:t>
      </w:r>
      <w:r>
        <w:rPr>
          <w:i/>
        </w:rPr>
        <w:t>The Sources of Social Power</w:t>
      </w:r>
      <w:r>
        <w:rPr>
          <w:i/>
        </w:rPr>
        <w:t xml:space="preserve"> (1986, 1993, 2012, 2013), a history of power in human societies built on the claim that power runs through four channels — ideological, economic, military and political — which interact but never reduce to one another. His 1984 paper on the autonomous power of the state introduced the distinction between </w:t>
      </w:r>
      <w:r>
        <w:rPr>
          <w:i/>
        </w:rPr>
        <w:t>despotic</w:t>
      </w:r>
      <w:r>
        <w:rPr>
          <w:i/>
        </w:rPr>
        <w:t xml:space="preserve"> power (what a ruler can do to people without negotiating) and </w:t>
      </w:r>
      <w:r>
        <w:rPr>
          <w:i/>
        </w:rPr>
        <w:t>infrastructural</w:t>
      </w:r>
      <w:r>
        <w:rPr>
          <w:i/>
        </w:rPr>
        <w:t xml:space="preserve"> power (how deeply the state can actually reach into the society it governs to collect a tax or enforce a law). That distinction runs through both papers in the appendices. All four volumes are in the library, along with a volume of critical essays on his work.</w:t>
      </w:r>
    </w:p>
    <w:p>
      <w:r>
        <w:t>&gt;</w:t>
      </w:r>
    </w:p>
    <w:p>
      <w:pPr>
        <w:spacing w:before="80"/>
        <w:ind w:left="432"/>
      </w:pPr>
      <w:r>
        <w:rPr>
          <w:i/>
        </w:rPr>
        <w:t xml:space="preserve">The two are not opponents in any simple sense, and the map does not treat them as such. Mann's later work concedes that war no longer makes states the way it once did, which is one of the qualifications the library records. Axial was built the attribute-and-query way first, and </w:t>
      </w:r>
      <w:r>
        <w:rPr>
          <w:i/>
          <w:color w:val="C8553D"/>
        </w:rPr>
        <w:t>section 5</w:t>
      </w:r>
      <w:r>
        <w:rPr>
          <w:i/>
        </w:rPr>
        <w:t xml:space="preserve"> reports what that produced: 18,761 tagged passages and zero connections between any two books.</w:t>
      </w:r>
    </w:p>
    <w:p>
      <w:r>
        <w:rPr>
          <w:b/>
        </w:rPr>
        <w:t>Against "deep research" on the open web.</w:t>
      </w:r>
      <w:r>
        <w:t xml:space="preserve"> Those tools scrape whatever the web offers, weigh a preprint the same as a blog post, and sometimes cite sources that do not exist. Axial works on a curated shelf of real scholarship and cannot reach outside it. The grounding is not a policy. It is structural: the drafting model that writes the final paper has </w:t>
      </w:r>
      <w:r>
        <w:rPr>
          <w:b/>
        </w:rPr>
        <w:t>no retrieval tools at all</w:t>
      </w:r>
      <w:r>
        <w:t>. Its whole world is the list of claims that already passed the checks. It cannot introduce evidence because it has no path to any.</w:t>
      </w:r>
    </w:p>
    <w:p>
      <w:r>
        <w:rPr>
          <w:b/>
        </w:rPr>
        <w:t>The honest version of the comparison.</w:t>
      </w:r>
      <w:r>
        <w:t xml:space="preserve"> For "what does this book say about X", a chat assistant with the PDF attached is faster and cheaper, and you should use one. Axial is for the question a chat assistant cannot take seriously: what does a body of scholarship, read whole, say about a contested question, and where do its authors disagree.</w:t>
      </w:r>
    </w:p>
    <w:p>
      <w:pPr>
        <w:pStyle w:val="Heading2"/>
      </w:pPr>
      <w:r>
        <w:t>3. How it works</w:t>
      </w:r>
    </w:p>
    <w:p>
      <w:pPr>
        <w:pStyle w:val="Heading3"/>
      </w:pPr>
      <w:r>
        <w:t>3.1 Before you ask anything</w:t>
      </w:r>
    </w:p>
    <w:p>
      <w:r>
        <w:rPr>
          <w:b/>
        </w:rPr>
        <w:t>Intake.</w:t>
      </w:r>
      <w:r>
        <w:t xml:space="preserve"> A book arrives, from a Google Drive folder or from disk. Axial checks it has a real text layer and is not a scan, reads the author, title and date out of the file itself, and checks whether the file contains the whole work it claims to be. Bibliographic fields that cannot be confirmed from the file are recorded as not recovered rather than guessed. This matters more than it sounds: one file in the current library carries embedded metadata attributing it to an entirely different book, left over from the tool that made the PDF.</w:t>
      </w:r>
    </w:p>
    <w:p>
      <w:r>
        <w:rPr>
          <w:b/>
        </w:rPr>
        <w:t>Structure.</w:t>
      </w:r>
      <w:r>
        <w:t xml:space="preserve"> The book's hierarchy is rebuilt — chapters, sections, headings, tables, figures, footnotes, index, bibliography. The damage PDFs do to text is repaired. Every block is sorted into prose, artifact, or apparatus. Front and back matter that carries no argument is set aside and recorded as set aside, never silently dropped.</w:t>
      </w:r>
    </w:p>
    <w:p>
      <w:r>
        <w:rPr>
          <w:b/>
        </w:rPr>
        <w:t>Envelope.</w:t>
      </w:r>
      <w:r>
        <w:t xml:space="preserve"> One pass per book captures what the book says it is doing: the author's stated thesis, the scope, the argument as stated, and a table of contents reconstructed from the book's own prose. This is grounded in the text, never in what a model might know about the title. It travels with every passage afterwards, so a model reading one paragraph of a book it has never otherwise seen always knows what the book is arguing.</w:t>
      </w:r>
    </w:p>
    <w:p>
      <w:r>
        <w:rPr>
          <w:b/>
        </w:rPr>
        <w:t>Chunking.</w:t>
      </w:r>
      <w:r>
        <w:t xml:space="preserve"> The prose is cut into passages along the author's own paragraph and sentence boundaries, never a fixed word count, and every passage is kept between roughly 3,500 and 9,000 characters — one to four pages of a printed book. The size is chosen for the questions below. A claim and the evidence for it usually sit several paragraphs apart, and a smaller window would produce abstentions for want of text rather than for want of an answer. </w:t>
      </w:r>
      <w:r>
        <w:rPr>
          <w:b/>
        </w:rPr>
        <w:t>The cutting involves no AI at all.</w:t>
      </w:r>
      <w:r>
        <w:t xml:space="preserve"> It is mechanical, repeatable, and inspectable before a penny of model spend.</w:t>
      </w:r>
    </w:p>
    <w:p>
      <w:r>
        <w:rPr>
          <w:b/>
        </w:rPr>
        <w:t>The reading.</w:t>
      </w:r>
      <w:r>
        <w:t xml:space="preserve"> One model call per passage. Fourteen open questions, producing seventeen recorded answers: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p>
        </w:tc>
        <w:tc>
          <w:tcPr>
            <w:tcW w:type="dxa" w:w="4752"/>
          </w:tcPr>
          <w:p>
            <w:pPr>
              <w:spacing w:after="40"/>
            </w:pPr>
            <w:r>
              <w:rPr>
                <w:b/>
                <w:sz w:val="18"/>
              </w:rPr>
            </w:r>
            <w:r>
              <w:rPr>
                <w:b/>
                <w:sz w:val="18"/>
              </w:rPr>
              <w:t>Question</w:t>
            </w:r>
          </w:p>
        </w:tc>
      </w:tr>
      <w:tr>
        <w:tc>
          <w:tcPr>
            <w:tcW w:type="dxa" w:w="4752"/>
          </w:tcPr>
          <w:p>
            <w:pPr>
              <w:spacing w:after="40"/>
            </w:pPr>
            <w:r>
              <w:rPr>
                <w:sz w:val="18"/>
              </w:rPr>
            </w:r>
            <w:r>
              <w:rPr>
                <w:sz w:val="18"/>
              </w:rPr>
              <w:t>1</w:t>
            </w:r>
          </w:p>
        </w:tc>
        <w:tc>
          <w:tcPr>
            <w:tcW w:type="dxa" w:w="4752"/>
          </w:tcPr>
          <w:p>
            <w:pPr>
              <w:spacing w:after="40"/>
            </w:pPr>
            <w:r>
              <w:rPr>
                <w:sz w:val="18"/>
              </w:rPr>
            </w:r>
            <w:r>
              <w:rPr>
                <w:b/>
                <w:sz w:val="18"/>
              </w:rPr>
              <w:t>About</w:t>
            </w:r>
            <w:r>
              <w:rPr>
                <w:sz w:val="18"/>
              </w:rPr>
              <w:t xml:space="preserve"> — what is this passage about? Short phrases, in your own words.</w:t>
            </w:r>
          </w:p>
        </w:tc>
      </w:tr>
      <w:tr>
        <w:tc>
          <w:tcPr>
            <w:tcW w:type="dxa" w:w="4752"/>
          </w:tcPr>
          <w:p>
            <w:pPr>
              <w:spacing w:after="40"/>
            </w:pPr>
            <w:r>
              <w:rPr>
                <w:sz w:val="18"/>
              </w:rPr>
            </w:r>
            <w:r>
              <w:rPr>
                <w:sz w:val="18"/>
              </w:rPr>
              <w:t>2</w:t>
            </w:r>
          </w:p>
        </w:tc>
        <w:tc>
          <w:tcPr>
            <w:tcW w:type="dxa" w:w="4752"/>
          </w:tcPr>
          <w:p>
            <w:pPr>
              <w:spacing w:after="40"/>
            </w:pPr>
            <w:r>
              <w:rPr>
                <w:sz w:val="18"/>
              </w:rPr>
            </w:r>
            <w:r>
              <w:rPr>
                <w:b/>
                <w:sz w:val="18"/>
              </w:rPr>
              <w:t>Claim</w:t>
            </w:r>
            <w:r>
              <w:rPr>
                <w:sz w:val="18"/>
              </w:rPr>
              <w:t xml:space="preserve"> — what is being claimed, in one sentence.</w:t>
            </w:r>
          </w:p>
        </w:tc>
      </w:tr>
      <w:tr>
        <w:tc>
          <w:tcPr>
            <w:tcW w:type="dxa" w:w="4752"/>
          </w:tcPr>
          <w:p>
            <w:pPr>
              <w:spacing w:after="40"/>
            </w:pPr>
            <w:r>
              <w:rPr>
                <w:sz w:val="18"/>
              </w:rPr>
            </w:r>
            <w:r>
              <w:rPr>
                <w:sz w:val="18"/>
              </w:rPr>
              <w:t>3</w:t>
            </w:r>
          </w:p>
        </w:tc>
        <w:tc>
          <w:tcPr>
            <w:tcW w:type="dxa" w:w="4752"/>
          </w:tcPr>
          <w:p>
            <w:pPr>
              <w:spacing w:after="40"/>
            </w:pPr>
            <w:r>
              <w:rPr>
                <w:sz w:val="18"/>
              </w:rPr>
            </w:r>
            <w:r>
              <w:rPr>
                <w:b/>
                <w:sz w:val="18"/>
              </w:rPr>
              <w:t>Move</w:t>
            </w:r>
            <w:r>
              <w:rPr>
                <w:sz w:val="18"/>
              </w:rPr>
              <w:t xml:space="preserve"> — what is this passage </w:t>
            </w:r>
            <w:r>
              <w:rPr>
                <w:i/>
                <w:sz w:val="18"/>
              </w:rPr>
              <w:t>doing</w:t>
            </w:r>
            <w:r>
              <w:rPr>
                <w:sz w:val="18"/>
              </w:rPr>
              <w:t xml:space="preserve"> in the argument? Not a label like "evidence" but the move itself, for example "conceding a point in order to narrow it".</w:t>
            </w:r>
          </w:p>
        </w:tc>
      </w:tr>
      <w:tr>
        <w:tc>
          <w:tcPr>
            <w:tcW w:type="dxa" w:w="4752"/>
          </w:tcPr>
          <w:p>
            <w:pPr>
              <w:spacing w:after="40"/>
            </w:pPr>
            <w:r>
              <w:rPr>
                <w:sz w:val="18"/>
              </w:rPr>
            </w:r>
            <w:r>
              <w:rPr>
                <w:sz w:val="18"/>
              </w:rPr>
              <w:t>4</w:t>
            </w:r>
          </w:p>
        </w:tc>
        <w:tc>
          <w:tcPr>
            <w:tcW w:type="dxa" w:w="4752"/>
          </w:tcPr>
          <w:p>
            <w:pPr>
              <w:spacing w:after="40"/>
            </w:pPr>
            <w:r>
              <w:rPr>
                <w:sz w:val="18"/>
              </w:rPr>
            </w:r>
            <w:r>
              <w:rPr>
                <w:b/>
                <w:sz w:val="18"/>
              </w:rPr>
              <w:t>Ranges over / stops holding</w:t>
            </w:r>
            <w:r>
              <w:rPr>
                <w:sz w:val="18"/>
              </w:rPr>
              <w:t xml:space="preserve"> — what does the claim cover, and where does the author say it stops being true?</w:t>
            </w:r>
          </w:p>
        </w:tc>
      </w:tr>
      <w:tr>
        <w:tc>
          <w:tcPr>
            <w:tcW w:type="dxa" w:w="4752"/>
          </w:tcPr>
          <w:p>
            <w:pPr>
              <w:spacing w:after="40"/>
            </w:pPr>
            <w:r>
              <w:rPr>
                <w:sz w:val="18"/>
              </w:rPr>
            </w:r>
            <w:r>
              <w:rPr>
                <w:sz w:val="18"/>
              </w:rPr>
              <w:t>5</w:t>
            </w:r>
          </w:p>
        </w:tc>
        <w:tc>
          <w:tcPr>
            <w:tcW w:type="dxa" w:w="4752"/>
          </w:tcPr>
          <w:p>
            <w:pPr>
              <w:spacing w:after="40"/>
            </w:pPr>
            <w:r>
              <w:rPr>
                <w:sz w:val="18"/>
              </w:rPr>
            </w:r>
            <w:r>
              <w:rPr>
                <w:b/>
                <w:sz w:val="18"/>
              </w:rPr>
              <w:t>Position of / position</w:t>
            </w:r>
            <w:r>
              <w:rPr>
                <w:sz w:val="18"/>
              </w:rPr>
              <w:t xml:space="preserve"> — whose position is this, and what </w:t>
            </w:r>
            <w:r>
              <w:rPr>
                <w:i/>
                <w:sz w:val="18"/>
              </w:rPr>
              <w:t>is</w:t>
            </w:r>
            <w:r>
              <w:rPr>
                <w:sz w:val="18"/>
              </w:rPr>
              <w:t xml:space="preserve"> that position in the passage's own terms?</w:t>
            </w:r>
          </w:p>
        </w:tc>
      </w:tr>
      <w:tr>
        <w:tc>
          <w:tcPr>
            <w:tcW w:type="dxa" w:w="4752"/>
          </w:tcPr>
          <w:p>
            <w:pPr>
              <w:spacing w:after="40"/>
            </w:pPr>
            <w:r>
              <w:rPr>
                <w:sz w:val="18"/>
              </w:rPr>
            </w:r>
            <w:r>
              <w:rPr>
                <w:sz w:val="18"/>
              </w:rPr>
              <w:t>6</w:t>
            </w:r>
          </w:p>
        </w:tc>
        <w:tc>
          <w:tcPr>
            <w:tcW w:type="dxa" w:w="4752"/>
          </w:tcPr>
          <w:p>
            <w:pPr>
              <w:spacing w:after="40"/>
            </w:pPr>
            <w:r>
              <w:rPr>
                <w:sz w:val="18"/>
              </w:rPr>
            </w:r>
            <w:r>
              <w:rPr>
                <w:b/>
                <w:sz w:val="18"/>
              </w:rPr>
              <w:t>Arguing against</w:t>
            </w:r>
            <w:r>
              <w:rPr>
                <w:sz w:val="18"/>
              </w:rPr>
              <w:t xml:space="preserve"> — who or what is it arguing against?</w:t>
            </w:r>
          </w:p>
        </w:tc>
      </w:tr>
      <w:tr>
        <w:tc>
          <w:tcPr>
            <w:tcW w:type="dxa" w:w="4752"/>
          </w:tcPr>
          <w:p>
            <w:pPr>
              <w:spacing w:after="40"/>
            </w:pPr>
            <w:r>
              <w:rPr>
                <w:sz w:val="18"/>
              </w:rPr>
            </w:r>
            <w:r>
              <w:rPr>
                <w:sz w:val="18"/>
              </w:rPr>
              <w:t>7</w:t>
            </w:r>
          </w:p>
        </w:tc>
        <w:tc>
          <w:tcPr>
            <w:tcW w:type="dxa" w:w="4752"/>
          </w:tcPr>
          <w:p>
            <w:pPr>
              <w:spacing w:after="40"/>
            </w:pPr>
            <w:r>
              <w:rPr>
                <w:sz w:val="18"/>
              </w:rPr>
            </w:r>
            <w:r>
              <w:rPr>
                <w:b/>
                <w:sz w:val="18"/>
              </w:rPr>
              <w:t>Names</w:t>
            </w:r>
            <w:r>
              <w:rPr>
                <w:sz w:val="18"/>
              </w:rPr>
              <w:t xml:space="preserve"> — every named thing: people, places, institutions, events, movements, periods, and any figure or table the passage names, each with what kind of thing it is.</w:t>
            </w:r>
          </w:p>
        </w:tc>
      </w:tr>
      <w:tr>
        <w:tc>
          <w:tcPr>
            <w:tcW w:type="dxa" w:w="4752"/>
          </w:tcPr>
          <w:p>
            <w:pPr>
              <w:spacing w:after="40"/>
            </w:pPr>
            <w:r>
              <w:rPr>
                <w:sz w:val="18"/>
              </w:rPr>
            </w:r>
            <w:r>
              <w:rPr>
                <w:sz w:val="18"/>
              </w:rPr>
              <w:t>8</w:t>
            </w:r>
          </w:p>
        </w:tc>
        <w:tc>
          <w:tcPr>
            <w:tcW w:type="dxa" w:w="4752"/>
          </w:tcPr>
          <w:p>
            <w:pPr>
              <w:spacing w:after="40"/>
            </w:pPr>
            <w:r>
              <w:rPr>
                <w:sz w:val="18"/>
              </w:rPr>
            </w:r>
            <w:r>
              <w:rPr>
                <w:b/>
                <w:sz w:val="18"/>
              </w:rPr>
              <w:t>Citations</w:t>
            </w:r>
            <w:r>
              <w:rPr>
                <w:sz w:val="18"/>
              </w:rPr>
              <w:t xml:space="preserve"> — whom does it cite, and is each citation used as support, as a foil, or as an authority?</w:t>
            </w:r>
          </w:p>
        </w:tc>
      </w:tr>
      <w:tr>
        <w:tc>
          <w:tcPr>
            <w:tcW w:type="dxa" w:w="4752"/>
          </w:tcPr>
          <w:p>
            <w:pPr>
              <w:spacing w:after="40"/>
            </w:pPr>
            <w:r>
              <w:rPr>
                <w:sz w:val="18"/>
              </w:rPr>
            </w:r>
            <w:r>
              <w:rPr>
                <w:sz w:val="18"/>
              </w:rPr>
              <w:t>9</w:t>
            </w:r>
          </w:p>
        </w:tc>
        <w:tc>
          <w:tcPr>
            <w:tcW w:type="dxa" w:w="4752"/>
          </w:tcPr>
          <w:p>
            <w:pPr>
              <w:spacing w:after="40"/>
            </w:pPr>
            <w:r>
              <w:rPr>
                <w:sz w:val="18"/>
              </w:rPr>
            </w:r>
            <w:r>
              <w:rPr>
                <w:b/>
                <w:sz w:val="18"/>
              </w:rPr>
              <w:t>Mechanism</w:t>
            </w:r>
            <w:r>
              <w:rPr>
                <w:sz w:val="18"/>
              </w:rPr>
              <w:t xml:space="preserve"> — what causes what, in what order.</w:t>
            </w:r>
          </w:p>
        </w:tc>
      </w:tr>
      <w:tr>
        <w:tc>
          <w:tcPr>
            <w:tcW w:type="dxa" w:w="4752"/>
          </w:tcPr>
          <w:p>
            <w:pPr>
              <w:spacing w:after="40"/>
            </w:pPr>
            <w:r>
              <w:rPr>
                <w:sz w:val="18"/>
              </w:rPr>
            </w:r>
            <w:r>
              <w:rPr>
                <w:sz w:val="18"/>
              </w:rPr>
              <w:t>10</w:t>
            </w:r>
          </w:p>
        </w:tc>
        <w:tc>
          <w:tcPr>
            <w:tcW w:type="dxa" w:w="4752"/>
          </w:tcPr>
          <w:p>
            <w:pPr>
              <w:spacing w:after="40"/>
            </w:pPr>
            <w:r>
              <w:rPr>
                <w:sz w:val="18"/>
              </w:rPr>
            </w:r>
            <w:r>
              <w:rPr>
                <w:b/>
                <w:sz w:val="18"/>
              </w:rPr>
              <w:t>Evidence</w:t>
            </w:r>
            <w:r>
              <w:rPr>
                <w:sz w:val="18"/>
              </w:rPr>
              <w:t xml:space="preserve"> — what evidence is offered.</w:t>
            </w:r>
          </w:p>
        </w:tc>
      </w:tr>
      <w:tr>
        <w:tc>
          <w:tcPr>
            <w:tcW w:type="dxa" w:w="4752"/>
          </w:tcPr>
          <w:p>
            <w:pPr>
              <w:spacing w:after="40"/>
            </w:pPr>
            <w:r>
              <w:rPr>
                <w:sz w:val="18"/>
              </w:rPr>
            </w:r>
            <w:r>
              <w:rPr>
                <w:sz w:val="18"/>
              </w:rPr>
              <w:t>11</w:t>
            </w:r>
          </w:p>
        </w:tc>
        <w:tc>
          <w:tcPr>
            <w:tcW w:type="dxa" w:w="4752"/>
          </w:tcPr>
          <w:p>
            <w:pPr>
              <w:spacing w:after="40"/>
            </w:pPr>
            <w:r>
              <w:rPr>
                <w:sz w:val="18"/>
              </w:rPr>
            </w:r>
            <w:r>
              <w:rPr>
                <w:b/>
                <w:sz w:val="18"/>
              </w:rPr>
              <w:t>Comparison</w:t>
            </w:r>
            <w:r>
              <w:rPr>
                <w:sz w:val="18"/>
              </w:rPr>
              <w:t xml:space="preserve"> — what comparison is made, stated or implied.</w:t>
            </w:r>
          </w:p>
        </w:tc>
      </w:tr>
      <w:tr>
        <w:tc>
          <w:tcPr>
            <w:tcW w:type="dxa" w:w="4752"/>
          </w:tcPr>
          <w:p>
            <w:pPr>
              <w:spacing w:after="40"/>
            </w:pPr>
            <w:r>
              <w:rPr>
                <w:sz w:val="18"/>
              </w:rPr>
            </w:r>
            <w:r>
              <w:rPr>
                <w:sz w:val="18"/>
              </w:rPr>
              <w:t>12</w:t>
            </w:r>
          </w:p>
        </w:tc>
        <w:tc>
          <w:tcPr>
            <w:tcW w:type="dxa" w:w="4752"/>
          </w:tcPr>
          <w:p>
            <w:pPr>
              <w:spacing w:after="40"/>
            </w:pPr>
            <w:r>
              <w:rPr>
                <w:sz w:val="18"/>
              </w:rPr>
            </w:r>
            <w:r>
              <w:rPr>
                <w:b/>
                <w:sz w:val="18"/>
              </w:rPr>
              <w:t>Defines / uses</w:t>
            </w:r>
            <w:r>
              <w:rPr>
                <w:sz w:val="18"/>
              </w:rPr>
              <w:t xml:space="preserve"> — what is defined here, and separately, what is merely used without being defined.</w:t>
            </w:r>
          </w:p>
        </w:tc>
      </w:tr>
      <w:tr>
        <w:tc>
          <w:tcPr>
            <w:tcW w:type="dxa" w:w="4752"/>
          </w:tcPr>
          <w:p>
            <w:pPr>
              <w:spacing w:after="40"/>
            </w:pPr>
            <w:r>
              <w:rPr>
                <w:sz w:val="18"/>
              </w:rPr>
            </w:r>
            <w:r>
              <w:rPr>
                <w:sz w:val="18"/>
              </w:rPr>
              <w:t>13</w:t>
            </w:r>
          </w:p>
        </w:tc>
        <w:tc>
          <w:tcPr>
            <w:tcW w:type="dxa" w:w="4752"/>
          </w:tcPr>
          <w:p>
            <w:pPr>
              <w:spacing w:after="40"/>
            </w:pPr>
            <w:r>
              <w:rPr>
                <w:sz w:val="18"/>
              </w:rPr>
            </w:r>
            <w:r>
              <w:rPr>
                <w:b/>
                <w:sz w:val="18"/>
              </w:rPr>
              <w:t>Concedes</w:t>
            </w:r>
            <w:r>
              <w:rPr>
                <w:sz w:val="18"/>
              </w:rPr>
              <w:t xml:space="preserve"> — what the author concedes or hedges.</w:t>
            </w:r>
          </w:p>
        </w:tc>
      </w:tr>
      <w:tr>
        <w:tc>
          <w:tcPr>
            <w:tcW w:type="dxa" w:w="4752"/>
          </w:tcPr>
          <w:p>
            <w:pPr>
              <w:spacing w:after="40"/>
            </w:pPr>
            <w:r>
              <w:rPr>
                <w:sz w:val="18"/>
              </w:rPr>
            </w:r>
            <w:r>
              <w:rPr>
                <w:sz w:val="18"/>
              </w:rPr>
              <w:t>14</w:t>
            </w:r>
          </w:p>
        </w:tc>
        <w:tc>
          <w:tcPr>
            <w:tcW w:type="dxa" w:w="4752"/>
          </w:tcPr>
          <w:p>
            <w:pPr>
              <w:spacing w:after="40"/>
            </w:pPr>
            <w:r>
              <w:rPr>
                <w:sz w:val="18"/>
              </w:rPr>
            </w:r>
            <w:r>
              <w:rPr>
                <w:b/>
                <w:sz w:val="18"/>
              </w:rPr>
              <w:t>Assumes</w:t>
            </w:r>
            <w:r>
              <w:rPr>
                <w:sz w:val="18"/>
              </w:rPr>
              <w:t xml:space="preserve"> — what it assumes without saying.</w:t>
            </w:r>
          </w:p>
        </w:tc>
      </w:tr>
    </w:tbl>
    <w:p/>
    <w:p>
      <w:r>
        <w:t>Three rules govern the whole reading, and each exists because the obvious alternative fails.</w:t>
      </w:r>
    </w:p>
    <w:p>
      <w:r>
        <w:rPr>
          <w:i/>
        </w:rPr>
        <w:t>Answer only from the passage in front of you.</w:t>
      </w:r>
      <w:r>
        <w:t xml:space="preserve"> No web, no lookup, no memory of the book. Where the passage does not support an answer, say so. </w:t>
      </w:r>
      <w:r>
        <w:rPr>
          <w:b/>
        </w:rPr>
        <w:t>An abstention is a normal answer and a guessed answer is worse than none</w:t>
      </w:r>
      <w:r>
        <w:t>, because nothing downstream can tell a guess from a reading.</w:t>
      </w:r>
    </w:p>
    <w:p>
      <w:r>
        <w:rPr>
          <w:i/>
        </w:rPr>
        <w:t>The free answer comes first, the examples second.</w:t>
      </w:r>
      <w:r>
        <w:t xml:space="preserve"> Each question is asked open, in the model's own words. Only afterwards is the model shown the domain's example vocabulary, and only as a separate, clearly-marked field. No code ever bridges the two — no normalisation, no rewriting, no filling one from the other. This ordering is the single guard against the failure that would make the whole design pointless: if the reading answered in the example vocabulary, Axial would have rebuilt keyword tagging with extra steps and hidden it.</w:t>
      </w:r>
    </w:p>
    <w:p>
      <w:r>
        <w:rPr>
          <w:i/>
        </w:rPr>
        <w:t>Every passage is accounted for.</w:t>
      </w:r>
      <w:r>
        <w:t xml:space="preserve"> Answered plus failed plus skipped must equal the source's own passage count, or the pass raises rather than reporting a partial read as a complete one.</w:t>
      </w:r>
    </w:p>
    <w:p>
      <w:r>
        <w:t xml:space="preserve">Two of the seventeen answers carry most of the later weight. </w:t>
      </w:r>
      <w:r>
        <w:rPr>
          <w:b/>
        </w:rPr>
        <w:t>Names</w:t>
      </w:r>
      <w:r>
        <w:t xml:space="preserve"> is how passages find each other. </w:t>
      </w:r>
      <w:r>
        <w:rPr>
          <w:b/>
        </w:rPr>
        <w:t>Arguing against</w:t>
      </w:r>
      <w:r>
        <w:t xml:space="preserve"> is how disagreement becomes visible: an author who names an opponent has already done the work of locating the dispute, and Axial records it rather than inferring it.</w:t>
      </w:r>
    </w:p>
    <w:p>
      <w:r>
        <w:rPr>
          <w:b/>
        </w:rPr>
        <w:t>Reconciliation.</w:t>
      </w:r>
      <w:r>
        <w:t xml:space="preserve"> The same person or idea appears under many names — "Charles Tilly", "Tilly", "C. Tilly 1975", "Ba'th" and "Baath". A spelling fold that needs no model at all handles the mechanical cases. Clustering proposes the rest as </w:t>
      </w:r>
      <w:r>
        <w:rPr>
          <w:i/>
        </w:rPr>
        <w:t>hints</w:t>
      </w:r>
      <w:r>
        <w:t xml:space="preserve">, and a model call decides. </w:t>
      </w:r>
      <w:r>
        <w:rPr>
          <w:b/>
        </w:rPr>
        <w:t>"Cannot tell" is a real third outcome</w:t>
      </w:r>
      <w:r>
        <w:t>, not a failure, and merges are reversible and logged.</w:t>
      </w:r>
    </w:p>
    <w:p>
      <w:r>
        <w:rPr>
          <w:b/>
        </w:rPr>
        <w:t>Materialisation.</w:t>
      </w:r>
      <w:r>
        <w:t xml:space="preserve"> The encyclopaedia is written out: a page per passage carrying its own answers, a page per surviving name listing the passages that mention it. This step involves no AI. It is a rendering of what the previous steps produced.</w:t>
      </w:r>
    </w:p>
    <w:p>
      <w:r>
        <w:rPr>
          <w:b/>
        </w:rPr>
        <w:t>Gathering.</w:t>
      </w:r>
      <w:r>
        <w:t xml:space="preserve"> For each name big enough to hold an argument, the claims made at that name are put side by side and one question is asked: what do these authors disagree about? Code assembles the packet and enforces the budget, so the pass cannot be talked into fetching more and cannot blow its context window. A name with fewer than two members is skipped before a packet exists, because a disagreement needs two parties.</w:t>
      </w:r>
    </w:p>
    <w:p>
      <w:r>
        <w:rPr>
          <w:b/>
        </w:rPr>
        <w:t>The argument map.</w:t>
      </w:r>
      <w:r>
        <w:t xml:space="preserve"> This is the layer that made version 1.0 of this report obsolete, and it is the one place Axial does something no retrieval system does.</w:t>
      </w:r>
    </w:p>
    <w:p>
      <w:r>
        <w:t>Reaching a passage through a name it happens to mention is a narrow door. A passage that makes exactly the argument you need but names nobody you thought to ask about is unreachable. So the map is built the other way round:</w:t>
      </w:r>
    </w:p>
    <w:p>
      <w:r>
        <w:t xml:space="preserve">1. </w:t>
      </w:r>
      <w:r>
        <w:rPr>
          <w:b/>
        </w:rPr>
        <w:t>Select</w:t>
      </w:r>
      <w:r>
        <w:t xml:space="preserve"> every passage that actually argues something. Passages that abstain on every argumentative question — bibliographies, acknowledgements, method throat-clearing — are dropped. On the current library that leaves 6,010 of 6,842.</w:t>
      </w:r>
    </w:p>
    <w:p>
      <w:r>
        <w:t xml:space="preserve">2. </w:t>
      </w:r>
      <w:r>
        <w:rPr>
          <w:b/>
        </w:rPr>
        <w:t>Bag</w:t>
      </w:r>
      <w:r>
        <w:t xml:space="preserve"> them by the similarity of their own one-sentence claims, using a local sentence encoder. A </w:t>
      </w:r>
      <w:r>
        <w:rPr>
          <w:i/>
        </w:rPr>
        <w:t>bag</w:t>
      </w:r>
      <w:r>
        <w:t xml:space="preserve"> is a rough pile of passages whose claims are worded alike, assembled by arithmetic rather than by reading — the working tray a model is later handed, never a finding in itself. Zero model calls, and the grain is a stated choice rather than a fitted one.</w:t>
      </w:r>
    </w:p>
    <w:p>
      <w:r>
        <w:t xml:space="preserve">3. </w:t>
      </w:r>
      <w:r>
        <w:rPr>
          <w:b/>
        </w:rPr>
        <w:t>Extract.</w:t>
      </w:r>
      <w:r>
        <w:t xml:space="preserve"> Every bag is read in full, never sampled. The model is asked to name the arguments that </w:t>
      </w:r>
      <w:r>
        <w:rPr>
          <w:i/>
        </w:rPr>
        <w:t>recur</w:t>
      </w:r>
      <w:r>
        <w:t xml:space="preserve"> across passages, and told explicitly that producing roughly as many arguments as passages is a failed read. The reading is </w:t>
      </w:r>
      <w:r>
        <w:rPr>
          <w:b/>
        </w:rPr>
        <w:t>blind</w:t>
      </w:r>
      <w:r>
        <w:t>: it sees the claims under bare handles, never the authors. Authorship visible during extraction would let the model decide what meets, which would make the later cross-author counts measure their own input.</w:t>
      </w:r>
    </w:p>
    <w:p>
      <w:r>
        <w:t xml:space="preserve">4. </w:t>
      </w:r>
      <w:r>
        <w:rPr>
          <w:b/>
        </w:rPr>
        <w:t>Merge</w:t>
      </w:r>
      <w:r>
        <w:t xml:space="preserve"> the near-duplicate namings, keeping every raw phrasing and how many times each argument was independently named.</w:t>
      </w:r>
    </w:p>
    <w:p>
      <w:r>
        <w:t xml:space="preserve">The current library yields </w:t>
      </w:r>
      <w:r>
        <w:rPr>
          <w:b/>
        </w:rPr>
        <w:t>1,937 positions</w:t>
      </w:r>
      <w:r>
        <w:t xml:space="preserve"> over 5,987 placed passages. Then every position is asked how it stands to its neighbours — again blind, again with </w:t>
      </w:r>
      <w:r>
        <w:rPr>
          <w:b/>
        </w:rPr>
        <w:t>no menu of relationship types</w:t>
      </w:r>
      <w:r>
        <w:t xml:space="preserve">, because an engine told to look for opposition finds opposition. That produced </w:t>
      </w:r>
      <w:r>
        <w:rPr>
          <w:b/>
        </w:rPr>
        <w:t>1,472 asserted relations</w:t>
      </w:r>
      <w:r>
        <w:t xml:space="preserve"> under </w:t>
      </w:r>
      <w:r>
        <w:rPr>
          <w:b/>
        </w:rPr>
        <w:t>504 labels the model coined itself</w:t>
      </w:r>
      <w:r>
        <w:t xml:space="preserve">, of which </w:t>
      </w:r>
      <w:r>
        <w:rPr>
          <w:b/>
        </w:rPr>
        <w:t>328 connect two positions with no author in common</w:t>
      </w:r>
      <w:r>
        <w:t xml:space="preserve"> — a genuine meeting between different books rather than one author elaborating on themself.</w:t>
      </w:r>
    </w:p>
    <w:p>
      <w:r>
        <w:t xml:space="preserve">The whole map cost </w:t>
      </w:r>
      <w:r>
        <w:rPr>
          <w:b/>
        </w:rPr>
        <w:t>$0.75 and 45 minutes</w:t>
      </w:r>
      <w:r>
        <w:t xml:space="preserve"> to build the first time. Rebuilding it after four books were added cost </w:t>
      </w:r>
      <w:r>
        <w:rPr>
          <w:b/>
        </w:rPr>
        <w:t>$0</w:t>
      </w:r>
      <w:r>
        <w:t xml:space="preserve"> and 157 seconds, because a passage already placed keeps its bag and a reading whose input did not change is never re-asked.</w:t>
      </w:r>
    </w:p>
    <w:p>
      <w:pPr>
        <w:pStyle w:val="Heading3"/>
      </w:pPr>
      <w:r>
        <w:t>3.2 When you ask</w:t>
      </w:r>
    </w:p>
    <w:p>
      <w:r>
        <w:rPr>
          <w:b/>
        </w:rPr>
        <w:t>The question is interrogated before it is answered.</w:t>
      </w:r>
      <w:r>
        <w:t xml:space="preserve"> A brief is a case and a request. Axial first tests it: does the library actually cover this, are there premises smuggled into the phrasing, should the answer be bounded, should the question be refused outright. </w:t>
      </w:r>
      <w:r>
        <w:rPr>
          <w:b/>
        </w:rPr>
        <w:t>Refusal is a completed run, not an error.</w:t>
      </w:r>
      <w:r>
        <w:t xml:space="preserve"> A refused question makes no synthesis call and drafts no paper, and still exits cleanly.</w:t>
      </w:r>
    </w:p>
    <w:p>
      <w:r>
        <w:t xml:space="preserve">Where the question's own terms produce a genuine, </w:t>
      </w:r>
      <w:r>
        <w:rPr>
          <w:i/>
        </w:rPr>
        <w:t>measured</w:t>
      </w:r>
      <w:r>
        <w:t xml:space="preserve"> fork — a real source imbalance, or a mismatch between the period the question asks about and the years the library's books were published — Axial asks the analyst, with options and free text. It never asks when no fork is found, which is the common case, and it never guesses a weight from the question's wording.</w:t>
      </w:r>
    </w:p>
    <w:p>
      <w:r>
        <w:rPr>
          <w:b/>
        </w:rPr>
        <w:t>Retrieval.</w:t>
      </w:r>
      <w:r>
        <w:t xml:space="preserve"> This is the one genuinely agentic loop in the system. The model plans and re-queries freely in the middle; code it cannot reach stands on both sides. It proposes one query at a time against ten deterministic tools over the notes, the name pages, the opposition edges and the argument-map positions. Every proposed call is validated against a schema before it touches the store. The tools contain no model calls: the same query returns the same passages in the same order, always.</w:t>
      </w:r>
    </w:p>
    <w:p>
      <w:r>
        <w:t xml:space="preserve">The feedback the model gets back states what the evidence set now holds and which books it spans, and nothing else. It is never told the budget or the cap, because a cap a model can see is a cap it argues with. It is also never told "you already asked that", because saying so was measured to </w:t>
      </w:r>
      <w:r>
        <w:rPr>
          <w:i/>
        </w:rPr>
        <w:t>raise</w:t>
      </w:r>
      <w:r>
        <w:t xml:space="preserve"> repeat queries from 14% to 20%.</w:t>
      </w:r>
    </w:p>
    <w:p>
      <w:r>
        <w:t>A second, optional path replaces this loop entirely, walking the map of arguments instead of the name pages. It has three steps, and the names for them are the report's own shorthand.</w:t>
      </w:r>
    </w:p>
    <w:p>
      <w:pPr>
        <w:spacing w:before="80"/>
        <w:ind w:left="432"/>
      </w:pPr>
      <w:r>
        <w:rPr>
          <w:b/>
          <w:i/>
        </w:rPr>
        <w:t>Door, landing, corridor.</w:t>
      </w:r>
      <w:r>
        <w:rPr>
          <w:i/>
        </w:rPr>
        <w:t xml:space="preserve"> The </w:t>
      </w:r>
      <w:r>
        <w:rPr>
          <w:i/>
        </w:rPr>
        <w:t>door</w:t>
      </w:r>
      <w:r>
        <w:rPr>
          <w:i/>
        </w:rPr>
        <w:t xml:space="preserve"> is the first step: Axial reads your question and states, in plain contestable sentences, what arguments the question is actually about. It does this before it has looked at the library at all, so what happens to be on the shelf cannot bend what the question is taken to mean. The </w:t>
      </w:r>
      <w:r>
        <w:rPr>
          <w:i/>
        </w:rPr>
        <w:t>landing</w:t>
      </w:r>
      <w:r>
        <w:rPr>
          <w:i/>
        </w:rPr>
        <w:t xml:space="preserve"> is where those stated arguments come to rest on the map: the positions that match them. The </w:t>
      </w:r>
      <w:r>
        <w:rPr>
          <w:i/>
        </w:rPr>
        <w:t>corridor</w:t>
      </w:r>
      <w:r>
        <w:rPr>
          <w:i/>
        </w:rPr>
        <w:t xml:space="preserve"> is what opens off the landing: every position that argues with something that landed, followed in both directions. The corridor is the point of the whole arrangement. It is how the account your answer has to reject arrives — because it argues with what you landed on, and not because your question happened to mention it.</w:t>
      </w:r>
    </w:p>
    <w:p>
      <w:r>
        <w:rPr>
          <w:b/>
        </w:rPr>
        <w:t>Synthesis.</w:t>
      </w:r>
      <w:r>
        <w:t xml:space="preserve"> The evidence is assembled deterministically, interleaved across sources so one book cannot spend the whole budget, and shown to the writing model under opaque short handles rather than real identifiers, so there is no long id in the prompt to transcribe or blend. The answer comes back as numbered claims, each marked:</w:t>
      </w:r>
    </w:p>
    <w:p>
      <w:pPr>
        <w:pStyle w:val="ListBullet"/>
        <w:spacing w:after="60"/>
      </w:pPr>
      <w:r>
        <w:rPr>
          <w:b/>
        </w:rPr>
        <w:t>(a) source-says</w:t>
      </w:r>
      <w:r>
        <w:t xml:space="preserve"> — a source in the library asserts it, cited to the passage that does;</w:t>
      </w:r>
    </w:p>
    <w:p>
      <w:pPr>
        <w:pStyle w:val="ListBullet"/>
        <w:spacing w:after="60"/>
      </w:pPr>
      <w:r>
        <w:rPr>
          <w:b/>
        </w:rPr>
        <w:t>(b) tool-infers-across-sources</w:t>
      </w:r>
      <w:r>
        <w:t xml:space="preserve"> — Axial's own inference relating what different books say. </w:t>
      </w:r>
      <w:r>
        <w:rPr>
          <w:b/>
        </w:rPr>
        <w:t>This is the new knowledge, and it is also the whole risk</w:t>
      </w:r>
      <w:r>
        <w:t>, so it is never allowed to appear in a source's voice;</w:t>
      </w:r>
    </w:p>
    <w:p>
      <w:pPr>
        <w:pStyle w:val="ListBullet"/>
        <w:spacing w:after="60"/>
      </w:pPr>
      <w:r>
        <w:rPr>
          <w:b/>
        </w:rPr>
        <w:t>(c) the analyst's judgment</w:t>
      </w:r>
      <w:r>
        <w:t xml:space="preserve"> — reasoning that runs past what the corpus grounds, marked as such.</w:t>
      </w:r>
    </w:p>
    <w:p>
      <w:pPr>
        <w:spacing w:before="80"/>
        <w:ind w:left="432"/>
      </w:pPr>
      <w:r>
        <w:rPr>
          <w:b/>
          <w:i/>
        </w:rPr>
        <w:t>Grounds, and the confidence band.</w:t>
      </w:r>
      <w:r>
        <w:rPr>
          <w:i/>
        </w:rPr>
        <w:t xml:space="preserve"> A claim's </w:t>
      </w:r>
      <w:r>
        <w:rPr>
          <w:i/>
        </w:rPr>
        <w:t>grounds</w:t>
      </w:r>
      <w:r>
        <w:rPr>
          <w:i/>
        </w:rPr>
        <w:t xml:space="preserve"> are the specific passages it rests on — not a book, not a page range, but the exact passages, recorded as pointers a machine can follow back to the text. Every claim of the first two kinds must carry them, and every pointer must resolve, or the claim is rejected. The </w:t>
      </w:r>
      <w:r>
        <w:rPr>
          <w:i/>
        </w:rPr>
        <w:t>confidence band</w:t>
      </w:r>
      <w:r>
        <w:rPr>
          <w:i/>
        </w:rPr>
        <w:t xml:space="preserve"> is Axial's own statement of how much weight a claim will bear, in three steps: high, medium or low. It is deliberately three words and never a number, because a decimal like 0.87 implies a precision nothing here could justify.</w:t>
      </w:r>
    </w:p>
    <w:p>
      <w:r>
        <w:rPr>
          <w:b/>
        </w:rPr>
        <w:t>Checking.</w:t>
      </w:r>
      <w:r>
        <w:t xml:space="preserve"> Mechanical checks then run outside the model's control. Does every claim carry a kind? Do its cited passages actually resolve? Is there a counter-position stating the opposing case at its strongest, or an explicit statement that the library is one-sided here? Is there a coverage map saying how much evidence each name in the answer rests on, and a confidence band that cannot exceed what that coverage supports? A failed check blocks release.</w:t>
      </w:r>
    </w:p>
    <w:p>
      <w:r>
        <w:t xml:space="preserve">If an answer leans on a name the library holds three passages about, the answer's stated confidence is pulled down to match, whatever the writing model thought of itself. </w:t>
      </w:r>
      <w:r>
        <w:rPr>
          <w:b/>
        </w:rPr>
        <w:t>Confidence is capped by evidence, not by tone.</w:t>
      </w:r>
    </w:p>
    <w:p>
      <w:r>
        <w:rPr>
          <w:b/>
        </w:rPr>
        <w:t>The paper.</w:t>
      </w:r>
      <w:r>
        <w:t xml:space="preserve"> The answer is not the deliverable. Once it is written and persisted, Axial drafts the paper it is the material for: it takes an inventory of the claims that survived, plans a narrative arc with a role for each section, drafts one section at a time, builds a citation index, and renders the paper with a bibliography of exactly the books it actually cited.</w:t>
      </w:r>
    </w:p>
    <w:p>
      <w:r>
        <w:t xml:space="preserve">The drafter sees the claim inventory and what earlier sections already cited. That is its entire world. </w:t>
      </w:r>
      <w:r>
        <w:rPr>
          <w:b/>
        </w:rPr>
        <w:t>It has no retrieval tools and no access to the library</w:t>
      </w:r>
      <w:r>
        <w:t>, so generate-then-cite is not forbidden by instruction, it is impossible by construction. An unknown citation marker is fatal at indexing rather than repaired.</w:t>
      </w:r>
    </w:p>
    <w:p>
      <w:r>
        <w:t>Drafting roughly doubles the cost of a question, from $0.11–$0.30 for the answer to a further $0.08–$0.20 for the paper. A flag stops at the answer for exploratory work.</w:t>
      </w:r>
    </w:p>
    <w:p>
      <w:pPr>
        <w:pStyle w:val="Heading2"/>
      </w:pPr>
      <w:r>
        <w:t>4. Every question Axial asks</w:t>
      </w:r>
    </w:p>
    <w:p>
      <w:r>
        <w:t>Inside the pipeline, a model is consulted in sixteen places, plus a set of judges that sit outside it. Nowhere is it asked to pick from a list. Every one of the sixteen is an open question with an explicit right to answer "I cannot tell from this", and in every one code assembles what the model sees and reads what comes back.</w:t>
      </w:r>
    </w:p>
    <w:p>
      <w:r>
        <w:t>The inventory below is complete. The questions are quoted from the working system, lightly trimmed for length.</w:t>
      </w:r>
    </w:p>
    <w:p>
      <w:pPr>
        <w:pStyle w:val="Heading3"/>
      </w:pPr>
      <w:r>
        <w:t>4.1 Reading the corpus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 Envelope</w:t>
            </w:r>
          </w:p>
        </w:tc>
        <w:tc>
          <w:tcPr>
            <w:tcW w:type="dxa" w:w="2376"/>
          </w:tcPr>
          <w:p>
            <w:pPr>
              <w:spacing w:after="40"/>
            </w:pPr>
            <w:r>
              <w:rPr>
                <w:sz w:val="18"/>
              </w:rPr>
            </w:r>
            <w:r>
              <w:rPr>
                <w:sz w:val="18"/>
              </w:rPr>
              <w:t>Each book's own opening and closing prose</w:t>
            </w:r>
          </w:p>
        </w:tc>
        <w:tc>
          <w:tcPr>
            <w:tcW w:type="dxa" w:w="2376"/>
          </w:tcPr>
          <w:p>
            <w:pPr>
              <w:spacing w:after="40"/>
            </w:pPr>
            <w:r>
              <w:rPr>
                <w:sz w:val="18"/>
              </w:rPr>
            </w:r>
            <w:r>
              <w:rPr>
                <w:sz w:val="18"/>
              </w:rPr>
              <w:t>Once per book</w:t>
            </w:r>
          </w:p>
        </w:tc>
        <w:tc>
          <w:tcPr>
            <w:tcW w:type="dxa" w:w="2376"/>
          </w:tcPr>
          <w:p>
            <w:pPr>
              <w:spacing w:after="40"/>
            </w:pPr>
            <w:r>
              <w:rPr>
                <w:sz w:val="18"/>
              </w:rPr>
            </w:r>
            <w:r>
              <w:rPr>
                <w:sz w:val="18"/>
              </w:rPr>
              <w:t xml:space="preserve">What is the author's stated thesis, the scope of the argument, the argument as restated, and the table of contents? </w:t>
            </w:r>
            <w:r>
              <w:rPr>
                <w:i/>
                <w:sz w:val="18"/>
              </w:rPr>
              <w:t>Based only on the supplied text. Do not infer from the title, the filename, or any outside knowledge.</w:t>
            </w:r>
          </w:p>
        </w:tc>
      </w:tr>
      <w:tr>
        <w:tc>
          <w:tcPr>
            <w:tcW w:type="dxa" w:w="2376"/>
          </w:tcPr>
          <w:p>
            <w:pPr>
              <w:spacing w:after="40"/>
            </w:pPr>
            <w:r>
              <w:rPr>
                <w:sz w:val="18"/>
              </w:rPr>
            </w:r>
            <w:r>
              <w:rPr>
                <w:b/>
                <w:sz w:val="18"/>
              </w:rPr>
              <w:t>2. Interrogation</w:t>
            </w:r>
          </w:p>
        </w:tc>
        <w:tc>
          <w:tcPr>
            <w:tcW w:type="dxa" w:w="2376"/>
          </w:tcPr>
          <w:p>
            <w:pPr>
              <w:spacing w:after="40"/>
            </w:pPr>
            <w:r>
              <w:rPr>
                <w:sz w:val="18"/>
              </w:rPr>
            </w:r>
            <w:r>
              <w:rPr>
                <w:sz w:val="18"/>
              </w:rPr>
              <w:t>One passage</w:t>
            </w:r>
          </w:p>
        </w:tc>
        <w:tc>
          <w:tcPr>
            <w:tcW w:type="dxa" w:w="2376"/>
          </w:tcPr>
          <w:p>
            <w:pPr>
              <w:spacing w:after="40"/>
            </w:pPr>
            <w:r>
              <w:rPr>
                <w:sz w:val="18"/>
              </w:rPr>
            </w:r>
            <w:r>
              <w:rPr>
                <w:sz w:val="18"/>
              </w:rPr>
              <w:t>Once per passage</w:t>
            </w:r>
          </w:p>
        </w:tc>
        <w:tc>
          <w:tcPr>
            <w:tcW w:type="dxa" w:w="2376"/>
          </w:tcPr>
          <w:p>
            <w:pPr>
              <w:spacing w:after="40"/>
            </w:pPr>
            <w:r>
              <w:rPr>
                <w:sz w:val="18"/>
              </w:rPr>
            </w:r>
            <w:r>
              <w:rPr>
                <w:sz w:val="18"/>
              </w:rPr>
              <w:t xml:space="preserve">The fourteen questions in section 3.1. </w:t>
            </w:r>
            <w:r>
              <w:rPr>
                <w:i/>
                <w:sz w:val="18"/>
              </w:rPr>
              <w:t>Answer only from the passage. If it does not support an answer, say so. A guessed answer is worse than an abstention, because a reader cannot tell it from one you actually read.</w:t>
            </w:r>
          </w:p>
        </w:tc>
      </w:tr>
      <w:tr>
        <w:tc>
          <w:tcPr>
            <w:tcW w:type="dxa" w:w="2376"/>
          </w:tcPr>
          <w:p>
            <w:pPr>
              <w:spacing w:after="40"/>
            </w:pPr>
            <w:r>
              <w:rPr>
                <w:sz w:val="18"/>
              </w:rPr>
            </w:r>
            <w:r>
              <w:rPr>
                <w:b/>
                <w:sz w:val="18"/>
              </w:rPr>
              <w:t>3. Name merging</w:t>
            </w:r>
          </w:p>
        </w:tc>
        <w:tc>
          <w:tcPr>
            <w:tcW w:type="dxa" w:w="2376"/>
          </w:tcPr>
          <w:p>
            <w:pPr>
              <w:spacing w:after="40"/>
            </w:pPr>
            <w:r>
              <w:rPr>
                <w:sz w:val="18"/>
              </w:rPr>
            </w:r>
            <w:r>
              <w:rPr>
                <w:sz w:val="18"/>
              </w:rPr>
              <w:t>A cluster of similar-looking name forms</w:t>
            </w:r>
          </w:p>
        </w:tc>
        <w:tc>
          <w:tcPr>
            <w:tcW w:type="dxa" w:w="2376"/>
          </w:tcPr>
          <w:p>
            <w:pPr>
              <w:spacing w:after="40"/>
            </w:pPr>
            <w:r>
              <w:rPr>
                <w:sz w:val="18"/>
              </w:rPr>
            </w:r>
            <w:r>
              <w:rPr>
                <w:sz w:val="18"/>
              </w:rPr>
              <w:t>Once per cluster</w:t>
            </w:r>
          </w:p>
        </w:tc>
        <w:tc>
          <w:tcPr>
            <w:tcW w:type="dxa" w:w="2376"/>
          </w:tcPr>
          <w:p>
            <w:pPr>
              <w:spacing w:after="40"/>
            </w:pPr>
            <w:r>
              <w:rPr>
                <w:sz w:val="18"/>
              </w:rPr>
            </w:r>
            <w:r>
              <w:rPr>
                <w:sz w:val="18"/>
              </w:rPr>
              <w:t xml:space="preserve">"They were grouped together by a clustering algorithm because their wordings are similar. </w:t>
            </w:r>
            <w:r>
              <w:rPr>
                <w:b/>
                <w:sz w:val="18"/>
              </w:rPr>
              <w:t>That grouping is a hint, and it is often wrong.</w:t>
            </w:r>
            <w:r>
              <w:rPr>
                <w:sz w:val="18"/>
              </w:rPr>
              <w:t xml:space="preserve"> Decide which of them name the same thing… Where what is shown does not let you tell, say so instead of guessing."</w:t>
            </w:r>
          </w:p>
        </w:tc>
      </w:tr>
      <w:tr>
        <w:tc>
          <w:tcPr>
            <w:tcW w:type="dxa" w:w="2376"/>
          </w:tcPr>
          <w:p>
            <w:pPr>
              <w:spacing w:after="40"/>
            </w:pPr>
            <w:r>
              <w:rPr>
                <w:sz w:val="18"/>
              </w:rPr>
            </w:r>
            <w:r>
              <w:rPr>
                <w:b/>
                <w:sz w:val="18"/>
              </w:rPr>
              <w:t>4. Gather</w:t>
            </w:r>
          </w:p>
        </w:tc>
        <w:tc>
          <w:tcPr>
            <w:tcW w:type="dxa" w:w="2376"/>
          </w:tcPr>
          <w:p>
            <w:pPr>
              <w:spacing w:after="40"/>
            </w:pPr>
            <w:r>
              <w:rPr>
                <w:sz w:val="18"/>
              </w:rPr>
            </w:r>
            <w:r>
              <w:rPr>
                <w:sz w:val="18"/>
              </w:rPr>
              <w:t>Every passage that names one thing</w:t>
            </w:r>
          </w:p>
        </w:tc>
        <w:tc>
          <w:tcPr>
            <w:tcW w:type="dxa" w:w="2376"/>
          </w:tcPr>
          <w:p>
            <w:pPr>
              <w:spacing w:after="40"/>
            </w:pPr>
            <w:r>
              <w:rPr>
                <w:sz w:val="18"/>
              </w:rPr>
            </w:r>
            <w:r>
              <w:rPr>
                <w:sz w:val="18"/>
              </w:rPr>
              <w:t>Once per name</w:t>
            </w:r>
          </w:p>
        </w:tc>
        <w:tc>
          <w:tcPr>
            <w:tcW w:type="dxa" w:w="2376"/>
          </w:tcPr>
          <w:p>
            <w:pPr>
              <w:spacing w:after="40"/>
            </w:pPr>
            <w:r>
              <w:rPr>
                <w:sz w:val="18"/>
              </w:rPr>
            </w:r>
            <w:r>
              <w:rPr>
                <w:sz w:val="18"/>
              </w:rPr>
              <w:t xml:space="preserve">"Say what the disagreement actually is, in a few sentences, naming who holds which side… </w:t>
            </w:r>
            <w:r>
              <w:rPr>
                <w:b/>
                <w:sz w:val="18"/>
              </w:rPr>
              <w:t>null is a last resort, not the default answer.</w:t>
            </w:r>
            <w:r>
              <w:rPr>
                <w:sz w:val="18"/>
              </w:rPr>
              <w:t>"</w:t>
            </w:r>
          </w:p>
        </w:tc>
      </w:tr>
      <w:tr>
        <w:tc>
          <w:tcPr>
            <w:tcW w:type="dxa" w:w="2376"/>
          </w:tcPr>
          <w:p>
            <w:pPr>
              <w:spacing w:after="40"/>
            </w:pPr>
            <w:r>
              <w:rPr>
                <w:sz w:val="18"/>
              </w:rPr>
            </w:r>
            <w:r>
              <w:rPr>
                <w:b/>
                <w:sz w:val="18"/>
              </w:rPr>
              <w:t>5. Gather merge</w:t>
            </w:r>
          </w:p>
        </w:tc>
        <w:tc>
          <w:tcPr>
            <w:tcW w:type="dxa" w:w="2376"/>
          </w:tcPr>
          <w:p>
            <w:pPr>
              <w:spacing w:after="40"/>
            </w:pPr>
            <w:r>
              <w:rPr>
                <w:sz w:val="18"/>
              </w:rPr>
            </w:r>
            <w:r>
              <w:rPr>
                <w:sz w:val="18"/>
              </w:rPr>
              <w:t>The partial findings for one very large name</w:t>
            </w:r>
          </w:p>
        </w:tc>
        <w:tc>
          <w:tcPr>
            <w:tcW w:type="dxa" w:w="2376"/>
          </w:tcPr>
          <w:p>
            <w:pPr>
              <w:spacing w:after="40"/>
            </w:pPr>
            <w:r>
              <w:rPr>
                <w:sz w:val="18"/>
              </w:rPr>
            </w:r>
            <w:r>
              <w:rPr>
                <w:sz w:val="18"/>
              </w:rPr>
              <w:t>Only when one call could not hold the name</w:t>
            </w:r>
          </w:p>
        </w:tc>
        <w:tc>
          <w:tcPr>
            <w:tcW w:type="dxa" w:w="2376"/>
          </w:tcPr>
          <w:p>
            <w:pPr>
              <w:spacing w:after="40"/>
            </w:pPr>
            <w:r>
              <w:rPr>
                <w:sz w:val="18"/>
              </w:rPr>
            </w:r>
            <w:r>
              <w:rPr>
                <w:sz w:val="18"/>
              </w:rPr>
              <w:t>"Treat them as partial evidence about one name, never as competing claims to weigh against each other."</w:t>
            </w:r>
          </w:p>
        </w:tc>
      </w:tr>
      <w:tr>
        <w:tc>
          <w:tcPr>
            <w:tcW w:type="dxa" w:w="2376"/>
          </w:tcPr>
          <w:p>
            <w:pPr>
              <w:spacing w:after="40"/>
            </w:pPr>
            <w:r>
              <w:rPr>
                <w:sz w:val="18"/>
              </w:rPr>
            </w:r>
            <w:r>
              <w:rPr>
                <w:b/>
                <w:sz w:val="18"/>
              </w:rPr>
              <w:t>6. Position extraction</w:t>
            </w:r>
          </w:p>
        </w:tc>
        <w:tc>
          <w:tcPr>
            <w:tcW w:type="dxa" w:w="2376"/>
          </w:tcPr>
          <w:p>
            <w:pPr>
              <w:spacing w:after="40"/>
            </w:pPr>
            <w:r>
              <w:rPr>
                <w:sz w:val="18"/>
              </w:rPr>
            </w:r>
            <w:r>
              <w:rPr>
                <w:sz w:val="18"/>
              </w:rPr>
              <w:t xml:space="preserve">A group of passages with similar claims, shown </w:t>
            </w:r>
            <w:r>
              <w:rPr>
                <w:b/>
                <w:sz w:val="18"/>
              </w:rPr>
              <w:t>without their authors</w:t>
            </w:r>
          </w:p>
        </w:tc>
        <w:tc>
          <w:tcPr>
            <w:tcW w:type="dxa" w:w="2376"/>
          </w:tcPr>
          <w:p>
            <w:pPr>
              <w:spacing w:after="40"/>
            </w:pPr>
            <w:r>
              <w:rPr>
                <w:sz w:val="18"/>
              </w:rPr>
            </w:r>
            <w:r>
              <w:rPr>
                <w:sz w:val="18"/>
              </w:rPr>
              <w:t>Once per group</w:t>
            </w:r>
          </w:p>
        </w:tc>
        <w:tc>
          <w:tcPr>
            <w:tcW w:type="dxa" w:w="2376"/>
          </w:tcPr>
          <w:p>
            <w:pPr>
              <w:spacing w:after="40"/>
            </w:pPr>
            <w:r>
              <w:rPr>
                <w:sz w:val="18"/>
              </w:rPr>
            </w:r>
            <w:r>
              <w:rPr>
                <w:sz w:val="18"/>
              </w:rPr>
              <w:t xml:space="preserve">"Find the arguments running through these passages. Your job is to find </w:t>
            </w:r>
            <w:r>
              <w:rPr>
                <w:b/>
                <w:sz w:val="18"/>
              </w:rPr>
              <w:t>what RECURS</w:t>
            </w:r>
            <w:r>
              <w:rPr>
                <w:sz w:val="18"/>
              </w:rPr>
              <w:t xml:space="preserve">… If you are producing roughly as many arguments as there are passages, you are restating the passages rather than finding the arguments in them, and </w:t>
            </w:r>
            <w:r>
              <w:rPr>
                <w:b/>
                <w:sz w:val="18"/>
              </w:rPr>
              <w:t>you have not done the task</w:t>
            </w:r>
            <w:r>
              <w:rPr>
                <w:sz w:val="18"/>
              </w:rPr>
              <w:t>."</w:t>
            </w:r>
          </w:p>
        </w:tc>
      </w:tr>
      <w:tr>
        <w:tc>
          <w:tcPr>
            <w:tcW w:type="dxa" w:w="2376"/>
          </w:tcPr>
          <w:p>
            <w:pPr>
              <w:spacing w:after="40"/>
            </w:pPr>
            <w:r>
              <w:rPr>
                <w:sz w:val="18"/>
              </w:rPr>
            </w:r>
            <w:r>
              <w:rPr>
                <w:b/>
                <w:sz w:val="18"/>
              </w:rPr>
              <w:t>7. Relating positions</w:t>
            </w:r>
          </w:p>
        </w:tc>
        <w:tc>
          <w:tcPr>
            <w:tcW w:type="dxa" w:w="2376"/>
          </w:tcPr>
          <w:p>
            <w:pPr>
              <w:spacing w:after="40"/>
            </w:pPr>
            <w:r>
              <w:rPr>
                <w:sz w:val="18"/>
              </w:rPr>
            </w:r>
            <w:r>
              <w:rPr>
                <w:sz w:val="18"/>
              </w:rPr>
              <w:t xml:space="preserve">A neighbourhood of arguments, again </w:t>
            </w:r>
            <w:r>
              <w:rPr>
                <w:b/>
                <w:sz w:val="18"/>
              </w:rPr>
              <w:t>without authors</w:t>
            </w:r>
          </w:p>
        </w:tc>
        <w:tc>
          <w:tcPr>
            <w:tcW w:type="dxa" w:w="2376"/>
          </w:tcPr>
          <w:p>
            <w:pPr>
              <w:spacing w:after="40"/>
            </w:pPr>
            <w:r>
              <w:rPr>
                <w:sz w:val="18"/>
              </w:rPr>
            </w:r>
            <w:r>
              <w:rPr>
                <w:sz w:val="18"/>
              </w:rPr>
              <w:t>Once per neighbourhood</w:t>
            </w:r>
          </w:p>
        </w:tc>
        <w:tc>
          <w:tcPr>
            <w:tcW w:type="dxa" w:w="2376"/>
          </w:tcPr>
          <w:p>
            <w:pPr>
              <w:spacing w:after="40"/>
            </w:pPr>
            <w:r>
              <w:rPr>
                <w:sz w:val="18"/>
              </w:rPr>
            </w:r>
            <w:r>
              <w:rPr>
                <w:sz w:val="18"/>
              </w:rPr>
              <w:t xml:space="preserve">"Say how these arguments actually stand to one another… </w:t>
            </w:r>
            <w:r>
              <w:rPr>
                <w:b/>
                <w:sz w:val="18"/>
              </w:rPr>
              <w:t>There is no list of allowed relations.</w:t>
            </w:r>
            <w:r>
              <w:rPr>
                <w:sz w:val="18"/>
              </w:rPr>
              <w:t xml:space="preserve"> Do not pick from a menu and do not reach for opposition by default… </w:t>
            </w:r>
            <w:r>
              <w:rPr>
                <w:b/>
                <w:sz w:val="18"/>
              </w:rPr>
              <w:t>Most pairs have no relationship, and saying so costs nothing.</w:t>
            </w:r>
            <w:r>
              <w:rPr>
                <w:sz w:val="18"/>
              </w:rPr>
              <w:t>"</w:t>
            </w:r>
          </w:p>
        </w:tc>
      </w:tr>
    </w:tbl>
    <w:p/>
    <w:p>
      <w:r>
        <w:rPr>
          <w:b/>
        </w:rPr>
        <w:t>Questions 6 and 7 are asked blind.</w:t>
      </w:r>
      <w:r>
        <w:t xml:space="preserve"> The model is shown the claims and never the authors. If it could see who wrote what, it could decide that Mann and Tilly meet because they are Mann and Tilly. The count of how often the map joins different books would then be measuring the model's sense of who </w:t>
      </w:r>
      <w:r>
        <w:rPr>
          <w:i/>
        </w:rPr>
        <w:t>ought</w:t>
      </w:r>
      <w:r>
        <w:t xml:space="preserve"> to argue, not the corpus. Hiding the authors costs nothing and makes that count mean something.</w:t>
      </w:r>
    </w:p>
    <w:p>
      <w:r>
        <w:rPr>
          <w:b/>
        </w:rPr>
        <w:t>Question 7 is asked with no vocabulary at all.</w:t>
      </w:r>
      <w:r>
        <w:t xml:space="preserve"> Not "is this support or opposition?" but "what is actually there?" The consequence is measurable: because nothing asked for opposition, opposition came back at 6.6% rather than at whatever rate a leading question would have produced. The model invented 504 labels of its own.</w:t>
      </w:r>
    </w:p>
    <w:p>
      <w:pPr>
        <w:pStyle w:val="Heading3"/>
      </w:pPr>
      <w:r>
        <w:t>4.2 Answering a question</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8. Brief interrogation</w:t>
            </w:r>
          </w:p>
        </w:tc>
        <w:tc>
          <w:tcPr>
            <w:tcW w:type="dxa" w:w="2376"/>
          </w:tcPr>
          <w:p>
            <w:pPr>
              <w:spacing w:after="40"/>
            </w:pPr>
            <w:r>
              <w:rPr>
                <w:sz w:val="18"/>
              </w:rPr>
            </w:r>
            <w:r>
              <w:rPr>
                <w:sz w:val="18"/>
              </w:rPr>
              <w:t>Your question, against the library's measured coverage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"Find every premise smuggled into this brief's case and request, and test each one against the corpus coverage stated below — </w:t>
            </w:r>
            <w:r>
              <w:rPr>
                <w:b/>
                <w:sz w:val="18"/>
              </w:rPr>
              <w:t>never against what you recall or assume about the world</w:t>
            </w:r>
            <w:r>
              <w:rPr>
                <w:sz w:val="18"/>
              </w:rPr>
              <w:t>." Each premise comes back supported, contradicted, or the corpus is silent. Refusal is available.</w:t>
            </w:r>
          </w:p>
        </w:tc>
      </w:tr>
      <w:tr>
        <w:tc>
          <w:tcPr>
            <w:tcW w:type="dxa" w:w="2376"/>
          </w:tcPr>
          <w:p>
            <w:pPr>
              <w:spacing w:after="40"/>
            </w:pPr>
            <w:r>
              <w:rPr>
                <w:sz w:val="18"/>
              </w:rPr>
            </w:r>
            <w:r>
              <w:rPr>
                <w:b/>
                <w:sz w:val="18"/>
              </w:rPr>
              <w:t>9. Fork check</w:t>
            </w:r>
          </w:p>
        </w:tc>
        <w:tc>
          <w:tcPr>
            <w:tcW w:type="dxa" w:w="2376"/>
          </w:tcPr>
          <w:p>
            <w:pPr>
              <w:spacing w:after="40"/>
            </w:pPr>
            <w:r>
              <w:rPr>
                <w:sz w:val="18"/>
              </w:rPr>
            </w:r>
            <w:r>
              <w:rPr>
                <w:sz w:val="18"/>
              </w:rPr>
              <w:t>Your question, against a measured imbalance</w:t>
            </w:r>
          </w:p>
        </w:tc>
        <w:tc>
          <w:tcPr>
            <w:tcW w:type="dxa" w:w="2376"/>
          </w:tcPr>
          <w:p>
            <w:pPr>
              <w:spacing w:after="40"/>
            </w:pPr>
            <w:r>
              <w:rPr>
                <w:sz w:val="18"/>
              </w:rPr>
            </w:r>
            <w:r>
              <w:rPr>
                <w:sz w:val="18"/>
              </w:rPr>
              <w:t>Once, and usually finds nothing</w:t>
            </w:r>
          </w:p>
        </w:tc>
        <w:tc>
          <w:tcPr>
            <w:tcW w:type="dxa" w:w="2376"/>
          </w:tcPr>
          <w:p>
            <w:pPr>
              <w:spacing w:after="40"/>
            </w:pPr>
            <w:r>
              <w:rPr>
                <w:sz w:val="18"/>
              </w:rPr>
            </w:r>
            <w:r>
              <w:rPr>
                <w:sz w:val="18"/>
              </w:rPr>
              <w:t>Is there a real fork here — a source imbalance, or a mismatch between the period you asked about and the years the books were published — that would change what evidence gets assembled? If so, ask the analyst. If not, do not.</w:t>
            </w:r>
          </w:p>
        </w:tc>
      </w:tr>
      <w:tr>
        <w:tc>
          <w:tcPr>
            <w:tcW w:type="dxa" w:w="2376"/>
          </w:tcPr>
          <w:p>
            <w:pPr>
              <w:spacing w:after="40"/>
            </w:pPr>
            <w:r>
              <w:rPr>
                <w:sz w:val="18"/>
              </w:rPr>
            </w:r>
            <w:r>
              <w:rPr>
                <w:b/>
                <w:sz w:val="18"/>
              </w:rPr>
              <w:t>10. Retrieval</w:t>
            </w:r>
          </w:p>
        </w:tc>
        <w:tc>
          <w:tcPr>
            <w:tcW w:type="dxa" w:w="2376"/>
          </w:tcPr>
          <w:p>
            <w:pPr>
              <w:spacing w:after="40"/>
            </w:pPr>
            <w:r>
              <w:rPr>
                <w:sz w:val="18"/>
              </w:rPr>
            </w:r>
            <w:r>
              <w:rPr>
                <w:sz w:val="18"/>
              </w:rPr>
              <w:t>The library, through ten deterministic tools</w:t>
            </w:r>
          </w:p>
        </w:tc>
        <w:tc>
          <w:tcPr>
            <w:tcW w:type="dxa" w:w="2376"/>
          </w:tcPr>
          <w:p>
            <w:pPr>
              <w:spacing w:after="40"/>
            </w:pPr>
            <w:r>
              <w:rPr>
                <w:sz w:val="18"/>
              </w:rPr>
            </w:r>
            <w:r>
              <w:rPr>
                <w:sz w:val="18"/>
              </w:rPr>
              <w:t>Many turns, bounded</w:t>
            </w:r>
          </w:p>
        </w:tc>
        <w:tc>
          <w:tcPr>
            <w:tcW w:type="dxa" w:w="2376"/>
          </w:tcPr>
          <w:p>
            <w:pPr>
              <w:spacing w:after="40"/>
            </w:pPr>
            <w:r>
              <w:rPr>
                <w:sz w:val="18"/>
              </w:rPr>
            </w:r>
            <w:r>
              <w:rPr>
                <w:sz w:val="18"/>
              </w:rPr>
              <w:t>Which passages bear on this? The model proposes one query at a time and is told back only what the evidence set now holds and which books it spans.</w:t>
            </w:r>
          </w:p>
        </w:tc>
      </w:tr>
      <w:tr>
        <w:tc>
          <w:tcPr>
            <w:tcW w:type="dxa" w:w="2376"/>
          </w:tcPr>
          <w:p>
            <w:pPr>
              <w:spacing w:after="40"/>
            </w:pPr>
            <w:r>
              <w:rPr>
                <w:sz w:val="18"/>
              </w:rPr>
            </w:r>
            <w:r>
              <w:rPr>
                <w:b/>
                <w:sz w:val="18"/>
              </w:rPr>
              <w:t>11. The door</w:t>
            </w:r>
            <w:r>
              <w:rPr>
                <w:sz w:val="18"/>
              </w:rPr>
              <w:t xml:space="preserve"> </w:t>
            </w:r>
            <w:r>
              <w:rPr>
                <w:i/>
                <w:sz w:val="18"/>
              </w:rPr>
              <w:t>(optional map path)</w:t>
            </w:r>
          </w:p>
        </w:tc>
        <w:tc>
          <w:tcPr>
            <w:tcW w:type="dxa" w:w="2376"/>
          </w:tcPr>
          <w:p>
            <w:pPr>
              <w:spacing w:after="40"/>
            </w:pPr>
            <w:r>
              <w:rPr>
                <w:sz w:val="18"/>
              </w:rPr>
            </w:r>
            <w:r>
              <w:rPr>
                <w:sz w:val="18"/>
              </w:rPr>
              <w:t xml:space="preserve">Your question alone, </w:t>
            </w:r>
            <w:r>
              <w:rPr>
                <w:b/>
                <w:sz w:val="18"/>
              </w:rPr>
              <w:t>before anything shows it the corpus</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"Say what arguments this question is actually about. Write each one as a standalone sentence that a scholar could assert and another could deny… </w:t>
            </w:r>
            <w:r>
              <w:rPr>
                <w:b/>
                <w:sz w:val="18"/>
              </w:rPr>
              <w:t>Name no authors and no books.</w:t>
            </w:r>
            <w:r>
              <w:rPr>
                <w:sz w:val="18"/>
              </w:rPr>
              <w:t xml:space="preserve"> Do not hedge and do not balance. Each account gets its strongest statement, </w:t>
            </w:r>
            <w:r>
              <w:rPr>
                <w:b/>
                <w:sz w:val="18"/>
              </w:rPr>
              <w:t>including the one the question may end up rejecting</w:t>
            </w:r>
            <w:r>
              <w:rPr>
                <w:sz w:val="18"/>
              </w:rPr>
              <w:t>."</w:t>
            </w:r>
          </w:p>
        </w:tc>
      </w:tr>
      <w:tr>
        <w:tc>
          <w:tcPr>
            <w:tcW w:type="dxa" w:w="2376"/>
          </w:tcPr>
          <w:p>
            <w:pPr>
              <w:spacing w:after="40"/>
            </w:pPr>
            <w:r>
              <w:rPr>
                <w:sz w:val="18"/>
              </w:rPr>
            </w:r>
            <w:r>
              <w:rPr>
                <w:b/>
                <w:sz w:val="18"/>
              </w:rPr>
              <w:t>12. Synthesis</w:t>
            </w:r>
          </w:p>
        </w:tc>
        <w:tc>
          <w:tcPr>
            <w:tcW w:type="dxa" w:w="2376"/>
          </w:tcPr>
          <w:p>
            <w:pPr>
              <w:spacing w:after="40"/>
            </w:pPr>
            <w:r>
              <w:rPr>
                <w:sz w:val="18"/>
              </w:rPr>
            </w:r>
            <w:r>
              <w:rPr>
                <w:sz w:val="18"/>
              </w:rPr>
              <w:t>The assembled evidence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"Answer this question, using the evidence below as your grounds… Where this question asks you to choose between positions, </w:t>
            </w:r>
            <w:r>
              <w:rPr>
                <w:b/>
                <w:sz w:val="18"/>
              </w:rPr>
              <w:t>your answer must commit to one of them and defend it</w:t>
            </w:r>
            <w:r>
              <w:rPr>
                <w:sz w:val="18"/>
              </w:rPr>
              <w:t xml:space="preserve">, rather than surveying the positions without settling anything. </w:t>
            </w:r>
            <w:r>
              <w:rPr>
                <w:b/>
                <w:sz w:val="18"/>
              </w:rPr>
              <w:t>At least one claim must also state plainly where the account you commit to is weak or fails.</w:t>
            </w:r>
            <w:r>
              <w:rPr>
                <w:sz w:val="18"/>
              </w:rPr>
              <w:t>" Every claim is marked (a), (b) or (c) and carries its grounds.</w:t>
            </w:r>
          </w:p>
        </w:tc>
      </w:tr>
      <w:tr>
        <w:tc>
          <w:tcPr>
            <w:tcW w:type="dxa" w:w="2376"/>
          </w:tcPr>
          <w:p>
            <w:pPr>
              <w:spacing w:after="40"/>
            </w:pPr>
            <w:r>
              <w:rPr>
                <w:sz w:val="18"/>
              </w:rPr>
            </w:r>
            <w:r>
              <w:rPr>
                <w:b/>
                <w:sz w:val="18"/>
              </w:rPr>
              <w:t>13. Counter-position</w:t>
            </w:r>
          </w:p>
        </w:tc>
        <w:tc>
          <w:tcPr>
            <w:tcW w:type="dxa" w:w="2376"/>
          </w:tcPr>
          <w:p>
            <w:pPr>
              <w:spacing w:after="40"/>
            </w:pPr>
            <w:r>
              <w:rPr>
                <w:sz w:val="18"/>
              </w:rPr>
            </w:r>
            <w:r>
              <w:rPr>
                <w:sz w:val="18"/>
              </w:rPr>
              <w:t>The same evidence, when the question is contested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"State the </w:t>
            </w:r>
            <w:r>
              <w:rPr>
                <w:b/>
                <w:sz w:val="18"/>
              </w:rPr>
              <w:t>strongest</w:t>
            </w:r>
            <w:r>
              <w:rPr>
                <w:sz w:val="18"/>
              </w:rPr>
              <w:t xml:space="preserve"> opposing position the corpus itself supports, or say plainly that it does not — </w:t>
            </w:r>
            <w:r>
              <w:rPr>
                <w:b/>
                <w:sz w:val="18"/>
              </w:rPr>
              <w:t>never to invent one</w:t>
            </w:r>
            <w:r>
              <w:rPr>
                <w:sz w:val="18"/>
              </w:rPr>
              <w:t>."</w:t>
            </w:r>
          </w:p>
        </w:tc>
      </w:tr>
    </w:tbl>
    <w:p/>
    <w:p>
      <w:r>
        <w:t>The synthesis instruction forbids the failure mode a careful assistant defaults to. A model asked to weigh two accounts will usually produce a balanced summary in which both have a point, because that is the safest-sounding output. Axial requires a verdict, and then requires the verdict's own weakness to be stated as a claim in its own right.</w:t>
      </w:r>
    </w:p>
    <w:p>
      <w:pPr>
        <w:pStyle w:val="Heading3"/>
      </w:pPr>
      <w:r>
        <w:t>4.3 Writing the paper</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14. Arc plan</w:t>
            </w:r>
          </w:p>
        </w:tc>
        <w:tc>
          <w:tcPr>
            <w:tcW w:type="dxa" w:w="2376"/>
          </w:tcPr>
          <w:p>
            <w:pPr>
              <w:spacing w:after="40"/>
            </w:pPr>
            <w:r>
              <w:rPr>
                <w:sz w:val="18"/>
              </w:rPr>
            </w:r>
            <w:r>
              <w:rPr>
                <w:sz w:val="18"/>
              </w:rPr>
              <w:t>The inventory of claims that survived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"Plan an arc. Order the sections so each earns the next, and assign each claim to the section that uses it… </w:t>
            </w:r>
            <w:r>
              <w:rPr>
                <w:b/>
                <w:sz w:val="18"/>
              </w:rPr>
              <w:t>At least one section must state the opposing position at its strongest</w:t>
            </w:r>
            <w:r>
              <w:rPr>
                <w:sz w:val="18"/>
              </w:rPr>
              <w:t>, unless the records themselves report the corpus is one-sided. A paper that quietly drops the side it disagrees with is the failure this pass most needs to avoid."</w:t>
            </w:r>
          </w:p>
        </w:tc>
      </w:tr>
      <w:tr>
        <w:tc>
          <w:tcPr>
            <w:tcW w:type="dxa" w:w="2376"/>
          </w:tcPr>
          <w:p>
            <w:pPr>
              <w:spacing w:after="40"/>
            </w:pPr>
            <w:r>
              <w:rPr>
                <w:sz w:val="18"/>
              </w:rPr>
            </w:r>
            <w:r>
              <w:rPr>
                <w:b/>
                <w:sz w:val="18"/>
              </w:rPr>
              <w:t>15. Drafting</w:t>
            </w:r>
          </w:p>
        </w:tc>
        <w:tc>
          <w:tcPr>
            <w:tcW w:type="dxa" w:w="2376"/>
          </w:tcPr>
          <w:p>
            <w:pPr>
              <w:spacing w:after="40"/>
            </w:pPr>
            <w:r>
              <w:rPr>
                <w:sz w:val="18"/>
              </w:rPr>
            </w:r>
            <w:r>
              <w:rPr>
                <w:sz w:val="18"/>
              </w:rPr>
              <w:t>One section's assigned claims</w:t>
            </w:r>
          </w:p>
        </w:tc>
        <w:tc>
          <w:tcPr>
            <w:tcW w:type="dxa" w:w="2376"/>
          </w:tcPr>
          <w:p>
            <w:pPr>
              <w:spacing w:after="40"/>
            </w:pPr>
            <w:r>
              <w:rPr>
                <w:sz w:val="18"/>
              </w:rPr>
            </w:r>
            <w:r>
              <w:rPr>
                <w:sz w:val="18"/>
              </w:rPr>
              <w:t>Once per section</w:t>
            </w:r>
          </w:p>
        </w:tc>
        <w:tc>
          <w:tcPr>
            <w:tcW w:type="dxa" w:w="2376"/>
          </w:tcPr>
          <w:p>
            <w:pPr>
              <w:spacing w:after="40"/>
            </w:pPr>
            <w:r>
              <w:rPr>
                <w:sz w:val="18"/>
              </w:rPr>
            </w:r>
            <w:r>
              <w:rPr>
                <w:sz w:val="18"/>
              </w:rPr>
              <w:t xml:space="preserve">"Write ONE section of a paper. </w:t>
            </w:r>
            <w:r>
              <w:rPr>
                <w:b/>
                <w:sz w:val="18"/>
              </w:rPr>
              <w:t>You have no tools, no retrieval, and no access to any source: the claims below are the whole world</w:t>
            </w:r>
            <w:r>
              <w:rPr>
                <w:sz w:val="18"/>
              </w:rPr>
              <w:t>, and you may not assert anything that is not traceable to one of them."</w:t>
            </w:r>
          </w:p>
        </w:tc>
      </w:tr>
      <w:tr>
        <w:tc>
          <w:tcPr>
            <w:tcW w:type="dxa" w:w="2376"/>
          </w:tcPr>
          <w:p>
            <w:pPr>
              <w:spacing w:after="40"/>
            </w:pPr>
            <w:r>
              <w:rPr>
                <w:sz w:val="18"/>
              </w:rPr>
            </w:r>
            <w:r>
              <w:rPr>
                <w:b/>
                <w:sz w:val="18"/>
              </w:rPr>
              <w:t>16. Shape check</w:t>
            </w:r>
          </w:p>
        </w:tc>
        <w:tc>
          <w:tcPr>
            <w:tcW w:type="dxa" w:w="2376"/>
          </w:tcPr>
          <w:p>
            <w:pPr>
              <w:spacing w:after="40"/>
            </w:pPr>
            <w:r>
              <w:rPr>
                <w:sz w:val="18"/>
              </w:rPr>
            </w:r>
            <w:r>
              <w:rPr>
                <w:sz w:val="18"/>
              </w:rPr>
              <w:t>The finished paper</w:t>
            </w:r>
          </w:p>
        </w:tc>
        <w:tc>
          <w:tcPr>
            <w:tcW w:type="dxa" w:w="2376"/>
          </w:tcPr>
          <w:p>
            <w:pPr>
              <w:spacing w:after="40"/>
            </w:pPr>
            <w:r>
              <w:rPr>
                <w:sz w:val="18"/>
              </w:rPr>
            </w:r>
            <w:r>
              <w:rPr>
                <w:sz w:val="18"/>
              </w:rPr>
              <w:t>Once</w:t>
            </w:r>
          </w:p>
        </w:tc>
        <w:tc>
          <w:tcPr>
            <w:tcW w:type="dxa" w:w="2376"/>
          </w:tcPr>
          <w:p>
            <w:pPr>
              <w:spacing w:after="40"/>
            </w:pPr>
            <w:r>
              <w:rPr>
                <w:sz w:val="18"/>
              </w:rPr>
            </w:r>
            <w:r>
              <w:rPr>
                <w:sz w:val="18"/>
              </w:rPr>
              <w:t>Does this read as an argument or as a list? Reported, never blocking.</w:t>
            </w:r>
          </w:p>
        </w:tc>
      </w:tr>
    </w:tbl>
    <w:p/>
    <w:p>
      <w:pPr>
        <w:pStyle w:val="Heading3"/>
      </w:pPr>
      <w:r>
        <w:t>4.4 The judges, which sit outside the pipeline</w:t>
      </w:r>
    </w:p>
    <w:p>
      <w:r>
        <w:t xml:space="preserve">Five bounded checks — does a cited passage support its claim, is an inference contradicted by its own evidence, is the opposing case stated at its strongest (a </w:t>
      </w:r>
      <w:r>
        <w:rPr>
          <w:i/>
        </w:rPr>
        <w:t>steelman</w:t>
      </w:r>
      <w:r>
        <w:t xml:space="preserve">) or knocked down in a weakened form nobody actually holds (a </w:t>
      </w:r>
      <w:r>
        <w:rPr>
          <w:i/>
        </w:rPr>
        <w:t>strawman</w:t>
      </w:r>
      <w:r>
        <w:t>), did the pre-pass catch the planted premise, did the answer do something the case declares disqualifying — plus the sealed review panel.</w:t>
      </w:r>
    </w:p>
    <w:p>
      <w:r>
        <w:rPr>
          <w:b/>
        </w:rPr>
        <w:t>None of them may be run by the model that produced the thing being judged.</w:t>
      </w:r>
      <w:r>
        <w:t xml:space="preserve"> The guard raises before the call is made, not after. The panel goes further and requires a different training lab, because a family-mate's agreement is weak evidence.</w:t>
      </w:r>
    </w:p>
    <w:p>
      <w:pPr>
        <w:pStyle w:val="Heading2"/>
      </w:pPr>
      <w:r>
        <w:t>5. Why questions, and not tags</w:t>
      </w:r>
    </w:p>
    <w:p>
      <w:r>
        <w:t>Axial's first version did the standard thing, and the standard thing failed in a way worth reporting, because the same approach is what most document-intelligence and knowledge-graph products are built on today.</w:t>
      </w:r>
    </w:p>
    <w:p>
      <w:pPr>
        <w:pStyle w:val="Heading3"/>
      </w:pPr>
      <w:r>
        <w:t>5.1 What the first version did</w:t>
      </w:r>
    </w:p>
    <w:p>
      <w:r>
        <w:t xml:space="preserve">Every passage was </w:t>
      </w:r>
      <w:r>
        <w:rPr>
          <w:b/>
        </w:rPr>
        <w:t>tagged</w:t>
      </w:r>
      <w:r>
        <w:t xml:space="preserve"> against five closed vocabularies: what field it belonged to, what kind of claim it made, which theoretical school it spoke from, what its empirical scope was, and what role it played in the argument. A separate pass looked for cross-references. This is the mechanical version of axial coding, and it is exactly what a knowledge-graph pipeline does: turn text into attributes, then query the attributes.</w:t>
      </w:r>
    </w:p>
    <w:p>
      <w:r>
        <w:t xml:space="preserve">For months the tags looked fine. A model read a passage, produced a sensible label, and moved on. Nobody had measured whether the labels were </w:t>
      </w:r>
      <w:r>
        <w:rPr>
          <w:i/>
        </w:rPr>
        <w:t>right</w:t>
      </w:r>
      <w:r>
        <w:t>, because measuring requires an answer key.</w:t>
      </w:r>
    </w:p>
    <w:p>
      <w:pPr>
        <w:pStyle w:val="Heading3"/>
      </w:pPr>
      <w:r>
        <w:t>5.2 The measurement</w:t>
      </w:r>
    </w:p>
    <w:p>
      <w:r>
        <w:t>Two frontier models from two different labs were given the same neutral instructions and independently labelled the same 120 passages. Two independent labellers means agreement can be measured.</w:t>
      </w:r>
    </w:p>
    <w:p>
      <w:r>
        <w:rPr>
          <w:b/>
        </w:rPr>
        <w:t>On the two hardest axes — kind of claim, and theoretical school — they agreed 49% of the time.</w:t>
      </w:r>
      <w:r>
        <w:t xml:space="preserve"> The internal bar for keeping an axis at all was 60%. Both were underwater.</w:t>
      </w:r>
    </w:p>
    <w:p>
      <w:r>
        <w:t>The three obvious reactions were each tested, and each did nothing.</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The obvious fix</w:t>
            </w:r>
          </w:p>
        </w:tc>
        <w:tc>
          <w:tcPr>
            <w:tcW w:type="dxa" w:w="4752"/>
          </w:tcPr>
          <w:p>
            <w:pPr>
              <w:spacing w:after="40"/>
            </w:pPr>
            <w:r>
              <w:rPr>
                <w:b/>
                <w:sz w:val="18"/>
              </w:rPr>
            </w:r>
            <w:r>
              <w:rPr>
                <w:b/>
                <w:sz w:val="18"/>
              </w:rPr>
              <w:t>What happened</w:t>
            </w:r>
          </w:p>
        </w:tc>
      </w:tr>
      <w:tr>
        <w:tc>
          <w:tcPr>
            <w:tcW w:type="dxa" w:w="4752"/>
          </w:tcPr>
          <w:p>
            <w:pPr>
              <w:spacing w:after="40"/>
            </w:pPr>
            <w:r>
              <w:rPr>
                <w:sz w:val="18"/>
              </w:rPr>
            </w:r>
            <w:r>
              <w:rPr>
                <w:sz w:val="18"/>
              </w:rPr>
              <w:t>"Use a smarter model."</w:t>
            </w:r>
          </w:p>
        </w:tc>
        <w:tc>
          <w:tcPr>
            <w:tcW w:type="dxa" w:w="4752"/>
          </w:tcPr>
          <w:p>
            <w:pPr>
              <w:spacing w:after="40"/>
            </w:pPr>
            <w:r>
              <w:rPr>
                <w:sz w:val="18"/>
              </w:rPr>
            </w:r>
            <w:r>
              <w:rPr>
                <w:sz w:val="18"/>
              </w:rPr>
              <w:t xml:space="preserve">The cheap production tagger agreed with one frontier labeller </w:t>
            </w:r>
            <w:r>
              <w:rPr>
                <w:b/>
                <w:sz w:val="18"/>
              </w:rPr>
              <w:t>more</w:t>
            </w:r>
            <w:r>
              <w:rPr>
                <w:sz w:val="18"/>
              </w:rPr>
              <w:t xml:space="preserve"> than the two frontier labellers agreed with each other. The model was not the lever.</w:t>
            </w:r>
          </w:p>
        </w:tc>
      </w:tr>
      <w:tr>
        <w:tc>
          <w:tcPr>
            <w:tcW w:type="dxa" w:w="4752"/>
          </w:tcPr>
          <w:p>
            <w:pPr>
              <w:spacing w:after="40"/>
            </w:pPr>
            <w:r>
              <w:rPr>
                <w:sz w:val="18"/>
              </w:rPr>
            </w:r>
            <w:r>
              <w:rPr>
                <w:sz w:val="18"/>
              </w:rPr>
              <w:t>"The definitions are vague, rewrite them."</w:t>
            </w:r>
          </w:p>
        </w:tc>
        <w:tc>
          <w:tcPr>
            <w:tcW w:type="dxa" w:w="4752"/>
          </w:tcPr>
          <w:p>
            <w:pPr>
              <w:spacing w:after="40"/>
            </w:pPr>
            <w:r>
              <w:rPr>
                <w:sz w:val="18"/>
              </w:rPr>
            </w:r>
            <w:r>
              <w:rPr>
                <w:sz w:val="18"/>
              </w:rPr>
              <w:t xml:space="preserve">A codebook rewrite costing 55% more prompt moved agreement by </w:t>
            </w:r>
            <w:r>
              <w:rPr>
                <w:b/>
                <w:sz w:val="18"/>
              </w:rPr>
              <w:t>roughly zero</w:t>
            </w:r>
            <w:r>
              <w:rPr>
                <w:sz w:val="18"/>
              </w:rPr>
              <w:t xml:space="preserve">. An explicit rule about what unit to label added </w:t>
            </w:r>
            <w:r>
              <w:rPr>
                <w:b/>
                <w:sz w:val="18"/>
              </w:rPr>
              <w:t>0.02</w:t>
            </w:r>
            <w:r>
              <w:rPr>
                <w:sz w:val="18"/>
              </w:rPr>
              <w:t>.</w:t>
            </w:r>
          </w:p>
        </w:tc>
      </w:tr>
      <w:tr>
        <w:tc>
          <w:tcPr>
            <w:tcW w:type="dxa" w:w="4752"/>
          </w:tcPr>
          <w:p>
            <w:pPr>
              <w:spacing w:after="40"/>
            </w:pPr>
            <w:r>
              <w:rPr>
                <w:sz w:val="18"/>
              </w:rPr>
            </w:r>
            <w:r>
              <w:rPr>
                <w:sz w:val="18"/>
              </w:rPr>
              <w:t>"Give it more context."</w:t>
            </w:r>
          </w:p>
        </w:tc>
        <w:tc>
          <w:tcPr>
            <w:tcW w:type="dxa" w:w="4752"/>
          </w:tcPr>
          <w:p>
            <w:pPr>
              <w:spacing w:after="40"/>
            </w:pPr>
            <w:r>
              <w:rPr>
                <w:sz w:val="18"/>
              </w:rPr>
            </w:r>
            <w:r>
              <w:rPr>
                <w:sz w:val="18"/>
              </w:rPr>
              <w:t xml:space="preserve">Feeding the book's own thesis and stated argument into the labelling call scored </w:t>
            </w:r>
            <w:r>
              <w:rPr>
                <w:b/>
                <w:sz w:val="18"/>
              </w:rPr>
              <w:t>−0.01</w:t>
            </w:r>
            <w:r>
              <w:rPr>
                <w:sz w:val="18"/>
              </w:rPr>
              <w:t xml:space="preserve"> on the full sample.</w:t>
            </w:r>
          </w:p>
        </w:tc>
      </w:tr>
    </w:tbl>
    <w:p/>
    <w:p>
      <w:pPr>
        <w:pStyle w:val="Heading3"/>
      </w:pPr>
      <w:r>
        <w:t>5.3 The finding that ended the approach</w:t>
      </w:r>
    </w:p>
    <w:p>
      <w:r>
        <w:t>Then the ceiling was measured, and there was nothing left to fix.</w:t>
      </w:r>
    </w:p>
    <w:p>
      <w:r>
        <w:rPr>
          <w:b/>
        </w:rPr>
        <w:t>The same model, given the identical prompt twice, reproduced its own theoretical-school label only 73% of the time.</w:t>
      </w:r>
      <w:r>
        <w:t xml:space="preserve"> Two independent coders also agreed 73%. Agreement between two readers cannot exceed the reliability of one reader with themself, so there was no headroom. The disagreement was not in the model, the prompt, or the definitions.</w:t>
      </w:r>
    </w:p>
    <w:p>
      <w:r>
        <w:rPr>
          <w:b/>
        </w:rPr>
        <w:t>It was in the question.</w:t>
      </w:r>
      <w:r>
        <w:t xml:space="preserve"> "Which school does this passage speak from?" does not have one answer. A closed vocabulary forces one anyway, and then the number it produces looks like knowledge.</w:t>
      </w:r>
    </w:p>
    <w:p>
      <w:r>
        <w:t>A majority vote across several draws was built and shipped, and it did raise reliability. It did not repair anything, because the reliability was never the real problem.</w:t>
      </w:r>
    </w:p>
    <w:p>
      <w:pPr>
        <w:pStyle w:val="Heading3"/>
      </w:pPr>
      <w:r>
        <w:t>5.4 The structural failure underneath</w:t>
      </w:r>
    </w:p>
    <w:p>
      <w:r>
        <w:t>At the end of that version, over 31 books, the corpus looked like this: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Passages tagged</w:t>
            </w:r>
          </w:p>
        </w:tc>
        <w:tc>
          <w:tcPr>
            <w:tcW w:type="dxa" w:w="4752"/>
          </w:tcPr>
          <w:p>
            <w:pPr>
              <w:spacing w:after="40"/>
            </w:pPr>
            <w:r>
              <w:rPr>
                <w:sz w:val="18"/>
              </w:rPr>
            </w:r>
            <w:r>
              <w:rPr>
                <w:sz w:val="18"/>
              </w:rPr>
              <w:t>18,761</w:t>
            </w:r>
          </w:p>
        </w:tc>
      </w:tr>
      <w:tr>
        <w:tc>
          <w:tcPr>
            <w:tcW w:type="dxa" w:w="4752"/>
          </w:tcPr>
          <w:p>
            <w:pPr>
              <w:spacing w:after="40"/>
            </w:pPr>
            <w:r>
              <w:rPr>
                <w:sz w:val="18"/>
              </w:rPr>
            </w:r>
            <w:r>
              <w:rPr>
                <w:sz w:val="18"/>
              </w:rPr>
              <w:t>Connections between passages</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Of those, inside a single book</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Links between two books</w:t>
            </w:r>
          </w:p>
        </w:tc>
        <w:tc>
          <w:tcPr>
            <w:tcW w:type="dxa" w:w="4752"/>
          </w:tcPr>
          <w:p>
            <w:pPr>
              <w:spacing w:after="40"/>
            </w:pPr>
            <w:r>
              <w:rPr>
                <w:sz w:val="18"/>
              </w:rPr>
            </w:r>
            <w:r>
              <w:rPr>
                <w:b/>
                <w:sz w:val="18"/>
              </w:rPr>
              <w:t>0</w:t>
            </w:r>
          </w:p>
        </w:tc>
      </w:tr>
      <w:tr>
        <w:tc>
          <w:tcPr>
            <w:tcW w:type="dxa" w:w="4752"/>
          </w:tcPr>
          <w:p>
            <w:pPr>
              <w:spacing w:after="40"/>
            </w:pPr>
            <w:r>
              <w:rPr>
                <w:sz w:val="18"/>
              </w:rPr>
            </w:r>
            <w:r>
              <w:rPr>
                <w:sz w:val="18"/>
              </w:rPr>
              <w:t>Links between two passages of prose</w:t>
            </w:r>
          </w:p>
        </w:tc>
        <w:tc>
          <w:tcPr>
            <w:tcW w:type="dxa" w:w="4752"/>
          </w:tcPr>
          <w:p>
            <w:pPr>
              <w:spacing w:after="40"/>
            </w:pPr>
            <w:r>
              <w:rPr>
                <w:sz w:val="18"/>
              </w:rPr>
            </w:r>
            <w:r>
              <w:rPr>
                <w:b/>
                <w:sz w:val="18"/>
              </w:rPr>
              <w:t>0</w:t>
            </w:r>
          </w:p>
        </w:tc>
      </w:tr>
    </w:tbl>
    <w:p/>
    <w:p>
      <w:r>
        <w:t>Not one connection across the library. And the cause was not a bad setting. The only mechanism that could ever create a connection asked a closed question and filtered the answer against that book's own list of figures, so its output was confined to one book by construction. No parameter could have produced a cross-book link.</w:t>
      </w:r>
    </w:p>
    <w:p>
      <w:r>
        <w:rPr>
          <w:b/>
        </w:rPr>
        <w:t>The diagnosis is one sentence: an attribute is not a relation.</w:t>
      </w:r>
      <w:r>
        <w:t xml:space="preserve"> A tag sorts a passage into a bin. Two passages in the same bin have been sorted the same way; they have not met. What actually makes two books argue is that one of them names Charles Tilly and so does the other, or that one says whom it argues against and the other is that target. </w:t>
      </w:r>
      <w:r>
        <w:rPr>
          <w:b/>
        </w:rPr>
        <w:t>A closed vocabulary cannot record either, because it has to know the answer before it reads.</w:t>
      </w:r>
    </w:p>
    <w:p>
      <w:pPr>
        <w:pStyle w:val="Heading3"/>
      </w:pPr>
      <w:r>
        <w:t>5.5 What replaced it</w:t>
      </w:r>
    </w:p>
    <w:p>
      <w:r>
        <w:t>The fix is the question, not a better detector. Ask what the passage says, in the passage's own words, and specifics come back rather than bins. Over the same books: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Tagging</w:t>
            </w:r>
          </w:p>
        </w:tc>
        <w:tc>
          <w:tcPr>
            <w:tcW w:type="dxa" w:w="3168"/>
          </w:tcPr>
          <w:p>
            <w:pPr>
              <w:spacing w:after="40"/>
            </w:pPr>
            <w:r>
              <w:rPr>
                <w:b/>
                <w:sz w:val="18"/>
              </w:rPr>
            </w:r>
            <w:r>
              <w:rPr>
                <w:b/>
                <w:sz w:val="18"/>
              </w:rPr>
              <w:t>Interrogation</w:t>
            </w:r>
          </w:p>
        </w:tc>
      </w:tr>
      <w:tr>
        <w:tc>
          <w:tcPr>
            <w:tcW w:type="dxa" w:w="3168"/>
          </w:tcPr>
          <w:p>
            <w:pPr>
              <w:spacing w:after="40"/>
            </w:pPr>
            <w:r>
              <w:rPr>
                <w:sz w:val="18"/>
              </w:rPr>
            </w:r>
            <w:r>
              <w:rPr>
                <w:sz w:val="18"/>
              </w:rPr>
              <w:t>Passages</w:t>
            </w:r>
          </w:p>
        </w:tc>
        <w:tc>
          <w:tcPr>
            <w:tcW w:type="dxa" w:w="3168"/>
          </w:tcPr>
          <w:p>
            <w:pPr>
              <w:spacing w:after="40"/>
            </w:pPr>
            <w:r>
              <w:rPr>
                <w:sz w:val="18"/>
              </w:rPr>
            </w:r>
            <w:r>
              <w:rPr>
                <w:sz w:val="18"/>
              </w:rPr>
              <w:t>18,761</w:t>
            </w:r>
          </w:p>
        </w:tc>
        <w:tc>
          <w:tcPr>
            <w:tcW w:type="dxa" w:w="3168"/>
          </w:tcPr>
          <w:p>
            <w:pPr>
              <w:spacing w:after="40"/>
            </w:pPr>
            <w:r>
              <w:rPr>
                <w:sz w:val="18"/>
              </w:rPr>
            </w:r>
            <w:r>
              <w:rPr>
                <w:sz w:val="18"/>
              </w:rPr>
              <w:t>6,148</w:t>
            </w:r>
          </w:p>
        </w:tc>
      </w:tr>
      <w:tr>
        <w:tc>
          <w:tcPr>
            <w:tcW w:type="dxa" w:w="3168"/>
          </w:tcPr>
          <w:p>
            <w:pPr>
              <w:spacing w:after="40"/>
            </w:pPr>
            <w:r>
              <w:rPr>
                <w:sz w:val="18"/>
              </w:rPr>
            </w:r>
            <w:r>
              <w:rPr>
                <w:sz w:val="18"/>
              </w:rPr>
              <w:t>Names shared across books</w:t>
            </w:r>
          </w:p>
        </w:tc>
        <w:tc>
          <w:tcPr>
            <w:tcW w:type="dxa" w:w="3168"/>
          </w:tcPr>
          <w:p>
            <w:pPr>
              <w:spacing w:after="40"/>
            </w:pPr>
            <w:r>
              <w:rPr>
                <w:sz w:val="18"/>
              </w:rPr>
            </w:r>
            <w:r>
              <w:rPr>
                <w:sz w:val="18"/>
              </w:rPr>
              <w:t>—</w:t>
            </w:r>
          </w:p>
        </w:tc>
        <w:tc>
          <w:tcPr>
            <w:tcW w:type="dxa" w:w="3168"/>
          </w:tcPr>
          <w:p>
            <w:pPr>
              <w:spacing w:after="40"/>
            </w:pPr>
            <w:r>
              <w:rPr>
                <w:sz w:val="18"/>
              </w:rPr>
            </w:r>
            <w:r>
              <w:rPr>
                <w:b/>
                <w:sz w:val="18"/>
              </w:rPr>
              <w:t>9,505</w:t>
            </w:r>
          </w:p>
        </w:tc>
      </w:tr>
      <w:tr>
        <w:tc>
          <w:tcPr>
            <w:tcW w:type="dxa" w:w="3168"/>
          </w:tcPr>
          <w:p>
            <w:pPr>
              <w:spacing w:after="40"/>
            </w:pPr>
            <w:r>
              <w:rPr>
                <w:sz w:val="18"/>
              </w:rPr>
            </w:r>
            <w:r>
              <w:rPr>
                <w:sz w:val="18"/>
              </w:rPr>
              <w:t>Of those, shared across different authors</w:t>
            </w:r>
          </w:p>
        </w:tc>
        <w:tc>
          <w:tcPr>
            <w:tcW w:type="dxa" w:w="3168"/>
          </w:tcPr>
          <w:p>
            <w:pPr>
              <w:spacing w:after="40"/>
            </w:pPr>
            <w:r>
              <w:rPr>
                <w:sz w:val="18"/>
              </w:rPr>
            </w:r>
            <w:r>
              <w:rPr>
                <w:sz w:val="18"/>
              </w:rPr>
              <w:t>—</w:t>
            </w:r>
          </w:p>
        </w:tc>
        <w:tc>
          <w:tcPr>
            <w:tcW w:type="dxa" w:w="3168"/>
          </w:tcPr>
          <w:p>
            <w:pPr>
              <w:spacing w:after="40"/>
            </w:pPr>
            <w:r>
              <w:rPr>
                <w:sz w:val="18"/>
              </w:rPr>
            </w:r>
            <w:r>
              <w:rPr>
                <w:b/>
                <w:sz w:val="18"/>
              </w:rPr>
              <w:t>8,769</w:t>
            </w:r>
          </w:p>
        </w:tc>
      </w:tr>
      <w:tr>
        <w:tc>
          <w:tcPr>
            <w:tcW w:type="dxa" w:w="3168"/>
          </w:tcPr>
          <w:p>
            <w:pPr>
              <w:spacing w:after="40"/>
            </w:pPr>
            <w:r>
              <w:rPr>
                <w:sz w:val="18"/>
              </w:rPr>
            </w:r>
            <w:r>
              <w:rPr>
                <w:sz w:val="18"/>
              </w:rPr>
              <w:t>Stated disagreements between authors</w:t>
            </w:r>
          </w:p>
        </w:tc>
        <w:tc>
          <w:tcPr>
            <w:tcW w:type="dxa" w:w="3168"/>
          </w:tcPr>
          <w:p>
            <w:pPr>
              <w:spacing w:after="40"/>
            </w:pPr>
            <w:r>
              <w:rPr>
                <w:sz w:val="18"/>
              </w:rPr>
            </w:r>
            <w:r>
              <w:rPr>
                <w:sz w:val="18"/>
              </w:rPr>
              <w:t>0</w:t>
            </w:r>
          </w:p>
        </w:tc>
        <w:tc>
          <w:tcPr>
            <w:tcW w:type="dxa" w:w="3168"/>
          </w:tcPr>
          <w:p>
            <w:pPr>
              <w:spacing w:after="40"/>
            </w:pPr>
            <w:r>
              <w:rPr>
                <w:sz w:val="18"/>
              </w:rPr>
            </w:r>
            <w:r>
              <w:rPr>
                <w:b/>
                <w:sz w:val="18"/>
              </w:rPr>
              <w:t>447</w:t>
            </w:r>
          </w:p>
        </w:tc>
      </w:tr>
    </w:tbl>
    <w:p/>
    <w:p>
      <w:r>
        <w:t>The passage count fell because the passages got bigger, deliberately, to fit whole arguments. Everything else appeared for the first time.</w:t>
      </w:r>
    </w:p>
    <w:p>
      <w:pPr>
        <w:pStyle w:val="Heading3"/>
      </w:pPr>
      <w:r>
        <w:t>5.6 The same lesson, twice more</w:t>
      </w:r>
    </w:p>
    <w:p>
      <w:r>
        <w:rPr>
          <w:b/>
        </w:rPr>
        <w:t>Once at retrieval.</w:t>
      </w:r>
      <w:r>
        <w:t xml:space="preserve"> Interrogation produced a graph, and then materialisation threw most of it away by grouping passages into pages by their surface string. Whom a passage argues against was answered on </w:t>
      </w:r>
      <w:r>
        <w:rPr>
          <w:b/>
        </w:rPr>
        <w:t>76.4%</w:t>
      </w:r>
      <w:r>
        <w:t xml:space="preserve"> of passages, and only </w:t>
      </w:r>
      <w:r>
        <w:rPr>
          <w:b/>
        </w:rPr>
        <w:t>4.7%</w:t>
      </w:r>
      <w:r>
        <w:t xml:space="preserve"> of those targets joined to anything a question could actually reach. The opposition was recorded and not indexed. Loading the same passages into a relational store lifted that to </w:t>
      </w:r>
      <w:r>
        <w:rPr>
          <w:b/>
        </w:rPr>
        <w:t>44%</w:t>
      </w:r>
      <w:r>
        <w:t xml:space="preserve"> and exposed </w:t>
      </w:r>
      <w:r>
        <w:rPr>
          <w:b/>
        </w:rPr>
        <w:t>43,101 cross-source opposition pairs</w:t>
      </w:r>
      <w:r>
        <w:t>. That is the redesign that made this version of the report necessary.</w:t>
      </w:r>
    </w:p>
    <w:p>
      <w:r>
        <w:rPr>
          <w:b/>
        </w:rPr>
        <w:t>Once at the argument map.</w:t>
      </w:r>
      <w:r>
        <w:t xml:space="preserve"> The relation pass could have been given a tidy list of relationship types. It was not, for the reason stated in section 4.1: an engine told to look for opposition finds opposition. Given no menu it coined 504 labels, and the shapes that recur were named afterwards from what came back.</w:t>
      </w:r>
    </w:p>
    <w:p>
      <w:pPr>
        <w:pStyle w:val="Heading3"/>
      </w:pPr>
      <w:r>
        <w:t>5.7 What the old vocabularies are still good for</w:t>
      </w:r>
    </w:p>
    <w:p>
      <w:r>
        <w:t xml:space="preserve">They did not disappear. They survive as </w:t>
      </w:r>
      <w:r>
        <w:rPr>
          <w:b/>
        </w:rPr>
        <w:t>examples</w:t>
      </w:r>
      <w:r>
        <w:t>, and the design around them is the single most important guard in the reading pass.</w:t>
      </w:r>
    </w:p>
    <w:p>
      <w:r>
        <w:t xml:space="preserve">The model answers every question in its own words </w:t>
      </w:r>
      <w:r>
        <w:rPr>
          <w:b/>
        </w:rPr>
        <w:t>first</w:t>
      </w:r>
      <w:r>
        <w:t xml:space="preserve">. Only afterwards is it shown the example vocabulary, in a separate section, with the instruction that these are "NOT a menu, NOT a vocabulary, and NOT a set of allowed answers", that "nothing checks your free answers against them", and that "an answer that matches none of them is the normal case". It then adds a </w:t>
      </w:r>
      <w:r>
        <w:rPr>
          <w:i/>
        </w:rPr>
        <w:t>second</w:t>
      </w:r>
      <w:r>
        <w:t>, separate note about which example its free answer happens to sit nearest, and whether the fit is close, loose or none. Code never bridges the two fields — no normalisation, no rewriting, no filling one from the other.</w:t>
      </w:r>
    </w:p>
    <w:p>
      <w:r>
        <w:t>That ordering is the whole difference between this design and the one it replaced. Reverse it and Axial is a tagger again, with extra steps, and nobody could tell from the output.</w:t>
      </w:r>
    </w:p>
    <w:p>
      <w:pPr>
        <w:pStyle w:val="Heading2"/>
      </w:pPr>
      <w:r>
        <w:t>6. Why any of it can be checked</w:t>
      </w:r>
    </w:p>
    <w:p>
      <w:r>
        <w:t xml:space="preserve">A production tool makes novel claims, and a novel claim has no answer key. There is no gold standard for "the right synthesis of thirty-five books". So Axial does not claim correctness. It claims </w:t>
      </w:r>
      <w:r>
        <w:rPr>
          <w:b/>
        </w:rPr>
        <w:t>auditability</w:t>
      </w:r>
      <w:r>
        <w:t xml:space="preserve">, and organises everything around one sentence: </w:t>
      </w:r>
      <w:r>
        <w:rPr>
          <w:i/>
        </w:rPr>
        <w:t>accountability to grounds, with honest confidence.</w:t>
      </w:r>
    </w:p>
    <w:p>
      <w:r>
        <w:t>Five commitments follow, and each is enforced somewhere a model cannot reach.</w:t>
      </w:r>
    </w:p>
    <w:p>
      <w:r>
        <w:rPr>
          <w:b/>
        </w:rPr>
        <w:t>Every claim is witnessed by the corpus, never by training memory.</w:t>
      </w:r>
      <w:r>
        <w:t xml:space="preserve"> The model's job is to reason </w:t>
      </w:r>
      <w:r>
        <w:rPr>
          <w:i/>
        </w:rPr>
        <w:t>across</w:t>
      </w:r>
      <w:r>
        <w:t xml:space="preserve"> grounded material, never to supply facts </w:t>
      </w:r>
      <w:r>
        <w:rPr>
          <w:i/>
        </w:rPr>
        <w:t>from itself</w:t>
      </w:r>
      <w:r>
        <w:t>. Where the corpus is silent the output says so.</w:t>
      </w:r>
    </w:p>
    <w:p>
      <w:r>
        <w:rPr>
          <w:b/>
        </w:rPr>
        <w:t>Outputs are assembled from grounded moves, never written and then fitted with citations.</w:t>
      </w:r>
      <w:r>
        <w:t xml:space="preserve"> Marking every assertion as one of three kinds makes the join visible — the </w:t>
      </w:r>
      <w:r>
        <w:rPr>
          <w:i/>
        </w:rPr>
        <w:t>seam</w:t>
      </w:r>
      <w:r>
        <w:t>, in this report's shorthand, being the line where what a source said stops and what Axial concluded begins. The (b) seam is where the value is and where the risk is, in the same place, so it is checked first.</w:t>
      </w:r>
    </w:p>
    <w:p>
      <w:r>
        <w:rPr>
          <w:b/>
        </w:rPr>
        <w:t>The brief is interrogated, not obeyed.</w:t>
      </w:r>
      <w:r>
        <w:t xml:space="preserve"> A research brief is a claim about what is worth asking, and it can be wrong. Bounding and refusal are first-class outputs.</w:t>
      </w:r>
    </w:p>
    <w:p>
      <w:r>
        <w:rPr>
          <w:b/>
        </w:rPr>
        <w:t>Counter-position is mandatory.</w:t>
      </w:r>
      <w:r>
        <w:t xml:space="preserve"> Comparative-historical sociology is a field of live disputes. A synthesis that reports one side has not settled the dispute, it has collapsed to one side and hidden that. </w:t>
      </w:r>
      <w:r>
        <w:rPr>
          <w:b/>
        </w:rPr>
        <w:t>On a contested question, no counter-position is a red flag, not a clean result.</w:t>
      </w:r>
      <w:r>
        <w:t xml:space="preserve"> When the library really is one-sided, the output says so and attributes the one-sidedness to the corpus, which is a different statement from "the sources agree".</w:t>
      </w:r>
    </w:p>
    <w:p>
      <w:r>
        <w:rPr>
          <w:b/>
        </w:rPr>
        <w:t>Confidence is disclosed, and trust is compositional.</w:t>
      </w:r>
      <w:r>
        <w:t xml:space="preserve"> There is no single quality score and none was invented. Trust decomposes into layers — is the substrate cleanly read, is every claim marked with the right kind, does the argument follow from its grounds, does stated confidence track reality — and a failure low down poisons everything above it. A flawless synthesis over a mis-attributed reading is worthless. The layers multiply; they do not average.</w:t>
      </w:r>
    </w:p>
    <w:p>
      <w:r>
        <w:t>Two structural properties support all five.</w:t>
      </w:r>
    </w:p>
    <w:p>
      <w:r>
        <w:rPr>
          <w:i/>
        </w:rPr>
        <w:t>Code holds the line on both sides of every model call.</w:t>
      </w:r>
      <w:r>
        <w:t xml:space="preserve"> Code assembles what the model sees, so a packet cannot overflow and a prompt cannot be talked into fetching more. Code reads what comes back, so an invented reference is dropped rather than repaired and a response nothing could be parsed from is never recorded as a verdict. And code keeps a ledger beside every paid pass, so an interrupted run resumes instead of paying twice.</w:t>
      </w:r>
    </w:p>
    <w:p>
      <w:r>
        <w:rPr>
          <w:i/>
        </w:rPr>
        <w:t>Nothing is a one-way door.</w:t>
      </w:r>
      <w:r>
        <w:t xml:space="preserve"> Every intermediate artifact is on disk and inspectable: the structural tree of each book, the seventeen answers for every passage, every name page, every position and relation, every retrieval step with the exact pages it touched, and the cost of each pass. A claim in a finished paper can be walked back to the passage in the book, by hand, in under a minute.</w:t>
      </w:r>
    </w:p>
    <w:p>
      <w:pPr>
        <w:pStyle w:val="Heading2"/>
      </w:pPr>
      <w:r>
        <w:t>7. What is actually in the library</w:t>
      </w:r>
    </w:p>
    <w:p>
      <w:r>
        <w:t xml:space="preserve">The current library is </w:t>
      </w:r>
      <w:r>
        <w:rPr>
          <w:b/>
        </w:rPr>
        <w:t>35 books</w:t>
      </w:r>
      <w:r>
        <w:t xml:space="preserve">, listed in full in </w:t>
      </w:r>
      <w:r>
        <w:rPr>
          <w:color w:val="C8553D"/>
        </w:rPr>
        <w:t>Appendix C</w:t>
      </w:r>
      <w:r>
        <w:t>. It is deliberately built around one case, Syria, set inside the comparative-historical literature on state formation, nationalism and political violence — Mann's four volumes, Tilly, Gellner, Wimmer, Smith, Kalyvas, Jackson, Caspersen, alongside Batatu, Ayubi, Heydemann, White, Hinnebusch, Gelvin, Wedeen, Üngör and Vignal.</w:t>
      </w:r>
    </w:p>
    <w:p>
      <w:r>
        <w:t xml:space="preserve">Reading it produced </w:t>
      </w:r>
      <w:r>
        <w:rPr>
          <w:b/>
        </w:rPr>
        <w:t>6,842 passages</w:t>
      </w:r>
      <w:r>
        <w:t xml:space="preserve"> and </w:t>
      </w:r>
      <w:r>
        <w:rPr>
          <w:b/>
        </w:rPr>
        <w:t>47,584 name pages</w:t>
      </w:r>
      <w:r>
        <w:t xml:space="preserve"> carrying 137,276 mentions.</w:t>
      </w:r>
    </w:p>
    <w:p>
      <w:r>
        <w:t xml:space="preserve">A separate report, </w:t>
      </w:r>
      <w:r>
        <w:rPr>
          <w:color w:val="C8553D"/>
        </w:rPr>
        <w:t>*Axial — what the library covers, and what it does not*</w:t>
      </w:r>
      <w:r>
        <w:t>, measures that index page by page. Its central finding is repeated here.</w:t>
      </w:r>
    </w:p>
    <w:p>
      <w:r>
        <w:rPr>
          <w:b/>
        </w:rPr>
        <w:t>A page is useful for research when it holds enough passages to compare and enough different books for the comparison to be between authors rather than within one.</w:t>
      </w:r>
      <w:r>
        <w:t xml:space="preserve"> That means roughly thirty to two hundred passages from five or more books. </w:t>
      </w:r>
      <w:r>
        <w:rPr>
          <w:b/>
        </w:rPr>
        <w:t>329 of the 47,584 pages meet that bar.</w:t>
      </w:r>
      <w:r>
        <w:t xml:space="preserve"> Seven in ten thousand.</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Median passages per page, every kind of name</w:t>
            </w:r>
          </w:p>
        </w:tc>
        <w:tc>
          <w:tcPr>
            <w:tcW w:type="dxa" w:w="4752"/>
          </w:tcPr>
          <w:p>
            <w:pPr>
              <w:spacing w:after="40"/>
            </w:pPr>
            <w:r>
              <w:rPr>
                <w:sz w:val="18"/>
              </w:rPr>
            </w:r>
            <w:r>
              <w:rPr>
                <w:b/>
                <w:sz w:val="18"/>
              </w:rPr>
              <w:t>1</w:t>
            </w:r>
          </w:p>
        </w:tc>
      </w:tr>
      <w:tr>
        <w:tc>
          <w:tcPr>
            <w:tcW w:type="dxa" w:w="4752"/>
          </w:tcPr>
          <w:p>
            <w:pPr>
              <w:spacing w:after="40"/>
            </w:pPr>
            <w:r>
              <w:rPr>
                <w:sz w:val="18"/>
              </w:rPr>
            </w:r>
            <w:r>
              <w:rPr>
                <w:sz w:val="18"/>
              </w:rPr>
              <w:t>Pages mentioned exactly once and never again</w:t>
            </w:r>
          </w:p>
        </w:tc>
        <w:tc>
          <w:tcPr>
            <w:tcW w:type="dxa" w:w="4752"/>
          </w:tcPr>
          <w:p>
            <w:pPr>
              <w:spacing w:after="40"/>
            </w:pPr>
            <w:r>
              <w:rPr>
                <w:sz w:val="18"/>
              </w:rPr>
            </w:r>
            <w:r>
              <w:rPr>
                <w:sz w:val="18"/>
              </w:rPr>
              <w:t>32,447 of 47,584</w:t>
            </w:r>
          </w:p>
        </w:tc>
      </w:tr>
      <w:tr>
        <w:tc>
          <w:tcPr>
            <w:tcW w:type="dxa" w:w="4752"/>
          </w:tcPr>
          <w:p>
            <w:pPr>
              <w:spacing w:after="40"/>
            </w:pPr>
            <w:r>
              <w:rPr>
                <w:sz w:val="18"/>
              </w:rPr>
            </w:r>
            <w:r>
              <w:rPr>
                <w:sz w:val="18"/>
              </w:rPr>
              <w:t>Pages that exist inside a single book</w:t>
            </w:r>
          </w:p>
        </w:tc>
        <w:tc>
          <w:tcPr>
            <w:tcW w:type="dxa" w:w="4752"/>
          </w:tcPr>
          <w:p>
            <w:pPr>
              <w:spacing w:after="40"/>
            </w:pPr>
            <w:r>
              <w:rPr>
                <w:sz w:val="18"/>
              </w:rPr>
            </w:r>
            <w:r>
              <w:rPr>
                <w:b/>
                <w:sz w:val="18"/>
              </w:rPr>
              <w:t>83.0%</w:t>
            </w:r>
          </w:p>
        </w:tc>
      </w:tr>
      <w:tr>
        <w:tc>
          <w:tcPr>
            <w:tcW w:type="dxa" w:w="4752"/>
          </w:tcPr>
          <w:p>
            <w:pPr>
              <w:spacing w:after="40"/>
            </w:pPr>
            <w:r>
              <w:rPr>
                <w:sz w:val="18"/>
              </w:rPr>
            </w:r>
            <w:r>
              <w:rPr>
                <w:sz w:val="18"/>
              </w:rPr>
              <w:t>Concepts discussed by five or more books at all</w:t>
            </w:r>
          </w:p>
        </w:tc>
        <w:tc>
          <w:tcPr>
            <w:tcW w:type="dxa" w:w="4752"/>
          </w:tcPr>
          <w:p>
            <w:pPr>
              <w:spacing w:after="40"/>
            </w:pPr>
            <w:r>
              <w:rPr>
                <w:sz w:val="18"/>
              </w:rPr>
            </w:r>
            <w:r>
              <w:rPr>
                <w:b/>
                <w:sz w:val="18"/>
              </w:rPr>
              <w:t>135</w:t>
            </w:r>
          </w:p>
        </w:tc>
      </w:tr>
      <w:tr>
        <w:tc>
          <w:tcPr>
            <w:tcW w:type="dxa" w:w="4752"/>
          </w:tcPr>
          <w:p>
            <w:pPr>
              <w:spacing w:after="40"/>
            </w:pPr>
            <w:r>
              <w:rPr>
                <w:sz w:val="18"/>
              </w:rPr>
            </w:r>
            <w:r>
              <w:rPr>
                <w:sz w:val="18"/>
              </w:rPr>
              <w:t>Concepts meeting the research bar</w:t>
            </w:r>
          </w:p>
        </w:tc>
        <w:tc>
          <w:tcPr>
            <w:tcW w:type="dxa" w:w="4752"/>
          </w:tcPr>
          <w:p>
            <w:pPr>
              <w:spacing w:after="40"/>
            </w:pPr>
            <w:r>
              <w:rPr>
                <w:sz w:val="18"/>
              </w:rPr>
            </w:r>
            <w:r>
              <w:rPr>
                <w:b/>
                <w:sz w:val="18"/>
              </w:rPr>
              <w:t>18</w:t>
            </w:r>
          </w:p>
        </w:tc>
      </w:tr>
    </w:tbl>
    <w:p/>
    <w:p>
      <w:r>
        <w:t>Three readings follow from this, and all three are useful.</w:t>
      </w:r>
    </w:p>
    <w:p>
      <w:r>
        <w:rPr>
          <w:b/>
        </w:rPr>
        <w:t>The tail is real and it is mostly bibliography.</w:t>
      </w:r>
      <w:r>
        <w:t xml:space="preserve"> The </w:t>
      </w:r>
      <w:r>
        <w:rPr>
          <w:i/>
        </w:rPr>
        <w:t>tail</w:t>
      </w:r>
      <w:r>
        <w:t xml:space="preserve"> is the long, thin end of the distribution: the enormous number of name pages that carry almost nothing, as against the small number that carry a great deal. Two in three pages are a name a passage mentioned once. Works cited are the extreme case: 94.2% appear in one book only, which is what a bibliography looks like when you index it.</w:t>
      </w:r>
    </w:p>
    <w:p>
      <w:r>
        <w:rPr>
          <w:b/>
        </w:rPr>
        <w:t>Places, not concepts, are this library's strongest entry points.</w:t>
      </w:r>
      <w:r>
        <w:t xml:space="preserve"> Countries and places hold 35,493 mentions off 4,670 pages, more than twice the density of any other kind, and 129 of the 329 research-grade pages. That is a genuine property of a case-organised shelf. Its authors meet each other over Syria, Iraq, Britain and France far more often than over any idea.</w:t>
      </w:r>
    </w:p>
    <w:p>
      <w:r>
        <w:rPr>
          <w:b/>
        </w:rPr>
        <w:t>Some topics are covered at length and yet not argued about.</w:t>
      </w:r>
      <w:r>
        <w:t xml:space="preserve"> Take every page with ten or more passages and ask whether one book supplies seventy percent of them. </w:t>
      </w:r>
      <w:r>
        <w:rPr>
          <w:i/>
        </w:rPr>
        <w:t>Negative sovereignty</w:t>
      </w:r>
      <w:r>
        <w:t xml:space="preserve">: 47 passages, 87% Jackson. </w:t>
      </w:r>
      <w:r>
        <w:rPr>
          <w:i/>
        </w:rPr>
        <w:t>State of exception</w:t>
      </w:r>
      <w:r>
        <w:t xml:space="preserve">: 27 passages, 93% Agamben. </w:t>
      </w:r>
      <w:r>
        <w:rPr>
          <w:i/>
        </w:rPr>
        <w:t>IEMP model</w:t>
      </w:r>
      <w:r>
        <w:t>: 80 passages, 82% Hall and Schroeder. These are not gaps in the ordinary sense. Every one is well covered. What is missing is a second author, which is a much more specific and much more fixable thing.</w:t>
      </w:r>
    </w:p>
    <w:p>
      <w:r>
        <w:t>That measurement is what tells us which book to add next, and it is computed mechanically from the finished index with no model asked to judge anything.</w:t>
      </w:r>
    </w:p>
    <w:p>
      <w:pPr>
        <w:pStyle w:val="Heading2"/>
      </w:pPr>
      <w:r>
        <w:t>8. How it was tested, and what the tests showed</w:t>
      </w:r>
    </w:p>
    <w:p>
      <w:pPr>
        <w:pStyle w:val="Heading3"/>
      </w:pPr>
      <w:r>
        <w:t>8.1 The principle: no single number, and no number without its frame</w:t>
      </w:r>
    </w:p>
    <w:p>
      <w:r>
        <w:t>Axial computes no aggregate accuracy score and must not. A single figure lets a strong layer average away a weak one, which is precisely the failure the design exists to avoid. Instead there are four instruments, on different clocks, each reported on its own terms.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Instrument</w:t>
            </w:r>
          </w:p>
        </w:tc>
        <w:tc>
          <w:tcPr>
            <w:tcW w:type="dxa" w:w="2376"/>
          </w:tcPr>
          <w:p>
            <w:pPr>
              <w:spacing w:after="40"/>
            </w:pPr>
            <w:r>
              <w:rPr>
                <w:b/>
                <w:sz w:val="18"/>
              </w:rPr>
            </w:r>
            <w:r>
              <w:rPr>
                <w:b/>
                <w:sz w:val="18"/>
              </w:rPr>
              <w:t>What it judges</w:t>
            </w:r>
          </w:p>
        </w:tc>
        <w:tc>
          <w:tcPr>
            <w:tcW w:type="dxa" w:w="2376"/>
          </w:tcPr>
          <w:p>
            <w:pPr>
              <w:spacing w:after="40"/>
            </w:pPr>
            <w:r>
              <w:rPr>
                <w:b/>
                <w:sz w:val="18"/>
              </w:rPr>
            </w:r>
            <w:r>
              <w:rPr>
                <w:b/>
                <w:sz w:val="18"/>
              </w:rPr>
              <w:t>When it runs</w:t>
            </w:r>
          </w:p>
        </w:tc>
        <w:tc>
          <w:tcPr>
            <w:tcW w:type="dxa" w:w="2376"/>
          </w:tcPr>
          <w:p>
            <w:pPr>
              <w:spacing w:after="40"/>
            </w:pPr>
            <w:r>
              <w:rPr>
                <w:b/>
                <w:sz w:val="18"/>
              </w:rPr>
            </w:r>
            <w:r>
              <w:rPr>
                <w:b/>
                <w:sz w:val="18"/>
              </w:rPr>
              <w:t>Can it block a release?</w:t>
            </w:r>
          </w:p>
        </w:tc>
      </w:tr>
      <w:tr>
        <w:tc>
          <w:tcPr>
            <w:tcW w:type="dxa" w:w="2376"/>
          </w:tcPr>
          <w:p>
            <w:pPr>
              <w:spacing w:after="40"/>
            </w:pPr>
            <w:r>
              <w:rPr>
                <w:sz w:val="18"/>
              </w:rPr>
            </w:r>
            <w:r>
              <w:rPr>
                <w:b/>
                <w:sz w:val="18"/>
              </w:rPr>
              <w:t>Mechanical checks</w:t>
            </w:r>
          </w:p>
        </w:tc>
        <w:tc>
          <w:tcPr>
            <w:tcW w:type="dxa" w:w="2376"/>
          </w:tcPr>
          <w:p>
            <w:pPr>
              <w:spacing w:after="40"/>
            </w:pPr>
            <w:r>
              <w:rPr>
                <w:sz w:val="18"/>
              </w:rPr>
            </w:r>
            <w:r>
              <w:rPr>
                <w:sz w:val="18"/>
              </w:rPr>
              <w:t>Does the output have the shape it must: kinds present, grounds resolvable, coverage map non-empty</w:t>
            </w:r>
          </w:p>
        </w:tc>
        <w:tc>
          <w:tcPr>
            <w:tcW w:type="dxa" w:w="2376"/>
          </w:tcPr>
          <w:p>
            <w:pPr>
              <w:spacing w:after="40"/>
            </w:pPr>
            <w:r>
              <w:rPr>
                <w:sz w:val="18"/>
              </w:rPr>
            </w:r>
            <w:r>
              <w:rPr>
                <w:sz w:val="18"/>
              </w:rPr>
              <w:t>Every run</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required-source oracle</w:t>
            </w:r>
          </w:p>
        </w:tc>
        <w:tc>
          <w:tcPr>
            <w:tcW w:type="dxa" w:w="2376"/>
          </w:tcPr>
          <w:p>
            <w:pPr>
              <w:spacing w:after="40"/>
            </w:pPr>
            <w:r>
              <w:rPr>
                <w:sz w:val="18"/>
              </w:rPr>
            </w:r>
            <w:r>
              <w:rPr>
                <w:sz w:val="18"/>
              </w:rPr>
              <w:t>Did the run's citations actually reach the books the question demands</w:t>
            </w:r>
          </w:p>
        </w:tc>
        <w:tc>
          <w:tcPr>
            <w:tcW w:type="dxa" w:w="2376"/>
          </w:tcPr>
          <w:p>
            <w:pPr>
              <w:spacing w:after="40"/>
            </w:pPr>
            <w:r>
              <w:rPr>
                <w:sz w:val="18"/>
              </w:rPr>
            </w:r>
            <w:r>
              <w:rPr>
                <w:sz w:val="18"/>
              </w:rPr>
              <w:t>On the test set</w:t>
            </w:r>
          </w:p>
        </w:tc>
        <w:tc>
          <w:tcPr>
            <w:tcW w:type="dxa" w:w="2376"/>
          </w:tcPr>
          <w:p>
            <w:pPr>
              <w:spacing w:after="40"/>
            </w:pPr>
            <w:r>
              <w:rPr>
                <w:sz w:val="18"/>
              </w:rPr>
            </w:r>
            <w:r>
              <w:rPr>
                <w:sz w:val="18"/>
              </w:rPr>
              <w:t>No — it is a measurement</w:t>
            </w:r>
          </w:p>
        </w:tc>
      </w:tr>
      <w:tr>
        <w:tc>
          <w:tcPr>
            <w:tcW w:type="dxa" w:w="2376"/>
          </w:tcPr>
          <w:p>
            <w:pPr>
              <w:spacing w:after="40"/>
            </w:pPr>
            <w:r>
              <w:rPr>
                <w:sz w:val="18"/>
              </w:rPr>
            </w:r>
            <w:r>
              <w:rPr>
                <w:b/>
                <w:sz w:val="18"/>
              </w:rPr>
              <w:t>The four paper gates</w:t>
            </w:r>
          </w:p>
        </w:tc>
        <w:tc>
          <w:tcPr>
            <w:tcW w:type="dxa" w:w="2376"/>
          </w:tcPr>
          <w:p>
            <w:pPr>
              <w:spacing w:after="40"/>
            </w:pPr>
            <w:r>
              <w:rPr>
                <w:sz w:val="18"/>
              </w:rPr>
            </w:r>
            <w:r>
              <w:rPr>
                <w:sz w:val="18"/>
              </w:rPr>
              <w:t>Provenance, grounding of new inferences, mislabelled seams, counter-position</w:t>
            </w:r>
          </w:p>
        </w:tc>
        <w:tc>
          <w:tcPr>
            <w:tcW w:type="dxa" w:w="2376"/>
          </w:tcPr>
          <w:p>
            <w:pPr>
              <w:spacing w:after="40"/>
            </w:pPr>
            <w:r>
              <w:rPr>
                <w:sz w:val="18"/>
              </w:rPr>
            </w:r>
            <w:r>
              <w:rPr>
                <w:sz w:val="18"/>
              </w:rPr>
              <w:t>Every paper</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sealed peer-review panel</w:t>
            </w:r>
          </w:p>
        </w:tc>
        <w:tc>
          <w:tcPr>
            <w:tcW w:type="dxa" w:w="2376"/>
          </w:tcPr>
          <w:p>
            <w:pPr>
              <w:spacing w:after="40"/>
            </w:pPr>
            <w:r>
              <w:rPr>
                <w:sz w:val="18"/>
              </w:rPr>
            </w:r>
            <w:r>
              <w:rPr>
                <w:sz w:val="18"/>
              </w:rPr>
              <w:t>Is the paper any good</w:t>
            </w:r>
          </w:p>
        </w:tc>
        <w:tc>
          <w:tcPr>
            <w:tcW w:type="dxa" w:w="2376"/>
          </w:tcPr>
          <w:p>
            <w:pPr>
              <w:spacing w:after="40"/>
            </w:pPr>
            <w:r>
              <w:rPr>
                <w:sz w:val="18"/>
              </w:rPr>
            </w:r>
            <w:r>
              <w:rPr>
                <w:sz w:val="18"/>
              </w:rPr>
              <w:t>Offline, on a sample</w:t>
            </w:r>
          </w:p>
        </w:tc>
        <w:tc>
          <w:tcPr>
            <w:tcW w:type="dxa" w:w="2376"/>
          </w:tcPr>
          <w:p>
            <w:pPr>
              <w:spacing w:after="40"/>
            </w:pPr>
            <w:r>
              <w:rPr>
                <w:sz w:val="18"/>
              </w:rPr>
            </w:r>
            <w:r>
              <w:rPr>
                <w:sz w:val="18"/>
              </w:rPr>
              <w:t>No — and deliberately so</w:t>
            </w:r>
          </w:p>
        </w:tc>
      </w:tr>
    </w:tbl>
    <w:p/>
    <w:p>
      <w:r>
        <w:t>Every number below is stated with the conditions that produced it. Where a figure is one draw of one question, it says so.</w:t>
      </w:r>
    </w:p>
    <w:p>
      <w:r>
        <w:rPr>
          <w:b/>
        </w:rPr>
        <w:t>The caveat that bounds every figure below.</w:t>
      </w:r>
      <w:r>
        <w:t xml:space="preserve"> Every test question in this report was written by an AI model, not by a working scholar. </w:t>
      </w:r>
      <w:r>
        <w:rPr>
          <w:b/>
        </w:rPr>
        <w:t>Every figure here therefore measures the engine. None of them measures answer quality against a real scholarly question.</w:t>
      </w:r>
    </w:p>
    <w:p>
      <w:r>
        <w:t>That arrangement was chosen so the engine could be built and hardened without waiting on anyone, and it did its job: a machine-written question exercises retrieval perfectly well, and nothing simulated was ever used as an answer key (</w:t>
      </w:r>
      <w:r>
        <w:rPr>
          <w:color w:val="C8553D"/>
        </w:rPr>
        <w:t>Appendix A</w:t>
      </w:r>
      <w:r>
        <w:t xml:space="preserve">). What it cannot do is tell us whether an answer is any good to a scholar who knows the field. That is the one instrument this project does not have, and closing the gap needs people rather than code. It is the substance of the request in </w:t>
      </w:r>
      <w:r>
        <w:rPr>
          <w:color w:val="C8553D"/>
        </w:rPr>
        <w:t>section 10</w:t>
      </w:r>
      <w:r>
        <w:t>, and the limit is carried in the specification so that no future run can quietly drop it while it stands.</w:t>
      </w:r>
    </w:p>
    <w:p>
      <w:pPr>
        <w:pStyle w:val="Heading3"/>
      </w:pPr>
      <w:r>
        <w:t>8.2 The engine test: nine questions, run end to end</w:t>
      </w:r>
    </w:p>
    <w:p>
      <w:r>
        <w:t>Six short briefs and three hard ones, each chosen to stress a different shape of search.</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Brief</w:t>
            </w:r>
          </w:p>
        </w:tc>
        <w:tc>
          <w:tcPr>
            <w:tcW w:type="dxa" w:w="4752"/>
          </w:tcPr>
          <w:p>
            <w:pPr>
              <w:spacing w:after="40"/>
            </w:pPr>
            <w:r>
              <w:rPr>
                <w:b/>
                <w:sz w:val="18"/>
              </w:rPr>
            </w:r>
            <w:r>
              <w:rPr>
                <w:b/>
                <w:sz w:val="18"/>
              </w:rPr>
              <w:t>Why it was chosen</w:t>
            </w:r>
          </w:p>
        </w:tc>
      </w:tr>
      <w:tr>
        <w:tc>
          <w:tcPr>
            <w:tcW w:type="dxa" w:w="4752"/>
          </w:tcPr>
          <w:p>
            <w:pPr>
              <w:spacing w:after="40"/>
            </w:pPr>
            <w:r>
              <w:rPr>
                <w:sz w:val="18"/>
              </w:rPr>
            </w:r>
            <w:r>
              <w:rPr>
                <w:b/>
                <w:sz w:val="18"/>
              </w:rPr>
              <w:t>P3-04</w:t>
            </w:r>
          </w:p>
        </w:tc>
        <w:tc>
          <w:tcPr>
            <w:tcW w:type="dxa" w:w="4752"/>
          </w:tcPr>
          <w:p>
            <w:pPr>
              <w:spacing w:after="40"/>
            </w:pPr>
            <w:r>
              <w:rPr>
                <w:sz w:val="18"/>
              </w:rPr>
            </w:r>
            <w:r>
              <w:rPr>
                <w:sz w:val="18"/>
              </w:rPr>
              <w:t xml:space="preserve">The library's centre of gravity. Its anchor, </w:t>
            </w:r>
            <w:r>
              <w:rPr>
                <w:rFonts w:ascii="Consolas" w:hAnsi="Consolas"/>
                <w:sz w:val="18"/>
              </w:rPr>
              <w:t>Syria</w:t>
            </w:r>
            <w:r>
              <w:rPr>
                <w:sz w:val="18"/>
              </w:rPr>
              <w:t>, carried 962 passages across 22 books — the case where one huge name can swamp everything else.</w:t>
            </w:r>
          </w:p>
        </w:tc>
      </w:tr>
      <w:tr>
        <w:tc>
          <w:tcPr>
            <w:tcW w:type="dxa" w:w="4752"/>
          </w:tcPr>
          <w:p>
            <w:pPr>
              <w:spacing w:after="40"/>
            </w:pPr>
            <w:r>
              <w:rPr>
                <w:sz w:val="18"/>
              </w:rPr>
            </w:r>
            <w:r>
              <w:rPr>
                <w:b/>
                <w:sz w:val="18"/>
              </w:rPr>
              <w:t>S-01</w:t>
            </w:r>
          </w:p>
        </w:tc>
        <w:tc>
          <w:tcPr>
            <w:tcW w:type="dxa" w:w="4752"/>
          </w:tcPr>
          <w:p>
            <w:pPr>
              <w:spacing w:after="40"/>
            </w:pPr>
            <w:r>
              <w:rPr>
                <w:sz w:val="18"/>
              </w:rPr>
            </w:r>
            <w:r>
              <w:rPr>
                <w:sz w:val="18"/>
              </w:rPr>
              <w:t>Scholar against scholar over a densely covered question: Tilly (154 passages, 20 books) against Mann (377, 15).</w:t>
            </w:r>
          </w:p>
        </w:tc>
      </w:tr>
      <w:tr>
        <w:tc>
          <w:tcPr>
            <w:tcW w:type="dxa" w:w="4752"/>
          </w:tcPr>
          <w:p>
            <w:pPr>
              <w:spacing w:after="40"/>
            </w:pPr>
            <w:r>
              <w:rPr>
                <w:sz w:val="18"/>
              </w:rPr>
            </w:r>
            <w:r>
              <w:rPr>
                <w:b/>
                <w:sz w:val="18"/>
              </w:rPr>
              <w:t>S-02</w:t>
            </w:r>
          </w:p>
        </w:tc>
        <w:tc>
          <w:tcPr>
            <w:tcW w:type="dxa" w:w="4752"/>
          </w:tcPr>
          <w:p>
            <w:pPr>
              <w:spacing w:after="40"/>
            </w:pPr>
            <w:r>
              <w:rPr>
                <w:sz w:val="18"/>
              </w:rPr>
            </w:r>
            <w:r>
              <w:rPr>
                <w:sz w:val="18"/>
              </w:rPr>
              <w:t xml:space="preserve">A concept several books use in incompatible ways: </w:t>
            </w:r>
            <w:r>
              <w:rPr>
                <w:rFonts w:ascii="Consolas" w:hAnsi="Consolas"/>
                <w:sz w:val="18"/>
              </w:rPr>
              <w:t>nationalism</w:t>
            </w:r>
            <w:r>
              <w:rPr>
                <w:sz w:val="18"/>
              </w:rPr>
              <w:t>, 158 passages across 18 books.</w:t>
            </w:r>
          </w:p>
        </w:tc>
      </w:tr>
      <w:tr>
        <w:tc>
          <w:tcPr>
            <w:tcW w:type="dxa" w:w="4752"/>
          </w:tcPr>
          <w:p>
            <w:pPr>
              <w:spacing w:after="40"/>
            </w:pPr>
            <w:r>
              <w:rPr>
                <w:sz w:val="18"/>
              </w:rPr>
            </w:r>
            <w:r>
              <w:rPr>
                <w:b/>
                <w:sz w:val="18"/>
              </w:rPr>
              <w:t>S-03</w:t>
            </w:r>
          </w:p>
        </w:tc>
        <w:tc>
          <w:tcPr>
            <w:tcW w:type="dxa" w:w="4752"/>
          </w:tcPr>
          <w:p>
            <w:pPr>
              <w:spacing w:after="40"/>
            </w:pPr>
            <w:r>
              <w:rPr>
                <w:sz w:val="18"/>
              </w:rPr>
            </w:r>
            <w:r>
              <w:rPr>
                <w:sz w:val="18"/>
              </w:rPr>
              <w:t xml:space="preserve">A concept whose own founding book is on the shelf: </w:t>
            </w:r>
            <w:r>
              <w:rPr>
                <w:rFonts w:ascii="Consolas" w:hAnsi="Consolas"/>
                <w:sz w:val="18"/>
              </w:rPr>
              <w:t>quasi-states</w:t>
            </w:r>
            <w:r>
              <w:rPr>
                <w:sz w:val="18"/>
              </w:rPr>
              <w:t>, 51 passages but only 5 books.</w:t>
            </w:r>
          </w:p>
        </w:tc>
      </w:tr>
      <w:tr>
        <w:tc>
          <w:tcPr>
            <w:tcW w:type="dxa" w:w="4752"/>
          </w:tcPr>
          <w:p>
            <w:pPr>
              <w:spacing w:after="40"/>
            </w:pPr>
            <w:r>
              <w:rPr>
                <w:sz w:val="18"/>
              </w:rPr>
            </w:r>
            <w:r>
              <w:rPr>
                <w:b/>
                <w:sz w:val="18"/>
              </w:rPr>
              <w:t>S-04</w:t>
            </w:r>
          </w:p>
        </w:tc>
        <w:tc>
          <w:tcPr>
            <w:tcW w:type="dxa" w:w="4752"/>
          </w:tcPr>
          <w:p>
            <w:pPr>
              <w:spacing w:after="40"/>
            </w:pPr>
            <w:r>
              <w:rPr>
                <w:sz w:val="18"/>
              </w:rPr>
            </w:r>
            <w:r>
              <w:rPr>
                <w:sz w:val="18"/>
              </w:rPr>
              <w:t xml:space="preserve">Thin coverage. </w:t>
            </w:r>
            <w:r>
              <w:rPr>
                <w:rFonts w:ascii="Consolas" w:hAnsi="Consolas"/>
                <w:sz w:val="18"/>
              </w:rPr>
              <w:t>Transnistria</w:t>
            </w:r>
            <w:r>
              <w:rPr>
                <w:sz w:val="18"/>
              </w:rPr>
              <w:t>: 36 passages, 2 books. Does the engine notice it is thin without being told?</w:t>
            </w:r>
          </w:p>
        </w:tc>
      </w:tr>
      <w:tr>
        <w:tc>
          <w:tcPr>
            <w:tcW w:type="dxa" w:w="4752"/>
          </w:tcPr>
          <w:p>
            <w:pPr>
              <w:spacing w:after="40"/>
            </w:pPr>
            <w:r>
              <w:rPr>
                <w:sz w:val="18"/>
              </w:rPr>
            </w:r>
            <w:r>
              <w:rPr>
                <w:b/>
                <w:sz w:val="18"/>
              </w:rPr>
              <w:t>S-05</w:t>
            </w:r>
          </w:p>
        </w:tc>
        <w:tc>
          <w:tcPr>
            <w:tcW w:type="dxa" w:w="4752"/>
          </w:tcPr>
          <w:p>
            <w:pPr>
              <w:spacing w:after="40"/>
            </w:pPr>
            <w:r>
              <w:rPr>
                <w:sz w:val="18"/>
              </w:rPr>
            </w:r>
            <w:r>
              <w:rPr>
                <w:sz w:val="18"/>
              </w:rPr>
              <w:t xml:space="preserve">Single-source concentration. </w:t>
            </w:r>
            <w:r>
              <w:rPr>
                <w:rFonts w:ascii="Consolas" w:hAnsi="Consolas"/>
                <w:sz w:val="18"/>
              </w:rPr>
              <w:t>Somaliland</w:t>
            </w:r>
            <w:r>
              <w:rPr>
                <w:sz w:val="18"/>
              </w:rPr>
              <w:t>: 52 passages, all from one book. Does it say so?</w:t>
            </w:r>
          </w:p>
        </w:tc>
      </w:tr>
      <w:tr>
        <w:tc>
          <w:tcPr>
            <w:tcW w:type="dxa" w:w="4752"/>
          </w:tcPr>
          <w:p>
            <w:pPr>
              <w:spacing w:after="40"/>
            </w:pPr>
            <w:r>
              <w:rPr>
                <w:sz w:val="18"/>
              </w:rPr>
            </w:r>
            <w:r>
              <w:rPr>
                <w:b/>
                <w:sz w:val="18"/>
              </w:rPr>
              <w:t>A</w:t>
            </w:r>
          </w:p>
        </w:tc>
        <w:tc>
          <w:tcPr>
            <w:tcW w:type="dxa" w:w="4752"/>
          </w:tcPr>
          <w:p>
            <w:pPr>
              <w:spacing w:after="40"/>
            </w:pPr>
            <w:r>
              <w:rPr>
                <w:sz w:val="18"/>
              </w:rPr>
            </w:r>
            <w:r>
              <w:rPr>
                <w:sz w:val="18"/>
              </w:rPr>
              <w:t>Reach. Does the bellicist account of state formation survive transfer from Europe to the twentieth-century Middle East, with its critics engaged on their own terms?</w:t>
            </w:r>
          </w:p>
        </w:tc>
      </w:tr>
      <w:tr>
        <w:tc>
          <w:tcPr>
            <w:tcW w:type="dxa" w:w="4752"/>
          </w:tcPr>
          <w:p>
            <w:pPr>
              <w:spacing w:after="40"/>
            </w:pPr>
            <w:r>
              <w:rPr>
                <w:sz w:val="18"/>
              </w:rPr>
            </w:r>
            <w:r>
              <w:rPr>
                <w:b/>
                <w:sz w:val="18"/>
              </w:rPr>
              <w:t>B</w:t>
            </w:r>
          </w:p>
        </w:tc>
        <w:tc>
          <w:tcPr>
            <w:tcW w:type="dxa" w:w="4752"/>
          </w:tcPr>
          <w:p>
            <w:pPr>
              <w:spacing w:after="40"/>
            </w:pPr>
            <w:r>
              <w:rPr>
                <w:sz w:val="18"/>
              </w:rPr>
            </w:r>
            <w:r>
              <w:rPr>
                <w:sz w:val="18"/>
              </w:rPr>
              <w:t>Judgment. Which account explains violence against Syrian civilians — control-and-information, or violence as identity-production? Forced to commit, and to state the rejected account at its strongest.</w:t>
            </w:r>
          </w:p>
        </w:tc>
      </w:tr>
      <w:tr>
        <w:tc>
          <w:tcPr>
            <w:tcW w:type="dxa" w:w="4752"/>
          </w:tcPr>
          <w:p>
            <w:pPr>
              <w:spacing w:after="40"/>
            </w:pPr>
            <w:r>
              <w:rPr>
                <w:sz w:val="18"/>
              </w:rPr>
            </w:r>
            <w:r>
              <w:rPr>
                <w:b/>
                <w:sz w:val="18"/>
              </w:rPr>
              <w:t>C</w:t>
            </w:r>
          </w:p>
        </w:tc>
        <w:tc>
          <w:tcPr>
            <w:tcW w:type="dxa" w:w="4752"/>
          </w:tcPr>
          <w:p>
            <w:pPr>
              <w:spacing w:after="40"/>
            </w:pPr>
            <w:r>
              <w:rPr>
                <w:sz w:val="18"/>
              </w:rPr>
            </w:r>
            <w:r>
              <w:rPr>
                <w:sz w:val="18"/>
              </w:rPr>
              <w:t>Reach. Four competing explanations of why nationhood and mass war arrived together, tested against the mandate case.</w:t>
            </w:r>
          </w:p>
        </w:tc>
      </w:tr>
    </w:tbl>
    <w:p/>
    <w:p>
      <w:r>
        <w:rPr>
          <w:i/>
        </w:rPr>
        <w:t>Anchor counts above were measured against the live index on 2026-07-30, when the library held 31 books. The four books added since have moved them.</w:t>
      </w:r>
    </w:p>
    <w:p>
      <w:r>
        <w:rPr>
          <w:b/>
        </w:rPr>
        <w:t>S-04 and S-05 deliberately do not name what they are testing.</w:t>
      </w:r>
      <w:r>
        <w:t xml:space="preserve"> An earlier draft asked about "the library's thin evidence on Transnistria". Naming the finding in the question would make a pass prove only that the model follows instructions.</w:t>
      </w:r>
    </w:p>
    <w:p>
      <w:r>
        <w:t xml:space="preserve">The scoring instrument is a </w:t>
      </w:r>
      <w:r>
        <w:rPr>
          <w:b/>
        </w:rPr>
        <w:t>required-source oracle</w:t>
      </w:r>
      <w:r>
        <w:t xml:space="preserve">. An </w:t>
      </w:r>
      <w:r>
        <w:rPr>
          <w:i/>
        </w:rPr>
        <w:t>oracle</w:t>
      </w:r>
      <w:r>
        <w:t>, in testing, is a rule that says what a correct result looks like, so a machine can mark the answer without a person reading it. This one is a list, written per question before the run: for each demand the question makes, which books carry material capable of satisfying it. A demand is met when the run's citations reach any book on its list. It is purely mechanical, needs no model call, and is the only measure of reach the project has.</w:t>
      </w:r>
    </w:p>
    <w:p>
      <w:r>
        <w:t>The most recent full run, on 2026-08-04 across all nine questions on the 31-book library:</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measured</w:t>
            </w:r>
          </w:p>
        </w:tc>
        <w:tc>
          <w:tcPr>
            <w:tcW w:type="dxa" w:w="4752"/>
          </w:tcPr>
          <w:p>
            <w:pPr>
              <w:spacing w:after="40"/>
            </w:pPr>
            <w:r>
              <w:rPr>
                <w:b/>
                <w:sz w:val="18"/>
              </w:rPr>
            </w:r>
            <w:r>
              <w:rPr>
                <w:b/>
                <w:sz w:val="18"/>
              </w:rPr>
              <w:t>The result</w:t>
            </w:r>
          </w:p>
        </w:tc>
      </w:tr>
      <w:tr>
        <w:tc>
          <w:tcPr>
            <w:tcW w:type="dxa" w:w="4752"/>
          </w:tcPr>
          <w:p>
            <w:pPr>
              <w:spacing w:after="40"/>
            </w:pPr>
            <w:r>
              <w:rPr>
                <w:sz w:val="18"/>
              </w:rPr>
            </w:r>
            <w:r>
              <w:rPr>
                <w:sz w:val="18"/>
              </w:rPr>
              <w:t>Demands reached</w:t>
            </w:r>
          </w:p>
        </w:tc>
        <w:tc>
          <w:tcPr>
            <w:tcW w:type="dxa" w:w="4752"/>
          </w:tcPr>
          <w:p>
            <w:pPr>
              <w:spacing w:after="40"/>
            </w:pPr>
            <w:r>
              <w:rPr>
                <w:sz w:val="18"/>
              </w:rPr>
            </w:r>
            <w:r>
              <w:rPr>
                <w:b/>
                <w:sz w:val="18"/>
              </w:rPr>
              <w:t>26 of 37</w:t>
            </w:r>
          </w:p>
        </w:tc>
      </w:tr>
      <w:tr>
        <w:tc>
          <w:tcPr>
            <w:tcW w:type="dxa" w:w="4752"/>
          </w:tcPr>
          <w:p>
            <w:pPr>
              <w:spacing w:after="40"/>
            </w:pPr>
            <w:r>
              <w:rPr>
                <w:sz w:val="18"/>
              </w:rPr>
            </w:r>
            <w:r>
              <w:rPr>
                <w:sz w:val="18"/>
              </w:rPr>
              <w:t>Total cost, nine questions</w:t>
            </w:r>
          </w:p>
        </w:tc>
        <w:tc>
          <w:tcPr>
            <w:tcW w:type="dxa" w:w="4752"/>
          </w:tcPr>
          <w:p>
            <w:pPr>
              <w:spacing w:after="40"/>
            </w:pPr>
            <w:r>
              <w:rPr>
                <w:sz w:val="18"/>
              </w:rPr>
            </w:r>
            <w:r>
              <w:rPr>
                <w:b/>
                <w:sz w:val="18"/>
              </w:rPr>
              <w:t>$2.57</w:t>
            </w:r>
          </w:p>
        </w:tc>
      </w:tr>
      <w:tr>
        <w:tc>
          <w:tcPr>
            <w:tcW w:type="dxa" w:w="4752"/>
          </w:tcPr>
          <w:p>
            <w:pPr>
              <w:spacing w:after="40"/>
            </w:pPr>
            <w:r>
              <w:rPr>
                <w:sz w:val="18"/>
              </w:rPr>
            </w:r>
            <w:r>
              <w:rPr>
                <w:sz w:val="18"/>
              </w:rPr>
              <w:t>Cost per question</w:t>
            </w:r>
          </w:p>
        </w:tc>
        <w:tc>
          <w:tcPr>
            <w:tcW w:type="dxa" w:w="4752"/>
          </w:tcPr>
          <w:p>
            <w:pPr>
              <w:spacing w:after="40"/>
            </w:pPr>
            <w:r>
              <w:rPr>
                <w:sz w:val="18"/>
              </w:rPr>
            </w:r>
            <w:r>
              <w:rPr>
                <w:sz w:val="18"/>
              </w:rPr>
              <w:t>$0.18 – $0.43</w:t>
            </w:r>
          </w:p>
        </w:tc>
      </w:tr>
      <w:tr>
        <w:tc>
          <w:tcPr>
            <w:tcW w:type="dxa" w:w="4752"/>
          </w:tcPr>
          <w:p>
            <w:pPr>
              <w:spacing w:after="40"/>
            </w:pPr>
            <w:r>
              <w:rPr>
                <w:sz w:val="18"/>
              </w:rPr>
            </w:r>
            <w:r>
              <w:rPr>
                <w:sz w:val="18"/>
              </w:rPr>
              <w:t>Evidence composed per question</w:t>
            </w:r>
          </w:p>
        </w:tc>
        <w:tc>
          <w:tcPr>
            <w:tcW w:type="dxa" w:w="4752"/>
          </w:tcPr>
          <w:p>
            <w:pPr>
              <w:spacing w:after="40"/>
            </w:pPr>
            <w:r>
              <w:rPr>
                <w:sz w:val="18"/>
              </w:rPr>
            </w:r>
            <w:r>
              <w:rPr>
                <w:sz w:val="18"/>
              </w:rPr>
              <w:t>40 – 61 passages</w:t>
            </w:r>
          </w:p>
        </w:tc>
      </w:tr>
    </w:tbl>
    <w:p/>
    <w:p>
      <w:r>
        <w:t xml:space="preserve">That run was the first on a rewritten retrieval layer, and it produced the single most useful negative result the project has: </w:t>
      </w:r>
      <w:r>
        <w:rPr>
          <w:b/>
        </w:rPr>
        <w:t>the model was shown two to three times more evidence than the previous run and the oracle went down, not up.</w:t>
      </w:r>
      <w:r>
        <w:t xml:space="preserve"> A second draw settled which of the losses were real. One question that appeared to regress badly scored its best result ever on the re-run, retiring the regression. Two single-demand losses reproduced exactly, demand for demand, across both draws, and are recorded as real.</w:t>
      </w:r>
    </w:p>
    <w:p>
      <w:r>
        <w:t xml:space="preserve">The lesson generalised, and it is the one that governs how every figure in this report is read: </w:t>
      </w:r>
      <w:r>
        <w:rPr>
          <w:b/>
        </w:rPr>
        <w:t>one draw of one question is not a measurement.</w:t>
      </w:r>
      <w:r>
        <w:t xml:space="preserve"> One of the six short briefs has been measured moving 39% between two runs of identical code on the identical question. Differences smaller than that are noise until a second draw says otherwise.</w:t>
      </w:r>
    </w:p>
    <w:p>
      <w:pPr>
        <w:pStyle w:val="Heading3"/>
      </w:pPr>
      <w:r>
        <w:t>8.3 The four paper gates</w:t>
      </w:r>
    </w:p>
    <w:p>
      <w:r>
        <w:t>The paper is the deliverable, so it is gated on every run. All four checks are cheap by design. Two are purely mechanical and two are narrow judged checks scoped to the paper's own new inferences.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Gate</w:t>
            </w:r>
          </w:p>
        </w:tc>
        <w:tc>
          <w:tcPr>
            <w:tcW w:type="dxa" w:w="3168"/>
          </w:tcPr>
          <w:p>
            <w:pPr>
              <w:spacing w:after="40"/>
            </w:pPr>
            <w:r>
              <w:rPr>
                <w:b/>
                <w:sz w:val="18"/>
              </w:rPr>
            </w:r>
            <w:r>
              <w:rPr>
                <w:b/>
                <w:sz w:val="18"/>
              </w:rPr>
              <w:t>What it requires</w:t>
            </w:r>
          </w:p>
        </w:tc>
        <w:tc>
          <w:tcPr>
            <w:tcW w:type="dxa" w:w="3168"/>
          </w:tcPr>
          <w:p>
            <w:pPr>
              <w:spacing w:after="40"/>
            </w:pPr>
            <w:r>
              <w:rPr>
                <w:b/>
                <w:sz w:val="18"/>
              </w:rPr>
            </w:r>
            <w:r>
              <w:rPr>
                <w:b/>
                <w:sz w:val="18"/>
              </w:rPr>
              <w:t>Kind</w:t>
            </w:r>
          </w:p>
        </w:tc>
      </w:tr>
      <w:tr>
        <w:tc>
          <w:tcPr>
            <w:tcW w:type="dxa" w:w="3168"/>
          </w:tcPr>
          <w:p>
            <w:pPr>
              <w:spacing w:after="40"/>
            </w:pPr>
            <w:r>
              <w:rPr>
                <w:sz w:val="18"/>
              </w:rPr>
            </w:r>
            <w:r>
              <w:rPr>
                <w:b/>
                <w:sz w:val="18"/>
              </w:rPr>
              <w:t>Provenance integrity</w:t>
            </w:r>
          </w:p>
        </w:tc>
        <w:tc>
          <w:tcPr>
            <w:tcW w:type="dxa" w:w="3168"/>
          </w:tcPr>
          <w:p>
            <w:pPr>
              <w:spacing w:after="40"/>
            </w:pPr>
            <w:r>
              <w:rPr>
                <w:sz w:val="18"/>
              </w:rPr>
            </w:r>
            <w:r>
              <w:rPr>
                <w:sz w:val="18"/>
              </w:rPr>
              <w:t>Every citation marker in the paper resolves to a claim with resolvable grounds; no claim's confidence band was raised above what its source claim carried</w:t>
            </w:r>
          </w:p>
        </w:tc>
        <w:tc>
          <w:tcPr>
            <w:tcW w:type="dxa" w:w="3168"/>
          </w:tcPr>
          <w:p>
            <w:pPr>
              <w:spacing w:after="40"/>
            </w:pPr>
            <w:r>
              <w:rPr>
                <w:sz w:val="18"/>
              </w:rPr>
            </w:r>
            <w:r>
              <w:rPr>
                <w:sz w:val="18"/>
              </w:rPr>
              <w:t xml:space="preserve">Mechanical, </w:t>
            </w:r>
            <w:r>
              <w:rPr>
                <w:b/>
                <w:sz w:val="18"/>
              </w:rPr>
              <w:t>hard</w:t>
            </w:r>
            <w:r>
              <w:rPr>
                <w:sz w:val="18"/>
              </w:rPr>
              <w:t>. One dangling marker fails. One upgraded band fails.</w:t>
            </w:r>
          </w:p>
        </w:tc>
      </w:tr>
      <w:tr>
        <w:tc>
          <w:tcPr>
            <w:tcW w:type="dxa" w:w="3168"/>
          </w:tcPr>
          <w:p>
            <w:pPr>
              <w:spacing w:after="40"/>
            </w:pPr>
            <w:r>
              <w:rPr>
                <w:sz w:val="18"/>
              </w:rPr>
            </w:r>
            <w:r>
              <w:rPr>
                <w:b/>
                <w:sz w:val="18"/>
              </w:rPr>
              <w:t>Grounding of new inferences</w:t>
            </w:r>
          </w:p>
        </w:tc>
        <w:tc>
          <w:tcPr>
            <w:tcW w:type="dxa" w:w="3168"/>
          </w:tcPr>
          <w:p>
            <w:pPr>
              <w:spacing w:after="40"/>
            </w:pPr>
            <w:r>
              <w:rPr>
                <w:sz w:val="18"/>
              </w:rPr>
            </w:r>
            <w:r>
              <w:rPr>
                <w:sz w:val="18"/>
              </w:rPr>
              <w:t>No new cross-source inference is contradicted by a passage it cites</w:t>
            </w:r>
          </w:p>
        </w:tc>
        <w:tc>
          <w:tcPr>
            <w:tcW w:type="dxa" w:w="3168"/>
          </w:tcPr>
          <w:p>
            <w:pPr>
              <w:spacing w:after="40"/>
            </w:pPr>
            <w:r>
              <w:rPr>
                <w:sz w:val="18"/>
              </w:rPr>
            </w:r>
            <w:r>
              <w:rPr>
                <w:sz w:val="18"/>
              </w:rPr>
              <w:t>Judged, by an independent model anchored to the passage text</w:t>
            </w:r>
          </w:p>
        </w:tc>
      </w:tr>
      <w:tr>
        <w:tc>
          <w:tcPr>
            <w:tcW w:type="dxa" w:w="3168"/>
          </w:tcPr>
          <w:p>
            <w:pPr>
              <w:spacing w:after="40"/>
            </w:pPr>
            <w:r>
              <w:rPr>
                <w:sz w:val="18"/>
              </w:rPr>
            </w:r>
            <w:r>
              <w:rPr>
                <w:b/>
                <w:sz w:val="18"/>
              </w:rPr>
              <w:t>Seam fidelity</w:t>
            </w:r>
          </w:p>
        </w:tc>
        <w:tc>
          <w:tcPr>
            <w:tcW w:type="dxa" w:w="3168"/>
          </w:tcPr>
          <w:p>
            <w:pPr>
              <w:spacing w:after="40"/>
            </w:pPr>
            <w:r>
              <w:rPr>
                <w:sz w:val="18"/>
              </w:rPr>
            </w:r>
            <w:r>
              <w:rPr>
                <w:sz w:val="18"/>
              </w:rPr>
              <w:t>No cross-source inference is dressed as something a source said; no speculation credits a source with the paper's own verdict</w:t>
            </w:r>
          </w:p>
        </w:tc>
        <w:tc>
          <w:tcPr>
            <w:tcW w:type="dxa" w:w="3168"/>
          </w:tcPr>
          <w:p>
            <w:pPr>
              <w:spacing w:after="40"/>
            </w:pPr>
            <w:r>
              <w:rPr>
                <w:sz w:val="18"/>
              </w:rPr>
            </w:r>
            <w:r>
              <w:rPr>
                <w:sz w:val="18"/>
              </w:rPr>
              <w:t>Judged, same call, two questions</w:t>
            </w:r>
          </w:p>
        </w:tc>
      </w:tr>
      <w:tr>
        <w:tc>
          <w:tcPr>
            <w:tcW w:type="dxa" w:w="3168"/>
          </w:tcPr>
          <w:p>
            <w:pPr>
              <w:spacing w:after="40"/>
            </w:pPr>
            <w:r>
              <w:rPr>
                <w:sz w:val="18"/>
              </w:rPr>
            </w:r>
            <w:r>
              <w:rPr>
                <w:b/>
                <w:sz w:val="18"/>
              </w:rPr>
              <w:t>Counter-position presence</w:t>
            </w:r>
          </w:p>
        </w:tc>
        <w:tc>
          <w:tcPr>
            <w:tcW w:type="dxa" w:w="3168"/>
          </w:tcPr>
          <w:p>
            <w:pPr>
              <w:spacing w:after="40"/>
            </w:pPr>
            <w:r>
              <w:rPr>
                <w:sz w:val="18"/>
              </w:rPr>
            </w:r>
            <w:r>
              <w:rPr>
                <w:sz w:val="18"/>
              </w:rPr>
              <w:t>A contested paper carries an opposing position with grounds, or explicitly discloses that the library is one-sided and why</w:t>
            </w:r>
          </w:p>
        </w:tc>
        <w:tc>
          <w:tcPr>
            <w:tcW w:type="dxa" w:w="3168"/>
          </w:tcPr>
          <w:p>
            <w:pPr>
              <w:spacing w:after="40"/>
            </w:pPr>
            <w:r>
              <w:rPr>
                <w:sz w:val="18"/>
              </w:rPr>
            </w:r>
            <w:r>
              <w:rPr>
                <w:sz w:val="18"/>
              </w:rPr>
              <w:t xml:space="preserve">Mechanical, </w:t>
            </w:r>
            <w:r>
              <w:rPr>
                <w:b/>
                <w:sz w:val="18"/>
              </w:rPr>
              <w:t>hard</w:t>
            </w:r>
          </w:p>
        </w:tc>
      </w:tr>
    </w:tbl>
    <w:p/>
    <w:p>
      <w:r>
        <w:t>On the two development papers reproduced in Appendices D and E, redrafted on the current build.</w:t>
      </w:r>
    </w:p>
    <w:p>
      <w:r>
        <w:rPr>
          <w:b/>
        </w:rPr>
        <w:t>How to read the table.</w:t>
      </w:r>
      <w:r>
        <w:t xml:space="preserve"> Each row is one check. The </w:t>
      </w:r>
      <w:r>
        <w:rPr>
          <w:b/>
        </w:rPr>
        <w:t>value</w:t>
      </w:r>
      <w:r>
        <w:t xml:space="preserve"> is the share that passed, on a scale where 1.0000 is everything and 0.0000 is nothing — so a rate reads 1.0000 when the check found no fault anywhere, and a count reads 0 when nothing was flagged. </w:t>
      </w:r>
      <w:r>
        <w:rPr>
          <w:b/>
        </w:rPr>
        <w:t>n</w:t>
      </w:r>
      <w:r>
        <w:t xml:space="preserve"> is how many things were actually examined: 215 citation markers, 105 claims, 32 cross-source inferences, 2 papers. A perfect score over a small n is a small piece of evidence, which is why n is printed beside every figure rather than left out.</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Gate</w:t>
            </w:r>
          </w:p>
        </w:tc>
        <w:tc>
          <w:tcPr>
            <w:tcW w:type="dxa" w:w="2376"/>
          </w:tcPr>
          <w:p>
            <w:pPr>
              <w:spacing w:after="40"/>
            </w:pPr>
            <w:r>
              <w:rPr>
                <w:b/>
                <w:sz w:val="18"/>
              </w:rPr>
            </w:r>
            <w:r>
              <w:rPr>
                <w:b/>
                <w:sz w:val="18"/>
              </w:rPr>
              <w:t>What was checked</w:t>
            </w:r>
          </w:p>
        </w:tc>
        <w:tc>
          <w:tcPr>
            <w:tcW w:type="dxa" w:w="2376"/>
          </w:tcPr>
          <w:p>
            <w:pPr>
              <w:spacing w:after="40"/>
            </w:pPr>
            <w:r>
              <w:rPr>
                <w:b/>
                <w:sz w:val="18"/>
              </w:rPr>
            </w:r>
            <w:r>
              <w:rPr>
                <w:b/>
                <w:sz w:val="18"/>
              </w:rPr>
              <w:t>Value</w:t>
            </w:r>
          </w:p>
        </w:tc>
        <w:tc>
          <w:tcPr>
            <w:tcW w:type="dxa" w:w="2376"/>
          </w:tcPr>
          <w:p>
            <w:pPr>
              <w:spacing w:after="40"/>
            </w:pPr>
            <w:r>
              <w:rPr>
                <w:b/>
                <w:sz w:val="18"/>
              </w:rPr>
            </w:r>
            <w:r>
              <w:rPr>
                <w:b/>
                <w:sz w:val="18"/>
              </w:rPr>
              <w:t>n</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citation markers resolving to a real claim</w:t>
            </w:r>
          </w:p>
        </w:tc>
        <w:tc>
          <w:tcPr>
            <w:tcW w:type="dxa" w:w="2376"/>
          </w:tcPr>
          <w:p>
            <w:pPr>
              <w:spacing w:after="40"/>
            </w:pPr>
            <w:r>
              <w:rPr>
                <w:sz w:val="18"/>
              </w:rPr>
            </w:r>
            <w:r>
              <w:rPr>
                <w:b/>
                <w:sz w:val="18"/>
              </w:rPr>
              <w:t>1.0000</w:t>
            </w:r>
          </w:p>
        </w:tc>
        <w:tc>
          <w:tcPr>
            <w:tcW w:type="dxa" w:w="2376"/>
          </w:tcPr>
          <w:p>
            <w:pPr>
              <w:spacing w:after="40"/>
            </w:pPr>
            <w:r>
              <w:rPr>
                <w:sz w:val="18"/>
              </w:rPr>
            </w:r>
            <w:r>
              <w:rPr>
                <w:sz w:val="18"/>
              </w:rPr>
              <w:t>215</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claims whose confidence was raised</w:t>
            </w:r>
          </w:p>
        </w:tc>
        <w:tc>
          <w:tcPr>
            <w:tcW w:type="dxa" w:w="2376"/>
          </w:tcPr>
          <w:p>
            <w:pPr>
              <w:spacing w:after="40"/>
            </w:pPr>
            <w:r>
              <w:rPr>
                <w:sz w:val="18"/>
              </w:rPr>
            </w:r>
            <w:r>
              <w:rPr>
                <w:b/>
                <w:sz w:val="18"/>
              </w:rPr>
              <w:t>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Counter-position</w:t>
            </w:r>
          </w:p>
        </w:tc>
        <w:tc>
          <w:tcPr>
            <w:tcW w:type="dxa" w:w="2376"/>
          </w:tcPr>
          <w:p>
            <w:pPr>
              <w:spacing w:after="40"/>
            </w:pPr>
            <w:r>
              <w:rPr>
                <w:sz w:val="18"/>
              </w:rPr>
            </w:r>
            <w:r>
              <w:rPr>
                <w:sz w:val="18"/>
              </w:rPr>
              <w:t>contested papers carrying the opposing case</w:t>
            </w:r>
          </w:p>
        </w:tc>
        <w:tc>
          <w:tcPr>
            <w:tcW w:type="dxa" w:w="2376"/>
          </w:tcPr>
          <w:p>
            <w:pPr>
              <w:spacing w:after="40"/>
            </w:pPr>
            <w:r>
              <w:rPr>
                <w:sz w:val="18"/>
              </w:rPr>
            </w:r>
            <w:r>
              <w:rPr>
                <w:b/>
                <w:sz w:val="18"/>
              </w:rPr>
              <w:t>1.0000</w:t>
            </w:r>
          </w:p>
        </w:tc>
        <w:tc>
          <w:tcPr>
            <w:tcW w:type="dxa" w:w="2376"/>
          </w:tcPr>
          <w:p>
            <w:pPr>
              <w:spacing w:after="40"/>
            </w:pPr>
            <w:r>
              <w:rPr>
                <w:sz w:val="18"/>
              </w:rPr>
            </w:r>
            <w:r>
              <w:rPr>
                <w:sz w:val="18"/>
              </w:rPr>
              <w:t>2</w:t>
            </w:r>
          </w:p>
        </w:tc>
      </w:tr>
      <w:tr>
        <w:tc>
          <w:tcPr>
            <w:tcW w:type="dxa" w:w="2376"/>
          </w:tcPr>
          <w:p>
            <w:pPr>
              <w:spacing w:after="40"/>
            </w:pPr>
            <w:r>
              <w:rPr>
                <w:sz w:val="18"/>
              </w:rPr>
            </w:r>
            <w:r>
              <w:rPr>
                <w:sz w:val="18"/>
              </w:rPr>
              <w:t>Paper grounding</w:t>
            </w:r>
          </w:p>
        </w:tc>
        <w:tc>
          <w:tcPr>
            <w:tcW w:type="dxa" w:w="2376"/>
          </w:tcPr>
          <w:p>
            <w:pPr>
              <w:spacing w:after="40"/>
            </w:pPr>
            <w:r>
              <w:rPr>
                <w:sz w:val="18"/>
              </w:rPr>
            </w:r>
            <w:r>
              <w:rPr>
                <w:sz w:val="18"/>
              </w:rPr>
              <w:t>new inferences not contradicted by their own evidence</w:t>
            </w:r>
          </w:p>
        </w:tc>
        <w:tc>
          <w:tcPr>
            <w:tcW w:type="dxa" w:w="2376"/>
          </w:tcPr>
          <w:p>
            <w:pPr>
              <w:spacing w:after="40"/>
            </w:pPr>
            <w:r>
              <w:rPr>
                <w:sz w:val="18"/>
              </w:rPr>
            </w:r>
            <w:r>
              <w:rPr>
                <w:b/>
                <w:sz w:val="18"/>
              </w:rPr>
              <w:t>1.0000</w:t>
            </w:r>
          </w:p>
        </w:tc>
        <w:tc>
          <w:tcPr>
            <w:tcW w:type="dxa" w:w="2376"/>
          </w:tcPr>
          <w:p>
            <w:pPr>
              <w:spacing w:after="40"/>
            </w:pPr>
            <w:r>
              <w:rPr>
                <w:sz w:val="18"/>
              </w:rPr>
            </w:r>
            <w:r>
              <w:rPr>
                <w:sz w:val="18"/>
              </w:rPr>
              <w:t>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claims carrying a valid kind</w:t>
            </w:r>
          </w:p>
        </w:tc>
        <w:tc>
          <w:tcPr>
            <w:tcW w:type="dxa" w:w="2376"/>
          </w:tcPr>
          <w:p>
            <w:pPr>
              <w:spacing w:after="40"/>
            </w:pPr>
            <w:r>
              <w:rPr>
                <w:sz w:val="18"/>
              </w:rPr>
            </w:r>
            <w:r>
              <w:rPr>
                <w:b/>
                <w:sz w:val="18"/>
              </w:rPr>
              <w:t>1.0000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inferences wrongly dressed as a source's words</w:t>
            </w:r>
          </w:p>
        </w:tc>
        <w:tc>
          <w:tcPr>
            <w:tcW w:type="dxa" w:w="2376"/>
          </w:tcPr>
          <w:p>
            <w:pPr>
              <w:spacing w:after="40"/>
            </w:pPr>
            <w:r>
              <w:rPr>
                <w:sz w:val="18"/>
              </w:rPr>
            </w:r>
            <w:r>
              <w:rPr>
                <w:b/>
                <w:sz w:val="18"/>
              </w:rPr>
              <w:t>0.0000</w:t>
            </w:r>
          </w:p>
        </w:tc>
        <w:tc>
          <w:tcPr>
            <w:tcW w:type="dxa" w:w="2376"/>
          </w:tcPr>
          <w:p>
            <w:pPr>
              <w:spacing w:after="40"/>
            </w:pPr>
            <w:r>
              <w:rPr>
                <w:sz w:val="18"/>
              </w:rPr>
            </w:r>
            <w:r>
              <w:rPr>
                <w:sz w:val="18"/>
              </w:rPr>
              <w:t>32</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judgments wrongly credited to a source</w:t>
            </w:r>
          </w:p>
        </w:tc>
        <w:tc>
          <w:tcPr>
            <w:tcW w:type="dxa" w:w="2376"/>
          </w:tcPr>
          <w:p>
            <w:pPr>
              <w:spacing w:after="40"/>
            </w:pPr>
            <w:r>
              <w:rPr>
                <w:sz w:val="18"/>
              </w:rPr>
            </w:r>
            <w:r>
              <w:rPr>
                <w:b/>
                <w:sz w:val="18"/>
              </w:rPr>
              <w:t>0.0000</w:t>
            </w:r>
          </w:p>
        </w:tc>
        <w:tc>
          <w:tcPr>
            <w:tcW w:type="dxa" w:w="2376"/>
          </w:tcPr>
          <w:p>
            <w:pPr>
              <w:spacing w:after="40"/>
            </w:pPr>
            <w:r>
              <w:rPr>
                <w:sz w:val="18"/>
              </w:rPr>
            </w:r>
            <w:r>
              <w:rPr>
                <w:sz w:val="18"/>
              </w:rPr>
              <w:t>19</w:t>
            </w:r>
          </w:p>
        </w:tc>
      </w:tr>
    </w:tbl>
    <w:p/>
    <w:p>
      <w:r>
        <w:t>The judging model is never the model that wrote the paper, and the guard raises before any judging call is made rather than checking afterwards.</w:t>
      </w:r>
    </w:p>
    <w:p>
      <w:r>
        <w:t>The denominators are small, which is why they are printed. Five new inferences is five, not a rate.</w:t>
      </w:r>
    </w:p>
    <w:p>
      <w:pPr>
        <w:pStyle w:val="Heading3"/>
      </w:pPr>
      <w:r>
        <w:t>8.4 The panel: strangers who read the paper and nothing else</w:t>
      </w:r>
    </w:p>
    <w:p>
      <w:r>
        <w:t>The cheap checks catch everything cheap to catch. The one thing none of them reaches is whether the argument holds together. That is measured by an offline panel, on a sample, and it blocks nothing.</w:t>
      </w:r>
    </w:p>
    <w:p>
      <w:r>
        <w:t xml:space="preserve">A reviewer receives one </w:t>
      </w:r>
      <w:r>
        <w:rPr>
          <w:b/>
        </w:rPr>
        <w:t>sealed packet</w:t>
      </w:r>
      <w:r>
        <w:t>: the rendered paper, plus the resolved text of every passage its claims cite, plus the bibliography. Nothing else. No repository, no specifications, no prompts, no other reviewer's verdict, no pre-written model answer to anchor to.</w:t>
      </w:r>
    </w:p>
    <w:p>
      <w:r>
        <w:t xml:space="preserve">The isolation is enforced by the code that builds the call, never by an instruction in the prompt. A model that has been handed file access will read the repository whatever its instructions say, so reviewers are dispatched down a path that </w:t>
      </w:r>
      <w:r>
        <w:rPr>
          <w:b/>
        </w:rPr>
        <w:t>has no parameter for tools to be passed through in the first place</w:t>
      </w:r>
      <w:r>
        <w:t>. The distinction is the whole point: an instruction to stay sealed can be disregarded, and a capability that was never granted cannot be.</w:t>
      </w:r>
    </w:p>
    <w:p>
      <w:r>
        <w:t xml:space="preserve">Each reviewer must come from a </w:t>
      </w:r>
      <w:r>
        <w:rPr>
          <w:b/>
        </w:rPr>
        <w:t>different training lab</w:t>
      </w:r>
      <w:r>
        <w:t xml:space="preserve"> than the model that wrote the paper — a stricter bar than a different model id, because shared training priors survive within a family and a family-mate's agreement is weak evidence. A model whose lab is not declared is a hard error, never assumed distinct. Reviewers return a fixed structure, never free prose: three ordinal bands plus a list of named defects tied to specific claims.</w:t>
      </w:r>
    </w:p>
    <w:p>
      <w:r>
        <w:rPr>
          <w:b/>
        </w:rPr>
        <w:t>N ≥ 3 per packet, and the spread is the error bar.</w:t>
      </w:r>
      <w:r>
        <w:t xml:space="preserve"> Three reviewers splitting 1/3/5 and three agreeing on 3 are different results and must never render identically.</w:t>
      </w:r>
    </w:p>
    <w:p>
      <w:pPr>
        <w:pStyle w:val="Heading4"/>
      </w:pPr>
      <w:r>
        <w:t>The control that qualifies the instrument</w:t>
      </w:r>
    </w:p>
    <w:p>
      <w:r>
        <w:rPr>
          <w:b/>
        </w:rPr>
        <w:t>The panel produces no reportable number until it has caught planted defects.</w:t>
      </w:r>
      <w:r>
        <w:t xml:space="preserve"> LLM judges are systematically generous and are moved by confident prose. A panel that waves a defective packet through is measuring nothing, and its clean verdicts are worthless until it is fixed.</w:t>
      </w:r>
    </w:p>
    <w:p>
      <w:r>
        <w:t>Three defects were planted in a copy of one of the papers, and the reviewers were not told a control was running:</w:t>
      </w:r>
    </w:p>
    <w:p>
      <w:r>
        <w:t>1. A fabricated cause of regime survival, cited to a passage about local governance in Daraa that says nothing of the kind.</w:t>
      </w:r>
    </w:p>
    <w:p>
      <w:r>
        <w:t>2. The section stating the opposing case replaced with a caricature — "the regime got lucky… it need not detain us".</w:t>
      </w:r>
    </w:p>
    <w:p>
      <w:r>
        <w:t>3. A high confidence band asserted over coverage the paper's own map discloses as thin.</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The control</w:t>
            </w:r>
          </w:p>
        </w:tc>
        <w:tc>
          <w:tcPr>
            <w:tcW w:type="dxa" w:w="3168"/>
          </w:tcPr>
          <w:p>
            <w:pPr>
              <w:spacing w:after="40"/>
            </w:pPr>
            <w:r>
              <w:rPr>
                <w:b/>
                <w:sz w:val="18"/>
              </w:rPr>
            </w:r>
            <w:r>
              <w:rPr>
                <w:b/>
                <w:sz w:val="18"/>
              </w:rPr>
              <w:t>The same paper, clean</w:t>
            </w:r>
          </w:p>
        </w:tc>
      </w:tr>
      <w:tr>
        <w:tc>
          <w:tcPr>
            <w:tcW w:type="dxa" w:w="3168"/>
          </w:tcPr>
          <w:p>
            <w:pPr>
              <w:spacing w:after="40"/>
            </w:pPr>
            <w:r>
              <w:rPr>
                <w:sz w:val="18"/>
              </w:rPr>
            </w:r>
            <w:r>
              <w:rPr>
                <w:sz w:val="18"/>
              </w:rPr>
              <w:t>Factual correctness</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Citation grounding</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Completeness</w:t>
            </w:r>
          </w:p>
        </w:tc>
        <w:tc>
          <w:tcPr>
            <w:tcW w:type="dxa" w:w="3168"/>
          </w:tcPr>
          <w:p>
            <w:pPr>
              <w:spacing w:after="40"/>
            </w:pPr>
            <w:r>
              <w:rPr>
                <w:sz w:val="18"/>
              </w:rPr>
            </w:r>
            <w:r>
              <w:rPr>
                <w:b/>
                <w:sz w:val="18"/>
              </w:rPr>
              <w:t>weak ×3</w:t>
            </w:r>
          </w:p>
        </w:tc>
        <w:tc>
          <w:tcPr>
            <w:tcW w:type="dxa" w:w="3168"/>
          </w:tcPr>
          <w:p>
            <w:pPr>
              <w:spacing w:after="40"/>
            </w:pPr>
            <w:r>
              <w:rPr>
                <w:sz w:val="18"/>
              </w:rPr>
            </w:r>
            <w:r>
              <w:rPr>
                <w:b/>
                <w:sz w:val="18"/>
              </w:rPr>
              <w:t>strong ×3</w:t>
            </w:r>
          </w:p>
        </w:tc>
      </w:tr>
      <w:tr>
        <w:tc>
          <w:tcPr>
            <w:tcW w:type="dxa" w:w="3168"/>
          </w:tcPr>
          <w:p>
            <w:pPr>
              <w:spacing w:after="40"/>
            </w:pPr>
            <w:r>
              <w:rPr>
                <w:sz w:val="18"/>
              </w:rPr>
            </w:r>
            <w:r>
              <w:rPr>
                <w:sz w:val="18"/>
              </w:rPr>
              <w:t>Planted defects caught</w:t>
            </w:r>
          </w:p>
        </w:tc>
        <w:tc>
          <w:tcPr>
            <w:tcW w:type="dxa" w:w="3168"/>
          </w:tcPr>
          <w:p>
            <w:pPr>
              <w:spacing w:after="40"/>
            </w:pPr>
            <w:r>
              <w:rPr>
                <w:sz w:val="18"/>
              </w:rPr>
            </w:r>
            <w:r>
              <w:rPr>
                <w:b/>
                <w:sz w:val="18"/>
              </w:rPr>
              <w:t>3 of 3, by all three reviewers</w:t>
            </w:r>
          </w:p>
        </w:tc>
        <w:tc>
          <w:tcPr>
            <w:tcW w:type="dxa" w:w="3168"/>
          </w:tcPr>
          <w:p>
            <w:pPr>
              <w:spacing w:after="40"/>
            </w:pPr>
            <w:r>
              <w:rPr>
                <w:sz w:val="18"/>
              </w:rPr>
            </w:r>
            <w:r>
              <w:rPr>
                <w:sz w:val="18"/>
              </w:rPr>
              <w:t>—</w:t>
            </w:r>
          </w:p>
        </w:tc>
      </w:tr>
    </w:tbl>
    <w:p/>
    <w:p>
      <w:r>
        <w:t>The panel discriminates, so the verdicts below are numbers rather than impressions.</w:t>
      </w:r>
    </w:p>
    <w:p>
      <w:pPr>
        <w:pStyle w:val="Heading4"/>
      </w:pPr>
      <w:r>
        <w:t>What the panel said</w:t>
      </w:r>
    </w:p>
    <w:p>
      <w:r>
        <w:t>Twelve sealed reviewers ran in that round, three per packet — three on the control, three on the control's clean twin, and three on each of the two papers: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Paper</w:t>
            </w:r>
          </w:p>
        </w:tc>
        <w:tc>
          <w:tcPr>
            <w:tcW w:type="dxa" w:w="2376"/>
          </w:tcPr>
          <w:p>
            <w:pPr>
              <w:spacing w:after="40"/>
            </w:pPr>
            <w:r>
              <w:rPr>
                <w:b/>
                <w:sz w:val="18"/>
              </w:rPr>
            </w:r>
            <w:r>
              <w:rPr>
                <w:b/>
                <w:sz w:val="18"/>
              </w:rPr>
              <w:t>Factual correctness</w:t>
            </w:r>
          </w:p>
        </w:tc>
        <w:tc>
          <w:tcPr>
            <w:tcW w:type="dxa" w:w="2376"/>
          </w:tcPr>
          <w:p>
            <w:pPr>
              <w:spacing w:after="40"/>
            </w:pPr>
            <w:r>
              <w:rPr>
                <w:b/>
                <w:sz w:val="18"/>
              </w:rPr>
            </w:r>
            <w:r>
              <w:rPr>
                <w:b/>
                <w:sz w:val="18"/>
              </w:rPr>
              <w:t>Citation grounding</w:t>
            </w:r>
          </w:p>
        </w:tc>
        <w:tc>
          <w:tcPr>
            <w:tcW w:type="dxa" w:w="2376"/>
          </w:tcPr>
          <w:p>
            <w:pPr>
              <w:spacing w:after="40"/>
            </w:pPr>
            <w:r>
              <w:rPr>
                <w:b/>
                <w:sz w:val="18"/>
              </w:rPr>
            </w:r>
            <w:r>
              <w:rPr>
                <w:b/>
                <w:sz w:val="18"/>
              </w:rPr>
              <w:t>Completeness</w:t>
            </w:r>
          </w:p>
        </w:tc>
      </w:tr>
      <w:tr>
        <w:tc>
          <w:tcPr>
            <w:tcW w:type="dxa" w:w="2376"/>
          </w:tcPr>
          <w:p>
            <w:pPr>
              <w:spacing w:after="40"/>
            </w:pPr>
            <w:r>
              <w:rPr>
                <w:sz w:val="18"/>
              </w:rPr>
            </w:r>
            <w:r>
              <w:rPr>
                <w:i/>
                <w:sz w:val="18"/>
              </w:rPr>
              <w:t>Privilege and the Contracted-Out Militia</w:t>
            </w:r>
          </w:p>
        </w:tc>
        <w:tc>
          <w:tcPr>
            <w:tcW w:type="dxa" w:w="2376"/>
          </w:tcPr>
          <w:p>
            <w:pPr>
              <w:spacing w:after="40"/>
            </w:pPr>
            <w:r>
              <w:rPr>
                <w:sz w:val="18"/>
              </w:rPr>
            </w:r>
            <w:r>
              <w:rPr>
                <w:sz w:val="18"/>
              </w:rPr>
              <w:t>adequate ×3</w:t>
            </w:r>
          </w:p>
        </w:tc>
        <w:tc>
          <w:tcPr>
            <w:tcW w:type="dxa" w:w="2376"/>
          </w:tcPr>
          <w:p>
            <w:pPr>
              <w:spacing w:after="40"/>
            </w:pPr>
            <w:r>
              <w:rPr>
                <w:sz w:val="18"/>
              </w:rPr>
            </w:r>
            <w:r>
              <w:rPr>
                <w:sz w:val="18"/>
              </w:rPr>
              <w:t>adequate ×3</w:t>
            </w:r>
          </w:p>
        </w:tc>
        <w:tc>
          <w:tcPr>
            <w:tcW w:type="dxa" w:w="2376"/>
          </w:tcPr>
          <w:p>
            <w:pPr>
              <w:spacing w:after="40"/>
            </w:pPr>
            <w:r>
              <w:rPr>
                <w:sz w:val="18"/>
              </w:rPr>
            </w:r>
            <w:r>
              <w:rPr>
                <w:b/>
                <w:sz w:val="18"/>
              </w:rPr>
              <w:t>strong ×3</w:t>
            </w:r>
          </w:p>
        </w:tc>
      </w:tr>
      <w:tr>
        <w:tc>
          <w:tcPr>
            <w:tcW w:type="dxa" w:w="2376"/>
          </w:tcPr>
          <w:p>
            <w:pPr>
              <w:spacing w:after="40"/>
            </w:pPr>
            <w:r>
              <w:rPr>
                <w:sz w:val="18"/>
              </w:rPr>
            </w:r>
            <w:r>
              <w:rPr>
                <w:i/>
                <w:sz w:val="18"/>
              </w:rPr>
              <w:t>What the Mandate Built</w:t>
            </w:r>
          </w:p>
        </w:tc>
        <w:tc>
          <w:tcPr>
            <w:tcW w:type="dxa" w:w="2376"/>
          </w:tcPr>
          <w:p>
            <w:pPr>
              <w:spacing w:after="40"/>
            </w:pPr>
            <w:r>
              <w:rPr>
                <w:sz w:val="18"/>
              </w:rPr>
            </w:r>
            <w:r>
              <w:rPr>
                <w:b/>
                <w:sz w:val="18"/>
              </w:rPr>
              <w:t>strong ×3</w:t>
            </w:r>
          </w:p>
        </w:tc>
        <w:tc>
          <w:tcPr>
            <w:tcW w:type="dxa" w:w="2376"/>
          </w:tcPr>
          <w:p>
            <w:pPr>
              <w:spacing w:after="40"/>
            </w:pPr>
            <w:r>
              <w:rPr>
                <w:sz w:val="18"/>
              </w:rPr>
            </w:r>
            <w:r>
              <w:rPr>
                <w:sz w:val="18"/>
              </w:rPr>
              <w:t>strong ×1, adequate ×2</w:t>
            </w:r>
          </w:p>
        </w:tc>
        <w:tc>
          <w:tcPr>
            <w:tcW w:type="dxa" w:w="2376"/>
          </w:tcPr>
          <w:p>
            <w:pPr>
              <w:spacing w:after="40"/>
            </w:pPr>
            <w:r>
              <w:rPr>
                <w:sz w:val="18"/>
              </w:rPr>
            </w:r>
            <w:r>
              <w:rPr>
                <w:b/>
                <w:sz w:val="18"/>
              </w:rPr>
              <w:t>strong ×3</w:t>
            </w:r>
          </w:p>
        </w:tc>
      </w:tr>
    </w:tbl>
    <w:p/>
    <w:p>
      <w:r>
        <w:t>Spread is zero on seven of the eight cells. An earlier round ran one reviewer per packet, which made the bands a sorting rather than a measurement. At three reviewers they reproduce.</w:t>
      </w:r>
    </w:p>
    <w:p>
      <w:pPr>
        <w:pStyle w:val="Heading4"/>
      </w:pPr>
      <w:r>
        <w:t>The two things the reviewers found that the gates could not</w:t>
      </w:r>
    </w:p>
    <w:p>
      <w:r>
        <w:rPr>
          <w:b/>
        </w:rPr>
        <w:t>Five of six reviewers independently flagged the same citation.</w:t>
      </w:r>
      <w:r>
        <w:t xml:space="preserve"> Both papers use a passage from Bayat 2017 to tie Heydemann's networks-of-privilege framework to Syria. The passage is a publisher's book-series list — the line "Bassam Haddad, </w:t>
      </w:r>
      <w:r>
        <w:rPr>
          <w:i/>
        </w:rPr>
        <w:t>Business Networks in Syria</w:t>
      </w:r>
      <w:r>
        <w:t>" inside a catalogue. It resolves. It passes every mechanical check, because the machinery can verify that a marker points at a real passage and cannot judge that the passage is a catalogue entry.</w:t>
      </w:r>
    </w:p>
    <w:p>
      <w:r>
        <w:rPr>
          <w:b/>
        </w:rPr>
        <w:t>Four reviewers reached the same diagnosis unprompted: the keystone Syrian claim in both papers is carried by Moroccan and Egyptian evidence.</w:t>
      </w:r>
      <w:r>
        <w:t xml:space="preserve"> The library holds no Syria-specific networks-of-privilege passage, so the drafter reached for the nearest thing and argued by analogy.</w:t>
      </w:r>
    </w:p>
    <w:p>
      <w:r>
        <w:t xml:space="preserve">That second finding is the important one, and it is not a retrieval bug. </w:t>
      </w:r>
      <w:r>
        <w:rPr>
          <w:b/>
        </w:rPr>
        <w:t>It is a corpus gap presenting as a citation defect, and no amount of retrieval work fixes it.</w:t>
      </w:r>
      <w:r>
        <w:t xml:space="preserve"> The fix is a book. This is exactly what the library measurement in section 7 is for.</w:t>
      </w:r>
    </w:p>
    <w:p>
      <w:r>
        <w:t>Two further defects the four gates do not see: the rendered paper repeated a section heading verbatim, and its citation table listed identifiers that never appear as markers in the body. Both were found by reviewers, both were real, and both have since been fixed. The papers in Appendices D and E are reproduced as they were rendered, with the duplicate heading still visible in Appendix D. It is left there rather than tidied.</w:t>
      </w:r>
    </w:p>
    <w:p>
      <w:pPr>
        <w:pStyle w:val="Heading3"/>
      </w:pPr>
      <w:r>
        <w:t>8.5 Open-weight models against proprietary ones</w:t>
      </w:r>
    </w:p>
    <w:p>
      <w:r>
        <w:t>The same two hard questions were run twice against the same library at the same moment, in two sealed processes that could not read each other's configuration. One used only open-weight models. The other used only proprietary ones. Six blind reviewers judged the outputs, three per question, with the arm order flipped between the two so no judge could learn a position bias.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Open arm</w:t>
            </w:r>
          </w:p>
        </w:tc>
        <w:tc>
          <w:tcPr>
            <w:tcW w:type="dxa" w:w="3168"/>
          </w:tcPr>
          <w:p>
            <w:pPr>
              <w:spacing w:after="40"/>
            </w:pPr>
            <w:r>
              <w:rPr>
                <w:b/>
                <w:sz w:val="18"/>
              </w:rPr>
            </w:r>
            <w:r>
              <w:rPr>
                <w:b/>
                <w:sz w:val="18"/>
              </w:rPr>
              <w:t>Proprietary arm</w:t>
            </w:r>
          </w:p>
        </w:tc>
      </w:tr>
      <w:tr>
        <w:tc>
          <w:tcPr>
            <w:tcW w:type="dxa" w:w="3168"/>
          </w:tcPr>
          <w:p>
            <w:pPr>
              <w:spacing w:after="40"/>
            </w:pPr>
            <w:r>
              <w:rPr>
                <w:sz w:val="18"/>
              </w:rPr>
            </w:r>
            <w:r>
              <w:rPr>
                <w:sz w:val="18"/>
              </w:rPr>
              <w:t>Reading the question, retrieval, counter-position</w:t>
            </w:r>
          </w:p>
        </w:tc>
        <w:tc>
          <w:tcPr>
            <w:tcW w:type="dxa" w:w="3168"/>
          </w:tcPr>
          <w:p>
            <w:pPr>
              <w:spacing w:after="40"/>
            </w:pPr>
            <w:r>
              <w:rPr>
                <w:sz w:val="18"/>
              </w:rPr>
            </w:r>
            <w:r>
              <w:rPr>
                <w:rFonts w:ascii="Consolas" w:hAnsi="Consolas"/>
                <w:sz w:val="18"/>
              </w:rPr>
              <w:t>deepseek-v4-pro</w:t>
            </w:r>
            <w:r>
              <w:rPr>
                <w:sz w:val="18"/>
              </w:rPr>
              <w:t xml:space="preserve">, </w:t>
            </w:r>
            <w:r>
              <w:rPr>
                <w:rFonts w:ascii="Consolas" w:hAnsi="Consolas"/>
                <w:sz w:val="18"/>
              </w:rPr>
              <w:t>glm-5.2</w:t>
            </w:r>
          </w:p>
        </w:tc>
        <w:tc>
          <w:tcPr>
            <w:tcW w:type="dxa" w:w="3168"/>
          </w:tcPr>
          <w:p>
            <w:pPr>
              <w:spacing w:after="40"/>
            </w:pPr>
            <w:r>
              <w:rPr>
                <w:sz w:val="18"/>
              </w:rPr>
            </w:r>
            <w:r>
              <w:rPr>
                <w:rFonts w:ascii="Consolas" w:hAnsi="Consolas"/>
                <w:sz w:val="18"/>
              </w:rPr>
              <w:t>openai/gpt-5.4</w:t>
            </w:r>
          </w:p>
        </w:tc>
      </w:tr>
      <w:tr>
        <w:tc>
          <w:tcPr>
            <w:tcW w:type="dxa" w:w="3168"/>
          </w:tcPr>
          <w:p>
            <w:pPr>
              <w:spacing w:after="40"/>
            </w:pPr>
            <w:r>
              <w:rPr>
                <w:sz w:val="18"/>
              </w:rPr>
            </w:r>
            <w:r>
              <w:rPr>
                <w:sz w:val="18"/>
              </w:rPr>
              <w:t>Writing the answer</w:t>
            </w:r>
          </w:p>
        </w:tc>
        <w:tc>
          <w:tcPr>
            <w:tcW w:type="dxa" w:w="3168"/>
          </w:tcPr>
          <w:p>
            <w:pPr>
              <w:spacing w:after="40"/>
            </w:pPr>
            <w:r>
              <w:rPr>
                <w:sz w:val="18"/>
              </w:rPr>
            </w:r>
            <w:r>
              <w:rPr>
                <w:rFonts w:ascii="Consolas" w:hAnsi="Consolas"/>
                <w:sz w:val="18"/>
              </w:rPr>
              <w:t>glm-5.2</w:t>
            </w:r>
          </w:p>
        </w:tc>
        <w:tc>
          <w:tcPr>
            <w:tcW w:type="dxa" w:w="3168"/>
          </w:tcPr>
          <w:p>
            <w:pPr>
              <w:spacing w:after="40"/>
            </w:pPr>
            <w:r>
              <w:rPr>
                <w:sz w:val="18"/>
              </w:rPr>
            </w:r>
            <w:r>
              <w:rPr>
                <w:rFonts w:ascii="Consolas" w:hAnsi="Consolas"/>
                <w:sz w:val="18"/>
              </w:rPr>
              <w:t>openai/gpt-5.6-sol</w:t>
            </w:r>
          </w:p>
        </w:tc>
      </w:tr>
      <w:tr>
        <w:tc>
          <w:tcPr>
            <w:tcW w:type="dxa" w:w="3168"/>
          </w:tcPr>
          <w:p>
            <w:pPr>
              <w:spacing w:after="40"/>
            </w:pPr>
            <w:r>
              <w:rPr>
                <w:sz w:val="18"/>
              </w:rPr>
            </w:r>
            <w:r>
              <w:rPr>
                <w:b/>
                <w:sz w:val="18"/>
              </w:rPr>
              <w:t>Question B</w:t>
            </w:r>
            <w:r>
              <w:rPr>
                <w:sz w:val="18"/>
              </w:rPr>
              <w:t xml:space="preserve"> (judgment)</w:t>
            </w:r>
          </w:p>
        </w:tc>
        <w:tc>
          <w:tcPr>
            <w:tcW w:type="dxa" w:w="3168"/>
          </w:tcPr>
          <w:p>
            <w:pPr>
              <w:spacing w:after="40"/>
            </w:pPr>
            <w:r>
              <w:rPr>
                <w:sz w:val="18"/>
              </w:rPr>
            </w:r>
            <w:r>
              <w:rPr>
                <w:b/>
                <w:sz w:val="18"/>
              </w:rPr>
              <w:t>open, 3–0</w:t>
            </w:r>
          </w:p>
        </w:tc>
        <w:tc>
          <w:tcPr>
            <w:tcW w:type="dxa" w:w="3168"/>
          </w:tcPr>
          <w:p>
            <w:pPr>
              <w:spacing w:after="40"/>
            </w:pPr>
            <w:r>
              <w:rPr>
                <w:sz w:val="18"/>
              </w:rPr>
            </w:r>
          </w:p>
        </w:tc>
      </w:tr>
      <w:tr>
        <w:tc>
          <w:tcPr>
            <w:tcW w:type="dxa" w:w="3168"/>
          </w:tcPr>
          <w:p>
            <w:pPr>
              <w:spacing w:after="40"/>
            </w:pPr>
            <w:r>
              <w:rPr>
                <w:sz w:val="18"/>
              </w:rPr>
            </w:r>
            <w:r>
              <w:rPr>
                <w:b/>
                <w:sz w:val="18"/>
              </w:rPr>
              <w:t>Question C</w:t>
            </w:r>
            <w:r>
              <w:rPr>
                <w:sz w:val="18"/>
              </w:rPr>
              <w:t xml:space="preserve"> (survey)</w:t>
            </w:r>
          </w:p>
        </w:tc>
        <w:tc>
          <w:tcPr>
            <w:tcW w:type="dxa" w:w="3168"/>
          </w:tcPr>
          <w:p>
            <w:pPr>
              <w:spacing w:after="40"/>
            </w:pPr>
            <w:r>
              <w:rPr>
                <w:sz w:val="18"/>
              </w:rPr>
            </w:r>
          </w:p>
        </w:tc>
        <w:tc>
          <w:tcPr>
            <w:tcW w:type="dxa" w:w="3168"/>
          </w:tcPr>
          <w:p>
            <w:pPr>
              <w:spacing w:after="40"/>
            </w:pPr>
            <w:r>
              <w:rPr>
                <w:sz w:val="18"/>
              </w:rPr>
            </w:r>
            <w:r>
              <w:rPr>
                <w:b/>
                <w:sz w:val="18"/>
              </w:rPr>
              <w:t>closed, 3–0</w:t>
            </w:r>
          </w:p>
        </w:tc>
      </w:tr>
      <w:tr>
        <w:tc>
          <w:tcPr>
            <w:tcW w:type="dxa" w:w="3168"/>
          </w:tcPr>
          <w:p>
            <w:pPr>
              <w:spacing w:after="40"/>
            </w:pPr>
            <w:r>
              <w:rPr>
                <w:sz w:val="18"/>
              </w:rPr>
            </w:r>
            <w:r>
              <w:rPr>
                <w:sz w:val="18"/>
              </w:rPr>
              <w:t>Cost, both questions</w:t>
            </w:r>
          </w:p>
        </w:tc>
        <w:tc>
          <w:tcPr>
            <w:tcW w:type="dxa" w:w="3168"/>
          </w:tcPr>
          <w:p>
            <w:pPr>
              <w:spacing w:after="40"/>
            </w:pPr>
            <w:r>
              <w:rPr>
                <w:sz w:val="18"/>
              </w:rPr>
            </w:r>
            <w:r>
              <w:rPr>
                <w:b/>
                <w:sz w:val="18"/>
              </w:rPr>
              <w:t>$0.618</w:t>
            </w:r>
          </w:p>
        </w:tc>
        <w:tc>
          <w:tcPr>
            <w:tcW w:type="dxa" w:w="3168"/>
          </w:tcPr>
          <w:p>
            <w:pPr>
              <w:spacing w:after="40"/>
            </w:pPr>
            <w:r>
              <w:rPr>
                <w:sz w:val="18"/>
              </w:rPr>
            </w:r>
            <w:r>
              <w:rPr>
                <w:b/>
                <w:sz w:val="18"/>
              </w:rPr>
              <w:t>$2.167</w:t>
            </w:r>
          </w:p>
        </w:tc>
      </w:tr>
    </w:tbl>
    <w:p/>
    <w:p>
      <w:r>
        <w:rPr>
          <w:b/>
        </w:rPr>
        <w:t>Nobody won the round.</w:t>
      </w:r>
      <w:r>
        <w:t xml:space="preserve"> Each arm took the question that suited it, and the six ballots agree on why.</w:t>
      </w:r>
    </w:p>
    <w:p>
      <w:r>
        <w:rPr>
          <w:i/>
        </w:rPr>
        <w:t>B is a case question</w:t>
      </w:r>
      <w:r>
        <w:t>: which account explains the Syrian pattern, tested against Syrian paramilitaries. The proprietary arm composed five passages, reached no Syrian evidence at all, and answered the paramilitary question with a Colombian example from a footnote. Every judge rated its grounding strong or impeccable and its completeness adequate or weak. Rigorous about material that does not answer the question.</w:t>
      </w:r>
    </w:p>
    <w:p>
      <w:r>
        <w:rPr>
          <w:i/>
        </w:rPr>
        <w:t>C is a survey question</w:t>
      </w:r>
      <w:r>
        <w:t>: weigh four explanations and test the winner. The proprietary arm weighed all four. The open arm never engaged Wimmer's exclusion-as-legitimacy account, routing that competitor through a narrower thesis instead.</w:t>
      </w:r>
    </w:p>
    <w:p>
      <w:r>
        <w:rPr>
          <w:b/>
        </w:rPr>
        <w:t>The mechanical oracle and the human-shaped reader found the same hole, and this is the first time they have been checked against each other.</w:t>
      </w:r>
      <w:r>
        <w:t xml:space="preserve"> C on the open arm scored 7 of 8 with "exclusion built into the nation-state form" as its single missed demand. Two blind reviewers, with no access to the case file, named the absence of Wimmer as the reason they preferred the other arm.</w:t>
      </w:r>
    </w:p>
    <w:p>
      <w:r>
        <w:t xml:space="preserve">The practical reading: the arms are close on quality, split by question type, and </w:t>
      </w:r>
      <w:r>
        <w:rPr>
          <w:b/>
        </w:rPr>
        <w:t>the open arm costs 3.5 times less on the same two questions.</w:t>
      </w:r>
      <w:r>
        <w:t xml:space="preserve"> Nothing here argues for moving the wiring.</w:t>
      </w:r>
    </w:p>
    <w:p>
      <w:r>
        <w:t>Three limits bound this comparison and none of them is soft. The test questions are AI-written. Every model in an arm moved at once, so the comparison measures two complete wirings and cannot say which swap produced the result. And it is one draw per cell.</w:t>
      </w:r>
    </w:p>
    <w:p>
      <w:pPr>
        <w:pStyle w:val="Heading3"/>
      </w:pPr>
      <w:r>
        <w:t>8.6 The measurements that were uncomfortable</w:t>
      </w:r>
    </w:p>
    <w:p>
      <w:r>
        <w:t>These are reported because they change how the rest of the report should be read, and because a dossier that only carries its good numbers is not evidence of anything.</w:t>
      </w:r>
    </w:p>
    <w:p>
      <w:r>
        <w:rPr>
          <w:b/>
        </w:rPr>
        <w:t>Gather does not fully reproduce.</w:t>
      </w:r>
      <w:r>
        <w:t xml:space="preserve"> Asked twice about the same name, on byte-identical input, the pass agrees with itself 53% of the time, and </w:t>
      </w:r>
      <w:r>
        <w:rPr>
          <w:b/>
        </w:rPr>
        <w:t>36.1% of the disagreements it records come back null on the second reading</w:t>
      </w:r>
      <w:r>
        <w:t xml:space="preserve">. This was investigated and accepted as model variance. Its consequence is enforced in the design rather than hoped away: </w:t>
      </w:r>
      <w:r>
        <w:rPr>
          <w:b/>
        </w:rPr>
        <w:t>a Gather finding is a retrieval hint and never a citation.</w:t>
      </w:r>
      <w:r>
        <w:t xml:space="preserve"> No gate scores an answer against one, and no answer is credited for repeating one.</w:t>
      </w:r>
    </w:p>
    <w:p>
      <w:r>
        <w:rPr>
          <w:b/>
        </w:rPr>
        <w:t>Name merging disagrees with itself 13.3% of the time</w:t>
      </w:r>
      <w:r>
        <w:t xml:space="preserve"> on names with three or more variants. Investigating it showed the disagreements are almost entirely singular/plural and article variants, and that they move </w:t>
      </w:r>
      <w:r>
        <w:rPr>
          <w:b/>
        </w:rPr>
        <w:t>0.4% of the underlying material</w:t>
      </w:r>
      <w:r>
        <w:t>. A surface changing group is not its evidence moving, and conflating the two overstated the problem by a factor of thirty.</w:t>
      </w:r>
    </w:p>
    <w:p>
      <w:r>
        <w:rPr>
          <w:b/>
        </w:rPr>
        <w:t>Retrieval misses one demand persistently.</w:t>
      </w:r>
      <w:r>
        <w:t xml:space="preserve"> Question B's identity-production leg has gone unreached five times, across three versions of the code and two model wirings. The retrieval rewrite was the change most likely to close it. It did not. It is recorded as an open finding rather than explained away.</w:t>
      </w:r>
    </w:p>
    <w:p>
      <w:r>
        <w:rPr>
          <w:b/>
        </w:rPr>
        <w:t>More evidence did not produce better answers.</w:t>
      </w:r>
      <w:r>
        <w:t xml:space="preserve"> Raising the amount of evidence put in front of the writing model by two to three times tripled the bill and the oracle did not follow. Searching harder was tested separately at two budgets across four paid runs, and the amount of evidence that actually reached the model never moved — 17, 21, 18, 20 passages — while the amount gathered ranged from 56 to 181.</w:t>
      </w:r>
    </w:p>
    <w:p>
      <w:r>
        <w:rPr>
          <w:b/>
        </w:rPr>
        <w:t>The panel's false-positive rate is unmeasured.</w:t>
      </w:r>
      <w:r>
        <w:t xml:space="preserve"> The control proves the reviewers catch defects that are there. Nothing tests whether they invent defects that are not. Every panel figure carries that limit, and "trusted" means the instrument catches planted defects, never that it does not manufacture them.</w:t>
      </w:r>
    </w:p>
    <w:p>
      <w:pPr>
        <w:pStyle w:val="Heading2"/>
      </w:pPr>
      <w:r>
        <w:t>9. Known limits and open problems</w:t>
      </w:r>
    </w:p>
    <w:p>
      <w:r>
        <w:t>Every limit the evidence in this report exposes, collected in one place.</w:t>
      </w:r>
    </w:p>
    <w:p>
      <w:r>
        <w:rPr>
          <w:b/>
        </w:rPr>
        <w:t>The test questions are machine-written.</w:t>
      </w:r>
      <w:r>
        <w:t xml:space="preserve"> Every question in this report was written by an AI model working from a description of the library. This is the project's largest single limit, and it is the one that most needs outside help to close.</w:t>
      </w:r>
    </w:p>
    <w:p>
      <w:r>
        <w:rPr>
          <w:b/>
        </w:rPr>
        <w:t>There is no human referee in the loop yet.</w:t>
      </w:r>
      <w:r>
        <w:t xml:space="preserve"> Answer quality is currently judged by a panel of models. </w:t>
      </w:r>
      <w:r>
        <w:rPr>
          <w:b/>
        </w:rPr>
        <w:t>No number in this report may be described as measured against human expert judgment, because none of it is</w:t>
      </w:r>
      <w:r>
        <w:t xml:space="preserve"> — and the specification forbids relabelling one that way. That constraint stays in force for as long as the panel is the only referee, and it is exactly what a scholar's questions and a scholar's reading would begin to relax.</w:t>
      </w:r>
    </w:p>
    <w:p>
      <w:r>
        <w:rPr>
          <w:b/>
        </w:rPr>
        <w:t>The library is thin where it matters most.</w:t>
      </w:r>
      <w:r>
        <w:t xml:space="preserve"> Concepts are the weakest kind of page in it. 83% of all pages exist inside a single book. Several of the largest concept pages are one author's vocabulary that nobody else on the shelf uses.</w:t>
      </w:r>
    </w:p>
    <w:p>
      <w:r>
        <w:rPr>
          <w:b/>
        </w:rPr>
        <w:t>A corpus gap looks exactly like a citation defect.</w:t>
      </w:r>
      <w:r>
        <w:t xml:space="preserve"> When the library has no passage on the specific thing a paper needs, the drafter reaches for the nearest thing and argues by analogy. The panel caught this. The mechanical gates cannot.</w:t>
      </w:r>
    </w:p>
    <w:p>
      <w:r>
        <w:rPr>
          <w:b/>
        </w:rPr>
        <w:t>Some checks are structurally blind.</w:t>
      </w:r>
      <w:r>
        <w:t xml:space="preserve"> A citation marker that resolves to a publisher's catalogue page passes every automated check there is. Whether a passage is the </w:t>
      </w:r>
      <w:r>
        <w:rPr>
          <w:i/>
        </w:rPr>
        <w:t>right kind of thing</w:t>
      </w:r>
      <w:r>
        <w:t xml:space="preserve"> to cite is a judgment, and only a reader makes it.</w:t>
      </w:r>
    </w:p>
    <w:p>
      <w:r>
        <w:rPr>
          <w:b/>
        </w:rPr>
        <w:t>One draw is not a measurement, and most figures here are one draw.</w:t>
      </w:r>
      <w:r>
        <w:t xml:space="preserve"> Run-to-run variance on a single question has been measured at 39% on unchanged code.</w:t>
      </w:r>
    </w:p>
    <w:p>
      <w:r>
        <w:rPr>
          <w:b/>
        </w:rPr>
        <w:t>Axial is built, not deployed.</w:t>
      </w:r>
      <w:r>
        <w:t xml:space="preserve"> It runs as a command-line tool on one machine, against a library assembled by one person. There is no service, no multi-user boundary, no hosted product. The two-role command-line split that exists today is a guard against running the wrong command by accident, not a security boundary.</w:t>
      </w:r>
    </w:p>
    <w:p>
      <w:r>
        <w:rPr>
          <w:b/>
        </w:rPr>
        <w:t>Two phases are not built.</w:t>
      </w:r>
      <w:r>
        <w:t xml:space="preserve"> Format adaptation and lens application exist as milestones with no specification, no date and no scheduled work.</w:t>
      </w:r>
    </w:p>
    <w:p>
      <w:pPr>
        <w:pStyle w:val="Heading2"/>
      </w:pPr>
      <w:r>
        <w:t>10. Where this stands, and what we are asking for</w:t>
      </w:r>
    </w:p>
    <w:p>
      <w:r>
        <w:t>Three phases are built and working: reading the corpus, answering a question from it, and writing the paper. The full chain runs end to end on one command, on a real library of thirty-five scholarly books, for well under a dollar a paper.</w:t>
      </w:r>
    </w:p>
    <w:p>
      <w:r>
        <w:t>What the evidence in this report supports, and no more:</w:t>
      </w:r>
    </w:p>
    <w:p>
      <w:pPr>
        <w:pStyle w:val="ListBullet"/>
        <w:spacing w:after="60"/>
      </w:pPr>
      <w:r>
        <w:rPr>
          <w:b/>
        </w:rPr>
        <w:t>The construction holds.</w:t>
      </w:r>
      <w:r>
        <w:t xml:space="preserve"> Claims are marked, grounds resolve, confidence is capped by coverage, and counter-position is present or its absence is disclosed. Those are hard gates and they pass at 1.00 on every paper.</w:t>
      </w:r>
    </w:p>
    <w:p>
      <w:pPr>
        <w:pStyle w:val="ListBullet"/>
        <w:spacing w:after="60"/>
      </w:pPr>
      <w:r>
        <w:rPr>
          <w:b/>
        </w:rPr>
        <w:t>The panel discriminates.</w:t>
      </w:r>
      <w:r>
        <w:t xml:space="preserve"> It caught three planted defects unanimously, and at three reviewers per packet the bands reproduce.</w:t>
      </w:r>
    </w:p>
    <w:p>
      <w:pPr>
        <w:pStyle w:val="ListBullet"/>
        <w:spacing w:after="60"/>
      </w:pPr>
      <w:r>
        <w:rPr>
          <w:b/>
        </w:rPr>
        <w:t>The findings that matter came from readers, not from the machinery.</w:t>
      </w:r>
      <w:r>
        <w:t xml:space="preserve"> The two most valuable defects found in this evaluation were a mis-typed citation and a corpus gap, and both were found by sealed reviewers reading the paper the way a referee reads a submission.</w:t>
      </w:r>
    </w:p>
    <w:p>
      <w:pPr>
        <w:pStyle w:val="ListBullet"/>
        <w:spacing w:after="60"/>
      </w:pPr>
      <w:r>
        <w:rPr>
          <w:b/>
        </w:rPr>
        <w:t>Open-weight models are competitive in production for this work, at roughly a third of the cost.</w:t>
      </w:r>
    </w:p>
    <w:p>
      <w:r>
        <w:t>What it does not support: any claim about answer quality against a real scholarly question. That gap is the shape of what we are asking for.</w:t>
      </w:r>
    </w:p>
    <w:p>
      <w:r>
        <w:rPr>
          <w:b/>
        </w:rPr>
        <w:t>If you are a scholar or a researcher</w:t>
      </w:r>
      <w:r>
        <w:t>, there are three contributions, in ascending order of commitment, and the first is genuinely small.</w:t>
      </w:r>
    </w:p>
    <w:p>
      <w:r>
        <w:rPr>
          <w:i/>
        </w:rPr>
        <w:t>Set the questions.</w:t>
      </w:r>
      <w:r>
        <w:t xml:space="preserve"> A few real research questions from your area of expertise, of the kind you would actually put to a doctoral student. Three is a real contribution. A machine can invent a question that exercises the engine; only someone who knows the field can write one whose answer is worth judging.</w:t>
      </w:r>
    </w:p>
    <w:p>
      <w:r>
        <w:rPr>
          <w:i/>
        </w:rPr>
        <w:t>Read an answer.</w:t>
      </w:r>
      <w:r>
        <w:t xml:space="preserve"> A paper and the passages it cites, judged the way you would referee a submission. That is the instrument section 8.4 currently fills with a panel of models, and a human verdict beside those would be the first of its kind here.</w:t>
      </w:r>
    </w:p>
    <w:p>
      <w:r>
        <w:rPr>
          <w:i/>
        </w:rPr>
        <w:t>Say what the shelf is missing.</w:t>
      </w:r>
      <w:r>
        <w:t xml:space="preserve"> The library measurement in section 7 names which topics have only one voice. Which book should answer Jackson on sovereignty, or Mann on infrastructural power, is a question a specialist answers in a sentence and we cannot answer at all.</w:t>
      </w:r>
    </w:p>
    <w:p>
      <w:r>
        <w:rPr>
          <w:b/>
        </w:rPr>
        <w:t>If you are an institution or a funder</w:t>
      </w:r>
      <w:r>
        <w:t>, the interesting property is that everything here is checkable. There is no aggregate score to take on faith. Every claim in every output walks back to a passage in a book, every intermediate artifact is on disk, every model call has a recorded cost, and the limits are written into the specification rather than into a footnote.</w:t>
      </w:r>
    </w:p>
    <w:p>
      <w:r>
        <w:rPr>
          <w:b/>
        </w:rPr>
        <w:t>If you want to see it fail</w:t>
      </w:r>
      <w:r>
        <w:t>, the fastest route is a question the library is thin on. That is a legitimate test and it is the one the design most wants to pass, because saying "the sources do not support this" is a first-class output rather than an error.</w:t>
      </w:r>
    </w:p>
    <w:p>
      <w:pPr>
        <w:pStyle w:val="Heading2"/>
      </w:pPr>
      <w:r>
        <w:t>Appendix A — How the test questions were designed</w:t>
      </w:r>
    </w:p>
    <w:p>
      <w:r>
        <w:t>Who wrote the tests, and could they have been written to be passed?</w:t>
      </w:r>
    </w:p>
    <w:p>
      <w:pPr>
        <w:pStyle w:val="Heading3"/>
      </w:pPr>
      <w:r>
        <w:t>A.1 Why the questions are machine-written, and what would change that</w:t>
      </w:r>
    </w:p>
    <w:p>
      <w:r>
        <w:t>The original plan was to collect research questions from working scholars and test Axial against those. When none had arrived, the project stopped waiting and built its own set, so that the engine could be developed and hardened rather than blocked. That is where things stand today: the question set is machine-written, and it is the standing arrangement rather than a settled end state. A set of questions from people who know the field is the single contribution that would most change what this report can claim, and asking for it is the reason this document exists.</w:t>
      </w:r>
    </w:p>
    <w:p>
      <w:r>
        <w:t xml:space="preserve">"We used AI to write our own test" invites a suspicion it should invite, so here is what the machine-written questions are and are not used for. A test question does two jobs here. It is an </w:t>
      </w:r>
      <w:r>
        <w:rPr>
          <w:b/>
        </w:rPr>
        <w:t>input</w:t>
      </w:r>
      <w:r>
        <w:t xml:space="preserve"> that exercises a retrieval shape, and it is an </w:t>
      </w:r>
      <w:r>
        <w:rPr>
          <w:b/>
        </w:rPr>
        <w:t>answer key</w:t>
      </w:r>
      <w:r>
        <w:t xml:space="preserve"> against which quality is scored. Axial's evaluation uses simulated questions only for the first job. </w:t>
      </w:r>
      <w:r>
        <w:rPr>
          <w:b/>
        </w:rPr>
        <w:t>Nothing simulated is ever an answer key.</w:t>
      </w:r>
      <w:r>
        <w:t xml:space="preserve"> Every judgment in every gate is anchored to material the library actually holds — the resolved text of a cited passage, a premise a test brief states plainly about itself, the paper's own coverage counts. Not one of them compares an output against a model's opinion of a good answer.</w:t>
      </w:r>
    </w:p>
    <w:p>
      <w:r>
        <w:t xml:space="preserve">An earlier design did have such an answer key, a pre-written "expected answer" per case. </w:t>
      </w:r>
      <w:r>
        <w:rPr>
          <w:b/>
        </w:rPr>
        <w:t>It was retired as a referee</w:t>
      </w:r>
      <w:r>
        <w:t>, on the grounds that scoring against it measures agreement with one model's opinion rather than quality, and it is now barred from ever being placed in a reviewer packet, because showing a reviewer a pre-written answer anchors it to that answer.</w:t>
      </w:r>
    </w:p>
    <w:p>
      <w:r>
        <w:t xml:space="preserve">So the honest statement is the one made in section 8.1: the questions are machine-written, and </w:t>
      </w:r>
      <w:r>
        <w:rPr>
          <w:b/>
        </w:rPr>
        <w:t>that bounds what the numbers mean rather than what they are anchored to.</w:t>
      </w:r>
      <w:r>
        <w:t xml:space="preserve"> It also names the gap a scholarly contribution would fill.</w:t>
      </w:r>
    </w:p>
    <w:p>
      <w:pPr>
        <w:pStyle w:val="Heading3"/>
      </w:pPr>
      <w:r>
        <w:t>A.2 The two question sets, and why they are different</w:t>
      </w:r>
    </w:p>
    <w:p>
      <w:r>
        <w:rPr>
          <w:b/>
        </w:rPr>
        <w:t>Six short briefs, run on every change.</w:t>
      </w:r>
      <w:r>
        <w:t xml:space="preserve"> These exist to catch regressions cheaply, so each is short and each exercises exactly one retrieval shape: a hub anchor at the library's centre of gravity, scholar against scholar, a contested concept, a concept whose founding book is on the shelf, thin coverage, and single-source concentration. Their anchors were measured against the live index before they landed, book by book, and are printed in section 8.2.</w:t>
      </w:r>
    </w:p>
    <w:p>
      <w:r>
        <w:t xml:space="preserve">The set was </w:t>
      </w:r>
      <w:r>
        <w:rPr>
          <w:b/>
        </w:rPr>
        <w:t>rebuilt from scratch on 2026-07-30</w:t>
      </w:r>
      <w:r>
        <w:t xml:space="preserve"> for a reason that says something about how this project handles its own convenience. All five original briefs were Syria briefs. Twenty-five of the then thirty-one books are not about Syria, so the set was leaving most of the library unexercised and scoring well on the part it did reach. The replacements were authored </w:t>
      </w:r>
      <w:r>
        <w:rPr>
          <w:b/>
        </w:rPr>
        <w:t>by a model with no access to this repository</w:t>
      </w:r>
      <w:r>
        <w:t>, working from the measured index alone, then verified anchor by anchor before being accepted. One Syria brief was deliberately retained, because the source-concentration inspection needs a hub name to bite on.</w:t>
      </w:r>
    </w:p>
    <w:p>
      <w:r>
        <w:rPr>
          <w:b/>
        </w:rPr>
        <w:t>Three hard questions, run when the engine is stable.</w:t>
      </w:r>
      <w:r>
        <w:t xml:space="preserve"> These are long compound questions of the kind a doctoral examiner sets: weigh four or more competing explanations, test a preferred account against a second historical setting, engage the critics of the major theorists rather than only the theorists. They were authored the same way — by a model outside this environment, working from the library overview alone, </w:t>
      </w:r>
      <w:r>
        <w:rPr>
          <w:b/>
        </w:rPr>
        <w:t>told what each question had to stress and forbidden to name a book or ask for citations.</w:t>
      </w:r>
      <w:r>
        <w:t xml:space="preserve"> Their provenance, and the single edit made to them, is recorded in the repository.</w:t>
      </w:r>
    </w:p>
    <w:p>
      <w:r>
        <w:rPr>
          <w:b/>
        </w:rPr>
        <w:t>An adversarial set, which is the one place a question does carry an answer key.</w:t>
      </w:r>
      <w:r>
        <w:t xml:space="preserve"> Each of these briefs has a premise deliberately smuggled into it, and states that premise plainly in a block </w:t>
      </w:r>
      <w:r>
        <w:rPr>
          <w:b/>
        </w:rPr>
        <w:t>that is stripped out before the brief ever reaches the interrogation prompt.</w:t>
      </w:r>
      <w:r>
        <w:t xml:space="preserve"> A brief that leaks its own answer key measures nothing. The gate then asks whether the pre-pass caught the premise, judged by an independent model as correspondence of meaning rather than string matching.</w:t>
      </w:r>
    </w:p>
    <w:p>
      <w:r>
        <w:t xml:space="preserve">One question moved into this set for an instructive reason. It asks about "Tilly's coercive-extraction cycle", which is the argument of </w:t>
      </w:r>
      <w:r>
        <w:rPr>
          <w:i/>
        </w:rPr>
        <w:t>Coercion, Capital and European States</w:t>
      </w:r>
      <w:r>
        <w:t>. The library holds a different Tilly book. That is a smuggled premise, and it is worth more as a test of whether Axial notices than as a synthesis question.</w:t>
      </w:r>
    </w:p>
    <w:p>
      <w:pPr>
        <w:pStyle w:val="Heading3"/>
      </w:pPr>
      <w:r>
        <w:t>A.3 Two design rules that keep a question from being a softball</w:t>
      </w:r>
    </w:p>
    <w:p>
      <w:r>
        <w:rPr>
          <w:b/>
        </w:rPr>
        <w:t>A question must not name the finding it probes.</w:t>
      </w:r>
      <w:r>
        <w:t xml:space="preserve"> The thin-coverage and single-source questions ask nothing about thinness or concentration. Asking "why is the evidence on Transnistria thin" would make a pass prove only that the model follows instructions. The requirement that a run notice thinness unprompted lives in the scoring rubric instead, where the system cannot read it.</w:t>
      </w:r>
    </w:p>
    <w:p>
      <w:r>
        <w:rPr>
          <w:b/>
        </w:rPr>
        <w:t>Gates are scored on questions the system cannot already ace.</w:t>
      </w:r>
      <w:r>
        <w:t xml:space="preserve"> A test suite tuned until it passes measures the tuning. The three hard questions are deliberately the hardest thing the engine is asked to do, and two of their known weaknesses are documented in the specification rather than removed from the set.</w:t>
      </w:r>
    </w:p>
    <w:p>
      <w:pPr>
        <w:pStyle w:val="Heading3"/>
      </w:pPr>
      <w:r>
        <w:t>A.4 The oracle: how "did it reach the right books" is scored</w:t>
      </w:r>
    </w:p>
    <w:p>
      <w:r>
        <w:t xml:space="preserve">Each test question has a </w:t>
      </w:r>
      <w:r>
        <w:rPr>
          <w:b/>
        </w:rPr>
        <w:t>case file</w:t>
      </w:r>
      <w:r>
        <w:t xml:space="preserve"> stating what the answer must reach, as a list of demands. Each demand names the books that carry material capable of satisfying it, and a demand is met when the run's citations reach </w:t>
      </w:r>
      <w:r>
        <w:rPr>
          <w:b/>
        </w:rPr>
        <w:t>any</w:t>
      </w:r>
      <w:r>
        <w:t xml:space="preserve"> of them.</w:t>
      </w:r>
    </w:p>
    <w:p>
      <w:r>
        <w:t xml:space="preserve">That structure replaced a flat list of required book identifiers, and the reason is a real defect it caused. Under the old shape one question required a commentary volume </w:t>
      </w:r>
      <w:r>
        <w:rPr>
          <w:i/>
        </w:rPr>
        <w:t>about</w:t>
      </w:r>
      <w:r>
        <w:t xml:space="preserve"> a theorist and could be satisfied without ever citing that theorist's own four books, because a mechanical count-and-cut rule had named the commentary as the leading carrier. The rule is now explicit: </w:t>
      </w:r>
      <w:r>
        <w:rPr>
          <w:b/>
        </w:rPr>
        <w:t>a demand whose anchor is an author or a work names that author's own books, never the books that cite them</w:t>
      </w:r>
      <w:r>
        <w:t>, and counts choose among candidate carriers only where a demand's material genuinely spans more than one book.</w:t>
      </w:r>
    </w:p>
    <w:p>
      <w:r>
        <w:t>Building a case file is one read-only pass over the index plus a judgment per demand. It costs no model call, and it is checked against the live index so that a case naming a book the library no longer holds is a named failure rather than a silent zero.</w:t>
      </w:r>
    </w:p>
    <w:p>
      <w:pPr>
        <w:pStyle w:val="Heading2"/>
      </w:pPr>
      <w:r>
        <w:t>Appendix B — How answers and papers are judged</w:t>
      </w:r>
    </w:p>
    <w:p>
      <w:pPr>
        <w:pStyle w:val="Heading3"/>
      </w:pPr>
      <w:r>
        <w:t>B.1 The four instruments, and what each cannot do</w:t>
      </w:r>
    </w:p>
    <w:p>
      <w:r>
        <w:rPr>
          <w:b/>
        </w:rPr>
        <w:t>Mechanical checks, on every run.</w:t>
      </w:r>
      <w:r>
        <w:t xml:space="preserve"> Does every claim carry a kind? Do all cited passages resolve? Is the coverage map non-empty? Did the run stay inside its cost and time budget? Was any proposed query refused by the dispatcher? None of these is a quality judgment, and none of them can be. They are the floor.</w:t>
      </w:r>
    </w:p>
    <w:p>
      <w:r>
        <w:t xml:space="preserve">An important property of this layer: </w:t>
      </w:r>
      <w:r>
        <w:rPr>
          <w:b/>
        </w:rPr>
        <w:t>a check with nothing to measure reports a third state, and that third state blocks release.</w:t>
      </w:r>
      <w:r>
        <w:t xml:space="preserve"> A metric that vacuously passes on zero observations reads as a green light for a check that never ran. A metric that fails on an input it never had sends a reader debugging the wrong thing. Both are worse than saying plainly that nothing was measured, so "not scoreable" is distinct from both pass and fail and is never collapsed back into a boolean anywhere downstream.</w:t>
      </w:r>
    </w:p>
    <w:p>
      <w:r>
        <w:rPr>
          <w:b/>
        </w:rPr>
        <w:t>The five engine gates.</w:t>
      </w:r>
      <w:r>
        <w:t xml:space="preserve"> Attribution fidelity, grounding, counter-position presence and steelman quality, band-wise calibration, and adversarial premise-catching. Each judged check runs under its own identity and </w:t>
      </w:r>
      <w:r>
        <w:rPr>
          <w:b/>
        </w:rPr>
        <w:t>must resolve to a different model than the pass it grades</w:t>
      </w:r>
      <w:r>
        <w:t>; the guard raises before any judging call is made. Confidence is checked band by band — do the claims marked high actually hold up at the rate high implies — rather than as an error over a continuous score, because the three-band vocabulary deliberately does not produce a number to compute an error over.</w:t>
      </w:r>
    </w:p>
    <w:p>
      <w:r>
        <w:rPr>
          <w:b/>
        </w:rPr>
        <w:t>The four paper gates</w:t>
      </w:r>
      <w:r>
        <w:t>, described in section 8.3.</w:t>
      </w:r>
    </w:p>
    <w:p>
      <w:r>
        <w:rPr>
          <w:b/>
        </w:rPr>
        <w:t>The panel</w:t>
      </w:r>
      <w:r>
        <w:t>, described in section 8.4.</w:t>
      </w:r>
    </w:p>
    <w:p>
      <w:pPr>
        <w:pStyle w:val="Heading3"/>
      </w:pPr>
      <w:r>
        <w:t>B.2 Why several obvious metrics are deliberately not gates</w:t>
      </w:r>
    </w:p>
    <w:p>
      <w:r>
        <w:t xml:space="preserve">Source concentration, the cross-source inference rate, the share of evidence drawn from commentary rather than primary work, and the contradiction rate on new inferences are all computed and reported on every run, and </w:t>
      </w:r>
      <w:r>
        <w:rPr>
          <w:b/>
        </w:rPr>
        <w:t>none of them is a gate.</w:t>
      </w:r>
    </w:p>
    <w:p>
      <w:r>
        <w:t>That absence is a decision rather than an oversight. A threshold asserted before its distribution has been inspected would flag legitimately concentrated, legitimately single-source, legitimately commentary-drawing analyses as failures. The stated rule for promoting any of them to a gate is: inspect the distribution, find a cut point that separates what a reader judges good from what they judge bad, then set it. Not before.</w:t>
      </w:r>
    </w:p>
    <w:p>
      <w:r>
        <w:t xml:space="preserve">The same discipline retired a check that had been asserted and never fired: a threshold on how much three reviewers may disagree with each other. Outside a gate there is nothing for a threshold to block, and a number nobody enforces invites the reflex of loosening it until it stops firing. </w:t>
      </w:r>
      <w:r>
        <w:rPr>
          <w:b/>
        </w:rPr>
        <w:t>Reporting the spread stays mandatory. Thresholding it does not.</w:t>
      </w:r>
    </w:p>
    <w:p>
      <w:pPr>
        <w:pStyle w:val="Heading3"/>
      </w:pPr>
      <w:r>
        <w:t>B.3 The seven properties that make a review a review</w:t>
      </w:r>
    </w:p>
    <w:p>
      <w:r>
        <w:t xml:space="preserve">1. </w:t>
      </w:r>
      <w:r>
        <w:rPr>
          <w:b/>
        </w:rPr>
        <w:t>A stranger to the repository.</w:t>
      </w:r>
      <w:r>
        <w:t xml:space="preserve"> Each reviewer is a model that has never seen this codebase, its specifications, its prompts, or its cases. It reads the paper the way a journal referee reads a submission.</w:t>
      </w:r>
    </w:p>
    <w:p>
      <w:r>
        <w:t xml:space="preserve">2. </w:t>
      </w:r>
      <w:r>
        <w:rPr>
          <w:b/>
        </w:rPr>
        <w:t>A sealed packet, enforced by tooling.</w:t>
      </w:r>
      <w:r>
        <w:t xml:space="preserve"> The rendered paper, the resolved text of every cited passage, the bibliography. Nothing else. No path into the repository exists in the packet.</w:t>
      </w:r>
    </w:p>
    <w:p>
      <w:r>
        <w:t xml:space="preserve">3. </w:t>
      </w:r>
      <w:r>
        <w:rPr>
          <w:b/>
        </w:rPr>
        <w:t>A different training lab, not merely a different model.</w:t>
      </w:r>
      <w:r>
        <w:t xml:space="preserve"> A vendor collision is an error raised before any reviewer call.</w:t>
      </w:r>
    </w:p>
    <w:p>
      <w:r>
        <w:t xml:space="preserve">4. </w:t>
      </w:r>
      <w:r>
        <w:rPr>
          <w:b/>
        </w:rPr>
        <w:t>N ≥ 3 independent reviewers, and the spread is reported.</w:t>
      </w:r>
      <w:r>
        <w:t xml:space="preserve"> A mean without a spread is not reportable.</w:t>
      </w:r>
    </w:p>
    <w:p>
      <w:r>
        <w:t xml:space="preserve">5. </w:t>
      </w:r>
      <w:r>
        <w:rPr>
          <w:b/>
        </w:rPr>
        <w:t>A structured verdict, never free prose.</w:t>
      </w:r>
      <w:r>
        <w:t xml:space="preserve"> Ordinal bands per dimension plus named defects tied to claim identifiers. A response that does not parse is a failed call, never a silently imputed score.</w:t>
      </w:r>
    </w:p>
    <w:p>
      <w:r>
        <w:t xml:space="preserve">6. </w:t>
      </w:r>
      <w:r>
        <w:rPr>
          <w:b/>
        </w:rPr>
        <w:t>A positive control, mandatory before any number is trusted.</w:t>
      </w:r>
      <w:r>
        <w:t xml:space="preserve"> Three planted defects: a mis-grounded claim, a strawmanned counter-position, an over-confident band. A plant that cannot be applied is an error, never a skip — a control that quietly plants two defects and then passes is worse than no control.</w:t>
      </w:r>
    </w:p>
    <w:p>
      <w:r>
        <w:t xml:space="preserve">7. </w:t>
      </w:r>
      <w:r>
        <w:rPr>
          <w:b/>
        </w:rPr>
        <w:t>Packets are assembled at run time and never committed.</w:t>
      </w:r>
      <w:r>
        <w:t xml:space="preserve"> They carry verbatim text from copyrighted books. What may be recorded is the verdict: scores, defect kinds, claim identifiers, reviewer models and labs. Never the text.</w:t>
      </w:r>
    </w:p>
    <w:p>
      <w:pPr>
        <w:pStyle w:val="Heading3"/>
      </w:pPr>
      <w:r>
        <w:t>B.4 The reporting rules that bind</w:t>
      </w:r>
    </w:p>
    <w:p>
      <w:r>
        <w:rPr>
          <w:b/>
        </w:rPr>
        <w:t>Every panel figure travels with its frame</w:t>
      </w:r>
      <w:r>
        <w:t>: which papers, drawn from which performance tiers, under which model wirings, at which corpus version, judged by how many reviewers from which labs, with what spread. A number without its frame is a different claim.</w:t>
      </w:r>
    </w:p>
    <w:p>
      <w:r>
        <w:rPr>
          <w:b/>
        </w:rPr>
        <w:t>No panel figure may be reported as measured against human expert judgment.</w:t>
      </w:r>
      <w:r>
        <w:t xml:space="preserve"> There is no human expert in this loop today. A model-refereed score relabelled as a human-validated one is manufactured precision wearing a different costume, and it is the one way this project could launder its own limits. If human referees do join, their verdicts are a separate instrument with its own frame, reported as such and never merged into the panel's numbers.</w:t>
      </w:r>
    </w:p>
    <w:p>
      <w:r>
        <w:rPr>
          <w:b/>
        </w:rPr>
        <w:t>No paper waits on a panel and no gate reads one.</w:t>
      </w:r>
      <w:r>
        <w:t xml:space="preserve"> A gate that named a missing panel verdict as its reason for being untrusted would be wrong by construction, because most papers will never receive one by design.</w:t>
      </w:r>
    </w:p>
    <w:p>
      <w:pPr>
        <w:pStyle w:val="Heading2"/>
      </w:pPr>
      <w:r>
        <w:t>Appendix C — The library</w:t>
      </w:r>
    </w:p>
    <w:p>
      <w:r>
        <w:t xml:space="preserve">Thirty-five sources. Thirty-three are books, all held complete; seven of those are edited collections and four are volumes of one work (Mann's </w:t>
      </w:r>
      <w:r>
        <w:rPr>
          <w:i/>
        </w:rPr>
        <w:t>Sources of Social Power</w:t>
      </w:r>
      <w:r>
        <w:t>). The remaining two are a journal article and an unpublished master's research paper, flagged below.</w:t>
      </w:r>
    </w:p>
    <w:p>
      <w:r>
        <w:t>Bibliographic data was recovered from the files themselves — embedded metadata, title pages, copyright pages — and cross-checked. Fields that could not be confirmed are marked as not recovered rather than guessed.</w:t>
      </w:r>
    </w:p>
    <w:p>
      <w:r>
        <w:t>"Passages" is how many passages the book was cut into. "Concepts it alone holds" counts the concepts no other book on the shelf mentions, which is the sharpest measure of where the library has nobody to answer a book with.</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Source</w:t>
            </w:r>
          </w:p>
        </w:tc>
        <w:tc>
          <w:tcPr>
            <w:tcW w:type="dxa" w:w="2376"/>
          </w:tcPr>
          <w:p>
            <w:pPr>
              <w:spacing w:after="40"/>
            </w:pPr>
            <w:r>
              <w:rPr>
                <w:b/>
                <w:sz w:val="18"/>
              </w:rPr>
            </w:r>
            <w:r>
              <w:rPr>
                <w:b/>
                <w:sz w:val="18"/>
              </w:rPr>
              <w:t>Passages</w:t>
            </w:r>
          </w:p>
        </w:tc>
        <w:tc>
          <w:tcPr>
            <w:tcW w:type="dxa" w:w="2376"/>
          </w:tcPr>
          <w:p>
            <w:pPr>
              <w:spacing w:after="40"/>
            </w:pPr>
            <w:r>
              <w:rPr>
                <w:b/>
                <w:sz w:val="18"/>
              </w:rPr>
            </w:r>
            <w:r>
              <w:rPr>
                <w:b/>
                <w:sz w:val="18"/>
              </w:rPr>
              <w:t>Name pages touched</w:t>
            </w:r>
          </w:p>
        </w:tc>
        <w:tc>
          <w:tcPr>
            <w:tcW w:type="dxa" w:w="2376"/>
          </w:tcPr>
          <w:p>
            <w:pPr>
              <w:spacing w:after="40"/>
            </w:pPr>
            <w:r>
              <w:rPr>
                <w:b/>
                <w:sz w:val="18"/>
              </w:rPr>
            </w:r>
            <w:r>
              <w:rPr>
                <w:b/>
                <w:sz w:val="18"/>
              </w:rPr>
              <w:t>Concepts it alone holds</w:t>
            </w:r>
          </w:p>
        </w:tc>
      </w:tr>
      <w:tr>
        <w:tc>
          <w:tcPr>
            <w:tcW w:type="dxa" w:w="2376"/>
          </w:tcPr>
          <w:p>
            <w:pPr>
              <w:spacing w:after="40"/>
            </w:pPr>
            <w:r>
              <w:rPr>
                <w:sz w:val="18"/>
              </w:rPr>
            </w:r>
            <w:r>
              <w:rPr>
                <w:sz w:val="18"/>
              </w:rPr>
              <w:t xml:space="preserve">Mann, </w:t>
            </w:r>
            <w:r>
              <w:rPr>
                <w:i/>
                <w:sz w:val="18"/>
              </w:rPr>
              <w:t>The Sources of Social Power</w:t>
            </w:r>
            <w:r>
              <w:rPr>
                <w:sz w:val="18"/>
              </w:rPr>
              <w:t>, vol. II</w:t>
            </w:r>
          </w:p>
        </w:tc>
        <w:tc>
          <w:tcPr>
            <w:tcW w:type="dxa" w:w="2376"/>
          </w:tcPr>
          <w:p>
            <w:pPr>
              <w:spacing w:after="40"/>
            </w:pPr>
            <w:r>
              <w:rPr>
                <w:sz w:val="18"/>
              </w:rPr>
            </w:r>
            <w:r>
              <w:rPr>
                <w:sz w:val="18"/>
              </w:rPr>
              <w:t>459</w:t>
            </w:r>
          </w:p>
        </w:tc>
        <w:tc>
          <w:tcPr>
            <w:tcW w:type="dxa" w:w="2376"/>
          </w:tcPr>
          <w:p>
            <w:pPr>
              <w:spacing w:after="40"/>
            </w:pPr>
            <w:r>
              <w:rPr>
                <w:sz w:val="18"/>
              </w:rPr>
            </w:r>
            <w:r>
              <w:rPr>
                <w:sz w:val="18"/>
              </w:rPr>
              <w:t>4,127</w:t>
            </w:r>
          </w:p>
        </w:tc>
        <w:tc>
          <w:tcPr>
            <w:tcW w:type="dxa" w:w="2376"/>
          </w:tcPr>
          <w:p>
            <w:pPr>
              <w:spacing w:after="40"/>
            </w:pPr>
            <w:r>
              <w:rPr>
                <w:sz w:val="18"/>
              </w:rPr>
            </w:r>
            <w:r>
              <w:rPr>
                <w:sz w:val="18"/>
              </w:rPr>
              <w:t>431</w:t>
            </w:r>
          </w:p>
        </w:tc>
      </w:tr>
      <w:tr>
        <w:tc>
          <w:tcPr>
            <w:tcW w:type="dxa" w:w="2376"/>
          </w:tcPr>
          <w:p>
            <w:pPr>
              <w:spacing w:after="40"/>
            </w:pPr>
            <w:r>
              <w:rPr>
                <w:sz w:val="18"/>
              </w:rPr>
            </w:r>
            <w:r>
              <w:rPr>
                <w:sz w:val="18"/>
              </w:rPr>
              <w:t xml:space="preserve">Heydemann, ed., </w:t>
            </w:r>
            <w:r>
              <w:rPr>
                <w:i/>
                <w:sz w:val="18"/>
              </w:rPr>
              <w:t>War, Institutions, and Social Change</w:t>
            </w:r>
            <w:r>
              <w:rPr>
                <w:sz w:val="18"/>
              </w:rPr>
              <w:t xml:space="preserve"> (2000)</w:t>
            </w:r>
          </w:p>
        </w:tc>
        <w:tc>
          <w:tcPr>
            <w:tcW w:type="dxa" w:w="2376"/>
          </w:tcPr>
          <w:p>
            <w:pPr>
              <w:spacing w:after="40"/>
            </w:pPr>
            <w:r>
              <w:rPr>
                <w:sz w:val="18"/>
              </w:rPr>
            </w:r>
            <w:r>
              <w:rPr>
                <w:sz w:val="18"/>
              </w:rPr>
              <w:t>350</w:t>
            </w:r>
          </w:p>
        </w:tc>
        <w:tc>
          <w:tcPr>
            <w:tcW w:type="dxa" w:w="2376"/>
          </w:tcPr>
          <w:p>
            <w:pPr>
              <w:spacing w:after="40"/>
            </w:pPr>
            <w:r>
              <w:rPr>
                <w:sz w:val="18"/>
              </w:rPr>
            </w:r>
            <w:r>
              <w:rPr>
                <w:sz w:val="18"/>
              </w:rPr>
              <w:t>2,617</w:t>
            </w:r>
          </w:p>
        </w:tc>
        <w:tc>
          <w:tcPr>
            <w:tcW w:type="dxa" w:w="2376"/>
          </w:tcPr>
          <w:p>
            <w:pPr>
              <w:spacing w:after="40"/>
            </w:pPr>
            <w:r>
              <w:rPr>
                <w:sz w:val="18"/>
              </w:rPr>
            </w:r>
            <w:r>
              <w:rPr>
                <w:sz w:val="18"/>
              </w:rPr>
              <w:t>199</w:t>
            </w:r>
          </w:p>
        </w:tc>
      </w:tr>
      <w:tr>
        <w:tc>
          <w:tcPr>
            <w:tcW w:type="dxa" w:w="2376"/>
          </w:tcPr>
          <w:p>
            <w:pPr>
              <w:spacing w:after="40"/>
            </w:pPr>
            <w:r>
              <w:rPr>
                <w:sz w:val="18"/>
              </w:rPr>
            </w:r>
            <w:r>
              <w:rPr>
                <w:sz w:val="18"/>
              </w:rPr>
              <w:t xml:space="preserve">Mann, </w:t>
            </w:r>
            <w:r>
              <w:rPr>
                <w:i/>
                <w:sz w:val="18"/>
              </w:rPr>
              <w:t>The Sources of Social Power</w:t>
            </w:r>
            <w:r>
              <w:rPr>
                <w:sz w:val="18"/>
              </w:rPr>
              <w:t>, vol. I</w:t>
            </w:r>
          </w:p>
        </w:tc>
        <w:tc>
          <w:tcPr>
            <w:tcW w:type="dxa" w:w="2376"/>
          </w:tcPr>
          <w:p>
            <w:pPr>
              <w:spacing w:after="40"/>
            </w:pPr>
            <w:r>
              <w:rPr>
                <w:sz w:val="18"/>
              </w:rPr>
            </w:r>
            <w:r>
              <w:rPr>
                <w:sz w:val="18"/>
              </w:rPr>
              <w:t>349</w:t>
            </w:r>
          </w:p>
        </w:tc>
        <w:tc>
          <w:tcPr>
            <w:tcW w:type="dxa" w:w="2376"/>
          </w:tcPr>
          <w:p>
            <w:pPr>
              <w:spacing w:after="40"/>
            </w:pPr>
            <w:r>
              <w:rPr>
                <w:sz w:val="18"/>
              </w:rPr>
            </w:r>
            <w:r>
              <w:rPr>
                <w:sz w:val="18"/>
              </w:rPr>
              <w:t>2,950</w:t>
            </w:r>
          </w:p>
        </w:tc>
        <w:tc>
          <w:tcPr>
            <w:tcW w:type="dxa" w:w="2376"/>
          </w:tcPr>
          <w:p>
            <w:pPr>
              <w:spacing w:after="40"/>
            </w:pPr>
            <w:r>
              <w:rPr>
                <w:sz w:val="18"/>
              </w:rPr>
            </w:r>
            <w:r>
              <w:rPr>
                <w:sz w:val="18"/>
              </w:rPr>
              <w:t>338</w:t>
            </w:r>
          </w:p>
        </w:tc>
      </w:tr>
      <w:tr>
        <w:tc>
          <w:tcPr>
            <w:tcW w:type="dxa" w:w="2376"/>
          </w:tcPr>
          <w:p>
            <w:pPr>
              <w:spacing w:after="40"/>
            </w:pPr>
            <w:r>
              <w:rPr>
                <w:sz w:val="18"/>
              </w:rPr>
            </w:r>
            <w:r>
              <w:rPr>
                <w:sz w:val="18"/>
              </w:rPr>
              <w:t xml:space="preserve">Kalyvas, </w:t>
            </w:r>
            <w:r>
              <w:rPr>
                <w:i/>
                <w:sz w:val="18"/>
              </w:rPr>
              <w:t>The Logic of Violence in Civil War</w:t>
            </w:r>
            <w:r>
              <w:rPr>
                <w:sz w:val="18"/>
              </w:rPr>
              <w:t xml:space="preserve"> (2006)</w:t>
            </w:r>
          </w:p>
        </w:tc>
        <w:tc>
          <w:tcPr>
            <w:tcW w:type="dxa" w:w="2376"/>
          </w:tcPr>
          <w:p>
            <w:pPr>
              <w:spacing w:after="40"/>
            </w:pPr>
            <w:r>
              <w:rPr>
                <w:sz w:val="18"/>
              </w:rPr>
            </w:r>
            <w:r>
              <w:rPr>
                <w:sz w:val="18"/>
              </w:rPr>
              <w:t>335</w:t>
            </w:r>
          </w:p>
        </w:tc>
        <w:tc>
          <w:tcPr>
            <w:tcW w:type="dxa" w:w="2376"/>
          </w:tcPr>
          <w:p>
            <w:pPr>
              <w:spacing w:after="40"/>
            </w:pPr>
            <w:r>
              <w:rPr>
                <w:sz w:val="18"/>
              </w:rPr>
            </w:r>
            <w:r>
              <w:rPr>
                <w:sz w:val="18"/>
              </w:rPr>
              <w:t>3,225</w:t>
            </w:r>
          </w:p>
        </w:tc>
        <w:tc>
          <w:tcPr>
            <w:tcW w:type="dxa" w:w="2376"/>
          </w:tcPr>
          <w:p>
            <w:pPr>
              <w:spacing w:after="40"/>
            </w:pPr>
            <w:r>
              <w:rPr>
                <w:sz w:val="18"/>
              </w:rPr>
            </w:r>
            <w:r>
              <w:rPr>
                <w:sz w:val="18"/>
              </w:rPr>
              <w:t>205</w:t>
            </w:r>
          </w:p>
        </w:tc>
      </w:tr>
      <w:tr>
        <w:tc>
          <w:tcPr>
            <w:tcW w:type="dxa" w:w="2376"/>
          </w:tcPr>
          <w:p>
            <w:pPr>
              <w:spacing w:after="40"/>
            </w:pPr>
            <w:r>
              <w:rPr>
                <w:sz w:val="18"/>
              </w:rPr>
            </w:r>
            <w:r>
              <w:rPr>
                <w:sz w:val="18"/>
              </w:rPr>
              <w:t xml:space="preserve">Mann, </w:t>
            </w:r>
            <w:r>
              <w:rPr>
                <w:i/>
                <w:sz w:val="18"/>
              </w:rPr>
              <w:t>The Sources of Social Power</w:t>
            </w:r>
            <w:r>
              <w:rPr>
                <w:sz w:val="18"/>
              </w:rPr>
              <w:t>, vol. III</w:t>
            </w:r>
          </w:p>
        </w:tc>
        <w:tc>
          <w:tcPr>
            <w:tcW w:type="dxa" w:w="2376"/>
          </w:tcPr>
          <w:p>
            <w:pPr>
              <w:spacing w:after="40"/>
            </w:pPr>
            <w:r>
              <w:rPr>
                <w:sz w:val="18"/>
              </w:rPr>
            </w:r>
            <w:r>
              <w:rPr>
                <w:sz w:val="18"/>
              </w:rPr>
              <w:t>319</w:t>
            </w:r>
          </w:p>
        </w:tc>
        <w:tc>
          <w:tcPr>
            <w:tcW w:type="dxa" w:w="2376"/>
          </w:tcPr>
          <w:p>
            <w:pPr>
              <w:spacing w:after="40"/>
            </w:pPr>
            <w:r>
              <w:rPr>
                <w:sz w:val="18"/>
              </w:rPr>
            </w:r>
            <w:r>
              <w:rPr>
                <w:sz w:val="18"/>
              </w:rPr>
              <w:t>3,265</w:t>
            </w:r>
          </w:p>
        </w:tc>
        <w:tc>
          <w:tcPr>
            <w:tcW w:type="dxa" w:w="2376"/>
          </w:tcPr>
          <w:p>
            <w:pPr>
              <w:spacing w:after="40"/>
            </w:pPr>
            <w:r>
              <w:rPr>
                <w:sz w:val="18"/>
              </w:rPr>
            </w:r>
            <w:r>
              <w:rPr>
                <w:sz w:val="18"/>
              </w:rPr>
              <w:t>362</w:t>
            </w:r>
          </w:p>
        </w:tc>
      </w:tr>
      <w:tr>
        <w:tc>
          <w:tcPr>
            <w:tcW w:type="dxa" w:w="2376"/>
          </w:tcPr>
          <w:p>
            <w:pPr>
              <w:spacing w:after="40"/>
            </w:pPr>
            <w:r>
              <w:rPr>
                <w:sz w:val="18"/>
              </w:rPr>
            </w:r>
            <w:r>
              <w:rPr>
                <w:sz w:val="18"/>
              </w:rPr>
              <w:t xml:space="preserve">Ayubi, </w:t>
            </w:r>
            <w:r>
              <w:rPr>
                <w:i/>
                <w:sz w:val="18"/>
              </w:rPr>
              <w:t>Over-stating the Arab State</w:t>
            </w:r>
            <w:r>
              <w:rPr>
                <w:sz w:val="18"/>
              </w:rPr>
              <w:t xml:space="preserve"> (1995)</w:t>
            </w:r>
          </w:p>
        </w:tc>
        <w:tc>
          <w:tcPr>
            <w:tcW w:type="dxa" w:w="2376"/>
          </w:tcPr>
          <w:p>
            <w:pPr>
              <w:spacing w:after="40"/>
            </w:pPr>
            <w:r>
              <w:rPr>
                <w:sz w:val="18"/>
              </w:rPr>
            </w:r>
            <w:r>
              <w:rPr>
                <w:sz w:val="18"/>
              </w:rPr>
              <w:t>317</w:t>
            </w:r>
          </w:p>
        </w:tc>
        <w:tc>
          <w:tcPr>
            <w:tcW w:type="dxa" w:w="2376"/>
          </w:tcPr>
          <w:p>
            <w:pPr>
              <w:spacing w:after="40"/>
            </w:pPr>
            <w:r>
              <w:rPr>
                <w:sz w:val="18"/>
              </w:rPr>
            </w:r>
            <w:r>
              <w:rPr>
                <w:sz w:val="18"/>
              </w:rPr>
              <w:t>3,484</w:t>
            </w:r>
          </w:p>
        </w:tc>
        <w:tc>
          <w:tcPr>
            <w:tcW w:type="dxa" w:w="2376"/>
          </w:tcPr>
          <w:p>
            <w:pPr>
              <w:spacing w:after="40"/>
            </w:pPr>
            <w:r>
              <w:rPr>
                <w:sz w:val="18"/>
              </w:rPr>
            </w:r>
            <w:r>
              <w:rPr>
                <w:sz w:val="18"/>
              </w:rPr>
              <w:t>581</w:t>
            </w:r>
          </w:p>
        </w:tc>
      </w:tr>
      <w:tr>
        <w:tc>
          <w:tcPr>
            <w:tcW w:type="dxa" w:w="2376"/>
          </w:tcPr>
          <w:p>
            <w:pPr>
              <w:spacing w:after="40"/>
            </w:pPr>
            <w:r>
              <w:rPr>
                <w:sz w:val="18"/>
              </w:rPr>
            </w:r>
            <w:r>
              <w:rPr>
                <w:sz w:val="18"/>
              </w:rPr>
              <w:t xml:space="preserve">Mann, </w:t>
            </w:r>
            <w:r>
              <w:rPr>
                <w:i/>
                <w:sz w:val="18"/>
              </w:rPr>
              <w:t>The Sources of Social Power</w:t>
            </w:r>
            <w:r>
              <w:rPr>
                <w:sz w:val="18"/>
              </w:rPr>
              <w:t>, vol. IV</w:t>
            </w:r>
          </w:p>
        </w:tc>
        <w:tc>
          <w:tcPr>
            <w:tcW w:type="dxa" w:w="2376"/>
          </w:tcPr>
          <w:p>
            <w:pPr>
              <w:spacing w:after="40"/>
            </w:pPr>
            <w:r>
              <w:rPr>
                <w:sz w:val="18"/>
              </w:rPr>
            </w:r>
            <w:r>
              <w:rPr>
                <w:sz w:val="18"/>
              </w:rPr>
              <w:t>293</w:t>
            </w:r>
          </w:p>
        </w:tc>
        <w:tc>
          <w:tcPr>
            <w:tcW w:type="dxa" w:w="2376"/>
          </w:tcPr>
          <w:p>
            <w:pPr>
              <w:spacing w:after="40"/>
            </w:pPr>
            <w:r>
              <w:rPr>
                <w:sz w:val="18"/>
              </w:rPr>
            </w:r>
            <w:r>
              <w:rPr>
                <w:sz w:val="18"/>
              </w:rPr>
              <w:t>2,934</w:t>
            </w:r>
          </w:p>
        </w:tc>
        <w:tc>
          <w:tcPr>
            <w:tcW w:type="dxa" w:w="2376"/>
          </w:tcPr>
          <w:p>
            <w:pPr>
              <w:spacing w:after="40"/>
            </w:pPr>
            <w:r>
              <w:rPr>
                <w:sz w:val="18"/>
              </w:rPr>
            </w:r>
            <w:r>
              <w:rPr>
                <w:sz w:val="18"/>
              </w:rPr>
              <w:t>354</w:t>
            </w:r>
          </w:p>
        </w:tc>
      </w:tr>
      <w:tr>
        <w:tc>
          <w:tcPr>
            <w:tcW w:type="dxa" w:w="2376"/>
          </w:tcPr>
          <w:p>
            <w:pPr>
              <w:spacing w:after="40"/>
            </w:pPr>
            <w:r>
              <w:rPr>
                <w:sz w:val="18"/>
              </w:rPr>
            </w:r>
            <w:r>
              <w:rPr>
                <w:sz w:val="18"/>
              </w:rPr>
              <w:t xml:space="preserve">Beshara, ed., </w:t>
            </w:r>
            <w:r>
              <w:rPr>
                <w:i/>
                <w:sz w:val="18"/>
              </w:rPr>
              <w:t>The Origins of Syrian Nationhood</w:t>
            </w:r>
            <w:r>
              <w:rPr>
                <w:sz w:val="18"/>
              </w:rPr>
              <w:t xml:space="preserve"> (2011)</w:t>
            </w:r>
          </w:p>
        </w:tc>
        <w:tc>
          <w:tcPr>
            <w:tcW w:type="dxa" w:w="2376"/>
          </w:tcPr>
          <w:p>
            <w:pPr>
              <w:spacing w:after="40"/>
            </w:pPr>
            <w:r>
              <w:rPr>
                <w:sz w:val="18"/>
              </w:rPr>
            </w:r>
            <w:r>
              <w:rPr>
                <w:sz w:val="18"/>
              </w:rPr>
              <w:t>290</w:t>
            </w:r>
          </w:p>
        </w:tc>
        <w:tc>
          <w:tcPr>
            <w:tcW w:type="dxa" w:w="2376"/>
          </w:tcPr>
          <w:p>
            <w:pPr>
              <w:spacing w:after="40"/>
            </w:pPr>
            <w:r>
              <w:rPr>
                <w:sz w:val="18"/>
              </w:rPr>
            </w:r>
            <w:r>
              <w:rPr>
                <w:sz w:val="18"/>
              </w:rPr>
              <w:t>3,247</w:t>
            </w:r>
          </w:p>
        </w:tc>
        <w:tc>
          <w:tcPr>
            <w:tcW w:type="dxa" w:w="2376"/>
          </w:tcPr>
          <w:p>
            <w:pPr>
              <w:spacing w:after="40"/>
            </w:pPr>
            <w:r>
              <w:rPr>
                <w:sz w:val="18"/>
              </w:rPr>
            </w:r>
            <w:r>
              <w:rPr>
                <w:sz w:val="18"/>
              </w:rPr>
              <w:t>309</w:t>
            </w:r>
          </w:p>
        </w:tc>
      </w:tr>
      <w:tr>
        <w:tc>
          <w:tcPr>
            <w:tcW w:type="dxa" w:w="2376"/>
          </w:tcPr>
          <w:p>
            <w:pPr>
              <w:spacing w:after="40"/>
            </w:pPr>
            <w:r>
              <w:rPr>
                <w:sz w:val="18"/>
              </w:rPr>
            </w:r>
            <w:r>
              <w:rPr>
                <w:sz w:val="18"/>
              </w:rPr>
              <w:t xml:space="preserve">Gellner, </w:t>
            </w:r>
            <w:r>
              <w:rPr>
                <w:i/>
                <w:sz w:val="18"/>
              </w:rPr>
              <w:t>Muslim Society</w:t>
            </w:r>
            <w:r>
              <w:rPr>
                <w:sz w:val="18"/>
              </w:rPr>
              <w:t xml:space="preserve"> (1981)</w:t>
            </w:r>
          </w:p>
        </w:tc>
        <w:tc>
          <w:tcPr>
            <w:tcW w:type="dxa" w:w="2376"/>
          </w:tcPr>
          <w:p>
            <w:pPr>
              <w:spacing w:after="40"/>
            </w:pPr>
            <w:r>
              <w:rPr>
                <w:sz w:val="18"/>
              </w:rPr>
            </w:r>
            <w:r>
              <w:rPr>
                <w:sz w:val="18"/>
              </w:rPr>
              <w:t>268</w:t>
            </w:r>
          </w:p>
        </w:tc>
        <w:tc>
          <w:tcPr>
            <w:tcW w:type="dxa" w:w="2376"/>
          </w:tcPr>
          <w:p>
            <w:pPr>
              <w:spacing w:after="40"/>
            </w:pPr>
            <w:r>
              <w:rPr>
                <w:sz w:val="18"/>
              </w:rPr>
            </w:r>
            <w:r>
              <w:rPr>
                <w:sz w:val="18"/>
              </w:rPr>
              <w:t>1,675</w:t>
            </w:r>
          </w:p>
        </w:tc>
        <w:tc>
          <w:tcPr>
            <w:tcW w:type="dxa" w:w="2376"/>
          </w:tcPr>
          <w:p>
            <w:pPr>
              <w:spacing w:after="40"/>
            </w:pPr>
            <w:r>
              <w:rPr>
                <w:sz w:val="18"/>
              </w:rPr>
            </w:r>
            <w:r>
              <w:rPr>
                <w:sz w:val="18"/>
              </w:rPr>
              <w:t>171</w:t>
            </w:r>
          </w:p>
        </w:tc>
      </w:tr>
      <w:tr>
        <w:tc>
          <w:tcPr>
            <w:tcW w:type="dxa" w:w="2376"/>
          </w:tcPr>
          <w:p>
            <w:pPr>
              <w:spacing w:after="40"/>
            </w:pPr>
            <w:r>
              <w:rPr>
                <w:sz w:val="18"/>
              </w:rPr>
            </w:r>
            <w:r>
              <w:rPr>
                <w:sz w:val="18"/>
              </w:rPr>
              <w:t xml:space="preserve">Batatu, </w:t>
            </w:r>
            <w:r>
              <w:rPr>
                <w:i/>
                <w:sz w:val="18"/>
              </w:rPr>
              <w:t>Syria's Peasantry</w:t>
            </w:r>
            <w:r>
              <w:rPr>
                <w:sz w:val="18"/>
              </w:rPr>
              <w:t xml:space="preserve"> (1999)</w:t>
            </w:r>
          </w:p>
        </w:tc>
        <w:tc>
          <w:tcPr>
            <w:tcW w:type="dxa" w:w="2376"/>
          </w:tcPr>
          <w:p>
            <w:pPr>
              <w:spacing w:after="40"/>
            </w:pPr>
            <w:r>
              <w:rPr>
                <w:sz w:val="18"/>
              </w:rPr>
            </w:r>
            <w:r>
              <w:rPr>
                <w:sz w:val="18"/>
              </w:rPr>
              <w:t>237</w:t>
            </w:r>
          </w:p>
        </w:tc>
        <w:tc>
          <w:tcPr>
            <w:tcW w:type="dxa" w:w="2376"/>
          </w:tcPr>
          <w:p>
            <w:pPr>
              <w:spacing w:after="40"/>
            </w:pPr>
            <w:r>
              <w:rPr>
                <w:sz w:val="18"/>
              </w:rPr>
            </w:r>
            <w:r>
              <w:rPr>
                <w:sz w:val="18"/>
              </w:rPr>
              <w:t>2,988</w:t>
            </w:r>
          </w:p>
        </w:tc>
        <w:tc>
          <w:tcPr>
            <w:tcW w:type="dxa" w:w="2376"/>
          </w:tcPr>
          <w:p>
            <w:pPr>
              <w:spacing w:after="40"/>
            </w:pPr>
            <w:r>
              <w:rPr>
                <w:sz w:val="18"/>
              </w:rPr>
            </w:r>
            <w:r>
              <w:rPr>
                <w:sz w:val="18"/>
              </w:rPr>
              <w:t>168</w:t>
            </w:r>
          </w:p>
        </w:tc>
      </w:tr>
      <w:tr>
        <w:tc>
          <w:tcPr>
            <w:tcW w:type="dxa" w:w="2376"/>
          </w:tcPr>
          <w:p>
            <w:pPr>
              <w:spacing w:after="40"/>
            </w:pPr>
            <w:r>
              <w:rPr>
                <w:sz w:val="18"/>
              </w:rPr>
            </w:r>
            <w:r>
              <w:rPr>
                <w:sz w:val="18"/>
              </w:rPr>
              <w:t xml:space="preserve">Hall &amp; Schroeder, eds., </w:t>
            </w:r>
            <w:r>
              <w:rPr>
                <w:i/>
                <w:sz w:val="18"/>
              </w:rPr>
              <w:t>An Anatomy of Power</w:t>
            </w:r>
            <w:r>
              <w:rPr>
                <w:sz w:val="18"/>
              </w:rPr>
              <w:t xml:space="preserve"> (2006)</w:t>
            </w:r>
          </w:p>
        </w:tc>
        <w:tc>
          <w:tcPr>
            <w:tcW w:type="dxa" w:w="2376"/>
          </w:tcPr>
          <w:p>
            <w:pPr>
              <w:spacing w:after="40"/>
            </w:pPr>
            <w:r>
              <w:rPr>
                <w:sz w:val="18"/>
              </w:rPr>
            </w:r>
            <w:r>
              <w:rPr>
                <w:sz w:val="18"/>
              </w:rPr>
              <w:t>232</w:t>
            </w:r>
          </w:p>
        </w:tc>
        <w:tc>
          <w:tcPr>
            <w:tcW w:type="dxa" w:w="2376"/>
          </w:tcPr>
          <w:p>
            <w:pPr>
              <w:spacing w:after="40"/>
            </w:pPr>
            <w:r>
              <w:rPr>
                <w:sz w:val="18"/>
              </w:rPr>
            </w:r>
            <w:r>
              <w:rPr>
                <w:sz w:val="18"/>
              </w:rPr>
              <w:t>2,063</w:t>
            </w:r>
          </w:p>
        </w:tc>
        <w:tc>
          <w:tcPr>
            <w:tcW w:type="dxa" w:w="2376"/>
          </w:tcPr>
          <w:p>
            <w:pPr>
              <w:spacing w:after="40"/>
            </w:pPr>
            <w:r>
              <w:rPr>
                <w:sz w:val="18"/>
              </w:rPr>
            </w:r>
            <w:r>
              <w:rPr>
                <w:sz w:val="18"/>
              </w:rPr>
              <w:t>321</w:t>
            </w:r>
          </w:p>
        </w:tc>
      </w:tr>
      <w:tr>
        <w:tc>
          <w:tcPr>
            <w:tcW w:type="dxa" w:w="2376"/>
          </w:tcPr>
          <w:p>
            <w:pPr>
              <w:spacing w:after="40"/>
            </w:pPr>
            <w:r>
              <w:rPr>
                <w:sz w:val="18"/>
              </w:rPr>
            </w:r>
            <w:r>
              <w:rPr>
                <w:sz w:val="18"/>
              </w:rPr>
              <w:t xml:space="preserve">Hinnebusch, </w:t>
            </w:r>
            <w:r>
              <w:rPr>
                <w:i/>
                <w:sz w:val="18"/>
              </w:rPr>
              <w:t>Authoritarian Power and State Formation</w:t>
            </w:r>
            <w:r>
              <w:rPr>
                <w:sz w:val="18"/>
              </w:rPr>
              <w:t xml:space="preserve"> (1990)</w:t>
            </w:r>
          </w:p>
        </w:tc>
        <w:tc>
          <w:tcPr>
            <w:tcW w:type="dxa" w:w="2376"/>
          </w:tcPr>
          <w:p>
            <w:pPr>
              <w:spacing w:after="40"/>
            </w:pPr>
            <w:r>
              <w:rPr>
                <w:sz w:val="18"/>
              </w:rPr>
            </w:r>
            <w:r>
              <w:rPr>
                <w:sz w:val="18"/>
              </w:rPr>
              <w:t>228</w:t>
            </w:r>
          </w:p>
        </w:tc>
        <w:tc>
          <w:tcPr>
            <w:tcW w:type="dxa" w:w="2376"/>
          </w:tcPr>
          <w:p>
            <w:pPr>
              <w:spacing w:after="40"/>
            </w:pPr>
            <w:r>
              <w:rPr>
                <w:sz w:val="18"/>
              </w:rPr>
            </w:r>
            <w:r>
              <w:rPr>
                <w:sz w:val="18"/>
              </w:rPr>
              <w:t>1,517</w:t>
            </w:r>
          </w:p>
        </w:tc>
        <w:tc>
          <w:tcPr>
            <w:tcW w:type="dxa" w:w="2376"/>
          </w:tcPr>
          <w:p>
            <w:pPr>
              <w:spacing w:after="40"/>
            </w:pPr>
            <w:r>
              <w:rPr>
                <w:sz w:val="18"/>
              </w:rPr>
            </w:r>
            <w:r>
              <w:rPr>
                <w:sz w:val="18"/>
              </w:rPr>
              <w:t>126</w:t>
            </w:r>
          </w:p>
        </w:tc>
      </w:tr>
      <w:tr>
        <w:tc>
          <w:tcPr>
            <w:tcW w:type="dxa" w:w="2376"/>
          </w:tcPr>
          <w:p>
            <w:pPr>
              <w:spacing w:after="40"/>
            </w:pPr>
            <w:r>
              <w:rPr>
                <w:sz w:val="18"/>
              </w:rPr>
            </w:r>
            <w:r>
              <w:rPr>
                <w:sz w:val="18"/>
              </w:rPr>
              <w:t xml:space="preserve">Malešević, </w:t>
            </w:r>
            <w:r>
              <w:rPr>
                <w:i/>
                <w:sz w:val="18"/>
              </w:rPr>
              <w:t>Nation-States and Nationalisms</w:t>
            </w:r>
            <w:r>
              <w:rPr>
                <w:sz w:val="18"/>
              </w:rPr>
              <w:t xml:space="preserve"> (2013)</w:t>
            </w:r>
          </w:p>
        </w:tc>
        <w:tc>
          <w:tcPr>
            <w:tcW w:type="dxa" w:w="2376"/>
          </w:tcPr>
          <w:p>
            <w:pPr>
              <w:spacing w:after="40"/>
            </w:pPr>
            <w:r>
              <w:rPr>
                <w:sz w:val="18"/>
              </w:rPr>
            </w:r>
            <w:r>
              <w:rPr>
                <w:sz w:val="18"/>
              </w:rPr>
              <w:t>214</w:t>
            </w:r>
          </w:p>
        </w:tc>
        <w:tc>
          <w:tcPr>
            <w:tcW w:type="dxa" w:w="2376"/>
          </w:tcPr>
          <w:p>
            <w:pPr>
              <w:spacing w:after="40"/>
            </w:pPr>
            <w:r>
              <w:rPr>
                <w:sz w:val="18"/>
              </w:rPr>
            </w:r>
            <w:r>
              <w:rPr>
                <w:sz w:val="18"/>
              </w:rPr>
              <w:t>1,525</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Heydemann, ed., </w:t>
            </w:r>
            <w:r>
              <w:rPr>
                <w:i/>
                <w:sz w:val="18"/>
              </w:rPr>
              <w:t>Networks of Privilege</w:t>
            </w:r>
            <w:r>
              <w:rPr>
                <w:sz w:val="18"/>
              </w:rPr>
              <w:t xml:space="preserve"> (2004)</w:t>
            </w:r>
          </w:p>
        </w:tc>
        <w:tc>
          <w:tcPr>
            <w:tcW w:type="dxa" w:w="2376"/>
          </w:tcPr>
          <w:p>
            <w:pPr>
              <w:spacing w:after="40"/>
            </w:pPr>
            <w:r>
              <w:rPr>
                <w:sz w:val="18"/>
              </w:rPr>
            </w:r>
            <w:r>
              <w:rPr>
                <w:sz w:val="18"/>
              </w:rPr>
              <w:t>208</w:t>
            </w:r>
          </w:p>
        </w:tc>
        <w:tc>
          <w:tcPr>
            <w:tcW w:type="dxa" w:w="2376"/>
          </w:tcPr>
          <w:p>
            <w:pPr>
              <w:spacing w:after="40"/>
            </w:pPr>
            <w:r>
              <w:rPr>
                <w:sz w:val="18"/>
              </w:rPr>
            </w:r>
            <w:r>
              <w:rPr>
                <w:sz w:val="18"/>
              </w:rPr>
              <w:t>2,260</w:t>
            </w:r>
          </w:p>
        </w:tc>
        <w:tc>
          <w:tcPr>
            <w:tcW w:type="dxa" w:w="2376"/>
          </w:tcPr>
          <w:p>
            <w:pPr>
              <w:spacing w:after="40"/>
            </w:pPr>
            <w:r>
              <w:rPr>
                <w:sz w:val="18"/>
              </w:rPr>
            </w:r>
            <w:r>
              <w:rPr>
                <w:sz w:val="18"/>
              </w:rPr>
              <w:t>186</w:t>
            </w:r>
          </w:p>
        </w:tc>
      </w:tr>
      <w:tr>
        <w:tc>
          <w:tcPr>
            <w:tcW w:type="dxa" w:w="2376"/>
          </w:tcPr>
          <w:p>
            <w:pPr>
              <w:spacing w:after="40"/>
            </w:pPr>
            <w:r>
              <w:rPr>
                <w:sz w:val="18"/>
              </w:rPr>
            </w:r>
            <w:r>
              <w:rPr>
                <w:sz w:val="18"/>
              </w:rPr>
              <w:t xml:space="preserve">Wimmer, </w:t>
            </w:r>
            <w:r>
              <w:rPr>
                <w:i/>
                <w:sz w:val="18"/>
              </w:rPr>
              <w:t>Waves of War</w:t>
            </w:r>
            <w:r>
              <w:rPr>
                <w:sz w:val="18"/>
              </w:rPr>
              <w:t xml:space="preserve"> (2013)</w:t>
            </w:r>
          </w:p>
        </w:tc>
        <w:tc>
          <w:tcPr>
            <w:tcW w:type="dxa" w:w="2376"/>
          </w:tcPr>
          <w:p>
            <w:pPr>
              <w:spacing w:after="40"/>
            </w:pPr>
            <w:r>
              <w:rPr>
                <w:sz w:val="18"/>
              </w:rPr>
            </w:r>
            <w:r>
              <w:rPr>
                <w:sz w:val="18"/>
              </w:rPr>
              <w:t>197</w:t>
            </w:r>
          </w:p>
        </w:tc>
        <w:tc>
          <w:tcPr>
            <w:tcW w:type="dxa" w:w="2376"/>
          </w:tcPr>
          <w:p>
            <w:pPr>
              <w:spacing w:after="40"/>
            </w:pPr>
            <w:r>
              <w:rPr>
                <w:sz w:val="18"/>
              </w:rPr>
            </w:r>
            <w:r>
              <w:rPr>
                <w:sz w:val="18"/>
              </w:rPr>
              <w:t>1,750</w:t>
            </w:r>
          </w:p>
        </w:tc>
        <w:tc>
          <w:tcPr>
            <w:tcW w:type="dxa" w:w="2376"/>
          </w:tcPr>
          <w:p>
            <w:pPr>
              <w:spacing w:after="40"/>
            </w:pPr>
            <w:r>
              <w:rPr>
                <w:sz w:val="18"/>
              </w:rPr>
            </w:r>
            <w:r>
              <w:rPr>
                <w:sz w:val="18"/>
              </w:rPr>
              <w:t>172</w:t>
            </w:r>
          </w:p>
        </w:tc>
      </w:tr>
      <w:tr>
        <w:tc>
          <w:tcPr>
            <w:tcW w:type="dxa" w:w="2376"/>
          </w:tcPr>
          <w:p>
            <w:pPr>
              <w:spacing w:after="40"/>
            </w:pPr>
            <w:r>
              <w:rPr>
                <w:sz w:val="18"/>
              </w:rPr>
            </w:r>
            <w:r>
              <w:rPr>
                <w:sz w:val="18"/>
              </w:rPr>
              <w:t xml:space="preserve">Malešević, </w:t>
            </w:r>
            <w:r>
              <w:rPr>
                <w:i/>
                <w:sz w:val="18"/>
              </w:rPr>
              <w:t>The Sociology of War and Violence</w:t>
            </w:r>
            <w:r>
              <w:rPr>
                <w:sz w:val="18"/>
              </w:rPr>
              <w:t xml:space="preserve"> (2010)</w:t>
            </w:r>
          </w:p>
        </w:tc>
        <w:tc>
          <w:tcPr>
            <w:tcW w:type="dxa" w:w="2376"/>
          </w:tcPr>
          <w:p>
            <w:pPr>
              <w:spacing w:after="40"/>
            </w:pPr>
            <w:r>
              <w:rPr>
                <w:sz w:val="18"/>
              </w:rPr>
            </w:r>
            <w:r>
              <w:rPr>
                <w:sz w:val="18"/>
              </w:rPr>
              <w:t>194</w:t>
            </w:r>
          </w:p>
        </w:tc>
        <w:tc>
          <w:tcPr>
            <w:tcW w:type="dxa" w:w="2376"/>
          </w:tcPr>
          <w:p>
            <w:pPr>
              <w:spacing w:after="40"/>
            </w:pPr>
            <w:r>
              <w:rPr>
                <w:sz w:val="18"/>
              </w:rPr>
            </w:r>
            <w:r>
              <w:rPr>
                <w:sz w:val="18"/>
              </w:rPr>
              <w:t>1,994</w:t>
            </w:r>
          </w:p>
        </w:tc>
        <w:tc>
          <w:tcPr>
            <w:tcW w:type="dxa" w:w="2376"/>
          </w:tcPr>
          <w:p>
            <w:pPr>
              <w:spacing w:after="40"/>
            </w:pPr>
            <w:r>
              <w:rPr>
                <w:sz w:val="18"/>
              </w:rPr>
            </w:r>
            <w:r>
              <w:rPr>
                <w:sz w:val="18"/>
              </w:rPr>
              <w:t>264</w:t>
            </w:r>
          </w:p>
        </w:tc>
      </w:tr>
      <w:tr>
        <w:tc>
          <w:tcPr>
            <w:tcW w:type="dxa" w:w="2376"/>
          </w:tcPr>
          <w:p>
            <w:pPr>
              <w:spacing w:after="40"/>
            </w:pPr>
            <w:r>
              <w:rPr>
                <w:sz w:val="18"/>
              </w:rPr>
            </w:r>
            <w:r>
              <w:rPr>
                <w:sz w:val="18"/>
              </w:rPr>
              <w:t xml:space="preserve">Gelvin, </w:t>
            </w:r>
            <w:r>
              <w:rPr>
                <w:i/>
                <w:sz w:val="18"/>
              </w:rPr>
              <w:t>Divided Loyalties</w:t>
            </w:r>
            <w:r>
              <w:rPr>
                <w:sz w:val="18"/>
              </w:rPr>
              <w:t xml:space="preserve"> (1998)</w:t>
            </w:r>
          </w:p>
        </w:tc>
        <w:tc>
          <w:tcPr>
            <w:tcW w:type="dxa" w:w="2376"/>
          </w:tcPr>
          <w:p>
            <w:pPr>
              <w:spacing w:after="40"/>
            </w:pPr>
            <w:r>
              <w:rPr>
                <w:sz w:val="18"/>
              </w:rPr>
            </w:r>
            <w:r>
              <w:rPr>
                <w:sz w:val="18"/>
              </w:rPr>
              <w:t>191</w:t>
            </w:r>
          </w:p>
        </w:tc>
        <w:tc>
          <w:tcPr>
            <w:tcW w:type="dxa" w:w="2376"/>
          </w:tcPr>
          <w:p>
            <w:pPr>
              <w:spacing w:after="40"/>
            </w:pPr>
            <w:r>
              <w:rPr>
                <w:sz w:val="18"/>
              </w:rPr>
            </w:r>
            <w:r>
              <w:rPr>
                <w:sz w:val="18"/>
              </w:rPr>
              <w:t>2,001</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Tilly, </w:t>
            </w:r>
            <w:r>
              <w:rPr>
                <w:i/>
                <w:sz w:val="18"/>
              </w:rPr>
              <w:t>From Mobilization to Revolution</w:t>
            </w:r>
            <w:r>
              <w:rPr>
                <w:sz w:val="18"/>
              </w:rPr>
              <w:t xml:space="preserve"> (1978)</w:t>
            </w:r>
          </w:p>
        </w:tc>
        <w:tc>
          <w:tcPr>
            <w:tcW w:type="dxa" w:w="2376"/>
          </w:tcPr>
          <w:p>
            <w:pPr>
              <w:spacing w:after="40"/>
            </w:pPr>
            <w:r>
              <w:rPr>
                <w:sz w:val="18"/>
              </w:rPr>
            </w:r>
            <w:r>
              <w:rPr>
                <w:sz w:val="18"/>
              </w:rPr>
              <w:t>189</w:t>
            </w:r>
          </w:p>
        </w:tc>
        <w:tc>
          <w:tcPr>
            <w:tcW w:type="dxa" w:w="2376"/>
          </w:tcPr>
          <w:p>
            <w:pPr>
              <w:spacing w:after="40"/>
            </w:pPr>
            <w:r>
              <w:rPr>
                <w:sz w:val="18"/>
              </w:rPr>
            </w:r>
            <w:r>
              <w:rPr>
                <w:sz w:val="18"/>
              </w:rPr>
              <w:t>1,406</w:t>
            </w:r>
          </w:p>
        </w:tc>
        <w:tc>
          <w:tcPr>
            <w:tcW w:type="dxa" w:w="2376"/>
          </w:tcPr>
          <w:p>
            <w:pPr>
              <w:spacing w:after="40"/>
            </w:pPr>
            <w:r>
              <w:rPr>
                <w:sz w:val="18"/>
              </w:rPr>
            </w:r>
            <w:r>
              <w:rPr>
                <w:sz w:val="18"/>
              </w:rPr>
              <w:t>234</w:t>
            </w:r>
          </w:p>
        </w:tc>
      </w:tr>
      <w:tr>
        <w:tc>
          <w:tcPr>
            <w:tcW w:type="dxa" w:w="2376"/>
          </w:tcPr>
          <w:p>
            <w:pPr>
              <w:spacing w:after="40"/>
            </w:pPr>
            <w:r>
              <w:rPr>
                <w:sz w:val="18"/>
              </w:rPr>
            </w:r>
            <w:r>
              <w:rPr>
                <w:sz w:val="18"/>
              </w:rPr>
              <w:t xml:space="preserve">Kao &amp; Lust, eds., </w:t>
            </w:r>
            <w:r>
              <w:rPr>
                <w:i/>
                <w:sz w:val="18"/>
              </w:rPr>
              <w:t>Decentralization, Local Governance, and Inequality</w:t>
            </w:r>
            <w:r>
              <w:rPr>
                <w:sz w:val="18"/>
              </w:rPr>
              <w:t xml:space="preserve"> (2025)</w:t>
            </w:r>
          </w:p>
        </w:tc>
        <w:tc>
          <w:tcPr>
            <w:tcW w:type="dxa" w:w="2376"/>
          </w:tcPr>
          <w:p>
            <w:pPr>
              <w:spacing w:after="40"/>
            </w:pPr>
            <w:r>
              <w:rPr>
                <w:sz w:val="18"/>
              </w:rPr>
            </w:r>
            <w:r>
              <w:rPr>
                <w:sz w:val="18"/>
              </w:rPr>
              <w:t>183</w:t>
            </w:r>
          </w:p>
        </w:tc>
        <w:tc>
          <w:tcPr>
            <w:tcW w:type="dxa" w:w="2376"/>
          </w:tcPr>
          <w:p>
            <w:pPr>
              <w:spacing w:after="40"/>
            </w:pPr>
            <w:r>
              <w:rPr>
                <w:sz w:val="18"/>
              </w:rPr>
            </w:r>
            <w:r>
              <w:rPr>
                <w:sz w:val="18"/>
              </w:rPr>
              <w:t>2,112</w:t>
            </w:r>
          </w:p>
        </w:tc>
        <w:tc>
          <w:tcPr>
            <w:tcW w:type="dxa" w:w="2376"/>
          </w:tcPr>
          <w:p>
            <w:pPr>
              <w:spacing w:after="40"/>
            </w:pPr>
            <w:r>
              <w:rPr>
                <w:sz w:val="18"/>
              </w:rPr>
            </w:r>
            <w:r>
              <w:rPr>
                <w:sz w:val="18"/>
              </w:rPr>
              <w:t>100</w:t>
            </w:r>
          </w:p>
        </w:tc>
      </w:tr>
      <w:tr>
        <w:tc>
          <w:tcPr>
            <w:tcW w:type="dxa" w:w="2376"/>
          </w:tcPr>
          <w:p>
            <w:pPr>
              <w:spacing w:after="40"/>
            </w:pPr>
            <w:r>
              <w:rPr>
                <w:sz w:val="18"/>
              </w:rPr>
            </w:r>
            <w:r>
              <w:rPr>
                <w:sz w:val="18"/>
              </w:rPr>
              <w:t xml:space="preserve">Wedeen, </w:t>
            </w:r>
            <w:r>
              <w:rPr>
                <w:i/>
                <w:sz w:val="18"/>
              </w:rPr>
              <w:t>Authoritarian Apprehensions</w:t>
            </w:r>
            <w:r>
              <w:rPr>
                <w:sz w:val="18"/>
              </w:rPr>
              <w:t xml:space="preserve"> (2019)</w:t>
            </w:r>
          </w:p>
        </w:tc>
        <w:tc>
          <w:tcPr>
            <w:tcW w:type="dxa" w:w="2376"/>
          </w:tcPr>
          <w:p>
            <w:pPr>
              <w:spacing w:after="40"/>
            </w:pPr>
            <w:r>
              <w:rPr>
                <w:sz w:val="18"/>
              </w:rPr>
            </w:r>
            <w:r>
              <w:rPr>
                <w:sz w:val="18"/>
              </w:rPr>
              <w:t>166</w:t>
            </w:r>
          </w:p>
        </w:tc>
        <w:tc>
          <w:tcPr>
            <w:tcW w:type="dxa" w:w="2376"/>
          </w:tcPr>
          <w:p>
            <w:pPr>
              <w:spacing w:after="40"/>
            </w:pPr>
            <w:r>
              <w:rPr>
                <w:sz w:val="18"/>
              </w:rPr>
            </w:r>
            <w:r>
              <w:rPr>
                <w:sz w:val="18"/>
              </w:rPr>
              <w:t>1,823</w:t>
            </w:r>
          </w:p>
        </w:tc>
        <w:tc>
          <w:tcPr>
            <w:tcW w:type="dxa" w:w="2376"/>
          </w:tcPr>
          <w:p>
            <w:pPr>
              <w:spacing w:after="40"/>
            </w:pPr>
            <w:r>
              <w:rPr>
                <w:sz w:val="18"/>
              </w:rPr>
            </w:r>
            <w:r>
              <w:rPr>
                <w:sz w:val="18"/>
              </w:rPr>
              <w:t>179</w:t>
            </w:r>
          </w:p>
        </w:tc>
      </w:tr>
      <w:tr>
        <w:tc>
          <w:tcPr>
            <w:tcW w:type="dxa" w:w="2376"/>
          </w:tcPr>
          <w:p>
            <w:pPr>
              <w:spacing w:after="40"/>
            </w:pPr>
            <w:r>
              <w:rPr>
                <w:sz w:val="18"/>
              </w:rPr>
            </w:r>
            <w:r>
              <w:rPr>
                <w:sz w:val="18"/>
              </w:rPr>
              <w:t xml:space="preserve">Zaum, </w:t>
            </w:r>
            <w:r>
              <w:rPr>
                <w:i/>
                <w:sz w:val="18"/>
              </w:rPr>
              <w:t>The Sovereignty Paradox</w:t>
            </w:r>
            <w:r>
              <w:rPr>
                <w:sz w:val="18"/>
              </w:rPr>
              <w:t xml:space="preserve"> (2007)</w:t>
            </w:r>
          </w:p>
        </w:tc>
        <w:tc>
          <w:tcPr>
            <w:tcW w:type="dxa" w:w="2376"/>
          </w:tcPr>
          <w:p>
            <w:pPr>
              <w:spacing w:after="40"/>
            </w:pPr>
            <w:r>
              <w:rPr>
                <w:sz w:val="18"/>
              </w:rPr>
            </w:r>
            <w:r>
              <w:rPr>
                <w:sz w:val="18"/>
              </w:rPr>
              <w:t>165</w:t>
            </w:r>
          </w:p>
        </w:tc>
        <w:tc>
          <w:tcPr>
            <w:tcW w:type="dxa" w:w="2376"/>
          </w:tcPr>
          <w:p>
            <w:pPr>
              <w:spacing w:after="40"/>
            </w:pPr>
            <w:r>
              <w:rPr>
                <w:sz w:val="18"/>
              </w:rPr>
            </w:r>
            <w:r>
              <w:rPr>
                <w:sz w:val="18"/>
              </w:rPr>
              <w:t>1,864</w:t>
            </w:r>
          </w:p>
        </w:tc>
        <w:tc>
          <w:tcPr>
            <w:tcW w:type="dxa" w:w="2376"/>
          </w:tcPr>
          <w:p>
            <w:pPr>
              <w:spacing w:after="40"/>
            </w:pPr>
            <w:r>
              <w:rPr>
                <w:sz w:val="18"/>
              </w:rPr>
            </w:r>
            <w:r>
              <w:rPr>
                <w:sz w:val="18"/>
              </w:rPr>
              <w:t>130</w:t>
            </w:r>
          </w:p>
        </w:tc>
      </w:tr>
      <w:tr>
        <w:tc>
          <w:tcPr>
            <w:tcW w:type="dxa" w:w="2376"/>
          </w:tcPr>
          <w:p>
            <w:pPr>
              <w:spacing w:after="40"/>
            </w:pPr>
            <w:r>
              <w:rPr>
                <w:sz w:val="18"/>
              </w:rPr>
            </w:r>
            <w:r>
              <w:rPr>
                <w:sz w:val="18"/>
              </w:rPr>
              <w:t xml:space="preserve">White, </w:t>
            </w:r>
            <w:r>
              <w:rPr>
                <w:i/>
                <w:sz w:val="18"/>
              </w:rPr>
              <w:t>The Emergence of Minorities in the Middle East</w:t>
            </w:r>
            <w:r>
              <w:rPr>
                <w:sz w:val="18"/>
              </w:rPr>
              <w:t xml:space="preserve"> (2011)</w:t>
            </w:r>
          </w:p>
        </w:tc>
        <w:tc>
          <w:tcPr>
            <w:tcW w:type="dxa" w:w="2376"/>
          </w:tcPr>
          <w:p>
            <w:pPr>
              <w:spacing w:after="40"/>
            </w:pPr>
            <w:r>
              <w:rPr>
                <w:sz w:val="18"/>
              </w:rPr>
            </w:r>
            <w:r>
              <w:rPr>
                <w:sz w:val="18"/>
              </w:rPr>
              <w:t>160</w:t>
            </w:r>
          </w:p>
        </w:tc>
        <w:tc>
          <w:tcPr>
            <w:tcW w:type="dxa" w:w="2376"/>
          </w:tcPr>
          <w:p>
            <w:pPr>
              <w:spacing w:after="40"/>
            </w:pPr>
            <w:r>
              <w:rPr>
                <w:sz w:val="18"/>
              </w:rPr>
            </w:r>
            <w:r>
              <w:rPr>
                <w:sz w:val="18"/>
              </w:rPr>
              <w:t>1,475</w:t>
            </w:r>
          </w:p>
        </w:tc>
        <w:tc>
          <w:tcPr>
            <w:tcW w:type="dxa" w:w="2376"/>
          </w:tcPr>
          <w:p>
            <w:pPr>
              <w:spacing w:after="40"/>
            </w:pPr>
            <w:r>
              <w:rPr>
                <w:sz w:val="18"/>
              </w:rPr>
            </w:r>
            <w:r>
              <w:rPr>
                <w:sz w:val="18"/>
              </w:rPr>
              <w:t>103</w:t>
            </w:r>
          </w:p>
        </w:tc>
      </w:tr>
      <w:tr>
        <w:tc>
          <w:tcPr>
            <w:tcW w:type="dxa" w:w="2376"/>
          </w:tcPr>
          <w:p>
            <w:pPr>
              <w:spacing w:after="40"/>
            </w:pPr>
            <w:r>
              <w:rPr>
                <w:sz w:val="18"/>
              </w:rPr>
            </w:r>
            <w:r>
              <w:rPr>
                <w:sz w:val="18"/>
              </w:rPr>
              <w:t xml:space="preserve">Malešević &amp; Haugaard, eds., </w:t>
            </w:r>
            <w:r>
              <w:rPr>
                <w:i/>
                <w:sz w:val="18"/>
              </w:rPr>
              <w:t>Ernest Gellner and Contemporary Social Thought</w:t>
            </w:r>
            <w:r>
              <w:rPr>
                <w:sz w:val="18"/>
              </w:rPr>
              <w:t xml:space="preserve"> (2007)</w:t>
            </w:r>
          </w:p>
        </w:tc>
        <w:tc>
          <w:tcPr>
            <w:tcW w:type="dxa" w:w="2376"/>
          </w:tcPr>
          <w:p>
            <w:pPr>
              <w:spacing w:after="40"/>
            </w:pPr>
            <w:r>
              <w:rPr>
                <w:sz w:val="18"/>
              </w:rPr>
            </w:r>
            <w:r>
              <w:rPr>
                <w:sz w:val="18"/>
              </w:rPr>
              <w:t>150</w:t>
            </w:r>
          </w:p>
        </w:tc>
        <w:tc>
          <w:tcPr>
            <w:tcW w:type="dxa" w:w="2376"/>
          </w:tcPr>
          <w:p>
            <w:pPr>
              <w:spacing w:after="40"/>
            </w:pPr>
            <w:r>
              <w:rPr>
                <w:sz w:val="18"/>
              </w:rPr>
            </w:r>
            <w:r>
              <w:rPr>
                <w:sz w:val="18"/>
              </w:rPr>
              <w:t>1,751</w:t>
            </w:r>
          </w:p>
        </w:tc>
        <w:tc>
          <w:tcPr>
            <w:tcW w:type="dxa" w:w="2376"/>
          </w:tcPr>
          <w:p>
            <w:pPr>
              <w:spacing w:after="40"/>
            </w:pPr>
            <w:r>
              <w:rPr>
                <w:sz w:val="18"/>
              </w:rPr>
            </w:r>
            <w:r>
              <w:rPr>
                <w:sz w:val="18"/>
              </w:rPr>
              <w:t>304</w:t>
            </w:r>
          </w:p>
        </w:tc>
      </w:tr>
      <w:tr>
        <w:tc>
          <w:tcPr>
            <w:tcW w:type="dxa" w:w="2376"/>
          </w:tcPr>
          <w:p>
            <w:pPr>
              <w:spacing w:after="40"/>
            </w:pPr>
            <w:r>
              <w:rPr>
                <w:sz w:val="18"/>
              </w:rPr>
            </w:r>
            <w:r>
              <w:rPr>
                <w:sz w:val="18"/>
              </w:rPr>
              <w:t xml:space="preserve">Vignal, </w:t>
            </w:r>
            <w:r>
              <w:rPr>
                <w:i/>
                <w:sz w:val="18"/>
              </w:rPr>
              <w:t>War-Torn</w:t>
            </w:r>
            <w:r>
              <w:rPr>
                <w:sz w:val="18"/>
              </w:rPr>
              <w:t xml:space="preserve"> (2021)</w:t>
            </w:r>
          </w:p>
        </w:tc>
        <w:tc>
          <w:tcPr>
            <w:tcW w:type="dxa" w:w="2376"/>
          </w:tcPr>
          <w:p>
            <w:pPr>
              <w:spacing w:after="40"/>
            </w:pPr>
            <w:r>
              <w:rPr>
                <w:sz w:val="18"/>
              </w:rPr>
            </w:r>
            <w:r>
              <w:rPr>
                <w:sz w:val="18"/>
              </w:rPr>
              <w:t>146</w:t>
            </w:r>
          </w:p>
        </w:tc>
        <w:tc>
          <w:tcPr>
            <w:tcW w:type="dxa" w:w="2376"/>
          </w:tcPr>
          <w:p>
            <w:pPr>
              <w:spacing w:after="40"/>
            </w:pPr>
            <w:r>
              <w:rPr>
                <w:sz w:val="18"/>
              </w:rPr>
            </w:r>
            <w:r>
              <w:rPr>
                <w:sz w:val="18"/>
              </w:rPr>
              <w:t>1,419</w:t>
            </w:r>
          </w:p>
        </w:tc>
        <w:tc>
          <w:tcPr>
            <w:tcW w:type="dxa" w:w="2376"/>
          </w:tcPr>
          <w:p>
            <w:pPr>
              <w:spacing w:after="40"/>
            </w:pPr>
            <w:r>
              <w:rPr>
                <w:sz w:val="18"/>
              </w:rPr>
            </w:r>
            <w:r>
              <w:rPr>
                <w:sz w:val="18"/>
              </w:rPr>
              <w:t>104</w:t>
            </w:r>
          </w:p>
        </w:tc>
      </w:tr>
      <w:tr>
        <w:tc>
          <w:tcPr>
            <w:tcW w:type="dxa" w:w="2376"/>
          </w:tcPr>
          <w:p>
            <w:pPr>
              <w:spacing w:after="40"/>
            </w:pPr>
            <w:r>
              <w:rPr>
                <w:sz w:val="18"/>
              </w:rPr>
            </w:r>
            <w:r>
              <w:rPr>
                <w:sz w:val="18"/>
              </w:rPr>
              <w:t xml:space="preserve">Jackson, </w:t>
            </w:r>
            <w:r>
              <w:rPr>
                <w:i/>
                <w:sz w:val="18"/>
              </w:rPr>
              <w:t>Quasi-States</w:t>
            </w:r>
            <w:r>
              <w:rPr>
                <w:sz w:val="18"/>
              </w:rPr>
              <w:t xml:space="preserve"> (1990)</w:t>
            </w:r>
          </w:p>
        </w:tc>
        <w:tc>
          <w:tcPr>
            <w:tcW w:type="dxa" w:w="2376"/>
          </w:tcPr>
          <w:p>
            <w:pPr>
              <w:spacing w:after="40"/>
            </w:pPr>
            <w:r>
              <w:rPr>
                <w:sz w:val="18"/>
              </w:rPr>
            </w:r>
            <w:r>
              <w:rPr>
                <w:sz w:val="18"/>
              </w:rPr>
              <w:t>132</w:t>
            </w:r>
          </w:p>
        </w:tc>
        <w:tc>
          <w:tcPr>
            <w:tcW w:type="dxa" w:w="2376"/>
          </w:tcPr>
          <w:p>
            <w:pPr>
              <w:spacing w:after="40"/>
            </w:pPr>
            <w:r>
              <w:rPr>
                <w:sz w:val="18"/>
              </w:rPr>
            </w:r>
            <w:r>
              <w:rPr>
                <w:sz w:val="18"/>
              </w:rPr>
              <w:t>1,463</w:t>
            </w:r>
          </w:p>
        </w:tc>
        <w:tc>
          <w:tcPr>
            <w:tcW w:type="dxa" w:w="2376"/>
          </w:tcPr>
          <w:p>
            <w:pPr>
              <w:spacing w:after="40"/>
            </w:pPr>
            <w:r>
              <w:rPr>
                <w:sz w:val="18"/>
              </w:rPr>
            </w:r>
            <w:r>
              <w:rPr>
                <w:sz w:val="18"/>
              </w:rPr>
              <w:t>181</w:t>
            </w:r>
          </w:p>
        </w:tc>
      </w:tr>
      <w:tr>
        <w:tc>
          <w:tcPr>
            <w:tcW w:type="dxa" w:w="2376"/>
          </w:tcPr>
          <w:p>
            <w:pPr>
              <w:spacing w:after="40"/>
            </w:pPr>
            <w:r>
              <w:rPr>
                <w:sz w:val="18"/>
              </w:rPr>
            </w:r>
            <w:r>
              <w:rPr>
                <w:sz w:val="18"/>
              </w:rPr>
              <w:t xml:space="preserve">Chouliaraki, </w:t>
            </w:r>
            <w:r>
              <w:rPr>
                <w:i/>
                <w:sz w:val="18"/>
              </w:rPr>
              <w:t>Wronged</w:t>
            </w:r>
            <w:r>
              <w:rPr>
                <w:sz w:val="18"/>
              </w:rPr>
              <w:t xml:space="preserve"> (2024)</w:t>
            </w:r>
          </w:p>
        </w:tc>
        <w:tc>
          <w:tcPr>
            <w:tcW w:type="dxa" w:w="2376"/>
          </w:tcPr>
          <w:p>
            <w:pPr>
              <w:spacing w:after="40"/>
            </w:pPr>
            <w:r>
              <w:rPr>
                <w:sz w:val="18"/>
              </w:rPr>
            </w:r>
            <w:r>
              <w:rPr>
                <w:sz w:val="18"/>
              </w:rPr>
              <w:t>127</w:t>
            </w:r>
          </w:p>
        </w:tc>
        <w:tc>
          <w:tcPr>
            <w:tcW w:type="dxa" w:w="2376"/>
          </w:tcPr>
          <w:p>
            <w:pPr>
              <w:spacing w:after="40"/>
            </w:pPr>
            <w:r>
              <w:rPr>
                <w:sz w:val="18"/>
              </w:rPr>
            </w:r>
            <w:r>
              <w:rPr>
                <w:sz w:val="18"/>
              </w:rPr>
              <w:t>1,742</w:t>
            </w:r>
          </w:p>
        </w:tc>
        <w:tc>
          <w:tcPr>
            <w:tcW w:type="dxa" w:w="2376"/>
          </w:tcPr>
          <w:p>
            <w:pPr>
              <w:spacing w:after="40"/>
            </w:pPr>
            <w:r>
              <w:rPr>
                <w:sz w:val="18"/>
              </w:rPr>
            </w:r>
            <w:r>
              <w:rPr>
                <w:sz w:val="18"/>
              </w:rPr>
              <w:t>136</w:t>
            </w:r>
          </w:p>
        </w:tc>
      </w:tr>
      <w:tr>
        <w:tc>
          <w:tcPr>
            <w:tcW w:type="dxa" w:w="2376"/>
          </w:tcPr>
          <w:p>
            <w:pPr>
              <w:spacing w:after="40"/>
            </w:pPr>
            <w:r>
              <w:rPr>
                <w:sz w:val="18"/>
              </w:rPr>
            </w:r>
            <w:r>
              <w:rPr>
                <w:sz w:val="18"/>
              </w:rPr>
              <w:t xml:space="preserve">Bayat, </w:t>
            </w:r>
            <w:r>
              <w:rPr>
                <w:i/>
                <w:sz w:val="18"/>
              </w:rPr>
              <w:t>Revolution without Revolutionaries</w:t>
            </w:r>
            <w:r>
              <w:rPr>
                <w:sz w:val="18"/>
              </w:rPr>
              <w:t xml:space="preserve"> (2017)</w:t>
            </w:r>
          </w:p>
        </w:tc>
        <w:tc>
          <w:tcPr>
            <w:tcW w:type="dxa" w:w="2376"/>
          </w:tcPr>
          <w:p>
            <w:pPr>
              <w:spacing w:after="40"/>
            </w:pPr>
            <w:r>
              <w:rPr>
                <w:sz w:val="18"/>
              </w:rPr>
            </w:r>
            <w:r>
              <w:rPr>
                <w:sz w:val="18"/>
              </w:rPr>
              <w:t>122</w:t>
            </w:r>
          </w:p>
        </w:tc>
        <w:tc>
          <w:tcPr>
            <w:tcW w:type="dxa" w:w="2376"/>
          </w:tcPr>
          <w:p>
            <w:pPr>
              <w:spacing w:after="40"/>
            </w:pPr>
            <w:r>
              <w:rPr>
                <w:sz w:val="18"/>
              </w:rPr>
            </w:r>
            <w:r>
              <w:rPr>
                <w:sz w:val="18"/>
              </w:rPr>
              <w:t>1,924</w:t>
            </w:r>
          </w:p>
        </w:tc>
        <w:tc>
          <w:tcPr>
            <w:tcW w:type="dxa" w:w="2376"/>
          </w:tcPr>
          <w:p>
            <w:pPr>
              <w:spacing w:after="40"/>
            </w:pPr>
            <w:r>
              <w:rPr>
                <w:sz w:val="18"/>
              </w:rPr>
            </w:r>
            <w:r>
              <w:rPr>
                <w:sz w:val="18"/>
              </w:rPr>
              <w:t>192</w:t>
            </w:r>
          </w:p>
        </w:tc>
      </w:tr>
      <w:tr>
        <w:tc>
          <w:tcPr>
            <w:tcW w:type="dxa" w:w="2376"/>
          </w:tcPr>
          <w:p>
            <w:pPr>
              <w:spacing w:after="40"/>
            </w:pPr>
            <w:r>
              <w:rPr>
                <w:sz w:val="18"/>
              </w:rPr>
            </w:r>
            <w:r>
              <w:rPr>
                <w:sz w:val="18"/>
              </w:rPr>
              <w:t xml:space="preserve">Elcheroth &amp; Reicher, </w:t>
            </w:r>
            <w:r>
              <w:rPr>
                <w:i/>
                <w:sz w:val="18"/>
              </w:rPr>
              <w:t>Identity, Violence and Power</w:t>
            </w:r>
            <w:r>
              <w:rPr>
                <w:sz w:val="18"/>
              </w:rPr>
              <w:t xml:space="preserve"> (2017)</w:t>
            </w:r>
          </w:p>
        </w:tc>
        <w:tc>
          <w:tcPr>
            <w:tcW w:type="dxa" w:w="2376"/>
          </w:tcPr>
          <w:p>
            <w:pPr>
              <w:spacing w:after="40"/>
            </w:pPr>
            <w:r>
              <w:rPr>
                <w:sz w:val="18"/>
              </w:rPr>
            </w:r>
            <w:r>
              <w:rPr>
                <w:sz w:val="18"/>
              </w:rPr>
              <w:t>120</w:t>
            </w:r>
          </w:p>
        </w:tc>
        <w:tc>
          <w:tcPr>
            <w:tcW w:type="dxa" w:w="2376"/>
          </w:tcPr>
          <w:p>
            <w:pPr>
              <w:spacing w:after="40"/>
            </w:pPr>
            <w:r>
              <w:rPr>
                <w:sz w:val="18"/>
              </w:rPr>
            </w:r>
            <w:r>
              <w:rPr>
                <w:sz w:val="18"/>
              </w:rPr>
              <w:t>981</w:t>
            </w:r>
          </w:p>
        </w:tc>
        <w:tc>
          <w:tcPr>
            <w:tcW w:type="dxa" w:w="2376"/>
          </w:tcPr>
          <w:p>
            <w:pPr>
              <w:spacing w:after="40"/>
            </w:pPr>
            <w:r>
              <w:rPr>
                <w:sz w:val="18"/>
              </w:rPr>
            </w:r>
            <w:r>
              <w:rPr>
                <w:sz w:val="18"/>
              </w:rPr>
              <w:t>87</w:t>
            </w:r>
          </w:p>
        </w:tc>
      </w:tr>
      <w:tr>
        <w:tc>
          <w:tcPr>
            <w:tcW w:type="dxa" w:w="2376"/>
          </w:tcPr>
          <w:p>
            <w:pPr>
              <w:spacing w:after="40"/>
            </w:pPr>
            <w:r>
              <w:rPr>
                <w:sz w:val="18"/>
              </w:rPr>
            </w:r>
            <w:r>
              <w:rPr>
                <w:sz w:val="18"/>
              </w:rPr>
              <w:t xml:space="preserve">Caspersen, </w:t>
            </w:r>
            <w:r>
              <w:rPr>
                <w:i/>
                <w:sz w:val="18"/>
              </w:rPr>
              <w:t>Unrecognized States</w:t>
            </w:r>
            <w:r>
              <w:rPr>
                <w:sz w:val="18"/>
              </w:rPr>
              <w:t xml:space="preserve"> (2012)</w:t>
            </w:r>
          </w:p>
        </w:tc>
        <w:tc>
          <w:tcPr>
            <w:tcW w:type="dxa" w:w="2376"/>
          </w:tcPr>
          <w:p>
            <w:pPr>
              <w:spacing w:after="40"/>
            </w:pPr>
            <w:r>
              <w:rPr>
                <w:sz w:val="18"/>
              </w:rPr>
            </w:r>
            <w:r>
              <w:rPr>
                <w:sz w:val="18"/>
              </w:rPr>
              <w:t>115</w:t>
            </w:r>
          </w:p>
        </w:tc>
        <w:tc>
          <w:tcPr>
            <w:tcW w:type="dxa" w:w="2376"/>
          </w:tcPr>
          <w:p>
            <w:pPr>
              <w:spacing w:after="40"/>
            </w:pPr>
            <w:r>
              <w:rPr>
                <w:sz w:val="18"/>
              </w:rPr>
            </w:r>
            <w:r>
              <w:rPr>
                <w:sz w:val="18"/>
              </w:rPr>
              <w:t>1,338</w:t>
            </w:r>
          </w:p>
        </w:tc>
        <w:tc>
          <w:tcPr>
            <w:tcW w:type="dxa" w:w="2376"/>
          </w:tcPr>
          <w:p>
            <w:pPr>
              <w:spacing w:after="40"/>
            </w:pPr>
            <w:r>
              <w:rPr>
                <w:sz w:val="18"/>
              </w:rPr>
            </w:r>
            <w:r>
              <w:rPr>
                <w:sz w:val="18"/>
              </w:rPr>
              <w:t>84</w:t>
            </w:r>
          </w:p>
        </w:tc>
      </w:tr>
      <w:tr>
        <w:tc>
          <w:tcPr>
            <w:tcW w:type="dxa" w:w="2376"/>
          </w:tcPr>
          <w:p>
            <w:pPr>
              <w:spacing w:after="40"/>
            </w:pPr>
            <w:r>
              <w:rPr>
                <w:sz w:val="18"/>
              </w:rPr>
            </w:r>
            <w:r>
              <w:rPr>
                <w:sz w:val="18"/>
              </w:rPr>
              <w:t xml:space="preserve">Gould, </w:t>
            </w:r>
            <w:r>
              <w:rPr>
                <w:i/>
                <w:sz w:val="18"/>
              </w:rPr>
              <w:t>Collision of Wills</w:t>
            </w:r>
            <w:r>
              <w:rPr>
                <w:sz w:val="18"/>
              </w:rPr>
              <w:t xml:space="preserve"> (2003)</w:t>
            </w:r>
          </w:p>
        </w:tc>
        <w:tc>
          <w:tcPr>
            <w:tcW w:type="dxa" w:w="2376"/>
          </w:tcPr>
          <w:p>
            <w:pPr>
              <w:spacing w:after="40"/>
            </w:pPr>
            <w:r>
              <w:rPr>
                <w:sz w:val="18"/>
              </w:rPr>
            </w:r>
            <w:r>
              <w:rPr>
                <w:sz w:val="18"/>
              </w:rPr>
              <w:t>109</w:t>
            </w:r>
          </w:p>
        </w:tc>
        <w:tc>
          <w:tcPr>
            <w:tcW w:type="dxa" w:w="2376"/>
          </w:tcPr>
          <w:p>
            <w:pPr>
              <w:spacing w:after="40"/>
            </w:pPr>
            <w:r>
              <w:rPr>
                <w:sz w:val="18"/>
              </w:rPr>
            </w:r>
            <w:r>
              <w:rPr>
                <w:sz w:val="18"/>
              </w:rPr>
              <w:t>658</w:t>
            </w:r>
          </w:p>
        </w:tc>
        <w:tc>
          <w:tcPr>
            <w:tcW w:type="dxa" w:w="2376"/>
          </w:tcPr>
          <w:p>
            <w:pPr>
              <w:spacing w:after="40"/>
            </w:pPr>
            <w:r>
              <w:rPr>
                <w:sz w:val="18"/>
              </w:rPr>
            </w:r>
            <w:r>
              <w:rPr>
                <w:sz w:val="18"/>
              </w:rPr>
              <w:t>73</w:t>
            </w:r>
          </w:p>
        </w:tc>
      </w:tr>
      <w:tr>
        <w:tc>
          <w:tcPr>
            <w:tcW w:type="dxa" w:w="2376"/>
          </w:tcPr>
          <w:p>
            <w:pPr>
              <w:spacing w:after="40"/>
            </w:pPr>
            <w:r>
              <w:rPr>
                <w:sz w:val="18"/>
              </w:rPr>
            </w:r>
            <w:r>
              <w:rPr>
                <w:sz w:val="18"/>
              </w:rPr>
              <w:t xml:space="preserve">Üngör, </w:t>
            </w:r>
            <w:r>
              <w:rPr>
                <w:i/>
                <w:sz w:val="18"/>
              </w:rPr>
              <w:t>Paramilitarism</w:t>
            </w:r>
            <w:r>
              <w:rPr>
                <w:sz w:val="18"/>
              </w:rPr>
              <w:t xml:space="preserve"> (2020)</w:t>
            </w:r>
          </w:p>
        </w:tc>
        <w:tc>
          <w:tcPr>
            <w:tcW w:type="dxa" w:w="2376"/>
          </w:tcPr>
          <w:p>
            <w:pPr>
              <w:spacing w:after="40"/>
            </w:pPr>
            <w:r>
              <w:rPr>
                <w:sz w:val="18"/>
              </w:rPr>
            </w:r>
            <w:r>
              <w:rPr>
                <w:sz w:val="18"/>
              </w:rPr>
              <w:t>92</w:t>
            </w:r>
          </w:p>
        </w:tc>
        <w:tc>
          <w:tcPr>
            <w:tcW w:type="dxa" w:w="2376"/>
          </w:tcPr>
          <w:p>
            <w:pPr>
              <w:spacing w:after="40"/>
            </w:pPr>
            <w:r>
              <w:rPr>
                <w:sz w:val="18"/>
              </w:rPr>
            </w:r>
            <w:r>
              <w:rPr>
                <w:sz w:val="18"/>
              </w:rPr>
              <w:t>1,355</w:t>
            </w:r>
          </w:p>
        </w:tc>
        <w:tc>
          <w:tcPr>
            <w:tcW w:type="dxa" w:w="2376"/>
          </w:tcPr>
          <w:p>
            <w:pPr>
              <w:spacing w:after="40"/>
            </w:pPr>
            <w:r>
              <w:rPr>
                <w:sz w:val="18"/>
              </w:rPr>
            </w:r>
            <w:r>
              <w:rPr>
                <w:sz w:val="18"/>
              </w:rPr>
              <w:t>88</w:t>
            </w:r>
          </w:p>
        </w:tc>
      </w:tr>
      <w:tr>
        <w:tc>
          <w:tcPr>
            <w:tcW w:type="dxa" w:w="2376"/>
          </w:tcPr>
          <w:p>
            <w:pPr>
              <w:spacing w:after="40"/>
            </w:pPr>
            <w:r>
              <w:rPr>
                <w:sz w:val="18"/>
              </w:rPr>
            </w:r>
            <w:r>
              <w:rPr>
                <w:sz w:val="18"/>
              </w:rPr>
              <w:t xml:space="preserve">Smith, </w:t>
            </w:r>
            <w:r>
              <w:rPr>
                <w:i/>
                <w:sz w:val="18"/>
              </w:rPr>
              <w:t>Ethno-symbolism and Nationalism</w:t>
            </w:r>
            <w:r>
              <w:rPr>
                <w:sz w:val="18"/>
              </w:rPr>
              <w:t xml:space="preserve"> (2009)</w:t>
            </w:r>
          </w:p>
        </w:tc>
        <w:tc>
          <w:tcPr>
            <w:tcW w:type="dxa" w:w="2376"/>
          </w:tcPr>
          <w:p>
            <w:pPr>
              <w:spacing w:after="40"/>
            </w:pPr>
            <w:r>
              <w:rPr>
                <w:sz w:val="18"/>
              </w:rPr>
            </w:r>
            <w:r>
              <w:rPr>
                <w:sz w:val="18"/>
              </w:rPr>
              <w:t>84</w:t>
            </w:r>
          </w:p>
        </w:tc>
        <w:tc>
          <w:tcPr>
            <w:tcW w:type="dxa" w:w="2376"/>
          </w:tcPr>
          <w:p>
            <w:pPr>
              <w:spacing w:after="40"/>
            </w:pPr>
            <w:r>
              <w:rPr>
                <w:sz w:val="18"/>
              </w:rPr>
            </w:r>
            <w:r>
              <w:rPr>
                <w:sz w:val="18"/>
              </w:rPr>
              <w:t>1,292</w:t>
            </w:r>
          </w:p>
        </w:tc>
        <w:tc>
          <w:tcPr>
            <w:tcW w:type="dxa" w:w="2376"/>
          </w:tcPr>
          <w:p>
            <w:pPr>
              <w:spacing w:after="40"/>
            </w:pPr>
            <w:r>
              <w:rPr>
                <w:sz w:val="18"/>
              </w:rPr>
            </w:r>
            <w:r>
              <w:rPr>
                <w:sz w:val="18"/>
              </w:rPr>
              <w:t>146</w:t>
            </w:r>
          </w:p>
        </w:tc>
      </w:tr>
      <w:tr>
        <w:tc>
          <w:tcPr>
            <w:tcW w:type="dxa" w:w="2376"/>
          </w:tcPr>
          <w:p>
            <w:pPr>
              <w:spacing w:after="40"/>
            </w:pPr>
            <w:r>
              <w:rPr>
                <w:sz w:val="18"/>
              </w:rPr>
            </w:r>
            <w:r>
              <w:rPr>
                <w:sz w:val="18"/>
              </w:rPr>
              <w:t xml:space="preserve">Agamben, </w:t>
            </w:r>
            <w:r>
              <w:rPr>
                <w:i/>
                <w:sz w:val="18"/>
              </w:rPr>
              <w:t>State of Exception</w:t>
            </w:r>
            <w:r>
              <w:rPr>
                <w:sz w:val="18"/>
              </w:rPr>
              <w:t xml:space="preserve"> (2005)</w:t>
            </w:r>
          </w:p>
        </w:tc>
        <w:tc>
          <w:tcPr>
            <w:tcW w:type="dxa" w:w="2376"/>
          </w:tcPr>
          <w:p>
            <w:pPr>
              <w:spacing w:after="40"/>
            </w:pPr>
            <w:r>
              <w:rPr>
                <w:sz w:val="18"/>
              </w:rPr>
            </w:r>
            <w:r>
              <w:rPr>
                <w:sz w:val="18"/>
              </w:rPr>
              <w:t>53</w:t>
            </w:r>
          </w:p>
        </w:tc>
        <w:tc>
          <w:tcPr>
            <w:tcW w:type="dxa" w:w="2376"/>
          </w:tcPr>
          <w:p>
            <w:pPr>
              <w:spacing w:after="40"/>
            </w:pPr>
            <w:r>
              <w:rPr>
                <w:sz w:val="18"/>
              </w:rPr>
            </w:r>
            <w:r>
              <w:rPr>
                <w:sz w:val="18"/>
              </w:rPr>
              <w:t>624</w:t>
            </w:r>
          </w:p>
        </w:tc>
        <w:tc>
          <w:tcPr>
            <w:tcW w:type="dxa" w:w="2376"/>
          </w:tcPr>
          <w:p>
            <w:pPr>
              <w:spacing w:after="40"/>
            </w:pPr>
            <w:r>
              <w:rPr>
                <w:sz w:val="18"/>
              </w:rPr>
            </w:r>
            <w:r>
              <w:rPr>
                <w:sz w:val="18"/>
              </w:rPr>
              <w:t>188</w:t>
            </w:r>
          </w:p>
        </w:tc>
      </w:tr>
      <w:tr>
        <w:tc>
          <w:tcPr>
            <w:tcW w:type="dxa" w:w="2376"/>
          </w:tcPr>
          <w:p>
            <w:pPr>
              <w:spacing w:after="40"/>
            </w:pPr>
            <w:r>
              <w:rPr>
                <w:sz w:val="18"/>
              </w:rPr>
            </w:r>
            <w:r>
              <w:rPr>
                <w:sz w:val="18"/>
              </w:rPr>
              <w:t xml:space="preserve">Kandiah, </w:t>
            </w:r>
            <w:r>
              <w:rPr>
                <w:i/>
                <w:sz w:val="18"/>
              </w:rPr>
              <w:t>State Legitimacy and Capacity in the Syrian Conflict</w:t>
            </w:r>
            <w:r>
              <w:rPr>
                <w:sz w:val="18"/>
              </w:rPr>
              <w:t xml:space="preserve"> (2018)&lt;br/&gt;</w:t>
            </w:r>
            <w:r>
              <w:rPr>
                <w:i/>
                <w:sz w:val="18"/>
              </w:rPr>
              <w:t>master's research paper</w:t>
            </w:r>
          </w:p>
        </w:tc>
        <w:tc>
          <w:tcPr>
            <w:tcW w:type="dxa" w:w="2376"/>
          </w:tcPr>
          <w:p>
            <w:pPr>
              <w:spacing w:after="40"/>
            </w:pPr>
            <w:r>
              <w:rPr>
                <w:sz w:val="18"/>
              </w:rPr>
            </w:r>
            <w:r>
              <w:rPr>
                <w:sz w:val="18"/>
              </w:rPr>
              <w:t>29</w:t>
            </w:r>
          </w:p>
        </w:tc>
        <w:tc>
          <w:tcPr>
            <w:tcW w:type="dxa" w:w="2376"/>
          </w:tcPr>
          <w:p>
            <w:pPr>
              <w:spacing w:after="40"/>
            </w:pPr>
            <w:r>
              <w:rPr>
                <w:sz w:val="18"/>
              </w:rPr>
            </w:r>
            <w:r>
              <w:rPr>
                <w:sz w:val="18"/>
              </w:rPr>
              <w:t>223</w:t>
            </w:r>
          </w:p>
        </w:tc>
        <w:tc>
          <w:tcPr>
            <w:tcW w:type="dxa" w:w="2376"/>
          </w:tcPr>
          <w:p>
            <w:pPr>
              <w:spacing w:after="40"/>
            </w:pPr>
            <w:r>
              <w:rPr>
                <w:sz w:val="18"/>
              </w:rPr>
            </w:r>
            <w:r>
              <w:rPr>
                <w:sz w:val="18"/>
              </w:rPr>
              <w:t>14</w:t>
            </w:r>
          </w:p>
        </w:tc>
      </w:tr>
      <w:tr>
        <w:tc>
          <w:tcPr>
            <w:tcW w:type="dxa" w:w="2376"/>
          </w:tcPr>
          <w:p>
            <w:pPr>
              <w:spacing w:after="40"/>
            </w:pPr>
            <w:r>
              <w:rPr>
                <w:sz w:val="18"/>
              </w:rPr>
            </w:r>
            <w:r>
              <w:rPr>
                <w:sz w:val="18"/>
              </w:rPr>
              <w:t>Malešević, 'Do Civil Wars Make or Break States?' (2026)&lt;br/&gt;</w:t>
            </w:r>
            <w:r>
              <w:rPr>
                <w:i/>
                <w:sz w:val="18"/>
              </w:rPr>
              <w:t>journal article</w:t>
            </w:r>
          </w:p>
        </w:tc>
        <w:tc>
          <w:tcPr>
            <w:tcW w:type="dxa" w:w="2376"/>
          </w:tcPr>
          <w:p>
            <w:pPr>
              <w:spacing w:after="40"/>
            </w:pPr>
            <w:r>
              <w:rPr>
                <w:sz w:val="18"/>
              </w:rPr>
            </w:r>
            <w:r>
              <w:rPr>
                <w:sz w:val="18"/>
              </w:rPr>
              <w:t>19</w:t>
            </w:r>
          </w:p>
        </w:tc>
        <w:tc>
          <w:tcPr>
            <w:tcW w:type="dxa" w:w="2376"/>
          </w:tcPr>
          <w:p>
            <w:pPr>
              <w:spacing w:after="40"/>
            </w:pPr>
            <w:r>
              <w:rPr>
                <w:sz w:val="18"/>
              </w:rPr>
            </w:r>
            <w:r>
              <w:rPr>
                <w:sz w:val="18"/>
              </w:rPr>
              <w:t>336</w:t>
            </w:r>
          </w:p>
        </w:tc>
        <w:tc>
          <w:tcPr>
            <w:tcW w:type="dxa" w:w="2376"/>
          </w:tcPr>
          <w:p>
            <w:pPr>
              <w:spacing w:after="40"/>
            </w:pPr>
            <w:r>
              <w:rPr>
                <w:sz w:val="18"/>
              </w:rPr>
            </w:r>
            <w:r>
              <w:rPr>
                <w:sz w:val="18"/>
              </w:rPr>
              <w:t>15</w:t>
            </w:r>
          </w:p>
        </w:tc>
      </w:tr>
      <w:tr>
        <w:tc>
          <w:tcPr>
            <w:tcW w:type="dxa" w:w="2376"/>
          </w:tcPr>
          <w:p>
            <w:pPr>
              <w:spacing w:after="40"/>
            </w:pPr>
            <w:r>
              <w:rPr>
                <w:sz w:val="18"/>
              </w:rPr>
            </w:r>
            <w:r>
              <w:rPr>
                <w:b/>
                <w:sz w:val="18"/>
              </w:rPr>
              <w:t>35 sources</w:t>
            </w:r>
          </w:p>
        </w:tc>
        <w:tc>
          <w:tcPr>
            <w:tcW w:type="dxa" w:w="2376"/>
          </w:tcPr>
          <w:p>
            <w:pPr>
              <w:spacing w:after="40"/>
            </w:pPr>
            <w:r>
              <w:rPr>
                <w:sz w:val="18"/>
              </w:rPr>
            </w:r>
            <w:r>
              <w:rPr>
                <w:b/>
                <w:sz w:val="18"/>
              </w:rPr>
              <w:t>6,842</w:t>
            </w:r>
          </w:p>
        </w:tc>
        <w:tc>
          <w:tcPr>
            <w:tcW w:type="dxa" w:w="2376"/>
          </w:tcPr>
          <w:p>
            <w:pPr>
              <w:spacing w:after="40"/>
            </w:pPr>
            <w:r>
              <w:rPr>
                <w:sz w:val="18"/>
              </w:rPr>
            </w:r>
          </w:p>
        </w:tc>
        <w:tc>
          <w:tcPr>
            <w:tcW w:type="dxa" w:w="2376"/>
          </w:tcPr>
          <w:p>
            <w:pPr>
              <w:spacing w:after="40"/>
            </w:pPr>
            <w:r>
              <w:rPr>
                <w:sz w:val="18"/>
              </w:rPr>
            </w:r>
          </w:p>
        </w:tc>
      </w:tr>
    </w:tbl>
    <w:p/>
    <w:p>
      <w:r>
        <w:t xml:space="preserve">The full bibliography, with publishers, editions, translation notes and per-file provenance caveats, is in </w:t>
      </w:r>
      <w:r>
        <w:rPr>
          <w:rFonts w:ascii="Consolas" w:hAnsi="Consolas"/>
          <w:sz w:val="18"/>
        </w:rPr>
        <w:t>docs/corpus-bibliography.md</w:t>
      </w:r>
      <w:r>
        <w:t>.</w:t>
      </w:r>
    </w:p>
    <w:p>
      <w:r>
        <w:rPr>
          <w:b/>
        </w:rPr>
        <w:t>Two entries are small enough to question.</w:t>
      </w:r>
      <w:r>
        <w:t xml:space="preserve"> Kandiah 2018 and Malešević 2026 are a master's research paper and a journal article rather than books, and both are close to invisible in the index. Gould 2003 now joins them at the thin end.</w:t>
      </w:r>
    </w:p>
    <w:p>
      <w:r>
        <w:rPr>
          <w:b/>
        </w:rPr>
        <w:t>The metadata warning is not hypothetical.</w:t>
      </w:r>
      <w:r>
        <w:t xml:space="preserve"> The Heydemann </w:t>
      </w:r>
      <w:r>
        <w:rPr>
          <w:i/>
        </w:rPr>
        <w:t>War, Institutions, and Social Change</w:t>
      </w:r>
      <w:r>
        <w:t xml:space="preserve"> file carries embedded metadata attributing it to Michael Hanby's </w:t>
      </w:r>
      <w:r>
        <w:rPr>
          <w:i/>
        </w:rPr>
        <w:t>Augustine and Modernity</w:t>
      </w:r>
      <w:r>
        <w:t>, a different book entirely. Two further files carry a placeholder author or a scanning-tool title. Embedded metadata alone is not a safe basis for citation, which is why it is cross-checked against the title page and why unconfirmed fields stay marked.</w:t>
      </w:r>
    </w:p>
    <w:p>
      <w:r>
        <w:rPr>
          <w:b/>
        </w:rPr>
        <w:t>Copyright.</w:t>
      </w:r>
      <w:r>
        <w:t xml:space="preserve"> No source text is committed to the repository. Every derived artifact that carries verbatim passages — the passage records, the name pages, the reviewer packets — lives outside version control for that reason, and reviewer packets are assembled at run time and never written into the repository.</w:t>
      </w:r>
    </w:p>
    <w:p>
      <w:pPr>
        <w:pStyle w:val="Heading2"/>
      </w:pPr>
      <w:r>
        <w:t>Appendix D — The first paper, and the questions behind it</w:t>
      </w:r>
    </w:p>
    <w:p>
      <w:pPr>
        <w:pStyle w:val="Heading3"/>
      </w:pPr>
      <w:r>
        <w:t>The paper brief</w:t>
      </w:r>
    </w:p>
    <w:p>
      <w:r>
        <w:rPr>
          <w:b/>
        </w:rPr>
        <w:t>Title.</w:t>
      </w:r>
      <w:r>
        <w:t xml:space="preserve"> Privilege and the Contracted-Out Militia</w:t>
      </w:r>
    </w:p>
    <w:p>
      <w:r>
        <w:rPr>
          <w:b/>
        </w:rPr>
        <w:t>Organising question (the `thesis` field).</w:t>
      </w:r>
      <w:r>
        <w:t xml:space="preserve"> The Syrian regime's survival and its violence are usually explained by different mechanisms, and they should not be. If networks of privilege are what institutionalised the state, then contracting coercion out to militias is not a departure from that arrangement but its continuation by other means.</w:t>
      </w:r>
    </w:p>
    <w:p>
      <w:r>
        <w:rPr>
          <w:b/>
        </w:rPr>
        <w:t>Lens.</w:t>
      </w:r>
      <w:r>
        <w:t xml:space="preserve"> political-economy</w:t>
      </w:r>
    </w:p>
    <w:p>
      <w:r>
        <w:rPr>
          <w:b/>
        </w:rPr>
        <w:t>Built from 2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2</w:t>
      </w:r>
      <w:r>
        <w:t xml:space="preserve"> — </w:t>
      </w:r>
      <w:r>
        <w:rPr>
          <w:rFonts w:ascii="Consolas" w:hAnsi="Consolas"/>
          <w:sz w:val="18"/>
        </w:rPr>
        <w:t>47f316f6fb04bba7</w:t>
      </w:r>
    </w:p>
    <w:p>
      <w:pPr>
        <w:spacing w:before="80"/>
        <w:ind w:left="432"/>
      </w:pPr>
      <w:r>
        <w:rPr>
          <w:b/>
          <w:i/>
        </w:rPr>
        <w:t>Case.</w:t>
      </w:r>
      <w:r>
        <w:rPr>
          <w:i/>
        </w:rPr>
        <w:t xml:space="preserve"> Syria, 2011-2024</w:t>
      </w:r>
    </w:p>
    <w:p>
      <w:r>
        <w:t>&gt;</w:t>
      </w:r>
    </w:p>
    <w:p>
      <w:pPr>
        <w:spacing w:before="80"/>
        <w:ind w:left="432"/>
      </w:pPr>
      <w:r>
        <w:rPr>
          <w:b/>
          <w:i/>
        </w:rPr>
        <w:t>Request.</w:t>
      </w:r>
      <w:r>
        <w:rPr>
          <w:i/>
        </w:rPr>
        <w:t xml:space="preserve"> How does the deliberate, state-sponsored paramilitarization of the Syrian conflict (Ungor) challenge Tilly's coercive-extraction cycle? Specifically, how does reliance on external geopolitical rents and non-state militias circumvent the necessity for domestic taxation and bureaucratic rationalization, thereby causing the war-making apparatus to actively hollow out infrastructural power rather than consolidate it (Malesevic, Mann)?</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39</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20, (b) 12, (c) 7</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4</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13</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$0.082</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Privilege and the Contracted-Out Militia</w:t>
      </w:r>
    </w:p>
    <w:p>
      <w:r>
        <w:t>Because networks of privilege constituted Syria's institutional structure, the regime's survival and its turn to paramilitary coercion are a single political-economic process: contracting violence to militias continued the rent-distribution logic that had long bound elites and populations to the state.</w:t>
      </w:r>
    </w:p>
    <w:p>
      <w:pPr>
        <w:pStyle w:val="Heading4"/>
      </w:pPr>
      <w:r>
        <w:t>The puzzle of separate explanations for survival and violence</w:t>
      </w:r>
    </w:p>
    <w:p>
      <w:r>
        <w:t>The Syrian conflict produced two literatures that rarely speak to each other. One asks how the regime survived a mass uprising that toppled counterparts in Tunisia, Egypt, and Libya; the other asks why the state's monopoly on organized force fragmented into a patchwork of militias, shabiha, and foreign proxies. Each question has generated its own explanations—survival attributed to sectarian engineering, international patronage, or institutional cohesion; violence attributed to military weakness, sectarian hatred, or tactical adaptation. What falls out of this division is the possibility that the two phenomena are not merely concurrent but constitutive of one another, that the mechanism which kept the regime alive is the same mechanism that pushed it to contract coercion to irregular armed groups.</w:t>
      </w:r>
    </w:p>
    <w:p>
      <w:r>
        <w:t>That possibility becomes visible only when survival and violence are read through the regime's political-economic structure rather than against a backdrop of institutional form. Syria's state did not rest on a Weberian bureaucracy extracting taxes and delivering services; it rested on networks of privilege through which rents—whether from oil, smuggling routes, land, or aid flows—were distributed in exchange for loyalty. Under normal conditions, those networks bound elites and populations to the state by making their material reproduction dependent on the state's continued capacity to allocate. When uprising and sanctions contracted the rents available for distribution, the logic did not disappear; it found a new substrate. Contracting violence to militias distributed the means of coercion along the same channels that had distributed economic rents, binding commanders and fighters to the regime's survival through the spoils of war rather than the salaries of peacetime.</w:t>
      </w:r>
    </w:p>
    <w:p>
      <w:r>
        <w:t>The puzzle this paper addresses, then, is not why the regime survived or why it turned to paramilitaries considered separately. It is why these two outcomes, so persistently analyzed in isolation, are better understood as a single process: the continuation of rent-distribution under conditions in which violence itself became the principal rent. Treating them together requires setting aside the assumption that institutional form and coercive strategy are independent variables, and asking instead what distributive structure could make the outsourcing of violence a rational—indeed the most rational—response to a crisis of revenue and loyalty.</w:t>
      </w:r>
    </w:p>
    <w:p>
      <w:pPr>
        <w:pStyle w:val="Heading4"/>
      </w:pPr>
      <w:r>
        <w:t>Networks of privilege as the institutional foundation of the Syrian state</w:t>
      </w:r>
    </w:p>
    <w:p>
      <w:pPr>
        <w:pStyle w:val="Heading4"/>
      </w:pPr>
      <w:r>
        <w:t>Networks of privilege as the institutional foundation of the Syrian state</w:t>
      </w:r>
    </w:p>
    <w:p>
      <w:r>
        <w:t>The institutional structure of the Syrian state between 2000 and 2011 was not its bureaucracy but its patronage networks. Dense, overlapping ties among public officials and private economic actors so thoroughly dissolved the boundary between state and business that treating "public" and "private" as separable domains risks misdescribing the regime's actual operating logic [pc-001]. This is not a deficiency of formal capacity that the regime compensated for through coercion; it is a substitution of one form of infrastructural penetration — rent distribution through elite networks — for the bureaucratic penetration that standard frameworks expect [pc-007].</w:t>
      </w:r>
    </w:p>
    <w:p>
      <w:r>
        <w:t>Mann's definition of infrastructural power as the state's capacity to penetrate its territory and logistically implement decisions presupposes that penetration runs through administrative channels [pc-004]. Where the operative mechanism is patronage rather than bureaucracy, that definition will register absence: it will read network-based control as state weakness. Yet what appears as infrastructural deficit may instead be the displacement of administrative capacity by material incentives that empower non-state actors aligned with the regime — a pattern visible as early as the Ottoman period in southern Syria, where external subsidies to tribal actors eroded bureaucratic penetration not because the state lacked power but because network-based control was substituted for it [pc-006]. Critiques of Mann's framework for conflating ideological power with organizational infrastructure, and for requiring subjective appraisals of meaning-systems that fit poorly with organizational materialism, compound the problem: a framework already built around bureaucratic legibility becomes doubly unreliable when applied to regimes whose institutional structure is informal and network-based [pc-008][pc-036].</w:t>
      </w:r>
    </w:p>
    <w:p>
      <w:r>
        <w:t>The durability of this structure under pressure confirms that it is institutional rather than incidental. Egypt's 1990s privatization did not dismantle elite networks; it allowed state bureaucrats and businessmen to entrench monopoly positions while the state retained its central role as rent distributor [pc-002]. Market-oriented reform, in other words, did not break the network — it reconfigured it. The same scholarly trajectory that established this pattern for Middle Eastern authoritarianisms more broadly directly connected it to Syrian authoritarian resilience in the pre-2011 period [pc-003]. If no Arab state has been a developmental success story — Ayubi's own concession — the explanation under this lens is not the absence of state power but the redirection of distributive capacity toward elite reproduction rather than developmental outcomes [pc-005]. The state was not weak; it was organized for a different purpose.</w:t>
      </w:r>
    </w:p>
    <w:p>
      <w:r>
        <w:t>This reframing dissolves what has been framed as a paradox. The "fierce but weak" characterization of the Syrian regime is descriptively accurate about coercive posture but resolves nothing analytically, because it misidentifies the source of resilience: stability derived not from despotic power compensating for infrastructural weakness, but from networks of privilege that functioned as a substitute form of infrastructural penetration, organizing society through patronage rather than administration [pc-007]. The regime's institutional foundation was rent distribution through networks, and the turn to paramilitary coercion after 2011 would prove to be a continuation of that same logic under conditions of armed conflict.</w:t>
      </w:r>
    </w:p>
    <w:p>
      <w:pPr>
        <w:pStyle w:val="Heading4"/>
      </w:pPr>
      <w:r>
        <w:t>The war-as-erosion view: external rents, paramilitaries, and the hollowing of the state</w:t>
      </w:r>
    </w:p>
    <w:p>
      <w:r>
        <w:t>The most forceful challenge to reading Syria's paramilitarization as a continuation of rent-distribution comes from the bellicist tradition, in which war is the engine of state-building: preparation for war drives rulers to extract resources from subject populations, build new bureaucracies to manage that extraction, face resistance, and emerge with durable increases in infrastructural capacity [pc-010][pc-011]. If this mechanism operated in Syria, the war should have consolidated the state. The erosion view contends that it did the reverse—that Syria's wartime trajectory produced the inverse of the European bellicist outcome.</w:t>
      </w:r>
    </w:p>
    <w:p>
      <w:r>
        <w:t>Three convergent dynamics are said to have reversed the cycle. First, external geopolitical rents from Iran and Russia funded the regime's war-making, eliminating the necessity for domestic taxation as a precondition for sustained coercion [pc-022]. When external alliances supply resources to a war-making movement, they obviate the need to struggle with domestic social actors over extraction, marginalizing internal contests and fragmenting authority through competitive rent-seeking [pc-013]. The Palestinian case supplies the theoretical key: under conditions of external rent substitution, war undermined state building rather than facilitating it, leaving a polity that is fragile, fragmented, and contested, with the right to rule grounded in armed struggle rather than a negotiated social pact [pc-014][pc-024]. Syria's transformation from uprising to civil war to inter-state war through external intervention multiplied this dynamic, as each intervening power brought its own forces and proxies, further substituting geopolitical rents for domestic extraction and producing the opposite of the European outcome where war drove bureaucratization and infrastructural consolidation [pc-018][pc-025]. Second, the outsourcing of violence to paramilitaries who are self-funded through looting and rent-seeking decoupled the war-making apparatus from both domestic extraction and the state's bureaucratic apparatus [pc-012][pc-026]. Self-funding militias operating through criminal economies bypassed the state's extractive apparatus while usurping its monopoly on legitimate coercion, so that paramilitarization actively hollowed out infrastructural power rather than consolidating it [pc-023]. The fusion of external rents with outsourced paramilitary violence produced a coercive ecology that was structurally parasitic on the state's own infrastructural substance rather than generative of it [pc-027]. Third, this double decoupling compounds a structural condition predating the war: the Arab state already lacks infrastructural power—the capacity to penetrate society through mechanisms such as taxation—and must resort to raw coercion to preserve itself [pc-009][pc-015]. External rents delink extraction and redistribution from the national productive economy, producing high state autonomy vis-à-vis social interests; in the mid-1990s more than half of Middle Eastern state revenues were non-tax revenues [pc-016], and oil rents in Jordan expanded the public sector while simultaneously weakening institutional capacity [pc-017]. On this reading, paramilitarization did not create a novel dynamic of state erosion so much as accelerate a pre-existing trajectory of infrastructural weakness [pc-030].</w:t>
      </w:r>
    </w:p>
    <w:p>
      <w:r>
        <w:t>The bellicist tradition itself supplies grounds for doubting that Syria should have followed the European path. Mann revised Tilly's dictum to acknowledge that wars no longer make states as they once did and that the fiscal-military nexus is no longer the backbone of advanced countries [pc-020], and the Tilly/Mann war-driven modernization path may be a European exception rather than a global norm, given that Latin America and postcolonial Africa saw very few inter-state wars [pc-019]. Civil wars foster state formation only under specific conditions—total victory, political neutralization of the opposition, reduction of ethnic factionalism, and continuous economic growth—none of which obtained in Syria, where external intervention, ethnic factionalism, and economic collapse prevailed [pc-021]. The deliberate, state-sponsored paramilitarization of the Syrian conflict thus constitutes, on this account, a definitive challenge to the coercive-extraction cycle: the fusion of external geopolitical rents with outsourced paramilitary violence created a war-making apparatus structurally decoupled from domestic extraction and bureaucratic rationalization, causing it to hollow out infrastructural power rather than consolidate it [pc-028].</w:t>
      </w:r>
    </w:p>
    <w:p>
      <w:r>
        <w:t>The erosion view nonetheless carries a liability it does not resolve. If infrastructural power was being actively destroyed through paramilitarization and external rent dependence, the account must explain why the Assad regime endured rather than collapsed [pc-029]. The concession the framework gestures toward—that despotic power exercised through paramilitaries backed by external patrons may substitute for infrastructural power in sustaining regime survival—undermines its own premise that coercion organized outside the bureaucratic apparatus is evidence of state weakness rather than of an alternative form of penetration. The networks-of-privilege framework identifies exactly such penetration: patronage networks that organize society without bureaucratic legibility and that the standard infrastructural-power assessment systematically misreads as weakness [pc-004][pc-036]. Both the erosion view's inability to account for regime survival and the infrastructural-power assessment's misreading of network-based control as state weakness converge on the same blind spot: each presupposes that effective state penetration must be bureaucratically legible, so that paramilitary coercion organized through informal channels is read as erosion rather than as a substitute mode of penetration that sustains the regime [pc-037]. What the erosion view describes as the hollowing of the state is therefore better understood as the continuation of a rent-distribution logic displaced onto paramilitary channels—the same logic that, before the war, bound elites and populations to the state through networks of privilege rather than through administrative capacity [pc-001][pc-007][pc-038].</w:t>
      </w:r>
    </w:p>
    <w:p>
      <w:pPr>
        <w:pStyle w:val="Heading4"/>
      </w:pPr>
      <w:r>
        <w:t>Continuation by other means: paramilitary violence as network logic</w:t>
      </w:r>
    </w:p>
    <w:p>
      <w:r>
        <w:t>Paramilitary violence in Syria did not replace the regime's institutional structure; it was that structure, operating through the same logic of rent distribution via informal networks that had constituted the regime's power before 2011. What looks like state collapse—the proliferation of militias, the outsourcing of coercion to criminal networks, the regime's inability to reassert bureaucratic control even after military reconquest—is better understood as the continuation of a rent-distribution logic displaced onto paramilitary channels [pc-038].</w:t>
      </w:r>
    </w:p>
    <w:p>
      <w:r>
        <w:t>The regime's operative institutional structure was never bureaucratic capacity but dense, overlapping networks of public officials and private economic interests that distributed rent and managed access to economic opportunity [pc-001]. These networks performed the functional equivalent of infrastructural penetration—binding elites and populations to the state through patronage rather than administration [pc-031][pc-007]. Standard assessments that look only for formal bureaucratic capacity therefore systematically misread network-based control as state weakness [pc-036][pc-037]. The "fierce but weak" framework, which treats the regime's coercive posture as compensation for absent infrastructural power, resolves no paradox because it misidentifies the source of resilience: stability derived from networks that functioned as substitute penetration, not from despotic power filling an institutional vacuum [pc-007][pc-031].</w:t>
      </w:r>
    </w:p>
    <w:p>
      <w:r>
        <w:t>When the uprising ruptured these networks in 2011, the regime's response was not to build the bureaucratic capacity it had never possessed but to displace the rent-distribution logic onto paramilitary channels. Paramilitary forces conducted counter-insurgency operations, held power beyond the state's official security organs, maintained close links with political elites including the head of state, and operated in the social milieu of organized crime [pc-034]. Their self-funding through looting and rent-seeking meant the war-making apparatus was decoupled from both domestic extraction and the state's bureaucratic apparatus [pc-012][pc-026]—but this decoupling reproduced, rather than abandoned, the regime's reliance on informal networks as the operative mechanism of social control: the paramilitaries' criminal self-funding was itself a form of rent distribution through informal channels, the same logic by which networks of privilege had allocated economic opportunity before the war [pc-039]. The Suleiman al-Assad murder case encapsulates the dynamic. A regime-connected figure killed an air force colonel with impunity; the state's judicial apparatus failed to hold him accountable; an external patron, Iranian Quds Force commander Qasem Suleimani, intervened to mediate; and the perpetrator ultimately fled to Romania [pc-035]. The state's formal institutions were irrelevant to the resolution. The operative mechanisms were network ties, external rent, and patronage mediation—the same elements that had constituted the regime's institutional structure all along.</w:t>
      </w:r>
    </w:p>
    <w:p>
      <w:r>
        <w:t>This synthesis carries an honest limit. If networks of privilege constituted a robust institutional structure that functionally substituted for infrastructural power, the scale and speed of the 2011 uprising's spread across Syria suggests these networks either did not penetrate society as deeply as the framework implies, or that they generated grievances among excluded populations that outweighed their stabilizing effects [pc-032]. Post-2011 evidence from Daraa compounds the difficulty: even after military reconquest the regime could not reinstate a monopoly over local governance and operated through tacit delegation to armed factions and tribal committees [pc-033]. This indicates that the regime's infrastructural reach was always thinner than either the "fierce but weak" or the networks-of-privilege framework fully captures, and that both overstate the regime's institutional depth in different ways [pc-033]. The continuation thesis does not require that the networks were uniformly deep or uniformly stabilizing. It requires that the regime's response to their partial failure followed the same logic that had governed their operation—rent distribution through informal delegation rather than bureaucratic consolidation—and on that score the evidence is consistent.</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Charles Tilly (dense: 154 corpus notes, 18 cited claims); Infrastructural power (moderate: 51 corpus notes, 10 cited claims); Loyalist paramilitary group (thin: 2 corpus notes, 10 cited claims); Siniša Malešević (moderate: 69 corpus notes, 1 cited claims); Syria (dense: 962 corpus notes, 26 cited claims); Syrian regime (thin: 11 corpus notes, 2 cited claims); fierce state (thin: 1 corpus notes, 6 cited claims); networks of privilege (thin: 2 corpus notes, 7 cited claims); oil rents (thin: 3 corpus notes, 3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Charles Tilly</w:t>
            </w:r>
          </w:p>
        </w:tc>
        <w:tc>
          <w:tcPr>
            <w:tcW w:type="dxa" w:w="2376"/>
          </w:tcPr>
          <w:p>
            <w:pPr>
              <w:spacing w:after="40"/>
            </w:pPr>
            <w:r>
              <w:rPr>
                <w:sz w:val="18"/>
              </w:rPr>
            </w:r>
            <w:r>
              <w:rPr>
                <w:sz w:val="18"/>
              </w:rPr>
              <w:t>154</w:t>
            </w:r>
          </w:p>
        </w:tc>
        <w:tc>
          <w:tcPr>
            <w:tcW w:type="dxa" w:w="2376"/>
          </w:tcPr>
          <w:p>
            <w:pPr>
              <w:spacing w:after="40"/>
            </w:pPr>
            <w:r>
              <w:rPr>
                <w:sz w:val="18"/>
              </w:rPr>
            </w:r>
            <w:r>
              <w:rPr>
                <w:sz w:val="18"/>
              </w:rPr>
              <w:t>18</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10</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Loyalist paramilitary group</w:t>
            </w:r>
          </w:p>
        </w:tc>
        <w:tc>
          <w:tcPr>
            <w:tcW w:type="dxa" w:w="2376"/>
          </w:tcPr>
          <w:p>
            <w:pPr>
              <w:spacing w:after="40"/>
            </w:pPr>
            <w:r>
              <w:rPr>
                <w:sz w:val="18"/>
              </w:rPr>
            </w:r>
            <w:r>
              <w:rPr>
                <w:sz w:val="18"/>
              </w:rPr>
              <w:t>2</w:t>
            </w:r>
          </w:p>
        </w:tc>
        <w:tc>
          <w:tcPr>
            <w:tcW w:type="dxa" w:w="2376"/>
          </w:tcPr>
          <w:p>
            <w:pPr>
              <w:spacing w:after="40"/>
            </w:pPr>
            <w:r>
              <w:rPr>
                <w:sz w:val="18"/>
              </w:rPr>
            </w:r>
            <w:r>
              <w:rPr>
                <w:sz w:val="18"/>
              </w:rPr>
              <w:t>10</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Siniša Malešević</w:t>
            </w:r>
          </w:p>
        </w:tc>
        <w:tc>
          <w:tcPr>
            <w:tcW w:type="dxa" w:w="2376"/>
          </w:tcPr>
          <w:p>
            <w:pPr>
              <w:spacing w:after="40"/>
            </w:pPr>
            <w:r>
              <w:rPr>
                <w:sz w:val="18"/>
              </w:rPr>
            </w:r>
            <w:r>
              <w:rPr>
                <w:sz w:val="18"/>
              </w:rPr>
              <w:t>69</w:t>
            </w:r>
          </w:p>
        </w:tc>
        <w:tc>
          <w:tcPr>
            <w:tcW w:type="dxa" w:w="2376"/>
          </w:tcPr>
          <w:p>
            <w:pPr>
              <w:spacing w:after="40"/>
            </w:pPr>
            <w:r>
              <w:rPr>
                <w:sz w:val="18"/>
              </w:rPr>
            </w:r>
            <w:r>
              <w:rPr>
                <w:sz w:val="18"/>
              </w:rPr>
              <w:t>1</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26</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6</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oil rents</w:t>
            </w:r>
          </w:p>
        </w:tc>
        <w:tc>
          <w:tcPr>
            <w:tcW w:type="dxa" w:w="2376"/>
          </w:tcPr>
          <w:p>
            <w:pPr>
              <w:spacing w:after="40"/>
            </w:pPr>
            <w:r>
              <w:rPr>
                <w:sz w:val="18"/>
              </w:rPr>
            </w:r>
            <w:r>
              <w:rPr>
                <w:sz w:val="18"/>
              </w:rPr>
              <w:t>3</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mann-v1-2012-5f90ead66c93_136_implication-i-the-emergence-of-the-national-state_003</w:t>
            </w:r>
          </w:p>
        </w:tc>
        <w:tc>
          <w:tcPr>
            <w:tcW w:type="dxa" w:w="1901"/>
          </w:tcPr>
          <w:p>
            <w:pPr>
              <w:spacing w:after="40"/>
            </w:pPr>
            <w:r>
              <w:rPr>
                <w:sz w:val="18"/>
              </w:rPr>
            </w:r>
            <w:r>
              <w:rPr>
                <w:sz w:val="18"/>
              </w:rPr>
              <w:t>Mann, Michael (2012)</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mann-v2-1993-ec759675dcbd_111_phase-2-revolution-reform-and-representation-1780-1850_003</w:t>
            </w:r>
          </w:p>
        </w:tc>
        <w:tc>
          <w:tcPr>
            <w:tcW w:type="dxa" w:w="1901"/>
          </w:tcPr>
          <w:p>
            <w:pPr>
              <w:spacing w:after="40"/>
            </w:pPr>
            <w:r>
              <w:rPr>
                <w:sz w:val="18"/>
              </w:rPr>
            </w:r>
            <w:r>
              <w:rPr>
                <w:sz w:val="18"/>
              </w:rPr>
              <w:t>Michael Mann (1993)</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ayubi-1995-16fd6a2e503f_10_the-middle-east-and-the-state-debate-a-conceptual-framework_002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heydemann-2004-72a4a9a9b3b0_90_rents-and-fiscal-policy_001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heydemann-2004-72a4a9a9b3b0_93_oil-boom-and-rent-seeking-1973-1989_001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w:t>
            </w:r>
          </w:p>
        </w:tc>
        <w:tc>
          <w:tcPr>
            <w:tcW w:type="dxa" w:w="1901"/>
          </w:tcPr>
          <w:p>
            <w:pPr>
              <w:spacing w:after="40"/>
            </w:pPr>
            <w:r>
              <w:rPr>
                <w:sz w:val="18"/>
              </w:rPr>
            </w:r>
            <w:r>
              <w:rPr>
                <w:sz w:val="18"/>
              </w:rPr>
              <w:t>Siniša Malešević and Mark Haugaard (2007)</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mann-v4-2013-1b7e828e0199_14_mad-and-the-decline-of-war_002</w:t>
            </w:r>
          </w:p>
        </w:tc>
        <w:tc>
          <w:tcPr>
            <w:tcW w:type="dxa" w:w="1901"/>
          </w:tcPr>
          <w:p>
            <w:pPr>
              <w:spacing w:after="40"/>
            </w:pPr>
            <w:r>
              <w:rPr>
                <w:sz w:val="18"/>
              </w:rPr>
            </w:r>
            <w:r>
              <w:rPr>
                <w:sz w:val="18"/>
              </w:rPr>
              <w:t>Michael Mann (2013)</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malesevic-2026-4faeb528594d_10_forging-statehood-through-inter-and-intra-state-wars_002</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ungor-2020-ae5701dcc706_10_4-paramilitarism_001, heydemann-2000-66701ffbb36c_101_yezid-sayigh_004, malesevic-2026-4faeb528594d_10_forging-statehood-through-inter-and-intra-state-wars_001</w:t>
            </w:r>
          </w:p>
        </w:tc>
        <w:tc>
          <w:tcPr>
            <w:tcW w:type="dxa" w:w="1901"/>
          </w:tcPr>
          <w:p>
            <w:pPr>
              <w:spacing w:after="40"/>
            </w:pPr>
            <w:r>
              <w:rPr>
                <w:sz w:val="18"/>
              </w:rPr>
            </w:r>
            <w:r>
              <w:rPr>
                <w:sz w:val="18"/>
              </w:rPr>
              <w:t>Mann, Michael (2012); Siniša Malešević (2026); Steven Heydemann (2000); Uğur Ümit Üngör (2020)</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 mann-v1-2012-5f90ead66c93_136_implication-i-the-emergence-of-the-national-state_003, mann-v2-1993-ec759675dcbd_111_phase-2-revolution-reform-and-representation-1780-1850_003</w:t>
            </w:r>
          </w:p>
        </w:tc>
        <w:tc>
          <w:tcPr>
            <w:tcW w:type="dxa" w:w="1901"/>
          </w:tcPr>
          <w:p>
            <w:pPr>
              <w:spacing w:after="40"/>
            </w:pPr>
            <w:r>
              <w:rPr>
                <w:sz w:val="18"/>
              </w:rPr>
            </w:r>
            <w:r>
              <w:rPr>
                <w:sz w:val="18"/>
              </w:rPr>
              <w:t>Ayubi, Nazih N.; (1995); Mann, Michael (2012); Michael Mann (1993); Uğur Ümit Üngör (2020)</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malesevic-2026-4faeb528594d_10_forging-statehood-through-inter-and-intra-state-wars_001, ungor-2020-ae5701dcc706_31_92-paramilitarism_003</w:t>
            </w:r>
          </w:p>
        </w:tc>
        <w:tc>
          <w:tcPr>
            <w:tcW w:type="dxa" w:w="1901"/>
          </w:tcPr>
          <w:p>
            <w:pPr>
              <w:spacing w:after="40"/>
            </w:pPr>
            <w:r>
              <w:rPr>
                <w:sz w:val="18"/>
              </w:rPr>
            </w:r>
            <w:r>
              <w:rPr>
                <w:sz w:val="18"/>
              </w:rPr>
              <w:t>Siniša Malešević (2026); Steven Heydemann (2000); Uğur Ümit Üngör (2020)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 malesevic-2026-4faeb528594d_10_forging-statehood-through-inter-and-intra-state-wars_001, mann-v4-2013-1b7e828e0199_14_mad-and-the-decline-of-war_002, mann-v1-2012-5f90ead66c93_136_implication-i-the-emergence-of-the-national-state_003</w:t>
            </w:r>
          </w:p>
        </w:tc>
        <w:tc>
          <w:tcPr>
            <w:tcW w:type="dxa" w:w="1901"/>
          </w:tcPr>
          <w:p>
            <w:pPr>
              <w:spacing w:after="40"/>
            </w:pPr>
            <w:r>
              <w:rPr>
                <w:sz w:val="18"/>
              </w:rPr>
            </w:r>
            <w:r>
              <w:rPr>
                <w:sz w:val="18"/>
              </w:rPr>
              <w:t>Mann, Michael (2012); Michael Mann (2013); Siniša Malešević (2026); Siniša Malešević and Mark Haugaard (2007)</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Uğur Ümit Üngör (2020)</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heydemann-2004-72a4a9a9b3b0_90_rents-and-fiscal-policy_001, 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Steven Heydemann (2000); Steven Heydemann (2004); Uğur Ümit Üngör (2020)</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heydemann-2000-66701ffbb36c_101_yezid-sayigh_004, ayubi-1995-16fd6a2e503f_10_the-middle-east-and-the-state-debate-a-conceptual-framework_002, ungor-2020-ae5701dcc706_10_4-paramilitarism_001</w:t>
            </w:r>
          </w:p>
        </w:tc>
        <w:tc>
          <w:tcPr>
            <w:tcW w:type="dxa" w:w="1901"/>
          </w:tcPr>
          <w:p>
            <w:pPr>
              <w:spacing w:after="40"/>
            </w:pPr>
            <w:r>
              <w:rPr>
                <w:sz w:val="18"/>
              </w:rPr>
            </w:r>
            <w:r>
              <w:rPr>
                <w:sz w:val="18"/>
              </w:rPr>
              <w:t>Ayubi, Nazih N.; (1995); Mann, Michael (2012); Steven Heydemann (2000); Uğur Ümit Üngör (2020)</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c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w:t>
            </w:r>
          </w:p>
        </w:tc>
        <w:tc>
          <w:tcPr>
            <w:tcW w:type="dxa" w:w="1901"/>
          </w:tcPr>
          <w:p>
            <w:pPr>
              <w:spacing w:after="40"/>
            </w:pPr>
            <w:r>
              <w:rPr>
                <w:sz w:val="18"/>
              </w:rPr>
            </w:r>
            <w:r>
              <w:rPr>
                <w:sz w:val="18"/>
              </w:rPr>
              <w:t>Ayubi, Nazih N.; (1995); Michael Mann (1993); Uğur Ümit Üngör (2020)</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ayubi-1995-16fd6a2e503f_10_the-middle-east-and-the-state-debate-a-conceptual-framework_002, ungor-2020-ae5701dcc706_31_92-paramilitarism_003, heydemann-2000-66701ffbb36c_101_yezid-sayigh_004</w:t>
            </w:r>
          </w:p>
        </w:tc>
        <w:tc>
          <w:tcPr>
            <w:tcW w:type="dxa" w:w="1901"/>
          </w:tcPr>
          <w:p>
            <w:pPr>
              <w:spacing w:after="40"/>
            </w:pPr>
            <w:r>
              <w:rPr>
                <w:sz w:val="18"/>
              </w:rPr>
            </w:r>
            <w:r>
              <w:rPr>
                <w:sz w:val="18"/>
              </w:rPr>
              <w:t>Ayubi, Nazih N.; (1995); Steven Heydemann (2000); Uğur Ümit Üngör (2020)</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Ayubi, Nazih N.; (1995); John A. Hall and Ralph Schroeder (2006); Michael Mann (1993); Uğur Ümit Üngör (2020)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 heydemann-2004-72a4a9a9b3b0_144_the-genesis-of-a-network-the-rise-of-postindependence-private-elites-in-morocco_001, ayubi-1995-16fd6a2e503f_146_conclusion-the-strong-the-hard-and-the-fierce_003, heydemann-2004-72a4a9a9b3b0_58_conclusion_001, mann-v1-2012-5f90ead66c93_136_implication-i-the-emergence-of-the-national-state_003, ungor-2020-ae5701dcc706_31_92-paramilitarism_003, heydemann-2000-66701ffbb36c_101_yezid-sayigh_004</w:t>
            </w:r>
          </w:p>
        </w:tc>
        <w:tc>
          <w:tcPr>
            <w:tcW w:type="dxa" w:w="1901"/>
          </w:tcPr>
          <w:p>
            <w:pPr>
              <w:spacing w:after="40"/>
            </w:pPr>
            <w:r>
              <w:rPr>
                <w:sz w:val="18"/>
              </w:rPr>
            </w:r>
            <w:r>
              <w:rPr>
                <w:sz w:val="18"/>
              </w:rPr>
              <w:t>Ayubi, Nazih N.; (1995); John A. Hall and Ralph Schroeder (2006); Mann, Michael (2012); Michael Mann (1993); Steven Heydemann (2000); Steven Heydemann (2004); Uğur Ümit Üngör (2020)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 Uğur Ümit Üngör (2020)</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malesevic-2007-323a2518e61b</w:t>
      </w:r>
      <w:r>
        <w:t xml:space="preserve"> — author: Siniša Malešević and Mark Haugaard (from title page); title: Ernest Gellner and Contemporary Social Thought (from title page); date: 2007 (from title page); publisher: Cambridge University Press (from open_library)</w:t>
      </w:r>
    </w:p>
    <w:p>
      <w:pPr>
        <w:pStyle w:val="ListBullet"/>
        <w:spacing w:after="60"/>
      </w:pPr>
      <w:r>
        <w:rPr>
          <w:b/>
        </w:rPr>
        <w:t>mann-v4-2013-1b7e828e0199</w:t>
      </w:r>
      <w:r>
        <w:t xml:space="preserve"> — author: Michael Mann (from embedded metadata); title: The Sources of Social Power (from embedded metadata); date: 2013 (from title page); publisher: Cambridge University Press (from open_library)</w:t>
      </w:r>
    </w:p>
    <w:p>
      <w:pPr>
        <w:pStyle w:val="ListBullet"/>
        <w:spacing w:after="60"/>
      </w:pPr>
      <w:r>
        <w:rPr>
          <w:b/>
        </w:rPr>
        <w:t>mann-v1-2012-5f90ead66c93</w:t>
      </w:r>
      <w:r>
        <w:t xml:space="preserve"> — author: Mann, Michael (from embedded metadata); title: The Sources of Social Power, Volume 1 (from embedded metadata); date: 2012 (from title page); publisher: Cambridge University Press (from open_library)</w:t>
      </w:r>
    </w:p>
    <w:p>
      <w:pPr>
        <w:pStyle w:val="ListBullet"/>
        <w:spacing w:after="60"/>
      </w:pPr>
      <w:r>
        <w:rPr>
          <w:b/>
        </w:rPr>
        <w:t>mann-v2-1993-ec759675dcbd</w:t>
      </w:r>
      <w:r>
        <w:t xml:space="preserve"> — author: Michael Mann (from embedded metadata); title: The Sources of Social Power: Volume 2, The Rise of Classes and Nation States 1760-1914 (from embedded metadata); date: 1993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E — The second paper, and the questions behind it</w:t>
      </w:r>
    </w:p>
    <w:p>
      <w:pPr>
        <w:pStyle w:val="Heading3"/>
      </w:pPr>
      <w:r>
        <w:t>The paper brief</w:t>
      </w:r>
    </w:p>
    <w:p>
      <w:r>
        <w:rPr>
          <w:b/>
        </w:rPr>
        <w:t>Title.</w:t>
      </w:r>
      <w:r>
        <w:t xml:space="preserve"> What the Mandate Built</w:t>
      </w:r>
    </w:p>
    <w:p>
      <w:r>
        <w:rPr>
          <w:b/>
        </w:rPr>
        <w:t>Organising question (the `thesis` field).</w:t>
      </w:r>
      <w:r>
        <w:t xml:space="preserve"> The institutions that decided who held power in Syria after 2011 were built under the mandate, not by the Baath and not by the war. What changed across a century was which group the arrangement favoured, and what stayed constant was that belonging, rather than office, was the thing being allocated.</w:t>
      </w:r>
    </w:p>
    <w:p>
      <w:r>
        <w:rPr>
          <w:b/>
        </w:rPr>
        <w:t>Lens.</w:t>
      </w:r>
      <w:r>
        <w:t xml:space="preserve"> political-economy</w:t>
      </w:r>
    </w:p>
    <w:p>
      <w:r>
        <w:rPr>
          <w:b/>
        </w:rPr>
        <w:t>Built from 3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0ae817e05d4dc424</w:t>
      </w:r>
    </w:p>
    <w:p>
      <w:pPr>
        <w:spacing w:before="80"/>
        <w:ind w:left="432"/>
      </w:pPr>
      <w:r>
        <w:rPr>
          <w:b/>
          <w:i/>
        </w:rPr>
        <w:t>Case.</w:t>
      </w:r>
      <w:r>
        <w:rPr>
          <w:i/>
        </w:rPr>
        <w:t xml:space="preserve"> Syria, 1920-2011</w:t>
      </w:r>
    </w:p>
    <w:p>
      <w:r>
        <w:t>&gt;</w:t>
      </w:r>
    </w:p>
    <w:p>
      <w:pPr>
        <w:spacing w:before="80"/>
        <w:ind w:left="432"/>
      </w:pPr>
      <w:r>
        <w:rPr>
          <w:b/>
          <w:i/>
        </w:rPr>
        <w:t>Request.</w:t>
      </w:r>
      <w:r>
        <w:rPr>
          <w:i/>
        </w:rPr>
        <w:t xml:space="preserve"> In what specific organizational ways do the French colonial institutionalization of minority identities (White) and the class-based, agrarian mobility structures of the lesser rural notables (Batatu) intersect with Wimmer's 'waves of war' thesis? How did these pre-existing networks of privilege (Heydemann) utilize ethno-nationalist and sectarian boundaries to ensure the organizational cohesion of the state's despotic core against a peri-urban opposition?</w:t>
      </w:r>
    </w:p>
    <w:p>
      <w:r>
        <w:rPr>
          <w:b/>
        </w:rPr>
        <w:t>Question 2</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3</w:t>
      </w:r>
      <w:r>
        <w:t xml:space="preserve"> — </w:t>
      </w:r>
      <w:r>
        <w:rPr>
          <w:rFonts w:ascii="Consolas" w:hAnsi="Consolas"/>
          <w:sz w:val="18"/>
        </w:rPr>
        <w:t>fd0c2636d456d0fc</w:t>
      </w:r>
    </w:p>
    <w:p>
      <w:pPr>
        <w:spacing w:before="80"/>
        <w:ind w:left="432"/>
      </w:pPr>
      <w:r>
        <w:rPr>
          <w:b/>
          <w:i/>
        </w:rPr>
        <w:t>Case.</w:t>
      </w:r>
      <w:r>
        <w:rPr>
          <w:i/>
        </w:rPr>
        <w:t xml:space="preserve"> Syria, 2011–2024 — regime, AANES/SDF northeast, Idlib</w:t>
      </w:r>
    </w:p>
    <w:p>
      <w:r>
        <w:t>&gt;</w:t>
      </w:r>
    </w:p>
    <w:p>
      <w:pPr>
        <w:spacing w:before="80"/>
        <w:ind w:left="432"/>
      </w:pPr>
      <w:r>
        <w:rPr>
          <w:b/>
          <w:i/>
        </w:rPr>
        <w:t>Request.</w:t>
      </w:r>
      <w:r>
        <w:rPr>
          <w:i/>
        </w:rPr>
        <w:t xml:space="preserve"> Is fragmented Syria one juridical sovereign under stress or several empirical polities that never acquired recognition? Distinguish Jackson-style negative sovereignty from Caspersen-style de-facto statehood; do not collapse the two.</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66</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34, (b) 20, (c) 12</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10</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15</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$0.199</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What the Mandate Built</w:t>
      </w:r>
    </w:p>
    <w:p>
      <w:r>
        <w:t>The institutions that allocated power in Syria from the mandate through the civil war were structured not around formal office or bureaucratic capacity but around the distribution of belonging itself—first by the French imposition of communitarian categories, then by the class-based capture of the state's coercive apparatus by a rural minoritarian officer corps, and finally by the reorganization of rent-seeking through ethno-sectarian patronage networks that substituted infrastructural penetration with clientelistic loyalty, such that what changed across a century was which group the arrangement favored and what remained constant was that material survival and political power depended on inclusion in the network of privilege the state recognized as its own.</w:t>
      </w:r>
    </w:p>
    <w:p>
      <w:pPr>
        <w:pStyle w:val="Heading4"/>
      </w:pPr>
      <w:r>
        <w:t>Introduction: The Puzzle of Syrian Institutional Continuity</w:t>
      </w:r>
    </w:p>
    <w:p>
      <w:r>
        <w:t>Syria's political order survived three ruptures that should, by most accounts, have destroyed it: the end of mandate rule, the social revolution that brought a rural officer corps to power, and the ascent of a narrow patronage regime that repaid loyalty with access to rents. Yet beneath each transition the basic logic of who got what, and on what terms, moved less than the surface drama suggested. The puzzle is not why Syria experienced conflict—it plainly did—but why a century of upheaval left intact a particular institutional grammar: power allocated not through office or capacity but through recognized membership in a privileged network, and survival tied to inclusion in that network rather than to any enforceable claim on the state. This paper argues that the institutions governing distribution in Syria, from the French mandate through the civil war, were structured around the distribution of belonging itself. What shifted across the period was which group the arrangement favored; what remained constant was the mechanism—material survival and political power depended on inclusion in the network of privilege the state recognized as its own. The French imposed communitarian categories that made sect a unit of fiscal and administrative classification; a rural minoritarian officer corps then captured the coercive apparatus on a class basis, converting military rank into a lever over the allocation of resources; and the later regime reorganized rent-seeking through ethno-sectarian patronage networks that substituted clientelistic loyalty for infrastructural penetration. At each stage, the economic base of political power was not productive capacity or broad taxation but the controlled distribution of access—to land, to posts, to licenses, to protection—and the cost was borne by those excluded from whichever category the state currently privileged. Read through a political-economy lens, the continuity is not a residue or a lag but the thing to be explained: how the arrangement reproduces itself when the group it favors changes.</w:t>
      </w:r>
    </w:p>
    <w:p>
      <w:pPr>
        <w:pStyle w:val="Heading4"/>
      </w:pPr>
      <w:r>
        <w:t>The Mandate Origins of Communitarian Allocation</w:t>
      </w:r>
    </w:p>
    <w:p>
      <w:r>
        <w:t>The institutions the French mandate established in Syria allocated access to the state's material resources not through bureaucratic capacity or formal office but through communal category — and in doing so produced the very categories of belonging that would organize Syrian political life for the next century. Officials who arrived with a communitarian understanding of society institutionalized it through military recruitment and administrative division along communal lines [pc-003]. The categories this system required were not primordial: the term 'minority' appeared infrequently in the archives until approximately 1930, when it rapidly became widespread [pc-001], and a coherent Sunni Muslim Arabic-speaking majority had no political reality until the developing Syrian state, together with nationalist ideology, enframed diverse actors and constituted them as a single group [pc-002]. What the mandate imposed, then, was a scheme for allocating material access — to military salaries, to administrative positions, to inclusion within rather than subjection to the coercive apparatus — distributed by communal category rather than by bureaucratic capacity or formal office, while simultaneously manufacturing the categories of minority and majority that would make such allocation appear to reflect the natural composition of society [pc-059].</w:t>
      </w:r>
    </w:p>
    <w:p>
      <w:r>
        <w:t>The Great Revolt of 1925-7 exposed the distributive stakes of this arrangement. French forces suppressed the revolt using irregular troops drawn from Armenian, Circassian, and other communities, organizing coercion against what was in fact a cross-communal, cross-class coalition — one that, as Michael Provence argues, served as a crucible of Syrian nationhood, contrary to the French interpretation of the revolt as sectarian — along the very communal lines the mandate had been institutionalizing [pc-004]. The French interpretation concealed a material logic at work: communities whose members were recruited into irregular paramilitary formations gained access to the state's coercive payroll, while the cross-communal and cross-class coalition that revolted bore the cost of resisting an arrangement that allocated opportunity by communal category rather than by claim of right [pc-060].</w:t>
      </w:r>
    </w:p>
    <w:p>
      <w:r>
        <w:t>The gradual spread of the concept of 'minority' through the 1920s and 1930s as Syrian society transformed under the nation-state form [pc-003] tracked the consolidation of this distributional arrangement. The concept carried ideological baggage that permitted regimes to curtail political rights while presenting themselves as expressions of popular will, through the public aggrandizement of the 'nation' or 'majority' and the identification and persecution of 'minorities' [pc-005]. The logic this established — that a ruling group could claim majoritarian legitimacy while deploying sectarian categories against its opponents — directly predicted the mechanism by which Syria's later despotic core would operate: the regime presented itself as representing the majority while identifying the peri-urban opposition as sectarian threats, inverting the actual minority character of the ruling elite [pc-005]. The mandate's communitarian allocation thus established not merely a taxonomy of identity but a distributional template — in which belonging, not bureaucratic capacity or formal office, determined access to the material resources of the state — whose beneficiaries would change across the century but whose logic would persist [pc-061].</w:t>
      </w:r>
    </w:p>
    <w:p>
      <w:pPr>
        <w:pStyle w:val="Heading4"/>
      </w:pPr>
      <w:r>
        <w:t>Class, Coercion, and the Ruralization of the State</w:t>
      </w:r>
    </w:p>
    <w:p>
      <w:r>
        <w:t>The colonial political economy that concentrated private wealth in an agrarian landed bourgeoisie made the army the one institution through which the rural poor could accumulate political power [pc-008][pc-059]. This was not a design choice but a structural consequence: families too impoverished to pay the badal, the conscription exemption fee, sent their sons into uniform, while the landed and merchant classes purchased their way out [pc-006]. The officers who emerged from this selection were overwhelmingly of rural and peasant extraction, drawn from common provincial provenance and disproportionately from religiously minoritarian communities the mandate had already positioned within rather than against the coercive apparatus [pc-007][pc-010][pc-059]. Their cohesion as a political force derived initially not from sectarian identity but from shared class position and Ba'thist ideology [pc-011]. What made ruralization decisive was the underdevelopment of the local capitalist class: the state had grown overdeveloped relative to the private economy, so that a bureau-technocratic bourgeoisie of officers and administrators could derive political weight from control of the state apparatus itself rather than from any independent economic base [pc-009]. The nationalist intelligentsia, economically powerless against the landed bourgeoisie, had ceded the field to men whose organized force could break the stalemate civilians could not [pc-008]. Between 1963 and 1968, successive purges eliminated Sunni and Druze rivals and left the rural minoritarian faction in command [pc-007]. Yet the purges operated through political, regional, and class cleavages that only retrospectively congealed into sectarian ones, as each round of elimination narrowed the circle of belonging and left communal identity as the visible residue of who remained [pc-011]. The material consequences of this capture were initially redistributive: the radical Ba'thist period narrowed rural income gaps [pc-012]. But the retreat from radicalism and liberalization after 1972 reversed those gains, with the producers' share of agricultural income collapsing from 12.8 percent in 1970 to 5.1 percent in 1975 [pc-012]. The ruralization of political power did not produce a ruralization of the economy; it produced a ruling corps whose relationship to the countryside it claimed to represent turned extractive, as the officers' transformation into a bureau-technocratic bourgeoisie severed their material interests from those of the rural poor whose sons still filled the ranks [pc-012][pc-009][pc-062]. What persisted across this transformation was the distributional template the mandate had established: belonging, not bureaucratic capacity or formal office, determined access to the state's material resources [pc-061]. What changed was which group the template favored — from communities the French had recruited as irregulars to communities that had entered the officer corps through poverty — and what remained constant was the logic that material survival and political power depended on inclusion in the network of privilege the state recognized as its own [pc-061][pc-011].</w:t>
      </w:r>
    </w:p>
    <w:p>
      <w:pPr>
        <w:pStyle w:val="Heading4"/>
      </w:pPr>
      <w:r>
        <w:t>The Counter-Position: Fierce but Weak—Despotic Power as the Explanatory Framework</w:t>
      </w:r>
    </w:p>
    <w:p>
      <w:r>
        <w:t>One influential alternative to the networks-of-privilege account would explain the Syrian state's trajectory through the distinction between despotic and infrastructural power. On this view, the Arab state is often violent precisely because it is weak: it excels in despotic power—arbitrary action without constraint—while lacking the infrastructural capacity to genuinely penetrate and organize society, making it 'fierce' rather than 'strong' [pc-013][pc-014]. The framework has real explanatory purchase on the Syrian trajectory. When the 2011 uprising massed, the regime's repressive strategy—fragmenting national space through checkpoints, military force, and propaganda to atomize the movement—resembled precisely the pattern a fierce-state analysis predicts: a state resorting to coercion because it lacked the capacity to relate to society through organization [pc-015]. Under conditions of mass mobilization, the networks of privilege that had structured access to the state's resources proved insufficient as a mechanism of societal control, and the state fell back on raw coercion—the one capacity it had cultivated without interruption [pc-015]. The framework also concedes a developmental limit of its own. No Arab country has been 'a glaring success story' on the developmental front, a failure that the fierce-state account registers as symptomatic of infrastructural weakness [pc-016]. Yet this developmental failure need not be read as an absence of state power; it can equally be read as evidence that the state's distributive capacity is organized through networks of privilege that prioritize elite reproduction over developmental goals [pc-016]. The infrastructural deficit the framework identifies is not a generic accident of peripheral state formation but a structural feature of a state whose capacity to distribute material resources runs through patronage organized by belonging rather than through bureaucratic penetration of society [pc-063]. The counter-position correctly registers the violence as a symptom of organizational deficit, but it cannot explain the distributive logic that determines which deficit is tolerated and whose capacity is built [pc-064].</w:t>
      </w:r>
    </w:p>
    <w:p>
      <w:pPr>
        <w:pStyle w:val="Heading4"/>
      </w:pPr>
      <w:r>
        <w:t>Networks of Privilege as the Real Institutional Structure</w:t>
      </w:r>
    </w:p>
    <w:p>
      <w:r>
        <w:t>The institutional structure that sustained the Syrian regime between 2000 and 2011 was not its formal bureaucracy, its legal apparatus, or even its coercive machinery considered in isolation. It was the dense, overlapping networks of public officials and private economic interests that distributed rent, managed access to opportunity, and bound society to the regime through patronage rather than administration. In Middle Eastern political economies where these networks operate, the boundary between public and private becomes so thoroughly blurred that insisting on it is "potentially misleading," meaning the state's operative institutional structure is constituted not by bureaucratic capacity but by the patronage networks that actually perform the work of governance [pc-020]. Egypt's 1990s privatization illustrates the pattern: rather than breaking elite networks, reform allowed state bureaucrats and private businessmen to entrench their monopoly power while the state retained its central role as distributor of rent, demonstrating that networks of privilege are resistant to market-oriented reform and constitute the regime's actual institutional architecture [pc-021]. That Syria's business networks have been studied within the same scholarly program that produced this framework directly ties the question of Syrian authoritarian resilience to the operations of networks of privilege [pc-022].</w:t>
      </w:r>
    </w:p>
    <w:p>
      <w:r>
        <w:t>What this means is that economic liberalization does not eliminate rent-seeking; it reorganizes it. Privileged actors mobilize politically through networks to preserve and enhance access to politically mediated resources, shaping the very reforms that ostensibly discipline them [pc-017]. Reform is thus constitutive of new distributive coalitions, generating regulatory hybrids and compromise formulas that cut across conventional categories of state and market, public and private [pc-018]. In Syria, the retreat from Ba'thist radicalism in 1972 and the liberalization of the 1980s did not dismantle the rural-based elite's control but reorganized rent-seeking around loyalist business networks, producing the crosscutting coalitions between military officers, technocrats, and private capitalists that this framework predicts [pc-019]. The officers who had become a bureau-technocratic bourgeoisie dependent on control of the state apparatus rather than any independent economic base had by then structurally severed their material interests from the rural constituency whose sons still filled the ranks, so liberalization's reversal of rural gains expressed not a betrayal of the regime's founding logic but its fulfillment [pc-062].</w:t>
      </w:r>
    </w:p>
    <w:p>
      <w:r>
        <w:t>The implication for assessing state power is fundamental. Infrastructural power, as Mann defines it, is the institutional capacity of a central state to penetrate its territories and logistically implement decisions [pc-023]. Assessing infrastructural power by looking for formal bureaucratic penetration will therefore miss cases where the operative mechanism of penetration is patronage rather than administration—where the state reaches society not through its own offices but through the networks it sponsors [pc-023]. The Ottoman experience in southern Syria makes the point concrete: infrastructural power was undermined not by state weakness per se but by external subsidies and material incentives that empowered tribal actors, demonstrating that what looks like state incapacity may actually be the substitution of network-based control for bureaucratic penetration [pc-024]. This substitution recurs across Syrian state formation—from the Ottoman period through the mandate's communitarian allocation of access to the coercive payroll, through the Ba'thist officers' reorganization of rent—such that the pattern is better understood as a structural feature of a state whose distributive capacity runs through patronage organized by belonging rather than as a contingent failure of administrative capacity [pc-065][pc-063].</w:t>
      </w:r>
    </w:p>
    <w:p>
      <w:r>
        <w:t>This reframing exposes the limits of the "fierce but weak" thesis. The framework holds that Arab states excel in despotic power—arbitrary coercion free from constitutional constraint—while lacking the infrastructural capacity to genuinely penetrate and organize society, making their violence a symptom of weakness rather than strength [pc-013][pc-014]. No Arab country, by this framework's own concession, has been a "glaring success story" on the developmental front [pc-016]. But the framework treats the absence of formal infrastructural capacity as the whole story, when the evidence from the networks-of-privilege research program shows that elite networks of public officials and private interests perform the functional equivalent of infrastructural penetration—distributing rent, managing access to economic opportunity, and binding society to the regime—rendering standard infrastructural power assessments that look only for bureaucratic capacity fundamentally inadequate [pc-026]. The regime's stability during 2000–2011 derived not from despotic power compensating for infrastructural weakness but from networks of privilege that functioned as a substitute form of infrastructural penetration, organizing society through patronage rather than bureaucracy [pc-025]. The "fierce but weak" framework, while descriptively accurate about the regime's coercive posture, thus resolves no paradox, because it misidentifies the source of authoritarian resilience: the regime was not strong in coercion because it was weak in penetration; it was resilient because its penetration ran through networks rather than offices [pc-025].</w:t>
      </w:r>
    </w:p>
    <w:p>
      <w:r>
        <w:t>The difficulty is compounded by broader critiques of Mann's framework, which has been charged with conflating ideological power with organizational infrastructure and with requiring subjective appraisal of meaning-systems that do not fit organizational materialism—critiques that further undermine the reliability of standard infrastructural power assessments for regimes like Syria's, where the operative institutional structure is informal and network-based rather than bureaucratically legible [pc-027]. The fierce-state counter-position correctly registers the regime's violence as a symptom of organizational deficit, but it cannot explain the distributive logic that determines which deficit is tolerated and whose capacity is built [pc-064]. Under the networks-of-privilege lens, the developmental failure the fierce-state framework observes is explained not by an absence of state power but by the fact that the state's distributive capacity is organized through networks that prioritize elite reproduction over developmental goals [pc-016]. The regime's repressive strategy in 2011—fragmenting national space through checkpoints, military force, and propaganda to atomize the movement—did resemble a fierce state relying on coercion because it lacked the capacity to relate to society through organization [pc-015]. But this should be read not as confirmation that networks of privilege were always structurally insufficient, but as evidence that networks of privilege, while constituting the operative institutional structure of the regime, proved insufficient as a mechanism of societal control under conditions of mass mobilization—failing precisely because the patronage circuits that had substituted for bureaucratic penetration could not manage a crisis that demanded universal rather than selective distribution [pc-015].</w:t>
      </w:r>
    </w:p>
    <w:p>
      <w:pPr>
        <w:pStyle w:val="Heading4"/>
      </w:pPr>
      <w:r>
        <w:t>The Wartime Stress Test: Belonging as Dispossession</w:t>
      </w:r>
    </w:p>
    <w:p>
      <w:r>
        <w:t>The civil war did not rupture the distributional logic of the Syrian state; it exposed that logic in its most elemental form. When mass mobilization emerged in 2011 from precisely those peri-urban and urban populations the state had never genuinely integrated through infrastructural capacity—populations it had controlled despotically but never organized bureaucratically—the regime's response was not to extend penetration but to weaponize the despotic core's organizational cohesion to physically eliminate opposition and transfer property to loyalists [pc-033][pc-031]. Survival in civil war, as the Syrian case demonstrates, requires controlling or neutralizing the political center and eliminating or integrating competitors, and the Assad regime tied these imperatives together into a single strategy in which destruction, displacement, and dispossession were not byproducts but instruments of regime survival [pc-029][pc-028]. The ruling elite, described as hell-bent on survival, deployed wartime dispossession and reconstruction policy to deliberately exclude large sections of the population from their homes and property rights [pc-028]. What looked like chaos was the distributional template operating without its peacetime camouflage: belonging, not right or capacity, determined who retained property and who lost it [pc-061]. The organizational cohesion that made this possible was not improvised. The regime's despotic core—Alawite officers unified by shared rural-peasant origins and Ba'thist persuasion who controlled the air squadrons, missile detachments, armored brigades, and intelligence services—could be mobilized as a sectarily-defined coercive apparatus against peri-urban and urban opposition precisely because successive purges had eliminated rival factions and Sunni officers had remained fragmented along urban-rural, class, and political lines [pc-030]. This cohesion had been built over decades through the convergence of sectarian boundaries and class-based military structures, such that when the Muslim Brotherhood rose in the 1970s-80s and again when the 2011 uprising erupted, the state lacked the infrastructural power to genuinely penetrate society but possessed a organizationally cohesive coercive apparatus defined by belonging [pc-030]. The wartime dispossession policies thus represent the culmination of a logic that had been operating since the rural-based, disproportionately minoritarian Ba'thist elite captured the state's despotic instruments and then used economic liberalization not to dismantle privilege but to reorganize rent-seeking opportunities around loyalist networks [pc-031][pc-019]. The French mandate had supplied the categorical framework—minority and majority—that made ethnic exclusion politically meaningful, while the class-based mechanisms of agrarian depression driving Alawite peasants into military service and deep Sunni class divisions provided the organizational vehicle through which an ethno-sectarian minority captured the state's coercive core [pc-032]. What the nation-state form imposed, the civil war revealed as an exclusionary power structure: institutionally weak elites favor their own communities because they lack the capacity to build genuine nationhood, and the waves of ethnic rebellion and civil conflict that followed were not deviations but the predictable products of a state that distributed material resources through patronage organized by belonging rather than through administrative capacity [pc-032][pc-063]. The regime's reliance on paramilitaries and local strongmen during the war further confirms that this was not a case of state collapse but of what Üngör terms perverse state formation—a state that actively produces strongmen and maintains over a dozen intelligence agencies and prisons alongside paramilitary organizations even while appearing weak in service provision [pc-034]. The resulting local governance architecture was fragmented and fragile precisely because the regime's punitive approach to disloyal populations and reliance on tribal and militia actors for governance legitimacy produced dispersed, contested authority across the South, Idlib, Kurdish areas, Aleppo, and Homs [pc-035]. This fragmentation was not the failure of a distributional system but its wartime expression: the state that had substituted network-based control for bureaucratic penetration now substituted militia-based coercion for territorial administration, with the same underlying logic—access to material resources and physical security determined by proximity to the networks the regime recognized as its own [pc-065][pc-025]. The officers who had transformed into a bureau-technocratic bourgeoisie whose political weight derived from control of the state apparatus rather than any independent economic base had long since severed their material interests from the rural constituency whose sons still filled the ranks [pc-062][pc-009]. Wartime dispossession thus completed a century-long arc: the communitarian allocation that the French mandate imposed—who could draw military pay, staff administrative posts, or be positioned within rather than against the apparatus of coercion—had evolved into a system in which the ruling corps could dispossess entire populations not in spite of its dependence on belonging but because of it, since the regime's survival no longer required the welfare of any constituency outside the network of privilege [pc-059][pc-062]. What changed across the century was which group the arrangement favored and how violently the exclusion was enforced; what remained constant was that material survival and political power depended on inclusion in the network the state recognized as its own.</w:t>
      </w:r>
    </w:p>
    <w:p>
      <w:pPr>
        <w:pStyle w:val="Heading4"/>
      </w:pPr>
      <w:r>
        <w:t>Sovereignty Without Capacity: The Juridical Scaffolding of Network Rule</w:t>
      </w:r>
    </w:p>
    <w:p>
      <w:r>
        <w:t>The survival of the Assad regime through a decade of territorial fragmentation, external intervention, and mass displacement presents a paradox only if one assumes that rule requires governance capacity. It does not, if rule is organized through networks of belonging rather than through bureaucratic penetration of society. What the regime required was not the ability to administer territory but the ability to remain the sole recognized entity entitled to distribute the material resources of sovereignty—and this it retained through a juridical scaffolding that international norms and great-power patronage maintained even as the state's empirical capabilities collapsed [pc-036][pc-037]. The distinction between negative sovereignty—the formal-legal entitlement to non-intervention—and positive sovereignty—the empirical capacity to govern—was separated by decolonization, producing quasi-states that possess the first by definition and the second only partially [pc-036][pc-037]. Syria from 2011 through 2024 fits this template precisely: the regime retained its UN seat, its diplomatic relations, and the protection of Russia and China at the Security Council, where thirteen resolutions aimed at investigating, condemning, sanctioning, or intervening against the regime were vetoed [pc-039]. It remained a single juridical sovereign even as its positive sovereignty was severely degraded by territorial fragmentation, external intervention, and factionalized elites [pc-038]. The 2018 Fragile States Index recorded the consequence—External Intervention at 10.0, State Legitimacy at 9.9, Factionalized Elites at 9.9, and Public Services at 9.3—governance capacity and state legitimacy severely deteriorated while state functions were very heavily dictated by external actors [pc-043]. What negative sovereignty protected was not a state in any infrastructural sense but a monopoly position: the regime's claim to be the sole legitimate distributor of the resources—legal validity, property titles, international aid access, reconstruction contracts—that networks of privilege required to function [pc-066]. The contrast with the PLO makes the stakes visible. The PLO developed statelike institutions, serving as the receptacle for political legitimacy and the central arena for national politics, yet because it was not juridically recognized it was deprived of the advantages of negative sovereignty that recognized states enjoyed even after losing empirical attributes of sovereignty [pc-041]. An organization that built institutions but lacked recognition could be easily abandoned by international actors [pc-040]. The Assad regime faced no such vulnerability: its recognized sovereign status insulated it from abandonment regardless of its empirical governance failures [pc-040][pc-038]. The asymmetry reveals that what matters for network rule is not capacity but entitlement—the juridically guaranteed position of being the actor the international system treats as the state [pc-066]. The regime's use of this position to enforce its monopoly on material access is visible in the micro-structure of property and legal documentation during the war. Local councils in opposition-held areas established their own land and property registries; the Free Syrian Lawyers Association operated offices registering contracts in Idlib [pc-042]. These were functional substitutes for state administration—the kind of institutional capacity that standard analyses equate with sovereignty. But the regime's Legislative Decree 11 of 2016 declared all property registrations in areas outside regime control null and void [pc-042]. The decree could not be enforced in territory the regime did not control, yet it retained juridical force because the regime retained negative sovereignty: its acts remained the acts of a recognized state, while the opposition's records were the acts of non-sovereign actors. This is the mechanism by which juridical scaffolding preserved network rule—the opposition could administer territory but could not make its administration legally durable, while the regime could not administer territory but could make its legal acts binding. In a system where material survival depends on inclusion in the network of privilege the state recognizes as its own, the capacity to invalidate alternative legal records is the capacity to ensure that inclusion runs through the regime's networks alone [pc-067]. External patrons sustained this arrangement not as a byproduct of indifference but through active geopolitical investment. Where external patron powers have geopolitical interests, their interference substantially hinders long-term state stability, because domestic leaders are caught between meeting the demands of citizens and foreign backers, causing governance capacity and state stability to take a back seat [pc-044]. The Security Council vetoes were the international expression of this dynamic: Russia and China maintained the regime's negative sovereignty not to enable governance but to preserve a client whose value lay in geopolitical alignment, not in administrative competence [pc-039][pc-044]. The result is that the state's infrastructural deficit—the absence of bureaucratic capacity to genuinely penetrate and organize society—was not a gap waiting to be filled but a structural feature of a political order in which the distribution of material resources runs through patronage organized by belonging rather than through administrative capacity [pc-063][pc-065]. The regime's perverse state formation—commanding over a dozen intelligence agencies and prisons alongside paramilitary organizations even while appearing weak in service provision—confirms that capacity was built selectively, where it served the networks of privilege, and left unbuilt where it did not [pc-034]. Negative sovereignty insulated this selectivity from external challenge: no international actor could legally displace the regime's claim to rule, and no domestic alternative could acquire the juridical standing to make its governance enforceable beyond the territory it held by force. What remained constant across the century—from the French mandate's communitarian allocation of access to the coercive payroll [pc-059][pc-061], through the rural officer corps's capture of the state's despotic instruments [pc-006][pc-010], to the wartime regime's invalidation of opposition property records—was that material survival and political power depended on inclusion in the network of privilege the state recognized as its own. What changed was which group the arrangement favored. The juridical scaffolding of negative sovereignty ensured that the question of who counted as the state was settled internationally, not empirically, and that the answer determined whose networks of belonging would be the only ones with legal force [pc-067].</w:t>
      </w:r>
    </w:p>
    <w:p>
      <w:pPr>
        <w:pStyle w:val="Heading4"/>
      </w:pPr>
      <w:r>
        <w:t>Synthesis: Belonging, Not Office, as the Constant of Syrian Political Economy</w:t>
      </w:r>
    </w:p>
    <w:p>
      <w:r>
        <w:t>Across a century of Syrian state formation, the distribution of belonging—not formal office or bureaucratic capacity—determined who could access the material resources of the state. The French mandate established this distributional template by allocating access to military pay, administrative posts, and the apparatus of coercion along communal lines, while simultaneously producing the very minority/majority categories that would naturalize the resulting distribution [pc-059][pc-061]. The suppression of the Great Revolt of 1925-7 laid bare the material stakes: communities recruited into irregular paramilitary formations gained entry to the state's coercive payroll, while the cross-communal and cross-class coalition that resisted bore the cost of an arrangement that allocated opportunity by communal category rather than by claim of right [pc-060]. This was not a communitarian overlay on an otherwise functional administrative system; it was the constitutive mechanism through which the state distributed material resources, and it established a template whose beneficiaries would change across the century but whose logic would persist [pc-061].</w:t>
      </w:r>
    </w:p>
    <w:p>
      <w:r>
        <w:t>The post-independence state did not dismantle this template; it transferred it to new beneficiaries through class-based mechanisms. Rural peasants from minoritarian communities, driven into military service by economic deprivation that made the conscription exemption fee unaffordable, captured the coercive apparatus while their Sunni counterparts remained fragmented along class, regional, and political lines [pc-006][pc-007]. Their transformation into a bureau-technocratic bourgeoisie—whose political weight derived from control of the state apparatus rather than from any independent economic base—structurally severed their material interests from the rural constituency whose sons still filled the ranks [pc-009][pc-062]. The reversal of rural gains under post-1972 liberalization, when the producers' share of agricultural income fell from 12.8 percent to 5.1 percent, was therefore not a betrayal of the regime's founding logic but a predictable expression of it: the ruling corps had ceased to depend on the welfare of the countryside it claimed to represent [pc-012][pc-062]. The officers who captured the state's coercive instruments had become a class whose economic base was the state itself, and whose material interest lay in preserving the distribitional mechanism that had brought them to power rather than in broadening it.</w:t>
      </w:r>
    </w:p>
    <w:p>
      <w:r>
        <w:t>Economic liberalization reorganized rather than eliminated rent-seeking, generating crosscutting coalitions between military officers, technocrats, and private capitalists that operated through the ethno-sectarian boundaries the mandate had institutionalized and the class-based military structures that had carried the Ba'thists to power [pc-017][pc-019][pc-031]. The regime's wartime dispossession policies represent the culmination of this logic—using the despotic core's organizational cohesion to physically eliminate peri-urban opposition and transfer property to regime loyalists, so that reconstruction itself became an instrument of redistribution toward the network of belonging [pc-028][pc-031]. What persisted across each reorganization was the underlying mechanism: the state's capacity to distribute material resources ran through patronage organized by belonging rather than through administrative capacity [pc-063][pc-065]. This was not an isolated episode of reform producing unintended consequences but a recurring pattern across Syrian state formation, in which what appears as infrastructural deficit is the structural form of a state that distributes through patronage rather than through bureaucracy [pc-065].</w:t>
      </w:r>
    </w:p>
    <w:p>
      <w:r>
        <w:t>This distributional logic reframes the debate over whether Syria was a fierce state compensating for infrastructural weakness or a regime governed by networks of privilege. The infrastructural deficit the fierce-state framework identifies is not a generic accident of peripheral state formation but a structural feature of a state whose distributive mechanism is patronage organized by belonging [pc-063]. The violence the fierce-state framework registers as a symptom of weakness is better understood as the coercive face of a distributive system that allocates material resources by inclusion or exclusion from networks of belonging [pc-064]. Networks of privilege did not compensate for an absence of state capacity; they constituted the state's operative institutional structure, performing the functional equivalent of infrastructural penetration by distributing rent, managing access to economic opportunity, and binding society to the regime through clientelistic loyalty rather than bureaucratic administration [pc-025][pc-026]. The regime's repressive strategy in 2011—fragmenting national space through checkpoints and military force to atomize the movement—resembled the fierce state's reliance on coercion precisely because it lacked the capacity to relate to society through organization, which is consistent with the view that networks of privilege, while structurally real, proved insufficient as a mechanism of societal control under conditions of mass mobilization [pc-015].</w:t>
      </w:r>
    </w:p>
    <w:p>
      <w:r>
        <w:t>The international dimension of this system is not incidental but structural. Jackson's separation of negative from positive sovereignty is the condition that makes network rule viable: when international recognition insulates a regime from intervention, it can substitute patronage networks for bureaucratic capacity without losing its claim to rule, because the juridical shield prevents alternative institutional structures from acquiring the sovereign legitimacy needed to challenge the network's monopoly on distributing material resources [pc-066]. Fragmented Syria from 2011 to 2024 is best understood as one juridical sovereign under stress rather than several empirical polities—the Assad regime retained its UN seat, diplomatic recognition, and great-power protection even as its empirical governance capacity collapsed and the conflict transformed from uprising to civil war to interstate war with the intervention of Turkey, Iran, Russia, the United States, and Hezbollah [pc-047][pc-038][pc-051]. The juridical scaffolding preserved the regime's monopoly as the sole legitimate distributor of material resources, so that even functional opposition governance—property registries, contract registration by the Free Syrian Lawyers Association—could be juridically erased by Legislative Decree 11 of 2016, a decree unenforceable on the ground but decisive in law [pc-067][pc-042]. The breakaway entities never consolidated the independent, self-sustaining de facto statehood that would qualify them as unrecognized states under the standard criteria, because their heavy dependence on external patrons—the United States for the SDF, Turkey for opposition groups—undermined the de facto independence requirement, and the AANES pursued autonomy within Syria rather than full secession [pc-052][pc-056][pc-057]. Caspersen's distinction between unrecognized states and states-within-states further clarifies the asymmetry: entities that maintain high independence but recognize the central government and operate with its tacit approval face no external threat to their de facto existence, whereas Syria's breakaway entities possessed neither recognition nor the central government's acquiescence [pc-053]. The PLO case demonstrates the vulnerability this produces: the PLO built statelike institutions but, lacking juridical recognition, was deprived of negative sovereignty protections and could be easily abandoned by international actors—precisely the vulnerability the Assad regime avoided by retaining its recognized sovereign status regardless of its empirical governance failures [pc-040][pc-041].</w:t>
      </w:r>
    </w:p>
    <w:p>
      <w:r>
        <w:t>This century-long trajectory confirms, with striking precision, the prediction that exclusionary nation-state power structures violate the principle of self-rule and trigger ethnic rebellion and outside intervention [pc-045][pc-058]. The nation-state form the French mandate imposed created the categorical framework that made ethnic exclusion politically meaningful, while the class-based mechanisms of agrarian mobility provided the organizational vehicle through which an ethno-sectarian minority could capture the state's despotic core [pc-032]. Successive waves of rebellion—the Muslim Brotherhood uprising, the 2011 revolution—followed as the framework anticipates [pc-045]. Yet treating this trajectory as a near-automatic consequence of nation-state formation, as Wimmer's structuralist thesis implies, overstates its inevitability [pc-046]. The position adopted here—that French minority institutionalization, class-based agrarian mobility, and exclusionary power structures converge to explain Syria's despotic core—risks reproducing the very anachronism the mandate evidence warns against: the officers who captured the state did not initially act as Alawis but as rural peasants and Ba'thists, and the sectarianization of state power was an emergent product of successive purges and political crystallizations rather than a pre-planned ethno-nationalist strategy [pc-046][pc-011]. The organizational cohesion of the despotic core was as much a product of unintended class dynamics and military institutional accidents as of deliberate ethno-sectarian boundary-making [pc-046].</w:t>
      </w:r>
    </w:p>
    <w:p>
      <w:r>
        <w:t>More fundamentally, the networks-of-privilege framework struggles to explain the regime's near-collapse in 2011. If networks of privilege constituted a robust institutional structure that functionally substituted for infrastructural power, the scale and speed of the uprising's spread across Syria suggests these networks either did not penetrate society as deeply as the framework implies, or that they generated grievances among excluded populations that outweighed their stabilizing effects—an outcome the framework does not adequately predict [pc-048]. Post-2011 evidence from Daraa shows that even after military reconquest the regime could not reinstate a monopoly over local governance and operated through tacit delegation to armed factions and tribal committees, suggesting that the regime's infrastructural reach was always thinner than either the fierce-but-weak or the networks-of-privilege framework fully captures [pc-049]. The regime's reliance on paramilitaries and informal parastatal networks rather than regular state institutions—thriving not in genuine state weakness but in a perverse state formation that actively produces strongmen while maintaining strong coercive capacities—reinforces this assessment [pc-034][pc-035]. The hollowness of negative sovereignty compounds the problem: with Syria's External Intervention score at 10.0, the juridical sovereign was increasingly a legal fiction sustained by Russian and Iranian patronage rather than a meaningful independent actor, and if external patrons withdrew, the juridical shell might collapse faster than the Jacksonian framework predicts, because the regime's negative sovereignty was maintained not by international norms alone but by active great-power intervention [pc-050][pc-043][pc-044].</w:t>
      </w:r>
    </w:p>
    <w:p>
      <w:r>
        <w:t>What changed across the century was which group the arrangement favored and what idiom of belonging it invoked: communal category under the mandate, class and party under early Ba'thism, sectarian network under liberalized patronage. What remained constant was that material survival and political power depended on inclusion in the network of privilege the state recognized as its own [pc-068]. The French distributed access by communal category; the Ba'thist officers distributed it by class origin and party loyalty that crystallized into sectarian networks; the liberalized regime distributed it through crosscutting patronage coalitions that blurred the boundary between public and private so thoroughly that establishing one was potentially misleading [pc-020]. The distributive mechanism was belonging in each case, not office, and the state's institutional structure was constituted by the network rather than by the bureaucracy it nominally contained [pc-068].</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French Mandate (moderate: 55 corpus notes, 13 cited claims); French Mandate Syria (thin: 19 corpus notes, 14 cited claims); Hanna Batatu (moderate: 29 corpus notes, 9 cited claims); Idlib (moderate: 30 corpus notes, 22 cited claims); Infrastructural power (moderate: 51 corpus notes, 17 cited claims); Rojava (thin: 4 corpus notes, 2 cited claims); Steven Heydemann (moderate: 45 corpus notes, 17 cited claims); Syria (dense: 962 corpus notes, 51 cited claims); Syria's Peasantry, the Descendants of Its Lesser Rural Notables, and Their Politics (thin: 5 corpus notes, 7 cited claims); Syrian regime (thin: 11 corpus notes, 3 cited claims); Waves of War (thin: 3 corpus notes, 4 cited claims); de facto independence (thin: 6 corpus notes, 5 cited claims); despotic power (moderate: 27 corpus notes, 14 cited claims); fierce state (thin: 1 corpus notes, 13 cited claims); minorities (thin: 12 corpus notes, 8 cited claims); negative sovereignty (moderate: 47 corpus notes, 9 cited claims); networks of privilege (thin: 2 corpus notes, 7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French Mandate</w:t>
            </w:r>
          </w:p>
        </w:tc>
        <w:tc>
          <w:tcPr>
            <w:tcW w:type="dxa" w:w="2376"/>
          </w:tcPr>
          <w:p>
            <w:pPr>
              <w:spacing w:after="40"/>
            </w:pPr>
            <w:r>
              <w:rPr>
                <w:sz w:val="18"/>
              </w:rPr>
            </w:r>
            <w:r>
              <w:rPr>
                <w:sz w:val="18"/>
              </w:rPr>
              <w:t>55</w:t>
            </w:r>
          </w:p>
        </w:tc>
        <w:tc>
          <w:tcPr>
            <w:tcW w:type="dxa" w:w="2376"/>
          </w:tcPr>
          <w:p>
            <w:pPr>
              <w:spacing w:after="40"/>
            </w:pPr>
            <w:r>
              <w:rPr>
                <w:sz w:val="18"/>
              </w:rPr>
            </w:r>
            <w:r>
              <w:rPr>
                <w:sz w:val="18"/>
              </w:rPr>
              <w:t>13</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French Mandate Syria</w:t>
            </w:r>
          </w:p>
        </w:tc>
        <w:tc>
          <w:tcPr>
            <w:tcW w:type="dxa" w:w="2376"/>
          </w:tcPr>
          <w:p>
            <w:pPr>
              <w:spacing w:after="40"/>
            </w:pPr>
            <w:r>
              <w:rPr>
                <w:sz w:val="18"/>
              </w:rPr>
            </w:r>
            <w:r>
              <w:rPr>
                <w:sz w:val="18"/>
              </w:rPr>
              <w:t>19</w:t>
            </w:r>
          </w:p>
        </w:tc>
        <w:tc>
          <w:tcPr>
            <w:tcW w:type="dxa" w:w="2376"/>
          </w:tcPr>
          <w:p>
            <w:pPr>
              <w:spacing w:after="40"/>
            </w:pPr>
            <w:r>
              <w:rPr>
                <w:sz w:val="18"/>
              </w:rPr>
            </w:r>
            <w:r>
              <w:rPr>
                <w:sz w:val="18"/>
              </w:rPr>
              <w:t>14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Hanna Batatu</w:t>
            </w:r>
          </w:p>
        </w:tc>
        <w:tc>
          <w:tcPr>
            <w:tcW w:type="dxa" w:w="2376"/>
          </w:tcPr>
          <w:p>
            <w:pPr>
              <w:spacing w:after="40"/>
            </w:pPr>
            <w:r>
              <w:rPr>
                <w:sz w:val="18"/>
              </w:rPr>
            </w:r>
            <w:r>
              <w:rPr>
                <w:sz w:val="18"/>
              </w:rPr>
              <w:t>29</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Idlib</w:t>
            </w:r>
          </w:p>
        </w:tc>
        <w:tc>
          <w:tcPr>
            <w:tcW w:type="dxa" w:w="2376"/>
          </w:tcPr>
          <w:p>
            <w:pPr>
              <w:spacing w:after="40"/>
            </w:pPr>
            <w:r>
              <w:rPr>
                <w:sz w:val="18"/>
              </w:rPr>
            </w:r>
            <w:r>
              <w:rPr>
                <w:sz w:val="18"/>
              </w:rPr>
              <w:t>30</w:t>
            </w:r>
          </w:p>
        </w:tc>
        <w:tc>
          <w:tcPr>
            <w:tcW w:type="dxa" w:w="2376"/>
          </w:tcPr>
          <w:p>
            <w:pPr>
              <w:spacing w:after="40"/>
            </w:pPr>
            <w:r>
              <w:rPr>
                <w:sz w:val="18"/>
              </w:rPr>
            </w:r>
            <w:r>
              <w:rPr>
                <w:sz w:val="18"/>
              </w:rPr>
              <w:t>22</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Rojava</w:t>
            </w:r>
          </w:p>
        </w:tc>
        <w:tc>
          <w:tcPr>
            <w:tcW w:type="dxa" w:w="2376"/>
          </w:tcPr>
          <w:p>
            <w:pPr>
              <w:spacing w:after="40"/>
            </w:pPr>
            <w:r>
              <w:rPr>
                <w:sz w:val="18"/>
              </w:rPr>
            </w:r>
            <w:r>
              <w:rPr>
                <w:sz w:val="18"/>
              </w:rPr>
              <w:t>4</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Steven Heydemann</w:t>
            </w:r>
          </w:p>
        </w:tc>
        <w:tc>
          <w:tcPr>
            <w:tcW w:type="dxa" w:w="2376"/>
          </w:tcPr>
          <w:p>
            <w:pPr>
              <w:spacing w:after="40"/>
            </w:pPr>
            <w:r>
              <w:rPr>
                <w:sz w:val="18"/>
              </w:rPr>
            </w:r>
            <w:r>
              <w:rPr>
                <w:sz w:val="18"/>
              </w:rPr>
              <w:t>45</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51</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Syria's Peasantry, the Descendants of Its Lesser Rural Notables, and Their Politics</w:t>
            </w:r>
          </w:p>
        </w:tc>
        <w:tc>
          <w:tcPr>
            <w:tcW w:type="dxa" w:w="2376"/>
          </w:tcPr>
          <w:p>
            <w:pPr>
              <w:spacing w:after="40"/>
            </w:pPr>
            <w:r>
              <w:rPr>
                <w:sz w:val="18"/>
              </w:rPr>
            </w:r>
            <w:r>
              <w:rPr>
                <w:sz w:val="18"/>
              </w:rPr>
              <w:t>5</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Waves of War</w:t>
            </w:r>
          </w:p>
        </w:tc>
        <w:tc>
          <w:tcPr>
            <w:tcW w:type="dxa" w:w="2376"/>
          </w:tcPr>
          <w:p>
            <w:pPr>
              <w:spacing w:after="40"/>
            </w:pPr>
            <w:r>
              <w:rPr>
                <w:sz w:val="18"/>
              </w:rPr>
            </w:r>
            <w:r>
              <w:rPr>
                <w:sz w:val="18"/>
              </w:rPr>
              <w:t>3</w:t>
            </w:r>
          </w:p>
        </w:tc>
        <w:tc>
          <w:tcPr>
            <w:tcW w:type="dxa" w:w="2376"/>
          </w:tcPr>
          <w:p>
            <w:pPr>
              <w:spacing w:after="40"/>
            </w:pPr>
            <w:r>
              <w:rPr>
                <w:sz w:val="18"/>
              </w:rPr>
            </w:r>
            <w:r>
              <w:rPr>
                <w:sz w:val="18"/>
              </w:rPr>
              <w:t>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 facto independence</w:t>
            </w:r>
          </w:p>
        </w:tc>
        <w:tc>
          <w:tcPr>
            <w:tcW w:type="dxa" w:w="2376"/>
          </w:tcPr>
          <w:p>
            <w:pPr>
              <w:spacing w:after="40"/>
            </w:pPr>
            <w:r>
              <w:rPr>
                <w:sz w:val="18"/>
              </w:rPr>
            </w:r>
            <w:r>
              <w:rPr>
                <w:sz w:val="18"/>
              </w:rPr>
              <w:t>6</w:t>
            </w:r>
          </w:p>
        </w:tc>
        <w:tc>
          <w:tcPr>
            <w:tcW w:type="dxa" w:w="2376"/>
          </w:tcPr>
          <w:p>
            <w:pPr>
              <w:spacing w:after="40"/>
            </w:pPr>
            <w:r>
              <w:rPr>
                <w:sz w:val="18"/>
              </w:rPr>
            </w:r>
            <w:r>
              <w:rPr>
                <w:sz w:val="18"/>
              </w:rPr>
              <w:t>5</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despotic power</w:t>
            </w:r>
          </w:p>
        </w:tc>
        <w:tc>
          <w:tcPr>
            <w:tcW w:type="dxa" w:w="2376"/>
          </w:tcPr>
          <w:p>
            <w:pPr>
              <w:spacing w:after="40"/>
            </w:pPr>
            <w:r>
              <w:rPr>
                <w:sz w:val="18"/>
              </w:rPr>
            </w:r>
            <w:r>
              <w:rPr>
                <w:sz w:val="18"/>
              </w:rPr>
              <w:t>27</w:t>
            </w:r>
          </w:p>
        </w:tc>
        <w:tc>
          <w:tcPr>
            <w:tcW w:type="dxa" w:w="2376"/>
          </w:tcPr>
          <w:p>
            <w:pPr>
              <w:spacing w:after="40"/>
            </w:pPr>
            <w:r>
              <w:rPr>
                <w:sz w:val="18"/>
              </w:rPr>
            </w:r>
            <w:r>
              <w:rPr>
                <w:sz w:val="18"/>
              </w:rPr>
              <w:t>14</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13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minorities</w:t>
            </w:r>
          </w:p>
        </w:tc>
        <w:tc>
          <w:tcPr>
            <w:tcW w:type="dxa" w:w="2376"/>
          </w:tcPr>
          <w:p>
            <w:pPr>
              <w:spacing w:after="40"/>
            </w:pPr>
            <w:r>
              <w:rPr>
                <w:sz w:val="18"/>
              </w:rPr>
            </w:r>
            <w:r>
              <w:rPr>
                <w:sz w:val="18"/>
              </w:rPr>
              <w:t>12</w:t>
            </w:r>
          </w:p>
        </w:tc>
        <w:tc>
          <w:tcPr>
            <w:tcW w:type="dxa" w:w="2376"/>
          </w:tcPr>
          <w:p>
            <w:pPr>
              <w:spacing w:after="40"/>
            </w:pPr>
            <w:r>
              <w:rPr>
                <w:sz w:val="18"/>
              </w:rPr>
            </w:r>
            <w:r>
              <w:rPr>
                <w:sz w:val="18"/>
              </w:rPr>
              <w:t>8</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negative sovereignty</w:t>
            </w:r>
          </w:p>
        </w:tc>
        <w:tc>
          <w:tcPr>
            <w:tcW w:type="dxa" w:w="2376"/>
          </w:tcPr>
          <w:p>
            <w:pPr>
              <w:spacing w:after="40"/>
            </w:pPr>
            <w:r>
              <w:rPr>
                <w:sz w:val="18"/>
              </w:rPr>
            </w:r>
            <w:r>
              <w:rPr>
                <w:sz w:val="18"/>
              </w:rPr>
              <w:t>47</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white-2011-5f35a47d9657_11_introduction_002</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ayubi-1995-16fd6a2e503f_41_a-colonial-mode-of-production_004</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ayubi-1995-16fd6a2e503f_66_a-closer-look-at-social-classes_002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ayubi-1995-16fd6a2e503f_118_syria_002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batatu-1999-598624067df3_20_the-d-istribution-of-a-gricultural-i-ncome-prior-to-and-since-the-r_005</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ayubi-1995-16fd6a2e503f_146_conclusion-the-strong-the-hard-and-the-fierce_003</w:t>
            </w:r>
          </w:p>
        </w:tc>
        <w:tc>
          <w:tcPr>
            <w:tcW w:type="dxa" w:w="1901"/>
          </w:tcPr>
          <w:p>
            <w:pPr>
              <w:spacing w:after="40"/>
            </w:pPr>
            <w:r>
              <w:rPr>
                <w:sz w:val="18"/>
              </w:rPr>
            </w:r>
            <w:r>
              <w:rPr>
                <w:sz w:val="18"/>
              </w:rPr>
              <w:t>Ayubi, Nazih N.; (1995); Leila Vignal ; (2021)</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heydemann-2004-72a4a9a9b3b0_16_12-steven-heydemann_001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vignal-2021-c7005c2bf8ef_107_conclusion_001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vignal-2021-c7005c2bf8ef_12_argument-of-the-book_001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ayubi-1995-16fd6a2e503f_146_conclusion-the-strong-the-hard-and-the-fierce_003, vignal-2021-c7005c2bf8ef_107_conclusion_001, vignal-2021-c7005c2bf8ef_12_argument-of-the-book_001</w:t>
            </w:r>
          </w:p>
        </w:tc>
        <w:tc>
          <w:tcPr>
            <w:tcW w:type="dxa" w:w="1901"/>
          </w:tcPr>
          <w:p>
            <w:pPr>
              <w:spacing w:after="40"/>
            </w:pPr>
            <w:r>
              <w:rPr>
                <w:sz w:val="18"/>
              </w:rPr>
            </w:r>
            <w:r>
              <w:rPr>
                <w:sz w:val="18"/>
              </w:rPr>
              <w:t>Ayubi, Nazih N.; (1995); Hanna Batatu (1999); Leila Vignal ; (2021)</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 heydemann-2004-72a4a9a9b3b0_16_12-steven-heydemann_001, batatu-1999-598624067df3_48_section_001, ayubi-1995-16fd6a2e503f_118_syria_002, vignal-2021-c7005c2bf8ef_107_conclusion_001, ayubi-1995-16fd6a2e503f_146_conclusion-the-strong-the-hard-and-the-fierce_003</w:t>
            </w:r>
          </w:p>
        </w:tc>
        <w:tc>
          <w:tcPr>
            <w:tcW w:type="dxa" w:w="1901"/>
          </w:tcPr>
          <w:p>
            <w:pPr>
              <w:spacing w:after="40"/>
            </w:pPr>
            <w:r>
              <w:rPr>
                <w:sz w:val="18"/>
              </w:rPr>
            </w:r>
            <w:r>
              <w:rPr>
                <w:sz w:val="18"/>
              </w:rPr>
              <w:t>Ayubi, Nazih N.; (1995); Hanna Batatu (1999); Leila Vignal ; (2021);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 heydemann-2004-72a4a9a9b3b0_11_6-steven-heydemann_001, ayubi-1995-16fd6a2e503f_118_syria_002, vignal-2021-c7005c2bf8ef_107_conclusion_001</w:t>
            </w:r>
          </w:p>
        </w:tc>
        <w:tc>
          <w:tcPr>
            <w:tcW w:type="dxa" w:w="1901"/>
          </w:tcPr>
          <w:p>
            <w:pPr>
              <w:spacing w:after="40"/>
            </w:pPr>
            <w:r>
              <w:rPr>
                <w:sz w:val="18"/>
              </w:rPr>
            </w:r>
            <w:r>
              <w:rPr>
                <w:sz w:val="18"/>
              </w:rPr>
              <w:t>Ayubi, Nazih N.; (1995); Leila Vignal ; (2021); Steven Heydemann (2004)</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ungor-2020-ae5701dcc706_36_dual-state-deep-state-hybrid-state-parastate_002, 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kao-2025-ab19e646ab7d_59_6-the-architecture-of-local-governance_001</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jackson-1990-7eb3f39a639f_12_introduction_004</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jackson-1990-7eb3f39a639f_12_introduction_007</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w:t>
            </w:r>
          </w:p>
        </w:tc>
        <w:tc>
          <w:tcPr>
            <w:tcW w:type="dxa" w:w="1901"/>
          </w:tcPr>
          <w:p>
            <w:pPr>
              <w:spacing w:after="40"/>
            </w:pPr>
            <w:r>
              <w:rPr>
                <w:sz w:val="18"/>
              </w:rPr>
            </w:r>
            <w:r>
              <w:rPr>
                <w:sz w:val="18"/>
              </w:rPr>
              <w:t>Lavan Kandiah (2018); Robert H. Jackson (1990)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kandiah-2018-454c87b22e16_20_interference-of-geopolitical-considerations-in-mediation-attempts_001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 jackson-1990-7eb3f39a639f_12_introduction_001, kandiah-2018-454c87b22e16_20_interference-of-geopolitical-considerations-in-mediation-attempts_001</w:t>
            </w:r>
          </w:p>
        </w:tc>
        <w:tc>
          <w:tcPr>
            <w:tcW w:type="dxa" w:w="1901"/>
          </w:tcPr>
          <w:p>
            <w:pPr>
              <w:spacing w:after="40"/>
            </w:pPr>
            <w:r>
              <w:rPr>
                <w:sz w:val="18"/>
              </w:rPr>
            </w:r>
            <w:r>
              <w:rPr>
                <w:sz w:val="18"/>
              </w:rPr>
              <w:t>Lavan Kandiah (2018); Robert H. Jackson (1990); Steven Heydemann (2000)</w:t>
            </w:r>
          </w:p>
        </w:tc>
      </w:tr>
      <w:tr>
        <w:tc>
          <w:tcPr>
            <w:tcW w:type="dxa" w:w="1901"/>
          </w:tcPr>
          <w:p>
            <w:pPr>
              <w:spacing w:after="40"/>
            </w:pPr>
            <w:r>
              <w:rPr>
                <w:sz w:val="18"/>
              </w:rPr>
            </w:r>
            <w:r>
              <w:rPr>
                <w:sz w:val="18"/>
              </w:rPr>
              <w:t>pc-041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pc-042</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vignal-2021-c7005c2bf8ef_100_the-loss-of-property-titles_001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kandiah-2018-454c87b22e16_14_approaching-the-syrian-conflict-legitimacy-and-geopolitics-in-a-contested_001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kandiah-2018-454c87b22e16_13_the-influence-of-international-geopolitical-forces-on-domestic-state-legitimacy_003</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 white-2011-5f35a47d9657_11_introduction_001, batatu-1999-598624067df3_48_section_001, ayubi-1995-16fd6a2e503f_118_syria_002, heydemann-2004-72a4a9a9b3b0_11_6-steven-heydemann_001</w:t>
            </w:r>
          </w:p>
        </w:tc>
        <w:tc>
          <w:tcPr>
            <w:tcW w:type="dxa" w:w="1901"/>
          </w:tcPr>
          <w:p>
            <w:pPr>
              <w:spacing w:after="40"/>
            </w:pPr>
            <w:r>
              <w:rPr>
                <w:sz w:val="18"/>
              </w:rPr>
            </w:r>
            <w:r>
              <w:rPr>
                <w:sz w:val="18"/>
              </w:rPr>
              <w:t>Ayubi, Nazih N.; (1995); Hanna Batatu (1999); Steven Heydemann (2004); White, Benjamin Thomas. (2011); Wimmer, Andreas (2013)</w:t>
            </w:r>
          </w:p>
        </w:tc>
      </w:tr>
      <w:tr>
        <w:tc>
          <w:tcPr>
            <w:tcW w:type="dxa" w:w="1901"/>
          </w:tcPr>
          <w:p>
            <w:pPr>
              <w:spacing w:after="40"/>
            </w:pPr>
            <w:r>
              <w:rPr>
                <w:sz w:val="18"/>
              </w:rPr>
            </w:r>
            <w:r>
              <w:rPr>
                <w:sz w:val="18"/>
              </w:rPr>
              <w:t>pc-046</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pc-047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vignal-2021-c7005c2bf8ef_100_the-loss-of-property-titles_001, kandiah-2018-454c87b22e16_20_interference-of-geopolitical-considerations-in-mediation-attempts_001, vignal-2021-c7005c2bf8ef_102_wartime-reconstruction_001</w:t>
            </w:r>
          </w:p>
        </w:tc>
        <w:tc>
          <w:tcPr>
            <w:tcW w:type="dxa" w:w="1901"/>
          </w:tcPr>
          <w:p>
            <w:pPr>
              <w:spacing w:after="40"/>
            </w:pPr>
            <w:r>
              <w:rPr>
                <w:sz w:val="18"/>
              </w:rPr>
            </w:r>
            <w:r>
              <w:rPr>
                <w:sz w:val="18"/>
              </w:rPr>
              <w:t>Caspersen, Nina (2012); Lavan Kandiah (2018); Leila Vignal ; (2021); Robert H. Jackson (1990)</w:t>
            </w:r>
          </w:p>
        </w:tc>
      </w:tr>
      <w:tr>
        <w:tc>
          <w:tcPr>
            <w:tcW w:type="dxa" w:w="1901"/>
          </w:tcPr>
          <w:p>
            <w:pPr>
              <w:spacing w:after="40"/>
            </w:pPr>
            <w:r>
              <w:rPr>
                <w:sz w:val="18"/>
              </w:rPr>
            </w:r>
            <w:r>
              <w:rPr>
                <w:sz w:val="18"/>
              </w:rPr>
              <w:t>pc-048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pc-050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kandiah-2018-454c87b22e16_14_approaching-the-syrian-conflict-legitimacy-and-geopolitics-in-a-contested_001, vignal-2021-c7005c2bf8ef_100_the-loss-of-property-titles_001, ungor-2020-ae5701dcc706_36_dual-state-deep-state-hybrid-state-parastate_002, kao-2025-ab19e646ab7d_59_6-the-architecture-of-local-governance_001, vignal-2021-c7005c2bf8ef_114_2-borders-and-the-fragmentation-of-the-nation-state_001</w:t>
            </w:r>
          </w:p>
        </w:tc>
        <w:tc>
          <w:tcPr>
            <w:tcW w:type="dxa" w:w="1901"/>
          </w:tcPr>
          <w:p>
            <w:pPr>
              <w:spacing w:after="40"/>
            </w:pPr>
            <w:r>
              <w:rPr>
                <w:sz w:val="18"/>
              </w:rPr>
            </w:r>
            <w:r>
              <w:rPr>
                <w:sz w:val="18"/>
              </w:rPr>
              <w:t>Kristen Kao (Editor) (2025); Lavan Kandiah (2018); Leila Vignal ; (2021); Uğur Ümit Üngör (2020)</w:t>
            </w:r>
          </w:p>
        </w:tc>
      </w:tr>
      <w:tr>
        <w:tc>
          <w:tcPr>
            <w:tcW w:type="dxa" w:w="1901"/>
          </w:tcPr>
          <w:p>
            <w:pPr>
              <w:spacing w:after="40"/>
            </w:pPr>
            <w:r>
              <w:rPr>
                <w:sz w:val="18"/>
              </w:rPr>
            </w:r>
            <w:r>
              <w:rPr>
                <w:sz w:val="18"/>
              </w:rPr>
              <w:t>pc-051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pc-052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 vignal-2021-c7005c2bf8ef_114_2-borders-and-the-fragmentation-of-the-nation-state_001, kandiah-2018-454c87b22e16_13_the-influence-of-international-geopolitical-forces-on-domestic-state-legitimacy_003</w:t>
            </w:r>
          </w:p>
        </w:tc>
        <w:tc>
          <w:tcPr>
            <w:tcW w:type="dxa" w:w="1901"/>
          </w:tcPr>
          <w:p>
            <w:pPr>
              <w:spacing w:after="40"/>
            </w:pPr>
            <w:r>
              <w:rPr>
                <w:sz w:val="18"/>
              </w:rPr>
            </w:r>
            <w:r>
              <w:rPr>
                <w:sz w:val="18"/>
              </w:rPr>
              <w:t>Caspersen, Nina (2012); Lavan Kandiah (2018); Leila Vignal ; (2021)</w:t>
            </w:r>
          </w:p>
        </w:tc>
      </w:tr>
      <w:tr>
        <w:tc>
          <w:tcPr>
            <w:tcW w:type="dxa" w:w="1901"/>
          </w:tcPr>
          <w:p>
            <w:pPr>
              <w:spacing w:after="40"/>
            </w:pPr>
            <w:r>
              <w:rPr>
                <w:sz w:val="18"/>
              </w:rPr>
            </w:r>
            <w:r>
              <w:rPr>
                <w:sz w:val="18"/>
              </w:rPr>
              <w:t>pc-057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kandiah-2018-454c87b22e16_20_interference-of-geopolitical-considerations-in-mediation-attempts_001</w:t>
            </w:r>
          </w:p>
        </w:tc>
        <w:tc>
          <w:tcPr>
            <w:tcW w:type="dxa" w:w="1901"/>
          </w:tcPr>
          <w:p>
            <w:pPr>
              <w:spacing w:after="40"/>
            </w:pPr>
            <w:r>
              <w:rPr>
                <w:sz w:val="18"/>
              </w:rPr>
            </w:r>
            <w:r>
              <w:rPr>
                <w:sz w:val="18"/>
              </w:rPr>
              <w:t>Caspersen, Nina (2012); Lavan Kandiah (2018); Robert H. Jackson (1990)</w:t>
            </w:r>
          </w:p>
        </w:tc>
      </w:tr>
      <w:tr>
        <w:tc>
          <w:tcPr>
            <w:tcW w:type="dxa" w:w="1901"/>
          </w:tcPr>
          <w:p>
            <w:pPr>
              <w:spacing w:after="40"/>
            </w:pPr>
            <w:r>
              <w:rPr>
                <w:sz w:val="18"/>
              </w:rPr>
            </w:r>
            <w:r>
              <w:rPr>
                <w:sz w:val="18"/>
              </w:rPr>
              <w:t>pc-058</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w:t>
            </w:r>
          </w:p>
        </w:tc>
        <w:tc>
          <w:tcPr>
            <w:tcW w:type="dxa" w:w="1901"/>
          </w:tcPr>
          <w:p>
            <w:pPr>
              <w:spacing w:after="40"/>
            </w:pPr>
            <w:r>
              <w:rPr>
                <w:sz w:val="18"/>
              </w:rPr>
            </w:r>
            <w:r>
              <w:rPr>
                <w:sz w:val="18"/>
              </w:rPr>
              <w:t>Wimmer, Andreas (2013)</w:t>
            </w:r>
          </w:p>
        </w:tc>
      </w:tr>
      <w:tr>
        <w:tc>
          <w:tcPr>
            <w:tcW w:type="dxa" w:w="1901"/>
          </w:tcPr>
          <w:p>
            <w:pPr>
              <w:spacing w:after="40"/>
            </w:pPr>
            <w:r>
              <w:rPr>
                <w:sz w:val="18"/>
              </w:rPr>
            </w:r>
            <w:r>
              <w:rPr>
                <w:sz w:val="18"/>
              </w:rPr>
              <w:t>pc-059</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pc-060</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pc-061</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pc-062</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pc-063</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Leila Vignal ; (2021); White, Benjamin Thomas. (2011)</w:t>
            </w:r>
          </w:p>
        </w:tc>
      </w:tr>
      <w:tr>
        <w:tc>
          <w:tcPr>
            <w:tcW w:type="dxa" w:w="1901"/>
          </w:tcPr>
          <w:p>
            <w:pPr>
              <w:spacing w:after="40"/>
            </w:pPr>
            <w:r>
              <w:rPr>
                <w:sz w:val="18"/>
              </w:rPr>
            </w:r>
            <w:r>
              <w:rPr>
                <w:sz w:val="18"/>
              </w:rPr>
              <w:t>pc-064</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pc-065</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(2000); Steven Heydemann (2004)</w:t>
            </w:r>
          </w:p>
        </w:tc>
      </w:tr>
      <w:tr>
        <w:tc>
          <w:tcPr>
            <w:tcW w:type="dxa" w:w="1901"/>
          </w:tcPr>
          <w:p>
            <w:pPr>
              <w:spacing w:after="40"/>
            </w:pPr>
            <w:r>
              <w:rPr>
                <w:sz w:val="18"/>
              </w:rPr>
            </w:r>
            <w:r>
              <w:rPr>
                <w:sz w:val="18"/>
              </w:rPr>
              <w:t>pc-066</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jackson-1990-7eb3f39a639f_12_introduction_004, jackson-1990-7eb3f39a639f_12_introduction_007, heydemann-2000-66701ffbb36c_110_summary-and-conclusions-the-palestinians-beyond-war_001, kandiah-2018-454c87b22e16_20_interference-of-geopolitical-considerations-in-mediation-attempts_001, 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Lavan Kandiah (2018); Leila Vignal ; (2021); Robert H. Jackson (1990); Steven Heydemann (2000); White, Benjamin Thomas. (2011)</w:t>
            </w:r>
          </w:p>
        </w:tc>
      </w:tr>
      <w:tr>
        <w:tc>
          <w:tcPr>
            <w:tcW w:type="dxa" w:w="1901"/>
          </w:tcPr>
          <w:p>
            <w:pPr>
              <w:spacing w:after="40"/>
            </w:pPr>
            <w:r>
              <w:rPr>
                <w:sz w:val="18"/>
              </w:rPr>
            </w:r>
            <w:r>
              <w:rPr>
                <w:sz w:val="18"/>
              </w:rPr>
              <w:t>pc-067</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 vignal-2021-c7005c2bf8ef_100_the-loss-of-property-titles_001, 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Lavan Kandiah (2018); Leila Vignal ; (2021); Robert H. Jackson (1990); Steven Heydemann (2000); Steven Heydemann (2004)</w:t>
            </w:r>
          </w:p>
        </w:tc>
      </w:tr>
      <w:tr>
        <w:tc>
          <w:tcPr>
            <w:tcW w:type="dxa" w:w="1901"/>
          </w:tcPr>
          <w:p>
            <w:pPr>
              <w:spacing w:after="40"/>
            </w:pPr>
            <w:r>
              <w:rPr>
                <w:sz w:val="18"/>
              </w:rPr>
            </w:r>
            <w:r>
              <w:rPr>
                <w:sz w:val="18"/>
              </w:rPr>
              <w:t>pc-068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 heydemann-2004-72a4a9a9b3b0_11_6-steven-heydemann_001, heydemann-2004-72a4a9a9b3b0_16_12-steven-heydemann_001, ayubi-1995-16fd6a2e503f_118_syria_002, ayubi-1995-16fd6a2e503f_146_conclusion-the-strong-the-hard-and-the-fierce_003, ayubi-1995-16fd6a2e503f_66_a-closer-look-at-social-classes_002, batatu-1999-598624067df3_20_the-d-istribution-of-a-gricultural-i-ncome-prior-to-and-since-the-r_005, heydemann-2000-66701ffbb36c_38_conclusion_001, heydemann-2004-72a4a9a9b3b0_127_conclusion-fiscal-reforms-and-historical-trajectories_001, heydemann-2004-72a4a9a9b3b0_144_the-genesis-of-a-network-the-rise-of-postindependence-private-elites-in-morocco_001</w:t>
            </w:r>
          </w:p>
        </w:tc>
        <w:tc>
          <w:tcPr>
            <w:tcW w:type="dxa" w:w="1901"/>
          </w:tcPr>
          <w:p>
            <w:pPr>
              <w:spacing w:after="40"/>
            </w:pPr>
            <w:r>
              <w:rPr>
                <w:sz w:val="18"/>
              </w:rPr>
            </w:r>
            <w:r>
              <w:rPr>
                <w:sz w:val="18"/>
              </w:rPr>
              <w:t>Ayubi, Nazih N.; (1995); Hanna Batatu (1999); Leila Vignal ; (2021); Steven Heydemann (2000); Steven Heydemann (2004); White, Benjamin Thomas. (2011)</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batatu-1999-598624067df3</w:t>
      </w:r>
      <w:r>
        <w:t xml:space="preserve"> — author: Hanna Batatu (from title page); title: Syria’s Peasantry, the Descendants of Its Lesser Rural Notables, and Their Politics (from title page); date: 1999 (from title page); publisher: Princeton University Press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caspersen-2012-fbc0efe4fffc</w:t>
      </w:r>
      <w:r>
        <w:t xml:space="preserve"> — author: Caspersen, Nina (from embedded metadata); title: Unrecognized States (from embedded metadata); date: 2012 (from title page); publisher: [unavailable - a read was attempted and found nothing]</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jackson-1990-7eb3f39a639f</w:t>
      </w:r>
      <w:r>
        <w:t xml:space="preserve"> — author: Robert H. Jackson (from title page); title: Quasi-states: sovereignty, international relations, and the third world (from title page); date: 1990 (from title page); publisher: Cambridge University Press (from open_library)</w:t>
      </w:r>
    </w:p>
    <w:p>
      <w:pPr>
        <w:pStyle w:val="ListBullet"/>
        <w:spacing w:after="60"/>
      </w:pPr>
      <w:r>
        <w:rPr>
          <w:b/>
        </w:rPr>
        <w:t>kandiah-2018-454c87b22e16</w:t>
      </w:r>
      <w:r>
        <w:t xml:space="preserve"> — author: Lavan Kandiah (from embedded metadata); title: EXAMINING THE CENTRALITY OF STATE LEGITIMACY AND CAPACITY TO STABLE GOVERNANCE IN THE SYRIAN CONFLICT: THE DETRIMENTAL EFFECTS OF INTERNATIONAL GEOPOLITICAL INFLUENCES ON LONG-TERM STATE STABILITY (from title page); date: 2018 (from title page); publisher: [unavailable - a read was attempted and found nothing]</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white-2011-5f35a47d9657</w:t>
      </w:r>
      <w:r>
        <w:t xml:space="preserve"> — author: White, Benjamin Thomas. (from embedded metadata); title: Emergence of Minorities in the Middle East (from embedded metadata); date: 2011 (from title page); publisher: Edinburgh University Press (from open_library)</w:t>
      </w:r>
    </w:p>
    <w:p>
      <w:pPr>
        <w:pStyle w:val="ListBullet"/>
        <w:spacing w:after="60"/>
      </w:pPr>
      <w:r>
        <w:rPr>
          <w:b/>
        </w:rPr>
        <w:t>wimmer-2013-a67941b77943</w:t>
      </w:r>
      <w:r>
        <w:t xml:space="preserve"> — author: Wimmer, Andreas (from embedded metadata); title: Waves of War (from embedded metadata); date: 2013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F — Glossary</w:t>
      </w:r>
    </w:p>
    <w:p>
      <w:r>
        <w:rPr>
          <w:b/>
        </w:rPr>
        <w:t>Passage.</w:t>
      </w:r>
      <w:r>
        <w:t xml:space="preserve"> The unit Axial reads: a few paragraphs cut along the author's own boundaries, 3,500 to 9,000 characters. One to four printed pages.</w:t>
      </w:r>
    </w:p>
    <w:p>
      <w:r>
        <w:rPr>
          <w:b/>
        </w:rPr>
        <w:t>Name page.</w:t>
      </w:r>
      <w:r>
        <w:t xml:space="preserve"> A page for every named thing any passage mentions, listing the passages that mention it. 47,584 of them in the current library.</w:t>
      </w:r>
    </w:p>
    <w:p>
      <w:r>
        <w:rPr>
          <w:b/>
        </w:rPr>
        <w:t>Position.</w:t>
      </w:r>
      <w:r>
        <w:t xml:space="preserve"> A group of passages that make the same argument, found once and offline by reading each group in full. 1,937 in the current library.</w:t>
      </w:r>
    </w:p>
    <w:p>
      <w:r>
        <w:rPr>
          <w:b/>
        </w:rPr>
        <w:t>Relation.</w:t>
      </w:r>
      <w:r>
        <w:t xml:space="preserve"> A stated link between two positions — supports, qualifies, contradicts, and 501 other labels the model coined itself. 1,472 in the current library, 328 of them connecting positions with no author in common.</w:t>
      </w:r>
    </w:p>
    <w:p>
      <w:r>
        <w:rPr>
          <w:b/>
        </w:rPr>
        <w:t>Brief.</w:t>
      </w:r>
      <w:r>
        <w:t xml:space="preserve"> A question put to Axial: a case and a request. Optionally a lens and source weights.</w:t>
      </w:r>
    </w:p>
    <w:p>
      <w:r>
        <w:rPr>
          <w:b/>
        </w:rPr>
        <w:t>Disposition.</w:t>
      </w:r>
      <w:r>
        <w:t xml:space="preserve"> What Axial decided to do with a brief: proceed, proceed with stated bounds, or refuse. A refusal is a completed run.</w:t>
      </w:r>
    </w:p>
    <w:p>
      <w:r>
        <w:rPr>
          <w:b/>
        </w:rPr>
        <w:t>The three kinds.</w:t>
      </w:r>
      <w:r>
        <w:t xml:space="preserve"> Every assertion is marked as exactly one: </w:t>
      </w:r>
      <w:r>
        <w:rPr>
          <w:b/>
        </w:rPr>
        <w:t>(a)</w:t>
      </w:r>
      <w:r>
        <w:t xml:space="preserve"> a source says it, </w:t>
      </w:r>
      <w:r>
        <w:rPr>
          <w:b/>
        </w:rPr>
        <w:t>(b)</w:t>
      </w:r>
      <w:r>
        <w:t xml:space="preserve"> Axial inferred it across sources, </w:t>
      </w:r>
      <w:r>
        <w:rPr>
          <w:b/>
        </w:rPr>
        <w:t>(c)</w:t>
      </w:r>
      <w:r>
        <w:t xml:space="preserve"> the analyst's judgment running past what the corpus grounds.</w:t>
      </w:r>
    </w:p>
    <w:p>
      <w:r>
        <w:rPr>
          <w:b/>
        </w:rPr>
        <w:t>Grounds.</w:t>
      </w:r>
      <w:r>
        <w:t xml:space="preserve"> The passages behind a claim. Every (a) and (b) claim carries them, and every one must resolve or the claim fails a hard gate.</w:t>
      </w:r>
    </w:p>
    <w:p>
      <w:r>
        <w:rPr>
          <w:b/>
        </w:rPr>
        <w:t>Counter-position.</w:t>
      </w:r>
      <w:r>
        <w:t xml:space="preserve"> The opposing case, stated at its strongest from corpus grounds. Mandatory on a contested question, or the one-sidedness must be explicitly disclosed and attributed to the library.</w:t>
      </w:r>
    </w:p>
    <w:p>
      <w:r>
        <w:rPr>
          <w:b/>
        </w:rPr>
        <w:t>Coverage map.</w:t>
      </w:r>
      <w:r>
        <w:t xml:space="preserve"> Per name, how many passages the library actually holds and how many claims the answer hung on it. The input to the confidence cap.</w:t>
      </w:r>
    </w:p>
    <w:p>
      <w:r>
        <w:rPr>
          <w:b/>
        </w:rPr>
        <w:t>Confidence band.</w:t>
      </w:r>
      <w:r>
        <w:t xml:space="preserve"> High, medium or low. Capped by the least-covered name the output relies on, and never raisable by the writing model.</w:t>
      </w:r>
    </w:p>
    <w:p>
      <w:r>
        <w:rPr>
          <w:b/>
        </w:rPr>
        <w:t>Tag (retired).</w:t>
      </w:r>
      <w:r>
        <w:t xml:space="preserve"> A label from a closed list, attached to a passage. Axial's first version used five such lists and they were measured and abandoned (section 5). They survive only as </w:t>
      </w:r>
      <w:r>
        <w:rPr>
          <w:i/>
        </w:rPr>
        <w:t>examples</w:t>
      </w:r>
      <w:r>
        <w:t>, shown after the free answer and never checked against it.</w:t>
      </w:r>
    </w:p>
    <w:p>
      <w:r>
        <w:rPr>
          <w:b/>
        </w:rPr>
        <w:t>Blind pass.</w:t>
      </w:r>
      <w:r>
        <w:t xml:space="preserve"> A model call deliberately denied information it would otherwise use. Position extraction and relation-finding never see the author of a passage, so a count of how often the map joins different books measures the corpus rather than the model's sense of who ought to argue.</w:t>
      </w:r>
    </w:p>
    <w:p>
      <w:r>
        <w:rPr>
          <w:b/>
        </w:rPr>
        <w:t>Corpus pin.</w:t>
      </w:r>
      <w:r>
        <w:t xml:space="preserve"> A content hash of the raw sources. Two outputs are comparable only if they were produced at the same pin.</w:t>
      </w:r>
    </w:p>
    <w:p>
      <w:r>
        <w:rPr>
          <w:b/>
        </w:rPr>
        <w:t>Gate.</w:t>
      </w:r>
      <w:r>
        <w:t xml:space="preserve"> A blocking check the model cannot reach. Distinct from a </w:t>
      </w:r>
      <w:r>
        <w:rPr>
          <w:i/>
        </w:rPr>
        <w:t>measurement</w:t>
      </w:r>
      <w:r>
        <w:t>, which is reported and blocks nothing.</w:t>
      </w:r>
    </w:p>
    <w:p>
      <w:r>
        <w:rPr>
          <w:b/>
        </w:rPr>
        <w:t>Sealed packet.</w:t>
      </w:r>
      <w:r>
        <w:t xml:space="preserve"> What a reviewer sees: the paper, the resolved text of every passage it cites, the bibliography, and nothing else.</w:t>
      </w:r>
    </w:p>
    <w:p>
      <w:r>
        <w:rPr>
          <w:b/>
        </w:rPr>
        <w:t>Positive control.</w:t>
      </w:r>
      <w:r>
        <w:t xml:space="preserve"> A copy of a real paper with three known defects planted in it, used to prove the reviewers are still reading before any of their verdicts are trusted.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