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2340" w14:textId="77777777" w:rsidR="00970438" w:rsidRDefault="00000000">
      <w:pPr>
        <w:jc w:val="center"/>
      </w:pPr>
      <w:r>
        <w:rPr>
          <w:noProof/>
        </w:rPr>
        <w:drawing>
          <wp:inline distT="0" distB="0" distL="0" distR="0" wp14:anchorId="7A845A65" wp14:editId="428CCD8D">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xial-logo.png"/>
                    <pic:cNvPicPr/>
                  </pic:nvPicPr>
                  <pic:blipFill>
                    <a:blip r:embed="rId8"/>
                    <a:stretch>
                      <a:fillRect/>
                    </a:stretch>
                  </pic:blipFill>
                  <pic:spPr>
                    <a:xfrm>
                      <a:off x="0" y="0"/>
                      <a:ext cx="1005840" cy="1005840"/>
                    </a:xfrm>
                    <a:prstGeom prst="rect">
                      <a:avLst/>
                    </a:prstGeom>
                  </pic:spPr>
                </pic:pic>
              </a:graphicData>
            </a:graphic>
          </wp:inline>
        </w:drawing>
      </w:r>
    </w:p>
    <w:p w14:paraId="1E3D21B9" w14:textId="23B87A40" w:rsidR="00970438" w:rsidRPr="00D06213" w:rsidRDefault="00000000" w:rsidP="00D06213">
      <w:pPr>
        <w:pStyle w:val="Heading1"/>
        <w:spacing w:before="4000" w:after="360"/>
        <w:jc w:val="center"/>
        <w:rPr>
          <w:sz w:val="56"/>
          <w:szCs w:val="56"/>
        </w:rPr>
      </w:pPr>
      <w:r w:rsidRPr="00D06213">
        <w:rPr>
          <w:sz w:val="56"/>
          <w:szCs w:val="56"/>
        </w:rPr>
        <w:t xml:space="preserve">Axial </w:t>
      </w:r>
    </w:p>
    <w:p w14:paraId="2A437706" w14:textId="77777777" w:rsidR="00970438" w:rsidRDefault="00000000" w:rsidP="00D06213">
      <w:pPr>
        <w:spacing w:after="120"/>
        <w:jc w:val="center"/>
      </w:pPr>
      <w:r>
        <w:rPr>
          <w:b/>
        </w:rPr>
        <w:t>What it is, how it works, how it was tested, and what the tests showed</w:t>
      </w:r>
    </w:p>
    <w:p w14:paraId="7939D939" w14:textId="77777777" w:rsidR="00970438" w:rsidRDefault="00000000" w:rsidP="00D06213">
      <w:pPr>
        <w:spacing w:after="0"/>
        <w:jc w:val="center"/>
      </w:pPr>
      <w:r>
        <w:t>Version 2.1 · 6 August 2026 · Muhanad Abulhusn</w:t>
      </w:r>
    </w:p>
    <w:p w14:paraId="219901A4" w14:textId="24AAB8D1" w:rsidR="00973B0A" w:rsidRDefault="00973B0A" w:rsidP="00973B0A">
      <w:pPr>
        <w:spacing w:after="0"/>
        <w:jc w:val="center"/>
      </w:pPr>
      <w:hyperlink r:id="rId9" w:history="1">
        <w:r w:rsidRPr="00973B0A">
          <w:rPr>
            <w:rStyle w:val="Hyperlink"/>
          </w:rPr>
          <w:t>Muhanad-</w:t>
        </w:r>
        <w:proofErr w:type="spellStart"/>
        <w:r w:rsidRPr="00973B0A">
          <w:rPr>
            <w:rStyle w:val="Hyperlink"/>
          </w:rPr>
          <w:t>husn</w:t>
        </w:r>
        <w:proofErr w:type="spellEnd"/>
        <w:r w:rsidRPr="00973B0A">
          <w:rPr>
            <w:rStyle w:val="Hyperlink"/>
          </w:rPr>
          <w:t>/axial</w:t>
        </w:r>
      </w:hyperlink>
    </w:p>
    <w:p w14:paraId="225B0E83" w14:textId="77777777" w:rsidR="00D06213" w:rsidRPr="00D06213" w:rsidRDefault="00D06213" w:rsidP="00D06213">
      <w:pPr>
        <w:rPr>
          <w:rFonts w:cs="Calibri"/>
          <w:color w:val="000000"/>
        </w:rPr>
      </w:pPr>
      <w:r w:rsidRPr="00D06213">
        <w:rPr>
          <w:rFonts w:cs="Calibri"/>
          <w:color w:val="000000"/>
        </w:rPr>
        <w:br w:type="page"/>
      </w:r>
    </w:p>
    <w:p w14:paraId="6E5BC82F" w14:textId="7FACC6FF" w:rsidR="00970438" w:rsidRDefault="00000000">
      <w:pPr>
        <w:pStyle w:val="Heading2"/>
      </w:pPr>
      <w:bookmarkStart w:id="0" w:name="_Toc236945235"/>
      <w:r>
        <w:lastRenderedPageBreak/>
        <w:t>Executive summary</w:t>
      </w:r>
      <w:bookmarkEnd w:id="0"/>
    </w:p>
    <w:p w14:paraId="521B9F1F" w14:textId="77777777" w:rsidR="00970438" w:rsidRDefault="00000000" w:rsidP="00D06213">
      <w:pPr>
        <w:jc w:val="both"/>
      </w:pPr>
      <w:r>
        <w:t>Axial reads a shelf of academic books once, in full, and writes from the reading. It works passage by passage — a passage being a few paragraphs, about one complete move in an argument — and records what each passage claims, whose position that is, who it argues against, whom it cites, and every person, place, institution, event and concept it names. From that single reading it builds three things: an encyclopaedia in which every named thing has its own page; a map of the arguments running through the library, including where books that never cite each other disagree; and, on request, a research paper in which every citation can be traced, link by machine-checkable link, to a passage in a real book.</w:t>
      </w:r>
    </w:p>
    <w:p w14:paraId="08B43F68" w14:textId="77777777" w:rsidR="00970438" w:rsidRDefault="00000000" w:rsidP="00D06213">
      <w:pPr>
        <w:jc w:val="both"/>
      </w:pPr>
      <w:r>
        <w:t>That makes it different in kind from the tools most readers already have. A chat assistant with PDFs attached, like every "chat with your documents" product, searches first and reads second: it sees only the fragments a question happens to retrieve, and nothing in its output separates what a source asserted from what the model composed on top. Axial reads everything before any question is asked. Every assertion in its output is marked as exactly one of three kinds — a source says it, Axial inferred it across sources, or the analyst's judgment — and the marking is enforced by checks that block release, not requested in a prompt. The model that drafts the final paper has no access to the library at all: its whole world is the list of claims that already passed the checks, so citing invented evidence is not forbidden by instruction but impossible by construction.</w:t>
      </w:r>
    </w:p>
    <w:p w14:paraId="05F135C7" w14:textId="77777777" w:rsidR="00970438" w:rsidRDefault="00000000" w:rsidP="00D06213">
      <w:pPr>
        <w:jc w:val="both"/>
      </w:pPr>
      <w:r>
        <w:t>The current library is thirty-five works of scholarship on state formation, nationalism and political violence, built around Syria as a case. Reading it produced 6,842 passages, an encyclopaedia of 47,584 name pages, and an argument map of 1,937 positions joined by 1,472 stated relations — 328 of them connecting positions with no author in common. The map cost $0.75 to build and $0 to update when four books were added. A complete run, from question to finished paper, costs well under a dollar.</w:t>
      </w:r>
    </w:p>
    <w:p w14:paraId="11A8C13A" w14:textId="77777777" w:rsidR="00970438" w:rsidRDefault="00000000" w:rsidP="00D06213">
      <w:pPr>
        <w:jc w:val="both"/>
      </w:pPr>
      <w:r>
        <w:t>Four instruments test it. Mechanical gates pass at 1.00 on every paper: every citation resolves, no confidence claim was inflated, and the opposing case is present or its absence disclosed. On a nine-question test of reach, the engine's citations met 26 of 37 evidence demands. A sealed panel of reviewer models — each from a different lab than the model that wrote the paper, each shown only the paper and the passages it cites — caught all three defects planted as a control and rated both development papers adequate to strong. The panel also found the two defects no mechanical check could: a citation that resolves to a publisher's catalogue page, and a keystone Syrian claim carried by Moroccan and Egyptian evidence because the library lacks the Syrian book that should carry it. In a paired trial, open-weight models matched proprietary ones on quality at three and a half times less cost.</w:t>
      </w:r>
    </w:p>
    <w:p w14:paraId="12098ED0" w14:textId="77777777" w:rsidR="00970438" w:rsidRDefault="00000000" w:rsidP="00D06213">
      <w:pPr>
        <w:jc w:val="both"/>
      </w:pPr>
      <w:r>
        <w:t>One limit bounds every figure: the test questions were written by an AI model, and no output has yet been judged by a human expert. The numbers measure the engine, not answer quality against a real scholarly question. Closing that gap needs people rather than code, and this report ends with a request for exactly that: a few real research questions, one refereed reading of one paper, and the names of the books the shelf is missing.</w:t>
      </w:r>
    </w:p>
    <w:p w14:paraId="3F62F944" w14:textId="77777777" w:rsidR="00D06213" w:rsidRPr="00D06213" w:rsidRDefault="00D06213" w:rsidP="00D06213">
      <w:pPr>
        <w:rPr>
          <w:rFonts w:cs="Calibri"/>
          <w:color w:val="000000"/>
        </w:rPr>
      </w:pPr>
      <w:r w:rsidRPr="00D06213">
        <w:rPr>
          <w:rFonts w:cs="Calibri"/>
          <w:color w:val="000000"/>
        </w:rPr>
        <w:br w:type="page"/>
      </w:r>
    </w:p>
    <w:p w14:paraId="7B86C92A" w14:textId="77777777" w:rsidR="00D06213" w:rsidRDefault="00000000" w:rsidP="00D06213">
      <w:pPr>
        <w:pStyle w:val="Heading2"/>
      </w:pPr>
      <w:bookmarkStart w:id="1" w:name="_Toc236945236"/>
      <w:r>
        <w:lastRenderedPageBreak/>
        <w:t>Contents</w:t>
      </w:r>
      <w:bookmarkEnd w:id="1"/>
    </w:p>
    <w:p w14:paraId="22F62847" w14:textId="35CF4018"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r>
        <w:rPr>
          <w:rFonts w:cs="Calibri"/>
        </w:rPr>
        <w:fldChar w:fldCharType="begin"/>
      </w:r>
      <w:r>
        <w:rPr>
          <w:rFonts w:cs="Calibri"/>
        </w:rPr>
        <w:instrText xml:space="preserve"> TOC \o "2-3" \h \z \u \* MERGEFORMAT </w:instrText>
      </w:r>
      <w:r>
        <w:rPr>
          <w:rFonts w:cs="Calibri"/>
        </w:rPr>
        <w:fldChar w:fldCharType="separate"/>
      </w:r>
      <w:hyperlink w:anchor="_Toc236945235" w:history="1">
        <w:r w:rsidRPr="00486C70">
          <w:rPr>
            <w:rStyle w:val="Hyperlink"/>
            <w:noProof/>
          </w:rPr>
          <w:t>Executive summary</w:t>
        </w:r>
        <w:r>
          <w:rPr>
            <w:noProof/>
            <w:webHidden/>
          </w:rPr>
          <w:tab/>
        </w:r>
        <w:r>
          <w:rPr>
            <w:noProof/>
            <w:webHidden/>
          </w:rPr>
          <w:fldChar w:fldCharType="begin"/>
        </w:r>
        <w:r>
          <w:rPr>
            <w:noProof/>
            <w:webHidden/>
          </w:rPr>
          <w:instrText xml:space="preserve"> PAGEREF _Toc236945235 \h </w:instrText>
        </w:r>
        <w:r>
          <w:rPr>
            <w:noProof/>
            <w:webHidden/>
          </w:rPr>
        </w:r>
        <w:r>
          <w:rPr>
            <w:noProof/>
            <w:webHidden/>
          </w:rPr>
          <w:fldChar w:fldCharType="separate"/>
        </w:r>
        <w:r>
          <w:rPr>
            <w:noProof/>
            <w:webHidden/>
          </w:rPr>
          <w:t>2</w:t>
        </w:r>
        <w:r>
          <w:rPr>
            <w:noProof/>
            <w:webHidden/>
          </w:rPr>
          <w:fldChar w:fldCharType="end"/>
        </w:r>
      </w:hyperlink>
    </w:p>
    <w:p w14:paraId="5873F260" w14:textId="6094058E"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36" w:history="1">
        <w:r w:rsidRPr="00486C70">
          <w:rPr>
            <w:rStyle w:val="Hyperlink"/>
            <w:noProof/>
          </w:rPr>
          <w:t>Contents</w:t>
        </w:r>
        <w:r>
          <w:rPr>
            <w:noProof/>
            <w:webHidden/>
          </w:rPr>
          <w:tab/>
        </w:r>
        <w:r>
          <w:rPr>
            <w:noProof/>
            <w:webHidden/>
          </w:rPr>
          <w:fldChar w:fldCharType="begin"/>
        </w:r>
        <w:r>
          <w:rPr>
            <w:noProof/>
            <w:webHidden/>
          </w:rPr>
          <w:instrText xml:space="preserve"> PAGEREF _Toc236945236 \h </w:instrText>
        </w:r>
        <w:r>
          <w:rPr>
            <w:noProof/>
            <w:webHidden/>
          </w:rPr>
        </w:r>
        <w:r>
          <w:rPr>
            <w:noProof/>
            <w:webHidden/>
          </w:rPr>
          <w:fldChar w:fldCharType="separate"/>
        </w:r>
        <w:r>
          <w:rPr>
            <w:noProof/>
            <w:webHidden/>
          </w:rPr>
          <w:t>3</w:t>
        </w:r>
        <w:r>
          <w:rPr>
            <w:noProof/>
            <w:webHidden/>
          </w:rPr>
          <w:fldChar w:fldCharType="end"/>
        </w:r>
      </w:hyperlink>
    </w:p>
    <w:p w14:paraId="73262AC2" w14:textId="5F718456"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37" w:history="1">
        <w:r w:rsidRPr="00486C70">
          <w:rPr>
            <w:rStyle w:val="Hyperlink"/>
            <w:noProof/>
          </w:rPr>
          <w:t>1. What Axial is</w:t>
        </w:r>
        <w:r>
          <w:rPr>
            <w:noProof/>
            <w:webHidden/>
          </w:rPr>
          <w:tab/>
        </w:r>
        <w:r>
          <w:rPr>
            <w:noProof/>
            <w:webHidden/>
          </w:rPr>
          <w:fldChar w:fldCharType="begin"/>
        </w:r>
        <w:r>
          <w:rPr>
            <w:noProof/>
            <w:webHidden/>
          </w:rPr>
          <w:instrText xml:space="preserve"> PAGEREF _Toc236945237 \h </w:instrText>
        </w:r>
        <w:r>
          <w:rPr>
            <w:noProof/>
            <w:webHidden/>
          </w:rPr>
        </w:r>
        <w:r>
          <w:rPr>
            <w:noProof/>
            <w:webHidden/>
          </w:rPr>
          <w:fldChar w:fldCharType="separate"/>
        </w:r>
        <w:r>
          <w:rPr>
            <w:noProof/>
            <w:webHidden/>
          </w:rPr>
          <w:t>5</w:t>
        </w:r>
        <w:r>
          <w:rPr>
            <w:noProof/>
            <w:webHidden/>
          </w:rPr>
          <w:fldChar w:fldCharType="end"/>
        </w:r>
      </w:hyperlink>
    </w:p>
    <w:p w14:paraId="1A43452C" w14:textId="01767403"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38" w:history="1">
        <w:r w:rsidRPr="00486C70">
          <w:rPr>
            <w:rStyle w:val="Hyperlink"/>
            <w:noProof/>
          </w:rPr>
          <w:t>What it is not</w:t>
        </w:r>
        <w:r>
          <w:rPr>
            <w:noProof/>
            <w:webHidden/>
          </w:rPr>
          <w:tab/>
        </w:r>
        <w:r>
          <w:rPr>
            <w:noProof/>
            <w:webHidden/>
          </w:rPr>
          <w:fldChar w:fldCharType="begin"/>
        </w:r>
        <w:r>
          <w:rPr>
            <w:noProof/>
            <w:webHidden/>
          </w:rPr>
          <w:instrText xml:space="preserve"> PAGEREF _Toc236945238 \h </w:instrText>
        </w:r>
        <w:r>
          <w:rPr>
            <w:noProof/>
            <w:webHidden/>
          </w:rPr>
        </w:r>
        <w:r>
          <w:rPr>
            <w:noProof/>
            <w:webHidden/>
          </w:rPr>
          <w:fldChar w:fldCharType="separate"/>
        </w:r>
        <w:r>
          <w:rPr>
            <w:noProof/>
            <w:webHidden/>
          </w:rPr>
          <w:t>6</w:t>
        </w:r>
        <w:r>
          <w:rPr>
            <w:noProof/>
            <w:webHidden/>
          </w:rPr>
          <w:fldChar w:fldCharType="end"/>
        </w:r>
      </w:hyperlink>
    </w:p>
    <w:p w14:paraId="21C163A8" w14:textId="050D9290"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39" w:history="1">
        <w:r w:rsidRPr="00486C70">
          <w:rPr>
            <w:rStyle w:val="Hyperlink"/>
            <w:noProof/>
          </w:rPr>
          <w:t>2. Why the tools you already have do not do this</w:t>
        </w:r>
        <w:r>
          <w:rPr>
            <w:noProof/>
            <w:webHidden/>
          </w:rPr>
          <w:tab/>
        </w:r>
        <w:r>
          <w:rPr>
            <w:noProof/>
            <w:webHidden/>
          </w:rPr>
          <w:fldChar w:fldCharType="begin"/>
        </w:r>
        <w:r>
          <w:rPr>
            <w:noProof/>
            <w:webHidden/>
          </w:rPr>
          <w:instrText xml:space="preserve"> PAGEREF _Toc236945239 \h </w:instrText>
        </w:r>
        <w:r>
          <w:rPr>
            <w:noProof/>
            <w:webHidden/>
          </w:rPr>
        </w:r>
        <w:r>
          <w:rPr>
            <w:noProof/>
            <w:webHidden/>
          </w:rPr>
          <w:fldChar w:fldCharType="separate"/>
        </w:r>
        <w:r>
          <w:rPr>
            <w:noProof/>
            <w:webHidden/>
          </w:rPr>
          <w:t>6</w:t>
        </w:r>
        <w:r>
          <w:rPr>
            <w:noProof/>
            <w:webHidden/>
          </w:rPr>
          <w:fldChar w:fldCharType="end"/>
        </w:r>
      </w:hyperlink>
    </w:p>
    <w:p w14:paraId="1318E020" w14:textId="79B40BDE"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40" w:history="1">
        <w:r w:rsidRPr="00486C70">
          <w:rPr>
            <w:rStyle w:val="Hyperlink"/>
            <w:noProof/>
          </w:rPr>
          <w:t>3. How it works</w:t>
        </w:r>
        <w:r>
          <w:rPr>
            <w:noProof/>
            <w:webHidden/>
          </w:rPr>
          <w:tab/>
        </w:r>
        <w:r>
          <w:rPr>
            <w:noProof/>
            <w:webHidden/>
          </w:rPr>
          <w:fldChar w:fldCharType="begin"/>
        </w:r>
        <w:r>
          <w:rPr>
            <w:noProof/>
            <w:webHidden/>
          </w:rPr>
          <w:instrText xml:space="preserve"> PAGEREF _Toc236945240 \h </w:instrText>
        </w:r>
        <w:r>
          <w:rPr>
            <w:noProof/>
            <w:webHidden/>
          </w:rPr>
        </w:r>
        <w:r>
          <w:rPr>
            <w:noProof/>
            <w:webHidden/>
          </w:rPr>
          <w:fldChar w:fldCharType="separate"/>
        </w:r>
        <w:r>
          <w:rPr>
            <w:noProof/>
            <w:webHidden/>
          </w:rPr>
          <w:t>7</w:t>
        </w:r>
        <w:r>
          <w:rPr>
            <w:noProof/>
            <w:webHidden/>
          </w:rPr>
          <w:fldChar w:fldCharType="end"/>
        </w:r>
      </w:hyperlink>
    </w:p>
    <w:p w14:paraId="3C5AF907" w14:textId="08001A6A"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1" w:history="1">
        <w:r w:rsidRPr="00486C70">
          <w:rPr>
            <w:rStyle w:val="Hyperlink"/>
            <w:noProof/>
          </w:rPr>
          <w:t>3.1 Before you ask anything</w:t>
        </w:r>
        <w:r>
          <w:rPr>
            <w:noProof/>
            <w:webHidden/>
          </w:rPr>
          <w:tab/>
        </w:r>
        <w:r>
          <w:rPr>
            <w:noProof/>
            <w:webHidden/>
          </w:rPr>
          <w:fldChar w:fldCharType="begin"/>
        </w:r>
        <w:r>
          <w:rPr>
            <w:noProof/>
            <w:webHidden/>
          </w:rPr>
          <w:instrText xml:space="preserve"> PAGEREF _Toc236945241 \h </w:instrText>
        </w:r>
        <w:r>
          <w:rPr>
            <w:noProof/>
            <w:webHidden/>
          </w:rPr>
        </w:r>
        <w:r>
          <w:rPr>
            <w:noProof/>
            <w:webHidden/>
          </w:rPr>
          <w:fldChar w:fldCharType="separate"/>
        </w:r>
        <w:r>
          <w:rPr>
            <w:noProof/>
            <w:webHidden/>
          </w:rPr>
          <w:t>7</w:t>
        </w:r>
        <w:r>
          <w:rPr>
            <w:noProof/>
            <w:webHidden/>
          </w:rPr>
          <w:fldChar w:fldCharType="end"/>
        </w:r>
      </w:hyperlink>
    </w:p>
    <w:p w14:paraId="09104D60" w14:textId="71559E9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2" w:history="1">
        <w:r w:rsidRPr="00486C70">
          <w:rPr>
            <w:rStyle w:val="Hyperlink"/>
            <w:noProof/>
          </w:rPr>
          <w:t>3.2 When you ask</w:t>
        </w:r>
        <w:r>
          <w:rPr>
            <w:noProof/>
            <w:webHidden/>
          </w:rPr>
          <w:tab/>
        </w:r>
        <w:r>
          <w:rPr>
            <w:noProof/>
            <w:webHidden/>
          </w:rPr>
          <w:fldChar w:fldCharType="begin"/>
        </w:r>
        <w:r>
          <w:rPr>
            <w:noProof/>
            <w:webHidden/>
          </w:rPr>
          <w:instrText xml:space="preserve"> PAGEREF _Toc236945242 \h </w:instrText>
        </w:r>
        <w:r>
          <w:rPr>
            <w:noProof/>
            <w:webHidden/>
          </w:rPr>
        </w:r>
        <w:r>
          <w:rPr>
            <w:noProof/>
            <w:webHidden/>
          </w:rPr>
          <w:fldChar w:fldCharType="separate"/>
        </w:r>
        <w:r>
          <w:rPr>
            <w:noProof/>
            <w:webHidden/>
          </w:rPr>
          <w:t>10</w:t>
        </w:r>
        <w:r>
          <w:rPr>
            <w:noProof/>
            <w:webHidden/>
          </w:rPr>
          <w:fldChar w:fldCharType="end"/>
        </w:r>
      </w:hyperlink>
    </w:p>
    <w:p w14:paraId="51750875" w14:textId="6D1AA405"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3" w:history="1">
        <w:r w:rsidRPr="00486C70">
          <w:rPr>
            <w:rStyle w:val="Hyperlink"/>
            <w:noProof/>
          </w:rPr>
          <w:t>3.3 The rules every model call answers under</w:t>
        </w:r>
        <w:r>
          <w:rPr>
            <w:noProof/>
            <w:webHidden/>
          </w:rPr>
          <w:tab/>
        </w:r>
        <w:r>
          <w:rPr>
            <w:noProof/>
            <w:webHidden/>
          </w:rPr>
          <w:fldChar w:fldCharType="begin"/>
        </w:r>
        <w:r>
          <w:rPr>
            <w:noProof/>
            <w:webHidden/>
          </w:rPr>
          <w:instrText xml:space="preserve"> PAGEREF _Toc236945243 \h </w:instrText>
        </w:r>
        <w:r>
          <w:rPr>
            <w:noProof/>
            <w:webHidden/>
          </w:rPr>
        </w:r>
        <w:r>
          <w:rPr>
            <w:noProof/>
            <w:webHidden/>
          </w:rPr>
          <w:fldChar w:fldCharType="separate"/>
        </w:r>
        <w:r>
          <w:rPr>
            <w:noProof/>
            <w:webHidden/>
          </w:rPr>
          <w:t>11</w:t>
        </w:r>
        <w:r>
          <w:rPr>
            <w:noProof/>
            <w:webHidden/>
          </w:rPr>
          <w:fldChar w:fldCharType="end"/>
        </w:r>
      </w:hyperlink>
    </w:p>
    <w:p w14:paraId="11D24D45" w14:textId="2812B204"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44" w:history="1">
        <w:r w:rsidRPr="00486C70">
          <w:rPr>
            <w:rStyle w:val="Hyperlink"/>
            <w:noProof/>
          </w:rPr>
          <w:t>4. Why questions, and not tags</w:t>
        </w:r>
        <w:r>
          <w:rPr>
            <w:noProof/>
            <w:webHidden/>
          </w:rPr>
          <w:tab/>
        </w:r>
        <w:r>
          <w:rPr>
            <w:noProof/>
            <w:webHidden/>
          </w:rPr>
          <w:fldChar w:fldCharType="begin"/>
        </w:r>
        <w:r>
          <w:rPr>
            <w:noProof/>
            <w:webHidden/>
          </w:rPr>
          <w:instrText xml:space="preserve"> PAGEREF _Toc236945244 \h </w:instrText>
        </w:r>
        <w:r>
          <w:rPr>
            <w:noProof/>
            <w:webHidden/>
          </w:rPr>
        </w:r>
        <w:r>
          <w:rPr>
            <w:noProof/>
            <w:webHidden/>
          </w:rPr>
          <w:fldChar w:fldCharType="separate"/>
        </w:r>
        <w:r>
          <w:rPr>
            <w:noProof/>
            <w:webHidden/>
          </w:rPr>
          <w:t>12</w:t>
        </w:r>
        <w:r>
          <w:rPr>
            <w:noProof/>
            <w:webHidden/>
          </w:rPr>
          <w:fldChar w:fldCharType="end"/>
        </w:r>
      </w:hyperlink>
    </w:p>
    <w:p w14:paraId="4BEAFE99" w14:textId="7F0244FA"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5" w:history="1">
        <w:r w:rsidRPr="00486C70">
          <w:rPr>
            <w:rStyle w:val="Hyperlink"/>
            <w:noProof/>
          </w:rPr>
          <w:t>4.1 What the first version did</w:t>
        </w:r>
        <w:r>
          <w:rPr>
            <w:noProof/>
            <w:webHidden/>
          </w:rPr>
          <w:tab/>
        </w:r>
        <w:r>
          <w:rPr>
            <w:noProof/>
            <w:webHidden/>
          </w:rPr>
          <w:fldChar w:fldCharType="begin"/>
        </w:r>
        <w:r>
          <w:rPr>
            <w:noProof/>
            <w:webHidden/>
          </w:rPr>
          <w:instrText xml:space="preserve"> PAGEREF _Toc236945245 \h </w:instrText>
        </w:r>
        <w:r>
          <w:rPr>
            <w:noProof/>
            <w:webHidden/>
          </w:rPr>
        </w:r>
        <w:r>
          <w:rPr>
            <w:noProof/>
            <w:webHidden/>
          </w:rPr>
          <w:fldChar w:fldCharType="separate"/>
        </w:r>
        <w:r>
          <w:rPr>
            <w:noProof/>
            <w:webHidden/>
          </w:rPr>
          <w:t>12</w:t>
        </w:r>
        <w:r>
          <w:rPr>
            <w:noProof/>
            <w:webHidden/>
          </w:rPr>
          <w:fldChar w:fldCharType="end"/>
        </w:r>
      </w:hyperlink>
    </w:p>
    <w:p w14:paraId="113605B5" w14:textId="1A1CA189"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6" w:history="1">
        <w:r w:rsidRPr="00486C70">
          <w:rPr>
            <w:rStyle w:val="Hyperlink"/>
            <w:noProof/>
          </w:rPr>
          <w:t>4.2 The measurement</w:t>
        </w:r>
        <w:r>
          <w:rPr>
            <w:noProof/>
            <w:webHidden/>
          </w:rPr>
          <w:tab/>
        </w:r>
        <w:r>
          <w:rPr>
            <w:noProof/>
            <w:webHidden/>
          </w:rPr>
          <w:fldChar w:fldCharType="begin"/>
        </w:r>
        <w:r>
          <w:rPr>
            <w:noProof/>
            <w:webHidden/>
          </w:rPr>
          <w:instrText xml:space="preserve"> PAGEREF _Toc236945246 \h </w:instrText>
        </w:r>
        <w:r>
          <w:rPr>
            <w:noProof/>
            <w:webHidden/>
          </w:rPr>
        </w:r>
        <w:r>
          <w:rPr>
            <w:noProof/>
            <w:webHidden/>
          </w:rPr>
          <w:fldChar w:fldCharType="separate"/>
        </w:r>
        <w:r>
          <w:rPr>
            <w:noProof/>
            <w:webHidden/>
          </w:rPr>
          <w:t>12</w:t>
        </w:r>
        <w:r>
          <w:rPr>
            <w:noProof/>
            <w:webHidden/>
          </w:rPr>
          <w:fldChar w:fldCharType="end"/>
        </w:r>
      </w:hyperlink>
    </w:p>
    <w:p w14:paraId="6085A73A" w14:textId="27227BF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7" w:history="1">
        <w:r w:rsidRPr="00486C70">
          <w:rPr>
            <w:rStyle w:val="Hyperlink"/>
            <w:noProof/>
          </w:rPr>
          <w:t>4.3 The finding that ended the approach</w:t>
        </w:r>
        <w:r>
          <w:rPr>
            <w:noProof/>
            <w:webHidden/>
          </w:rPr>
          <w:tab/>
        </w:r>
        <w:r>
          <w:rPr>
            <w:noProof/>
            <w:webHidden/>
          </w:rPr>
          <w:fldChar w:fldCharType="begin"/>
        </w:r>
        <w:r>
          <w:rPr>
            <w:noProof/>
            <w:webHidden/>
          </w:rPr>
          <w:instrText xml:space="preserve"> PAGEREF _Toc236945247 \h </w:instrText>
        </w:r>
        <w:r>
          <w:rPr>
            <w:noProof/>
            <w:webHidden/>
          </w:rPr>
        </w:r>
        <w:r>
          <w:rPr>
            <w:noProof/>
            <w:webHidden/>
          </w:rPr>
          <w:fldChar w:fldCharType="separate"/>
        </w:r>
        <w:r>
          <w:rPr>
            <w:noProof/>
            <w:webHidden/>
          </w:rPr>
          <w:t>12</w:t>
        </w:r>
        <w:r>
          <w:rPr>
            <w:noProof/>
            <w:webHidden/>
          </w:rPr>
          <w:fldChar w:fldCharType="end"/>
        </w:r>
      </w:hyperlink>
    </w:p>
    <w:p w14:paraId="026D37F0" w14:textId="6EE89A99"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8" w:history="1">
        <w:r w:rsidRPr="00486C70">
          <w:rPr>
            <w:rStyle w:val="Hyperlink"/>
            <w:noProof/>
          </w:rPr>
          <w:t>4.4 The structural failure underneath</w:t>
        </w:r>
        <w:r>
          <w:rPr>
            <w:noProof/>
            <w:webHidden/>
          </w:rPr>
          <w:tab/>
        </w:r>
        <w:r>
          <w:rPr>
            <w:noProof/>
            <w:webHidden/>
          </w:rPr>
          <w:fldChar w:fldCharType="begin"/>
        </w:r>
        <w:r>
          <w:rPr>
            <w:noProof/>
            <w:webHidden/>
          </w:rPr>
          <w:instrText xml:space="preserve"> PAGEREF _Toc236945248 \h </w:instrText>
        </w:r>
        <w:r>
          <w:rPr>
            <w:noProof/>
            <w:webHidden/>
          </w:rPr>
        </w:r>
        <w:r>
          <w:rPr>
            <w:noProof/>
            <w:webHidden/>
          </w:rPr>
          <w:fldChar w:fldCharType="separate"/>
        </w:r>
        <w:r>
          <w:rPr>
            <w:noProof/>
            <w:webHidden/>
          </w:rPr>
          <w:t>13</w:t>
        </w:r>
        <w:r>
          <w:rPr>
            <w:noProof/>
            <w:webHidden/>
          </w:rPr>
          <w:fldChar w:fldCharType="end"/>
        </w:r>
      </w:hyperlink>
    </w:p>
    <w:p w14:paraId="330799D3" w14:textId="7EADCB4D"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49" w:history="1">
        <w:r w:rsidRPr="00486C70">
          <w:rPr>
            <w:rStyle w:val="Hyperlink"/>
            <w:noProof/>
          </w:rPr>
          <w:t>4.5 What replaced it</w:t>
        </w:r>
        <w:r>
          <w:rPr>
            <w:noProof/>
            <w:webHidden/>
          </w:rPr>
          <w:tab/>
        </w:r>
        <w:r>
          <w:rPr>
            <w:noProof/>
            <w:webHidden/>
          </w:rPr>
          <w:fldChar w:fldCharType="begin"/>
        </w:r>
        <w:r>
          <w:rPr>
            <w:noProof/>
            <w:webHidden/>
          </w:rPr>
          <w:instrText xml:space="preserve"> PAGEREF _Toc236945249 \h </w:instrText>
        </w:r>
        <w:r>
          <w:rPr>
            <w:noProof/>
            <w:webHidden/>
          </w:rPr>
        </w:r>
        <w:r>
          <w:rPr>
            <w:noProof/>
            <w:webHidden/>
          </w:rPr>
          <w:fldChar w:fldCharType="separate"/>
        </w:r>
        <w:r>
          <w:rPr>
            <w:noProof/>
            <w:webHidden/>
          </w:rPr>
          <w:t>13</w:t>
        </w:r>
        <w:r>
          <w:rPr>
            <w:noProof/>
            <w:webHidden/>
          </w:rPr>
          <w:fldChar w:fldCharType="end"/>
        </w:r>
      </w:hyperlink>
    </w:p>
    <w:p w14:paraId="45A510DE" w14:textId="5034E775"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0" w:history="1">
        <w:r w:rsidRPr="00486C70">
          <w:rPr>
            <w:rStyle w:val="Hyperlink"/>
            <w:noProof/>
          </w:rPr>
          <w:t>4.6 The same lesson, twice more</w:t>
        </w:r>
        <w:r>
          <w:rPr>
            <w:noProof/>
            <w:webHidden/>
          </w:rPr>
          <w:tab/>
        </w:r>
        <w:r>
          <w:rPr>
            <w:noProof/>
            <w:webHidden/>
          </w:rPr>
          <w:fldChar w:fldCharType="begin"/>
        </w:r>
        <w:r>
          <w:rPr>
            <w:noProof/>
            <w:webHidden/>
          </w:rPr>
          <w:instrText xml:space="preserve"> PAGEREF _Toc236945250 \h </w:instrText>
        </w:r>
        <w:r>
          <w:rPr>
            <w:noProof/>
            <w:webHidden/>
          </w:rPr>
        </w:r>
        <w:r>
          <w:rPr>
            <w:noProof/>
            <w:webHidden/>
          </w:rPr>
          <w:fldChar w:fldCharType="separate"/>
        </w:r>
        <w:r>
          <w:rPr>
            <w:noProof/>
            <w:webHidden/>
          </w:rPr>
          <w:t>13</w:t>
        </w:r>
        <w:r>
          <w:rPr>
            <w:noProof/>
            <w:webHidden/>
          </w:rPr>
          <w:fldChar w:fldCharType="end"/>
        </w:r>
      </w:hyperlink>
    </w:p>
    <w:p w14:paraId="6884DDA0" w14:textId="5B369E72"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1" w:history="1">
        <w:r w:rsidRPr="00486C70">
          <w:rPr>
            <w:rStyle w:val="Hyperlink"/>
            <w:noProof/>
          </w:rPr>
          <w:t>4.7 What the old vocabularies are still good for</w:t>
        </w:r>
        <w:r>
          <w:rPr>
            <w:noProof/>
            <w:webHidden/>
          </w:rPr>
          <w:tab/>
        </w:r>
        <w:r>
          <w:rPr>
            <w:noProof/>
            <w:webHidden/>
          </w:rPr>
          <w:fldChar w:fldCharType="begin"/>
        </w:r>
        <w:r>
          <w:rPr>
            <w:noProof/>
            <w:webHidden/>
          </w:rPr>
          <w:instrText xml:space="preserve"> PAGEREF _Toc236945251 \h </w:instrText>
        </w:r>
        <w:r>
          <w:rPr>
            <w:noProof/>
            <w:webHidden/>
          </w:rPr>
        </w:r>
        <w:r>
          <w:rPr>
            <w:noProof/>
            <w:webHidden/>
          </w:rPr>
          <w:fldChar w:fldCharType="separate"/>
        </w:r>
        <w:r>
          <w:rPr>
            <w:noProof/>
            <w:webHidden/>
          </w:rPr>
          <w:t>14</w:t>
        </w:r>
        <w:r>
          <w:rPr>
            <w:noProof/>
            <w:webHidden/>
          </w:rPr>
          <w:fldChar w:fldCharType="end"/>
        </w:r>
      </w:hyperlink>
    </w:p>
    <w:p w14:paraId="4C37402E" w14:textId="3C3FCA86"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52" w:history="1">
        <w:r w:rsidRPr="00486C70">
          <w:rPr>
            <w:rStyle w:val="Hyperlink"/>
            <w:noProof/>
          </w:rPr>
          <w:t>5. Why any of it can be checked</w:t>
        </w:r>
        <w:r>
          <w:rPr>
            <w:noProof/>
            <w:webHidden/>
          </w:rPr>
          <w:tab/>
        </w:r>
        <w:r>
          <w:rPr>
            <w:noProof/>
            <w:webHidden/>
          </w:rPr>
          <w:fldChar w:fldCharType="begin"/>
        </w:r>
        <w:r>
          <w:rPr>
            <w:noProof/>
            <w:webHidden/>
          </w:rPr>
          <w:instrText xml:space="preserve"> PAGEREF _Toc236945252 \h </w:instrText>
        </w:r>
        <w:r>
          <w:rPr>
            <w:noProof/>
            <w:webHidden/>
          </w:rPr>
        </w:r>
        <w:r>
          <w:rPr>
            <w:noProof/>
            <w:webHidden/>
          </w:rPr>
          <w:fldChar w:fldCharType="separate"/>
        </w:r>
        <w:r>
          <w:rPr>
            <w:noProof/>
            <w:webHidden/>
          </w:rPr>
          <w:t>14</w:t>
        </w:r>
        <w:r>
          <w:rPr>
            <w:noProof/>
            <w:webHidden/>
          </w:rPr>
          <w:fldChar w:fldCharType="end"/>
        </w:r>
      </w:hyperlink>
    </w:p>
    <w:p w14:paraId="7EA6049E" w14:textId="73752913"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53" w:history="1">
        <w:r w:rsidRPr="00486C70">
          <w:rPr>
            <w:rStyle w:val="Hyperlink"/>
            <w:noProof/>
          </w:rPr>
          <w:t>6. What is actually in the library</w:t>
        </w:r>
        <w:r>
          <w:rPr>
            <w:noProof/>
            <w:webHidden/>
          </w:rPr>
          <w:tab/>
        </w:r>
        <w:r>
          <w:rPr>
            <w:noProof/>
            <w:webHidden/>
          </w:rPr>
          <w:fldChar w:fldCharType="begin"/>
        </w:r>
        <w:r>
          <w:rPr>
            <w:noProof/>
            <w:webHidden/>
          </w:rPr>
          <w:instrText xml:space="preserve"> PAGEREF _Toc236945253 \h </w:instrText>
        </w:r>
        <w:r>
          <w:rPr>
            <w:noProof/>
            <w:webHidden/>
          </w:rPr>
        </w:r>
        <w:r>
          <w:rPr>
            <w:noProof/>
            <w:webHidden/>
          </w:rPr>
          <w:fldChar w:fldCharType="separate"/>
        </w:r>
        <w:r>
          <w:rPr>
            <w:noProof/>
            <w:webHidden/>
          </w:rPr>
          <w:t>15</w:t>
        </w:r>
        <w:r>
          <w:rPr>
            <w:noProof/>
            <w:webHidden/>
          </w:rPr>
          <w:fldChar w:fldCharType="end"/>
        </w:r>
      </w:hyperlink>
    </w:p>
    <w:p w14:paraId="420C0E6B" w14:textId="064DEEF1"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54" w:history="1">
        <w:r w:rsidRPr="00486C70">
          <w:rPr>
            <w:rStyle w:val="Hyperlink"/>
            <w:noProof/>
          </w:rPr>
          <w:t>7. How it was tested, and what the tests showed</w:t>
        </w:r>
        <w:r>
          <w:rPr>
            <w:noProof/>
            <w:webHidden/>
          </w:rPr>
          <w:tab/>
        </w:r>
        <w:r>
          <w:rPr>
            <w:noProof/>
            <w:webHidden/>
          </w:rPr>
          <w:fldChar w:fldCharType="begin"/>
        </w:r>
        <w:r>
          <w:rPr>
            <w:noProof/>
            <w:webHidden/>
          </w:rPr>
          <w:instrText xml:space="preserve"> PAGEREF _Toc236945254 \h </w:instrText>
        </w:r>
        <w:r>
          <w:rPr>
            <w:noProof/>
            <w:webHidden/>
          </w:rPr>
        </w:r>
        <w:r>
          <w:rPr>
            <w:noProof/>
            <w:webHidden/>
          </w:rPr>
          <w:fldChar w:fldCharType="separate"/>
        </w:r>
        <w:r>
          <w:rPr>
            <w:noProof/>
            <w:webHidden/>
          </w:rPr>
          <w:t>16</w:t>
        </w:r>
        <w:r>
          <w:rPr>
            <w:noProof/>
            <w:webHidden/>
          </w:rPr>
          <w:fldChar w:fldCharType="end"/>
        </w:r>
      </w:hyperlink>
    </w:p>
    <w:p w14:paraId="639203CC" w14:textId="468DC20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5" w:history="1">
        <w:r w:rsidRPr="00486C70">
          <w:rPr>
            <w:rStyle w:val="Hyperlink"/>
            <w:noProof/>
          </w:rPr>
          <w:t>7.1 The principle: no single number, and no number without its frame</w:t>
        </w:r>
        <w:r>
          <w:rPr>
            <w:noProof/>
            <w:webHidden/>
          </w:rPr>
          <w:tab/>
        </w:r>
        <w:r>
          <w:rPr>
            <w:noProof/>
            <w:webHidden/>
          </w:rPr>
          <w:fldChar w:fldCharType="begin"/>
        </w:r>
        <w:r>
          <w:rPr>
            <w:noProof/>
            <w:webHidden/>
          </w:rPr>
          <w:instrText xml:space="preserve"> PAGEREF _Toc236945255 \h </w:instrText>
        </w:r>
        <w:r>
          <w:rPr>
            <w:noProof/>
            <w:webHidden/>
          </w:rPr>
        </w:r>
        <w:r>
          <w:rPr>
            <w:noProof/>
            <w:webHidden/>
          </w:rPr>
          <w:fldChar w:fldCharType="separate"/>
        </w:r>
        <w:r>
          <w:rPr>
            <w:noProof/>
            <w:webHidden/>
          </w:rPr>
          <w:t>16</w:t>
        </w:r>
        <w:r>
          <w:rPr>
            <w:noProof/>
            <w:webHidden/>
          </w:rPr>
          <w:fldChar w:fldCharType="end"/>
        </w:r>
      </w:hyperlink>
    </w:p>
    <w:p w14:paraId="73A89CA5" w14:textId="655EAF8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6" w:history="1">
        <w:r w:rsidRPr="00486C70">
          <w:rPr>
            <w:rStyle w:val="Hyperlink"/>
            <w:noProof/>
          </w:rPr>
          <w:t>7.2 The engine test: nine questions, run end to end</w:t>
        </w:r>
        <w:r>
          <w:rPr>
            <w:noProof/>
            <w:webHidden/>
          </w:rPr>
          <w:tab/>
        </w:r>
        <w:r>
          <w:rPr>
            <w:noProof/>
            <w:webHidden/>
          </w:rPr>
          <w:fldChar w:fldCharType="begin"/>
        </w:r>
        <w:r>
          <w:rPr>
            <w:noProof/>
            <w:webHidden/>
          </w:rPr>
          <w:instrText xml:space="preserve"> PAGEREF _Toc236945256 \h </w:instrText>
        </w:r>
        <w:r>
          <w:rPr>
            <w:noProof/>
            <w:webHidden/>
          </w:rPr>
        </w:r>
        <w:r>
          <w:rPr>
            <w:noProof/>
            <w:webHidden/>
          </w:rPr>
          <w:fldChar w:fldCharType="separate"/>
        </w:r>
        <w:r>
          <w:rPr>
            <w:noProof/>
            <w:webHidden/>
          </w:rPr>
          <w:t>17</w:t>
        </w:r>
        <w:r>
          <w:rPr>
            <w:noProof/>
            <w:webHidden/>
          </w:rPr>
          <w:fldChar w:fldCharType="end"/>
        </w:r>
      </w:hyperlink>
    </w:p>
    <w:p w14:paraId="268E6998" w14:textId="0BB34CD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7" w:history="1">
        <w:r w:rsidRPr="00486C70">
          <w:rPr>
            <w:rStyle w:val="Hyperlink"/>
            <w:noProof/>
          </w:rPr>
          <w:t>7.3 The four paper gates</w:t>
        </w:r>
        <w:r>
          <w:rPr>
            <w:noProof/>
            <w:webHidden/>
          </w:rPr>
          <w:tab/>
        </w:r>
        <w:r>
          <w:rPr>
            <w:noProof/>
            <w:webHidden/>
          </w:rPr>
          <w:fldChar w:fldCharType="begin"/>
        </w:r>
        <w:r>
          <w:rPr>
            <w:noProof/>
            <w:webHidden/>
          </w:rPr>
          <w:instrText xml:space="preserve"> PAGEREF _Toc236945257 \h </w:instrText>
        </w:r>
        <w:r>
          <w:rPr>
            <w:noProof/>
            <w:webHidden/>
          </w:rPr>
        </w:r>
        <w:r>
          <w:rPr>
            <w:noProof/>
            <w:webHidden/>
          </w:rPr>
          <w:fldChar w:fldCharType="separate"/>
        </w:r>
        <w:r>
          <w:rPr>
            <w:noProof/>
            <w:webHidden/>
          </w:rPr>
          <w:t>18</w:t>
        </w:r>
        <w:r>
          <w:rPr>
            <w:noProof/>
            <w:webHidden/>
          </w:rPr>
          <w:fldChar w:fldCharType="end"/>
        </w:r>
      </w:hyperlink>
    </w:p>
    <w:p w14:paraId="4075A53D" w14:textId="02CFFE90"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8" w:history="1">
        <w:r w:rsidRPr="00486C70">
          <w:rPr>
            <w:rStyle w:val="Hyperlink"/>
            <w:noProof/>
          </w:rPr>
          <w:t>7.4 The panel: strangers who read the paper and nothing else</w:t>
        </w:r>
        <w:r>
          <w:rPr>
            <w:noProof/>
            <w:webHidden/>
          </w:rPr>
          <w:tab/>
        </w:r>
        <w:r>
          <w:rPr>
            <w:noProof/>
            <w:webHidden/>
          </w:rPr>
          <w:fldChar w:fldCharType="begin"/>
        </w:r>
        <w:r>
          <w:rPr>
            <w:noProof/>
            <w:webHidden/>
          </w:rPr>
          <w:instrText xml:space="preserve"> PAGEREF _Toc236945258 \h </w:instrText>
        </w:r>
        <w:r>
          <w:rPr>
            <w:noProof/>
            <w:webHidden/>
          </w:rPr>
        </w:r>
        <w:r>
          <w:rPr>
            <w:noProof/>
            <w:webHidden/>
          </w:rPr>
          <w:fldChar w:fldCharType="separate"/>
        </w:r>
        <w:r>
          <w:rPr>
            <w:noProof/>
            <w:webHidden/>
          </w:rPr>
          <w:t>19</w:t>
        </w:r>
        <w:r>
          <w:rPr>
            <w:noProof/>
            <w:webHidden/>
          </w:rPr>
          <w:fldChar w:fldCharType="end"/>
        </w:r>
      </w:hyperlink>
    </w:p>
    <w:p w14:paraId="7C50F7C3" w14:textId="50C9E967"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59" w:history="1">
        <w:r w:rsidRPr="00486C70">
          <w:rPr>
            <w:rStyle w:val="Hyperlink"/>
            <w:noProof/>
          </w:rPr>
          <w:t>7.5 Open-weight models against proprietary ones</w:t>
        </w:r>
        <w:r>
          <w:rPr>
            <w:noProof/>
            <w:webHidden/>
          </w:rPr>
          <w:tab/>
        </w:r>
        <w:r>
          <w:rPr>
            <w:noProof/>
            <w:webHidden/>
          </w:rPr>
          <w:fldChar w:fldCharType="begin"/>
        </w:r>
        <w:r>
          <w:rPr>
            <w:noProof/>
            <w:webHidden/>
          </w:rPr>
          <w:instrText xml:space="preserve"> PAGEREF _Toc236945259 \h </w:instrText>
        </w:r>
        <w:r>
          <w:rPr>
            <w:noProof/>
            <w:webHidden/>
          </w:rPr>
        </w:r>
        <w:r>
          <w:rPr>
            <w:noProof/>
            <w:webHidden/>
          </w:rPr>
          <w:fldChar w:fldCharType="separate"/>
        </w:r>
        <w:r>
          <w:rPr>
            <w:noProof/>
            <w:webHidden/>
          </w:rPr>
          <w:t>21</w:t>
        </w:r>
        <w:r>
          <w:rPr>
            <w:noProof/>
            <w:webHidden/>
          </w:rPr>
          <w:fldChar w:fldCharType="end"/>
        </w:r>
      </w:hyperlink>
    </w:p>
    <w:p w14:paraId="493DF58A" w14:textId="0171AA7B"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0" w:history="1">
        <w:r w:rsidRPr="00486C70">
          <w:rPr>
            <w:rStyle w:val="Hyperlink"/>
            <w:noProof/>
          </w:rPr>
          <w:t>7.6 The measurements that were uncomfortable</w:t>
        </w:r>
        <w:r>
          <w:rPr>
            <w:noProof/>
            <w:webHidden/>
          </w:rPr>
          <w:tab/>
        </w:r>
        <w:r>
          <w:rPr>
            <w:noProof/>
            <w:webHidden/>
          </w:rPr>
          <w:fldChar w:fldCharType="begin"/>
        </w:r>
        <w:r>
          <w:rPr>
            <w:noProof/>
            <w:webHidden/>
          </w:rPr>
          <w:instrText xml:space="preserve"> PAGEREF _Toc236945260 \h </w:instrText>
        </w:r>
        <w:r>
          <w:rPr>
            <w:noProof/>
            <w:webHidden/>
          </w:rPr>
        </w:r>
        <w:r>
          <w:rPr>
            <w:noProof/>
            <w:webHidden/>
          </w:rPr>
          <w:fldChar w:fldCharType="separate"/>
        </w:r>
        <w:r>
          <w:rPr>
            <w:noProof/>
            <w:webHidden/>
          </w:rPr>
          <w:t>21</w:t>
        </w:r>
        <w:r>
          <w:rPr>
            <w:noProof/>
            <w:webHidden/>
          </w:rPr>
          <w:fldChar w:fldCharType="end"/>
        </w:r>
      </w:hyperlink>
    </w:p>
    <w:p w14:paraId="69019927" w14:textId="7887BB0C"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61" w:history="1">
        <w:r w:rsidRPr="00486C70">
          <w:rPr>
            <w:rStyle w:val="Hyperlink"/>
            <w:noProof/>
          </w:rPr>
          <w:t>8. Known limits and open problems</w:t>
        </w:r>
        <w:r>
          <w:rPr>
            <w:noProof/>
            <w:webHidden/>
          </w:rPr>
          <w:tab/>
        </w:r>
        <w:r>
          <w:rPr>
            <w:noProof/>
            <w:webHidden/>
          </w:rPr>
          <w:fldChar w:fldCharType="begin"/>
        </w:r>
        <w:r>
          <w:rPr>
            <w:noProof/>
            <w:webHidden/>
          </w:rPr>
          <w:instrText xml:space="preserve"> PAGEREF _Toc236945261 \h </w:instrText>
        </w:r>
        <w:r>
          <w:rPr>
            <w:noProof/>
            <w:webHidden/>
          </w:rPr>
        </w:r>
        <w:r>
          <w:rPr>
            <w:noProof/>
            <w:webHidden/>
          </w:rPr>
          <w:fldChar w:fldCharType="separate"/>
        </w:r>
        <w:r>
          <w:rPr>
            <w:noProof/>
            <w:webHidden/>
          </w:rPr>
          <w:t>22</w:t>
        </w:r>
        <w:r>
          <w:rPr>
            <w:noProof/>
            <w:webHidden/>
          </w:rPr>
          <w:fldChar w:fldCharType="end"/>
        </w:r>
      </w:hyperlink>
    </w:p>
    <w:p w14:paraId="7D5D6E31" w14:textId="7AF475EA"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62" w:history="1">
        <w:r w:rsidRPr="00486C70">
          <w:rPr>
            <w:rStyle w:val="Hyperlink"/>
            <w:noProof/>
          </w:rPr>
          <w:t>Final word</w:t>
        </w:r>
        <w:r>
          <w:rPr>
            <w:noProof/>
            <w:webHidden/>
          </w:rPr>
          <w:tab/>
        </w:r>
        <w:r>
          <w:rPr>
            <w:noProof/>
            <w:webHidden/>
          </w:rPr>
          <w:fldChar w:fldCharType="begin"/>
        </w:r>
        <w:r>
          <w:rPr>
            <w:noProof/>
            <w:webHidden/>
          </w:rPr>
          <w:instrText xml:space="preserve"> PAGEREF _Toc236945262 \h </w:instrText>
        </w:r>
        <w:r>
          <w:rPr>
            <w:noProof/>
            <w:webHidden/>
          </w:rPr>
        </w:r>
        <w:r>
          <w:rPr>
            <w:noProof/>
            <w:webHidden/>
          </w:rPr>
          <w:fldChar w:fldCharType="separate"/>
        </w:r>
        <w:r>
          <w:rPr>
            <w:noProof/>
            <w:webHidden/>
          </w:rPr>
          <w:t>23</w:t>
        </w:r>
        <w:r>
          <w:rPr>
            <w:noProof/>
            <w:webHidden/>
          </w:rPr>
          <w:fldChar w:fldCharType="end"/>
        </w:r>
      </w:hyperlink>
    </w:p>
    <w:p w14:paraId="045945C4" w14:textId="6A3FF75E"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63" w:history="1">
        <w:r w:rsidRPr="00486C70">
          <w:rPr>
            <w:rStyle w:val="Hyperlink"/>
            <w:noProof/>
          </w:rPr>
          <w:t>Appendix A — How the test questions were designed</w:t>
        </w:r>
        <w:r>
          <w:rPr>
            <w:noProof/>
            <w:webHidden/>
          </w:rPr>
          <w:tab/>
        </w:r>
        <w:r>
          <w:rPr>
            <w:noProof/>
            <w:webHidden/>
          </w:rPr>
          <w:fldChar w:fldCharType="begin"/>
        </w:r>
        <w:r>
          <w:rPr>
            <w:noProof/>
            <w:webHidden/>
          </w:rPr>
          <w:instrText xml:space="preserve"> PAGEREF _Toc236945263 \h </w:instrText>
        </w:r>
        <w:r>
          <w:rPr>
            <w:noProof/>
            <w:webHidden/>
          </w:rPr>
        </w:r>
        <w:r>
          <w:rPr>
            <w:noProof/>
            <w:webHidden/>
          </w:rPr>
          <w:fldChar w:fldCharType="separate"/>
        </w:r>
        <w:r>
          <w:rPr>
            <w:noProof/>
            <w:webHidden/>
          </w:rPr>
          <w:t>24</w:t>
        </w:r>
        <w:r>
          <w:rPr>
            <w:noProof/>
            <w:webHidden/>
          </w:rPr>
          <w:fldChar w:fldCharType="end"/>
        </w:r>
      </w:hyperlink>
    </w:p>
    <w:p w14:paraId="6FD61C55" w14:textId="678CDE15"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4" w:history="1">
        <w:r w:rsidRPr="00486C70">
          <w:rPr>
            <w:rStyle w:val="Hyperlink"/>
            <w:noProof/>
          </w:rPr>
          <w:t>A.1 Why the questions are machine-written, and what would change that</w:t>
        </w:r>
        <w:r>
          <w:rPr>
            <w:noProof/>
            <w:webHidden/>
          </w:rPr>
          <w:tab/>
        </w:r>
        <w:r>
          <w:rPr>
            <w:noProof/>
            <w:webHidden/>
          </w:rPr>
          <w:fldChar w:fldCharType="begin"/>
        </w:r>
        <w:r>
          <w:rPr>
            <w:noProof/>
            <w:webHidden/>
          </w:rPr>
          <w:instrText xml:space="preserve"> PAGEREF _Toc236945264 \h </w:instrText>
        </w:r>
        <w:r>
          <w:rPr>
            <w:noProof/>
            <w:webHidden/>
          </w:rPr>
        </w:r>
        <w:r>
          <w:rPr>
            <w:noProof/>
            <w:webHidden/>
          </w:rPr>
          <w:fldChar w:fldCharType="separate"/>
        </w:r>
        <w:r>
          <w:rPr>
            <w:noProof/>
            <w:webHidden/>
          </w:rPr>
          <w:t>24</w:t>
        </w:r>
        <w:r>
          <w:rPr>
            <w:noProof/>
            <w:webHidden/>
          </w:rPr>
          <w:fldChar w:fldCharType="end"/>
        </w:r>
      </w:hyperlink>
    </w:p>
    <w:p w14:paraId="0409E890" w14:textId="40B00E1A"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5" w:history="1">
        <w:r w:rsidRPr="00486C70">
          <w:rPr>
            <w:rStyle w:val="Hyperlink"/>
            <w:noProof/>
          </w:rPr>
          <w:t>A.2 The two question sets, and why they are different</w:t>
        </w:r>
        <w:r>
          <w:rPr>
            <w:noProof/>
            <w:webHidden/>
          </w:rPr>
          <w:tab/>
        </w:r>
        <w:r>
          <w:rPr>
            <w:noProof/>
            <w:webHidden/>
          </w:rPr>
          <w:fldChar w:fldCharType="begin"/>
        </w:r>
        <w:r>
          <w:rPr>
            <w:noProof/>
            <w:webHidden/>
          </w:rPr>
          <w:instrText xml:space="preserve"> PAGEREF _Toc236945265 \h </w:instrText>
        </w:r>
        <w:r>
          <w:rPr>
            <w:noProof/>
            <w:webHidden/>
          </w:rPr>
        </w:r>
        <w:r>
          <w:rPr>
            <w:noProof/>
            <w:webHidden/>
          </w:rPr>
          <w:fldChar w:fldCharType="separate"/>
        </w:r>
        <w:r>
          <w:rPr>
            <w:noProof/>
            <w:webHidden/>
          </w:rPr>
          <w:t>24</w:t>
        </w:r>
        <w:r>
          <w:rPr>
            <w:noProof/>
            <w:webHidden/>
          </w:rPr>
          <w:fldChar w:fldCharType="end"/>
        </w:r>
      </w:hyperlink>
    </w:p>
    <w:p w14:paraId="0B2B7D36" w14:textId="2091604B"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6" w:history="1">
        <w:r w:rsidRPr="00486C70">
          <w:rPr>
            <w:rStyle w:val="Hyperlink"/>
            <w:noProof/>
          </w:rPr>
          <w:t>A.3 Two design rules that keep a question from being a softball</w:t>
        </w:r>
        <w:r>
          <w:rPr>
            <w:noProof/>
            <w:webHidden/>
          </w:rPr>
          <w:tab/>
        </w:r>
        <w:r>
          <w:rPr>
            <w:noProof/>
            <w:webHidden/>
          </w:rPr>
          <w:fldChar w:fldCharType="begin"/>
        </w:r>
        <w:r>
          <w:rPr>
            <w:noProof/>
            <w:webHidden/>
          </w:rPr>
          <w:instrText xml:space="preserve"> PAGEREF _Toc236945266 \h </w:instrText>
        </w:r>
        <w:r>
          <w:rPr>
            <w:noProof/>
            <w:webHidden/>
          </w:rPr>
        </w:r>
        <w:r>
          <w:rPr>
            <w:noProof/>
            <w:webHidden/>
          </w:rPr>
          <w:fldChar w:fldCharType="separate"/>
        </w:r>
        <w:r>
          <w:rPr>
            <w:noProof/>
            <w:webHidden/>
          </w:rPr>
          <w:t>25</w:t>
        </w:r>
        <w:r>
          <w:rPr>
            <w:noProof/>
            <w:webHidden/>
          </w:rPr>
          <w:fldChar w:fldCharType="end"/>
        </w:r>
      </w:hyperlink>
    </w:p>
    <w:p w14:paraId="1E6F2A21" w14:textId="0767F068"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7" w:history="1">
        <w:r w:rsidRPr="00486C70">
          <w:rPr>
            <w:rStyle w:val="Hyperlink"/>
            <w:noProof/>
          </w:rPr>
          <w:t>A.4 The oracle: how "did it reach the right books" is scored</w:t>
        </w:r>
        <w:r>
          <w:rPr>
            <w:noProof/>
            <w:webHidden/>
          </w:rPr>
          <w:tab/>
        </w:r>
        <w:r>
          <w:rPr>
            <w:noProof/>
            <w:webHidden/>
          </w:rPr>
          <w:fldChar w:fldCharType="begin"/>
        </w:r>
        <w:r>
          <w:rPr>
            <w:noProof/>
            <w:webHidden/>
          </w:rPr>
          <w:instrText xml:space="preserve"> PAGEREF _Toc236945267 \h </w:instrText>
        </w:r>
        <w:r>
          <w:rPr>
            <w:noProof/>
            <w:webHidden/>
          </w:rPr>
        </w:r>
        <w:r>
          <w:rPr>
            <w:noProof/>
            <w:webHidden/>
          </w:rPr>
          <w:fldChar w:fldCharType="separate"/>
        </w:r>
        <w:r>
          <w:rPr>
            <w:noProof/>
            <w:webHidden/>
          </w:rPr>
          <w:t>25</w:t>
        </w:r>
        <w:r>
          <w:rPr>
            <w:noProof/>
            <w:webHidden/>
          </w:rPr>
          <w:fldChar w:fldCharType="end"/>
        </w:r>
      </w:hyperlink>
    </w:p>
    <w:p w14:paraId="29AFFF98" w14:textId="45A537A3"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68" w:history="1">
        <w:r w:rsidRPr="00486C70">
          <w:rPr>
            <w:rStyle w:val="Hyperlink"/>
            <w:noProof/>
          </w:rPr>
          <w:t>Appendix B — How answers and papers are judged</w:t>
        </w:r>
        <w:r>
          <w:rPr>
            <w:noProof/>
            <w:webHidden/>
          </w:rPr>
          <w:tab/>
        </w:r>
        <w:r>
          <w:rPr>
            <w:noProof/>
            <w:webHidden/>
          </w:rPr>
          <w:fldChar w:fldCharType="begin"/>
        </w:r>
        <w:r>
          <w:rPr>
            <w:noProof/>
            <w:webHidden/>
          </w:rPr>
          <w:instrText xml:space="preserve"> PAGEREF _Toc236945268 \h </w:instrText>
        </w:r>
        <w:r>
          <w:rPr>
            <w:noProof/>
            <w:webHidden/>
          </w:rPr>
        </w:r>
        <w:r>
          <w:rPr>
            <w:noProof/>
            <w:webHidden/>
          </w:rPr>
          <w:fldChar w:fldCharType="separate"/>
        </w:r>
        <w:r>
          <w:rPr>
            <w:noProof/>
            <w:webHidden/>
          </w:rPr>
          <w:t>26</w:t>
        </w:r>
        <w:r>
          <w:rPr>
            <w:noProof/>
            <w:webHidden/>
          </w:rPr>
          <w:fldChar w:fldCharType="end"/>
        </w:r>
      </w:hyperlink>
    </w:p>
    <w:p w14:paraId="5FED2842" w14:textId="329937B2"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69" w:history="1">
        <w:r w:rsidRPr="00486C70">
          <w:rPr>
            <w:rStyle w:val="Hyperlink"/>
            <w:noProof/>
          </w:rPr>
          <w:t>B.1 The four instruments, and what each cannot do</w:t>
        </w:r>
        <w:r>
          <w:rPr>
            <w:noProof/>
            <w:webHidden/>
          </w:rPr>
          <w:tab/>
        </w:r>
        <w:r>
          <w:rPr>
            <w:noProof/>
            <w:webHidden/>
          </w:rPr>
          <w:fldChar w:fldCharType="begin"/>
        </w:r>
        <w:r>
          <w:rPr>
            <w:noProof/>
            <w:webHidden/>
          </w:rPr>
          <w:instrText xml:space="preserve"> PAGEREF _Toc236945269 \h </w:instrText>
        </w:r>
        <w:r>
          <w:rPr>
            <w:noProof/>
            <w:webHidden/>
          </w:rPr>
        </w:r>
        <w:r>
          <w:rPr>
            <w:noProof/>
            <w:webHidden/>
          </w:rPr>
          <w:fldChar w:fldCharType="separate"/>
        </w:r>
        <w:r>
          <w:rPr>
            <w:noProof/>
            <w:webHidden/>
          </w:rPr>
          <w:t>26</w:t>
        </w:r>
        <w:r>
          <w:rPr>
            <w:noProof/>
            <w:webHidden/>
          </w:rPr>
          <w:fldChar w:fldCharType="end"/>
        </w:r>
      </w:hyperlink>
    </w:p>
    <w:p w14:paraId="282E551A" w14:textId="3815FA39"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0" w:history="1">
        <w:r w:rsidRPr="00486C70">
          <w:rPr>
            <w:rStyle w:val="Hyperlink"/>
            <w:noProof/>
          </w:rPr>
          <w:t>B.2 Why several obvious metrics are deliberately not gates</w:t>
        </w:r>
        <w:r>
          <w:rPr>
            <w:noProof/>
            <w:webHidden/>
          </w:rPr>
          <w:tab/>
        </w:r>
        <w:r>
          <w:rPr>
            <w:noProof/>
            <w:webHidden/>
          </w:rPr>
          <w:fldChar w:fldCharType="begin"/>
        </w:r>
        <w:r>
          <w:rPr>
            <w:noProof/>
            <w:webHidden/>
          </w:rPr>
          <w:instrText xml:space="preserve"> PAGEREF _Toc236945270 \h </w:instrText>
        </w:r>
        <w:r>
          <w:rPr>
            <w:noProof/>
            <w:webHidden/>
          </w:rPr>
        </w:r>
        <w:r>
          <w:rPr>
            <w:noProof/>
            <w:webHidden/>
          </w:rPr>
          <w:fldChar w:fldCharType="separate"/>
        </w:r>
        <w:r>
          <w:rPr>
            <w:noProof/>
            <w:webHidden/>
          </w:rPr>
          <w:t>26</w:t>
        </w:r>
        <w:r>
          <w:rPr>
            <w:noProof/>
            <w:webHidden/>
          </w:rPr>
          <w:fldChar w:fldCharType="end"/>
        </w:r>
      </w:hyperlink>
    </w:p>
    <w:p w14:paraId="14839A38" w14:textId="690819B7"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1" w:history="1">
        <w:r w:rsidRPr="00486C70">
          <w:rPr>
            <w:rStyle w:val="Hyperlink"/>
            <w:noProof/>
          </w:rPr>
          <w:t>B.3 The seven properties that make a review a review</w:t>
        </w:r>
        <w:r>
          <w:rPr>
            <w:noProof/>
            <w:webHidden/>
          </w:rPr>
          <w:tab/>
        </w:r>
        <w:r>
          <w:rPr>
            <w:noProof/>
            <w:webHidden/>
          </w:rPr>
          <w:fldChar w:fldCharType="begin"/>
        </w:r>
        <w:r>
          <w:rPr>
            <w:noProof/>
            <w:webHidden/>
          </w:rPr>
          <w:instrText xml:space="preserve"> PAGEREF _Toc236945271 \h </w:instrText>
        </w:r>
        <w:r>
          <w:rPr>
            <w:noProof/>
            <w:webHidden/>
          </w:rPr>
        </w:r>
        <w:r>
          <w:rPr>
            <w:noProof/>
            <w:webHidden/>
          </w:rPr>
          <w:fldChar w:fldCharType="separate"/>
        </w:r>
        <w:r>
          <w:rPr>
            <w:noProof/>
            <w:webHidden/>
          </w:rPr>
          <w:t>26</w:t>
        </w:r>
        <w:r>
          <w:rPr>
            <w:noProof/>
            <w:webHidden/>
          </w:rPr>
          <w:fldChar w:fldCharType="end"/>
        </w:r>
      </w:hyperlink>
    </w:p>
    <w:p w14:paraId="17C00CAB" w14:textId="11D166B3"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2" w:history="1">
        <w:r w:rsidRPr="00486C70">
          <w:rPr>
            <w:rStyle w:val="Hyperlink"/>
            <w:noProof/>
          </w:rPr>
          <w:t>B.4 The reporting rules that bind</w:t>
        </w:r>
        <w:r>
          <w:rPr>
            <w:noProof/>
            <w:webHidden/>
          </w:rPr>
          <w:tab/>
        </w:r>
        <w:r>
          <w:rPr>
            <w:noProof/>
            <w:webHidden/>
          </w:rPr>
          <w:fldChar w:fldCharType="begin"/>
        </w:r>
        <w:r>
          <w:rPr>
            <w:noProof/>
            <w:webHidden/>
          </w:rPr>
          <w:instrText xml:space="preserve"> PAGEREF _Toc236945272 \h </w:instrText>
        </w:r>
        <w:r>
          <w:rPr>
            <w:noProof/>
            <w:webHidden/>
          </w:rPr>
        </w:r>
        <w:r>
          <w:rPr>
            <w:noProof/>
            <w:webHidden/>
          </w:rPr>
          <w:fldChar w:fldCharType="separate"/>
        </w:r>
        <w:r>
          <w:rPr>
            <w:noProof/>
            <w:webHidden/>
          </w:rPr>
          <w:t>27</w:t>
        </w:r>
        <w:r>
          <w:rPr>
            <w:noProof/>
            <w:webHidden/>
          </w:rPr>
          <w:fldChar w:fldCharType="end"/>
        </w:r>
      </w:hyperlink>
    </w:p>
    <w:p w14:paraId="3DB2CA0C" w14:textId="0461FE32"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73" w:history="1">
        <w:r w:rsidRPr="00486C70">
          <w:rPr>
            <w:rStyle w:val="Hyperlink"/>
            <w:noProof/>
          </w:rPr>
          <w:t>Appendix C — The library</w:t>
        </w:r>
        <w:r>
          <w:rPr>
            <w:noProof/>
            <w:webHidden/>
          </w:rPr>
          <w:tab/>
        </w:r>
        <w:r>
          <w:rPr>
            <w:noProof/>
            <w:webHidden/>
          </w:rPr>
          <w:fldChar w:fldCharType="begin"/>
        </w:r>
        <w:r>
          <w:rPr>
            <w:noProof/>
            <w:webHidden/>
          </w:rPr>
          <w:instrText xml:space="preserve"> PAGEREF _Toc236945273 \h </w:instrText>
        </w:r>
        <w:r>
          <w:rPr>
            <w:noProof/>
            <w:webHidden/>
          </w:rPr>
        </w:r>
        <w:r>
          <w:rPr>
            <w:noProof/>
            <w:webHidden/>
          </w:rPr>
          <w:fldChar w:fldCharType="separate"/>
        </w:r>
        <w:r>
          <w:rPr>
            <w:noProof/>
            <w:webHidden/>
          </w:rPr>
          <w:t>28</w:t>
        </w:r>
        <w:r>
          <w:rPr>
            <w:noProof/>
            <w:webHidden/>
          </w:rPr>
          <w:fldChar w:fldCharType="end"/>
        </w:r>
      </w:hyperlink>
    </w:p>
    <w:p w14:paraId="0EFE049B" w14:textId="3E094B4D"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74" w:history="1">
        <w:r w:rsidRPr="00486C70">
          <w:rPr>
            <w:rStyle w:val="Hyperlink"/>
            <w:noProof/>
          </w:rPr>
          <w:t>Appendix D — The first paper, and the questions behind it</w:t>
        </w:r>
        <w:r>
          <w:rPr>
            <w:noProof/>
            <w:webHidden/>
          </w:rPr>
          <w:tab/>
        </w:r>
        <w:r>
          <w:rPr>
            <w:noProof/>
            <w:webHidden/>
          </w:rPr>
          <w:fldChar w:fldCharType="begin"/>
        </w:r>
        <w:r>
          <w:rPr>
            <w:noProof/>
            <w:webHidden/>
          </w:rPr>
          <w:instrText xml:space="preserve"> PAGEREF _Toc236945274 \h </w:instrText>
        </w:r>
        <w:r>
          <w:rPr>
            <w:noProof/>
            <w:webHidden/>
          </w:rPr>
        </w:r>
        <w:r>
          <w:rPr>
            <w:noProof/>
            <w:webHidden/>
          </w:rPr>
          <w:fldChar w:fldCharType="separate"/>
        </w:r>
        <w:r>
          <w:rPr>
            <w:noProof/>
            <w:webHidden/>
          </w:rPr>
          <w:t>30</w:t>
        </w:r>
        <w:r>
          <w:rPr>
            <w:noProof/>
            <w:webHidden/>
          </w:rPr>
          <w:fldChar w:fldCharType="end"/>
        </w:r>
      </w:hyperlink>
    </w:p>
    <w:p w14:paraId="42036468" w14:textId="160372A8"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5" w:history="1">
        <w:r w:rsidRPr="00486C70">
          <w:rPr>
            <w:rStyle w:val="Hyperlink"/>
            <w:noProof/>
          </w:rPr>
          <w:t>The paper brief</w:t>
        </w:r>
        <w:r>
          <w:rPr>
            <w:noProof/>
            <w:webHidden/>
          </w:rPr>
          <w:tab/>
        </w:r>
        <w:r>
          <w:rPr>
            <w:noProof/>
            <w:webHidden/>
          </w:rPr>
          <w:fldChar w:fldCharType="begin"/>
        </w:r>
        <w:r>
          <w:rPr>
            <w:noProof/>
            <w:webHidden/>
          </w:rPr>
          <w:instrText xml:space="preserve"> PAGEREF _Toc236945275 \h </w:instrText>
        </w:r>
        <w:r>
          <w:rPr>
            <w:noProof/>
            <w:webHidden/>
          </w:rPr>
        </w:r>
        <w:r>
          <w:rPr>
            <w:noProof/>
            <w:webHidden/>
          </w:rPr>
          <w:fldChar w:fldCharType="separate"/>
        </w:r>
        <w:r>
          <w:rPr>
            <w:noProof/>
            <w:webHidden/>
          </w:rPr>
          <w:t>30</w:t>
        </w:r>
        <w:r>
          <w:rPr>
            <w:noProof/>
            <w:webHidden/>
          </w:rPr>
          <w:fldChar w:fldCharType="end"/>
        </w:r>
      </w:hyperlink>
    </w:p>
    <w:p w14:paraId="172FC92B" w14:textId="77A27EA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6" w:history="1">
        <w:r w:rsidRPr="00486C70">
          <w:rPr>
            <w:rStyle w:val="Hyperlink"/>
            <w:noProof/>
          </w:rPr>
          <w:t>The research questions those records answered</w:t>
        </w:r>
        <w:r>
          <w:rPr>
            <w:noProof/>
            <w:webHidden/>
          </w:rPr>
          <w:tab/>
        </w:r>
        <w:r>
          <w:rPr>
            <w:noProof/>
            <w:webHidden/>
          </w:rPr>
          <w:fldChar w:fldCharType="begin"/>
        </w:r>
        <w:r>
          <w:rPr>
            <w:noProof/>
            <w:webHidden/>
          </w:rPr>
          <w:instrText xml:space="preserve"> PAGEREF _Toc236945276 \h </w:instrText>
        </w:r>
        <w:r>
          <w:rPr>
            <w:noProof/>
            <w:webHidden/>
          </w:rPr>
        </w:r>
        <w:r>
          <w:rPr>
            <w:noProof/>
            <w:webHidden/>
          </w:rPr>
          <w:fldChar w:fldCharType="separate"/>
        </w:r>
        <w:r>
          <w:rPr>
            <w:noProof/>
            <w:webHidden/>
          </w:rPr>
          <w:t>30</w:t>
        </w:r>
        <w:r>
          <w:rPr>
            <w:noProof/>
            <w:webHidden/>
          </w:rPr>
          <w:fldChar w:fldCharType="end"/>
        </w:r>
      </w:hyperlink>
    </w:p>
    <w:p w14:paraId="1F4532DE" w14:textId="21C6077B"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7" w:history="1">
        <w:r w:rsidRPr="00486C70">
          <w:rPr>
            <w:rStyle w:val="Hyperlink"/>
            <w:noProof/>
          </w:rPr>
          <w:t>What the paper came out as</w:t>
        </w:r>
        <w:r>
          <w:rPr>
            <w:noProof/>
            <w:webHidden/>
          </w:rPr>
          <w:tab/>
        </w:r>
        <w:r>
          <w:rPr>
            <w:noProof/>
            <w:webHidden/>
          </w:rPr>
          <w:fldChar w:fldCharType="begin"/>
        </w:r>
        <w:r>
          <w:rPr>
            <w:noProof/>
            <w:webHidden/>
          </w:rPr>
          <w:instrText xml:space="preserve"> PAGEREF _Toc236945277 \h </w:instrText>
        </w:r>
        <w:r>
          <w:rPr>
            <w:noProof/>
            <w:webHidden/>
          </w:rPr>
        </w:r>
        <w:r>
          <w:rPr>
            <w:noProof/>
            <w:webHidden/>
          </w:rPr>
          <w:fldChar w:fldCharType="separate"/>
        </w:r>
        <w:r>
          <w:rPr>
            <w:noProof/>
            <w:webHidden/>
          </w:rPr>
          <w:t>30</w:t>
        </w:r>
        <w:r>
          <w:rPr>
            <w:noProof/>
            <w:webHidden/>
          </w:rPr>
          <w:fldChar w:fldCharType="end"/>
        </w:r>
      </w:hyperlink>
    </w:p>
    <w:p w14:paraId="3CBD23A0" w14:textId="0528EEAA"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8" w:history="1">
        <w:r w:rsidRPr="00486C70">
          <w:rPr>
            <w:rStyle w:val="Hyperlink"/>
            <w:noProof/>
          </w:rPr>
          <w:t>The paper, as rendered</w:t>
        </w:r>
        <w:r>
          <w:rPr>
            <w:noProof/>
            <w:webHidden/>
          </w:rPr>
          <w:tab/>
        </w:r>
        <w:r>
          <w:rPr>
            <w:noProof/>
            <w:webHidden/>
          </w:rPr>
          <w:fldChar w:fldCharType="begin"/>
        </w:r>
        <w:r>
          <w:rPr>
            <w:noProof/>
            <w:webHidden/>
          </w:rPr>
          <w:instrText xml:space="preserve"> PAGEREF _Toc236945278 \h </w:instrText>
        </w:r>
        <w:r>
          <w:rPr>
            <w:noProof/>
            <w:webHidden/>
          </w:rPr>
        </w:r>
        <w:r>
          <w:rPr>
            <w:noProof/>
            <w:webHidden/>
          </w:rPr>
          <w:fldChar w:fldCharType="separate"/>
        </w:r>
        <w:r>
          <w:rPr>
            <w:noProof/>
            <w:webHidden/>
          </w:rPr>
          <w:t>31</w:t>
        </w:r>
        <w:r>
          <w:rPr>
            <w:noProof/>
            <w:webHidden/>
          </w:rPr>
          <w:fldChar w:fldCharType="end"/>
        </w:r>
      </w:hyperlink>
    </w:p>
    <w:p w14:paraId="3F0C74B6" w14:textId="7AD6D6D1"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79" w:history="1">
        <w:r w:rsidRPr="00486C70">
          <w:rPr>
            <w:rStyle w:val="Hyperlink"/>
            <w:noProof/>
          </w:rPr>
          <w:t>Privilege and the Contracted-Out Militia</w:t>
        </w:r>
        <w:r>
          <w:rPr>
            <w:noProof/>
            <w:webHidden/>
          </w:rPr>
          <w:tab/>
        </w:r>
        <w:r>
          <w:rPr>
            <w:noProof/>
            <w:webHidden/>
          </w:rPr>
          <w:fldChar w:fldCharType="begin"/>
        </w:r>
        <w:r>
          <w:rPr>
            <w:noProof/>
            <w:webHidden/>
          </w:rPr>
          <w:instrText xml:space="preserve"> PAGEREF _Toc236945279 \h </w:instrText>
        </w:r>
        <w:r>
          <w:rPr>
            <w:noProof/>
            <w:webHidden/>
          </w:rPr>
        </w:r>
        <w:r>
          <w:rPr>
            <w:noProof/>
            <w:webHidden/>
          </w:rPr>
          <w:fldChar w:fldCharType="separate"/>
        </w:r>
        <w:r>
          <w:rPr>
            <w:noProof/>
            <w:webHidden/>
          </w:rPr>
          <w:t>31</w:t>
        </w:r>
        <w:r>
          <w:rPr>
            <w:noProof/>
            <w:webHidden/>
          </w:rPr>
          <w:fldChar w:fldCharType="end"/>
        </w:r>
      </w:hyperlink>
    </w:p>
    <w:p w14:paraId="5BE63DD0" w14:textId="46F53475"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80" w:history="1">
        <w:r w:rsidRPr="00486C70">
          <w:rPr>
            <w:rStyle w:val="Hyperlink"/>
            <w:noProof/>
          </w:rPr>
          <w:t>Appendix E — The second paper, and the questions behind it</w:t>
        </w:r>
        <w:r>
          <w:rPr>
            <w:noProof/>
            <w:webHidden/>
          </w:rPr>
          <w:tab/>
        </w:r>
        <w:r>
          <w:rPr>
            <w:noProof/>
            <w:webHidden/>
          </w:rPr>
          <w:fldChar w:fldCharType="begin"/>
        </w:r>
        <w:r>
          <w:rPr>
            <w:noProof/>
            <w:webHidden/>
          </w:rPr>
          <w:instrText xml:space="preserve"> PAGEREF _Toc236945280 \h </w:instrText>
        </w:r>
        <w:r>
          <w:rPr>
            <w:noProof/>
            <w:webHidden/>
          </w:rPr>
        </w:r>
        <w:r>
          <w:rPr>
            <w:noProof/>
            <w:webHidden/>
          </w:rPr>
          <w:fldChar w:fldCharType="separate"/>
        </w:r>
        <w:r>
          <w:rPr>
            <w:noProof/>
            <w:webHidden/>
          </w:rPr>
          <w:t>41</w:t>
        </w:r>
        <w:r>
          <w:rPr>
            <w:noProof/>
            <w:webHidden/>
          </w:rPr>
          <w:fldChar w:fldCharType="end"/>
        </w:r>
      </w:hyperlink>
    </w:p>
    <w:p w14:paraId="2ADE2A48" w14:textId="00F59704"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1" w:history="1">
        <w:r w:rsidRPr="00486C70">
          <w:rPr>
            <w:rStyle w:val="Hyperlink"/>
            <w:noProof/>
          </w:rPr>
          <w:t>The paper brief</w:t>
        </w:r>
        <w:r>
          <w:rPr>
            <w:noProof/>
            <w:webHidden/>
          </w:rPr>
          <w:tab/>
        </w:r>
        <w:r>
          <w:rPr>
            <w:noProof/>
            <w:webHidden/>
          </w:rPr>
          <w:fldChar w:fldCharType="begin"/>
        </w:r>
        <w:r>
          <w:rPr>
            <w:noProof/>
            <w:webHidden/>
          </w:rPr>
          <w:instrText xml:space="preserve"> PAGEREF _Toc236945281 \h </w:instrText>
        </w:r>
        <w:r>
          <w:rPr>
            <w:noProof/>
            <w:webHidden/>
          </w:rPr>
        </w:r>
        <w:r>
          <w:rPr>
            <w:noProof/>
            <w:webHidden/>
          </w:rPr>
          <w:fldChar w:fldCharType="separate"/>
        </w:r>
        <w:r>
          <w:rPr>
            <w:noProof/>
            <w:webHidden/>
          </w:rPr>
          <w:t>41</w:t>
        </w:r>
        <w:r>
          <w:rPr>
            <w:noProof/>
            <w:webHidden/>
          </w:rPr>
          <w:fldChar w:fldCharType="end"/>
        </w:r>
      </w:hyperlink>
    </w:p>
    <w:p w14:paraId="2808DE34" w14:textId="233F7FC4"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2" w:history="1">
        <w:r w:rsidRPr="00486C70">
          <w:rPr>
            <w:rStyle w:val="Hyperlink"/>
            <w:noProof/>
          </w:rPr>
          <w:t>The research questions those records answered</w:t>
        </w:r>
        <w:r>
          <w:rPr>
            <w:noProof/>
            <w:webHidden/>
          </w:rPr>
          <w:tab/>
        </w:r>
        <w:r>
          <w:rPr>
            <w:noProof/>
            <w:webHidden/>
          </w:rPr>
          <w:fldChar w:fldCharType="begin"/>
        </w:r>
        <w:r>
          <w:rPr>
            <w:noProof/>
            <w:webHidden/>
          </w:rPr>
          <w:instrText xml:space="preserve"> PAGEREF _Toc236945282 \h </w:instrText>
        </w:r>
        <w:r>
          <w:rPr>
            <w:noProof/>
            <w:webHidden/>
          </w:rPr>
        </w:r>
        <w:r>
          <w:rPr>
            <w:noProof/>
            <w:webHidden/>
          </w:rPr>
          <w:fldChar w:fldCharType="separate"/>
        </w:r>
        <w:r>
          <w:rPr>
            <w:noProof/>
            <w:webHidden/>
          </w:rPr>
          <w:t>41</w:t>
        </w:r>
        <w:r>
          <w:rPr>
            <w:noProof/>
            <w:webHidden/>
          </w:rPr>
          <w:fldChar w:fldCharType="end"/>
        </w:r>
      </w:hyperlink>
    </w:p>
    <w:p w14:paraId="774146C1" w14:textId="07AA9B06"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3" w:history="1">
        <w:r w:rsidRPr="00486C70">
          <w:rPr>
            <w:rStyle w:val="Hyperlink"/>
            <w:noProof/>
          </w:rPr>
          <w:t>What the paper came out as</w:t>
        </w:r>
        <w:r>
          <w:rPr>
            <w:noProof/>
            <w:webHidden/>
          </w:rPr>
          <w:tab/>
        </w:r>
        <w:r>
          <w:rPr>
            <w:noProof/>
            <w:webHidden/>
          </w:rPr>
          <w:fldChar w:fldCharType="begin"/>
        </w:r>
        <w:r>
          <w:rPr>
            <w:noProof/>
            <w:webHidden/>
          </w:rPr>
          <w:instrText xml:space="preserve"> PAGEREF _Toc236945283 \h </w:instrText>
        </w:r>
        <w:r>
          <w:rPr>
            <w:noProof/>
            <w:webHidden/>
          </w:rPr>
        </w:r>
        <w:r>
          <w:rPr>
            <w:noProof/>
            <w:webHidden/>
          </w:rPr>
          <w:fldChar w:fldCharType="separate"/>
        </w:r>
        <w:r>
          <w:rPr>
            <w:noProof/>
            <w:webHidden/>
          </w:rPr>
          <w:t>42</w:t>
        </w:r>
        <w:r>
          <w:rPr>
            <w:noProof/>
            <w:webHidden/>
          </w:rPr>
          <w:fldChar w:fldCharType="end"/>
        </w:r>
      </w:hyperlink>
    </w:p>
    <w:p w14:paraId="1E446076" w14:textId="11FB8909"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4" w:history="1">
        <w:r w:rsidRPr="00486C70">
          <w:rPr>
            <w:rStyle w:val="Hyperlink"/>
            <w:noProof/>
          </w:rPr>
          <w:t>The paper, as rendered</w:t>
        </w:r>
        <w:r>
          <w:rPr>
            <w:noProof/>
            <w:webHidden/>
          </w:rPr>
          <w:tab/>
        </w:r>
        <w:r>
          <w:rPr>
            <w:noProof/>
            <w:webHidden/>
          </w:rPr>
          <w:fldChar w:fldCharType="begin"/>
        </w:r>
        <w:r>
          <w:rPr>
            <w:noProof/>
            <w:webHidden/>
          </w:rPr>
          <w:instrText xml:space="preserve"> PAGEREF _Toc236945284 \h </w:instrText>
        </w:r>
        <w:r>
          <w:rPr>
            <w:noProof/>
            <w:webHidden/>
          </w:rPr>
        </w:r>
        <w:r>
          <w:rPr>
            <w:noProof/>
            <w:webHidden/>
          </w:rPr>
          <w:fldChar w:fldCharType="separate"/>
        </w:r>
        <w:r>
          <w:rPr>
            <w:noProof/>
            <w:webHidden/>
          </w:rPr>
          <w:t>42</w:t>
        </w:r>
        <w:r>
          <w:rPr>
            <w:noProof/>
            <w:webHidden/>
          </w:rPr>
          <w:fldChar w:fldCharType="end"/>
        </w:r>
      </w:hyperlink>
    </w:p>
    <w:p w14:paraId="40355C91" w14:textId="0E3C633C"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5" w:history="1">
        <w:r w:rsidRPr="00486C70">
          <w:rPr>
            <w:rStyle w:val="Hyperlink"/>
            <w:noProof/>
          </w:rPr>
          <w:t>What the Mandate Built</w:t>
        </w:r>
        <w:r>
          <w:rPr>
            <w:noProof/>
            <w:webHidden/>
          </w:rPr>
          <w:tab/>
        </w:r>
        <w:r>
          <w:rPr>
            <w:noProof/>
            <w:webHidden/>
          </w:rPr>
          <w:fldChar w:fldCharType="begin"/>
        </w:r>
        <w:r>
          <w:rPr>
            <w:noProof/>
            <w:webHidden/>
          </w:rPr>
          <w:instrText xml:space="preserve"> PAGEREF _Toc236945285 \h </w:instrText>
        </w:r>
        <w:r>
          <w:rPr>
            <w:noProof/>
            <w:webHidden/>
          </w:rPr>
        </w:r>
        <w:r>
          <w:rPr>
            <w:noProof/>
            <w:webHidden/>
          </w:rPr>
          <w:fldChar w:fldCharType="separate"/>
        </w:r>
        <w:r>
          <w:rPr>
            <w:noProof/>
            <w:webHidden/>
          </w:rPr>
          <w:t>42</w:t>
        </w:r>
        <w:r>
          <w:rPr>
            <w:noProof/>
            <w:webHidden/>
          </w:rPr>
          <w:fldChar w:fldCharType="end"/>
        </w:r>
      </w:hyperlink>
    </w:p>
    <w:p w14:paraId="5A2D0E60" w14:textId="4B68C3F6"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86" w:history="1">
        <w:r w:rsidRPr="00486C70">
          <w:rPr>
            <w:rStyle w:val="Hyperlink"/>
            <w:noProof/>
          </w:rPr>
          <w:t>Appendix F — Every question Axial asks</w:t>
        </w:r>
        <w:r>
          <w:rPr>
            <w:noProof/>
            <w:webHidden/>
          </w:rPr>
          <w:tab/>
        </w:r>
        <w:r>
          <w:rPr>
            <w:noProof/>
            <w:webHidden/>
          </w:rPr>
          <w:fldChar w:fldCharType="begin"/>
        </w:r>
        <w:r>
          <w:rPr>
            <w:noProof/>
            <w:webHidden/>
          </w:rPr>
          <w:instrText xml:space="preserve"> PAGEREF _Toc236945286 \h </w:instrText>
        </w:r>
        <w:r>
          <w:rPr>
            <w:noProof/>
            <w:webHidden/>
          </w:rPr>
        </w:r>
        <w:r>
          <w:rPr>
            <w:noProof/>
            <w:webHidden/>
          </w:rPr>
          <w:fldChar w:fldCharType="separate"/>
        </w:r>
        <w:r>
          <w:rPr>
            <w:noProof/>
            <w:webHidden/>
          </w:rPr>
          <w:t>61</w:t>
        </w:r>
        <w:r>
          <w:rPr>
            <w:noProof/>
            <w:webHidden/>
          </w:rPr>
          <w:fldChar w:fldCharType="end"/>
        </w:r>
      </w:hyperlink>
    </w:p>
    <w:p w14:paraId="0D8D61B4" w14:textId="680A92FA"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7" w:history="1">
        <w:r w:rsidRPr="00486C70">
          <w:rPr>
            <w:rStyle w:val="Hyperlink"/>
            <w:noProof/>
          </w:rPr>
          <w:t>F.1 Reading the corpus</w:t>
        </w:r>
        <w:r>
          <w:rPr>
            <w:noProof/>
            <w:webHidden/>
          </w:rPr>
          <w:tab/>
        </w:r>
        <w:r>
          <w:rPr>
            <w:noProof/>
            <w:webHidden/>
          </w:rPr>
          <w:fldChar w:fldCharType="begin"/>
        </w:r>
        <w:r>
          <w:rPr>
            <w:noProof/>
            <w:webHidden/>
          </w:rPr>
          <w:instrText xml:space="preserve"> PAGEREF _Toc236945287 \h </w:instrText>
        </w:r>
        <w:r>
          <w:rPr>
            <w:noProof/>
            <w:webHidden/>
          </w:rPr>
        </w:r>
        <w:r>
          <w:rPr>
            <w:noProof/>
            <w:webHidden/>
          </w:rPr>
          <w:fldChar w:fldCharType="separate"/>
        </w:r>
        <w:r>
          <w:rPr>
            <w:noProof/>
            <w:webHidden/>
          </w:rPr>
          <w:t>61</w:t>
        </w:r>
        <w:r>
          <w:rPr>
            <w:noProof/>
            <w:webHidden/>
          </w:rPr>
          <w:fldChar w:fldCharType="end"/>
        </w:r>
      </w:hyperlink>
    </w:p>
    <w:p w14:paraId="03E9EE4B" w14:textId="60A8D3F6"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8" w:history="1">
        <w:r w:rsidRPr="00486C70">
          <w:rPr>
            <w:rStyle w:val="Hyperlink"/>
            <w:noProof/>
          </w:rPr>
          <w:t>F.2 Answering a question</w:t>
        </w:r>
        <w:r>
          <w:rPr>
            <w:noProof/>
            <w:webHidden/>
          </w:rPr>
          <w:tab/>
        </w:r>
        <w:r>
          <w:rPr>
            <w:noProof/>
            <w:webHidden/>
          </w:rPr>
          <w:fldChar w:fldCharType="begin"/>
        </w:r>
        <w:r>
          <w:rPr>
            <w:noProof/>
            <w:webHidden/>
          </w:rPr>
          <w:instrText xml:space="preserve"> PAGEREF _Toc236945288 \h </w:instrText>
        </w:r>
        <w:r>
          <w:rPr>
            <w:noProof/>
            <w:webHidden/>
          </w:rPr>
        </w:r>
        <w:r>
          <w:rPr>
            <w:noProof/>
            <w:webHidden/>
          </w:rPr>
          <w:fldChar w:fldCharType="separate"/>
        </w:r>
        <w:r>
          <w:rPr>
            <w:noProof/>
            <w:webHidden/>
          </w:rPr>
          <w:t>62</w:t>
        </w:r>
        <w:r>
          <w:rPr>
            <w:noProof/>
            <w:webHidden/>
          </w:rPr>
          <w:fldChar w:fldCharType="end"/>
        </w:r>
      </w:hyperlink>
    </w:p>
    <w:p w14:paraId="406753B1" w14:textId="55044D82"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89" w:history="1">
        <w:r w:rsidRPr="00486C70">
          <w:rPr>
            <w:rStyle w:val="Hyperlink"/>
            <w:noProof/>
          </w:rPr>
          <w:t>F.3 Writing the paper</w:t>
        </w:r>
        <w:r>
          <w:rPr>
            <w:noProof/>
            <w:webHidden/>
          </w:rPr>
          <w:tab/>
        </w:r>
        <w:r>
          <w:rPr>
            <w:noProof/>
            <w:webHidden/>
          </w:rPr>
          <w:fldChar w:fldCharType="begin"/>
        </w:r>
        <w:r>
          <w:rPr>
            <w:noProof/>
            <w:webHidden/>
          </w:rPr>
          <w:instrText xml:space="preserve"> PAGEREF _Toc236945289 \h </w:instrText>
        </w:r>
        <w:r>
          <w:rPr>
            <w:noProof/>
            <w:webHidden/>
          </w:rPr>
        </w:r>
        <w:r>
          <w:rPr>
            <w:noProof/>
            <w:webHidden/>
          </w:rPr>
          <w:fldChar w:fldCharType="separate"/>
        </w:r>
        <w:r>
          <w:rPr>
            <w:noProof/>
            <w:webHidden/>
          </w:rPr>
          <w:t>63</w:t>
        </w:r>
        <w:r>
          <w:rPr>
            <w:noProof/>
            <w:webHidden/>
          </w:rPr>
          <w:fldChar w:fldCharType="end"/>
        </w:r>
      </w:hyperlink>
    </w:p>
    <w:p w14:paraId="570279BA" w14:textId="23E1E5A0" w:rsidR="00D06213" w:rsidRDefault="00D06213">
      <w:pPr>
        <w:pStyle w:val="TOC3"/>
        <w:tabs>
          <w:tab w:val="right" w:leader="dot" w:pos="9494"/>
        </w:tabs>
        <w:rPr>
          <w:rFonts w:asciiTheme="minorHAnsi" w:hAnsiTheme="minorHAnsi"/>
          <w:noProof/>
          <w:kern w:val="2"/>
          <w:sz w:val="24"/>
          <w:szCs w:val="24"/>
          <w:lang w:val="en-NL" w:eastAsia="en-NL"/>
          <w14:ligatures w14:val="standardContextual"/>
        </w:rPr>
      </w:pPr>
      <w:hyperlink w:anchor="_Toc236945290" w:history="1">
        <w:r w:rsidRPr="00486C70">
          <w:rPr>
            <w:rStyle w:val="Hyperlink"/>
            <w:noProof/>
          </w:rPr>
          <w:t>F.4 The judges, which sit outside the pipeline</w:t>
        </w:r>
        <w:r>
          <w:rPr>
            <w:noProof/>
            <w:webHidden/>
          </w:rPr>
          <w:tab/>
        </w:r>
        <w:r>
          <w:rPr>
            <w:noProof/>
            <w:webHidden/>
          </w:rPr>
          <w:fldChar w:fldCharType="begin"/>
        </w:r>
        <w:r>
          <w:rPr>
            <w:noProof/>
            <w:webHidden/>
          </w:rPr>
          <w:instrText xml:space="preserve"> PAGEREF _Toc236945290 \h </w:instrText>
        </w:r>
        <w:r>
          <w:rPr>
            <w:noProof/>
            <w:webHidden/>
          </w:rPr>
        </w:r>
        <w:r>
          <w:rPr>
            <w:noProof/>
            <w:webHidden/>
          </w:rPr>
          <w:fldChar w:fldCharType="separate"/>
        </w:r>
        <w:r>
          <w:rPr>
            <w:noProof/>
            <w:webHidden/>
          </w:rPr>
          <w:t>64</w:t>
        </w:r>
        <w:r>
          <w:rPr>
            <w:noProof/>
            <w:webHidden/>
          </w:rPr>
          <w:fldChar w:fldCharType="end"/>
        </w:r>
      </w:hyperlink>
    </w:p>
    <w:p w14:paraId="1504B8E7" w14:textId="378F803D" w:rsidR="00D06213" w:rsidRDefault="00D06213">
      <w:pPr>
        <w:pStyle w:val="TOC2"/>
        <w:tabs>
          <w:tab w:val="right" w:leader="dot" w:pos="9494"/>
        </w:tabs>
        <w:rPr>
          <w:rFonts w:asciiTheme="minorHAnsi" w:hAnsiTheme="minorHAnsi"/>
          <w:noProof/>
          <w:kern w:val="2"/>
          <w:sz w:val="24"/>
          <w:szCs w:val="24"/>
          <w:lang w:val="en-NL" w:eastAsia="en-NL"/>
          <w14:ligatures w14:val="standardContextual"/>
        </w:rPr>
      </w:pPr>
      <w:hyperlink w:anchor="_Toc236945291" w:history="1">
        <w:r w:rsidRPr="00486C70">
          <w:rPr>
            <w:rStyle w:val="Hyperlink"/>
            <w:noProof/>
          </w:rPr>
          <w:t>Appendix G — Glossary</w:t>
        </w:r>
        <w:r>
          <w:rPr>
            <w:noProof/>
            <w:webHidden/>
          </w:rPr>
          <w:tab/>
        </w:r>
        <w:r>
          <w:rPr>
            <w:noProof/>
            <w:webHidden/>
          </w:rPr>
          <w:fldChar w:fldCharType="begin"/>
        </w:r>
        <w:r>
          <w:rPr>
            <w:noProof/>
            <w:webHidden/>
          </w:rPr>
          <w:instrText xml:space="preserve"> PAGEREF _Toc236945291 \h </w:instrText>
        </w:r>
        <w:r>
          <w:rPr>
            <w:noProof/>
            <w:webHidden/>
          </w:rPr>
        </w:r>
        <w:r>
          <w:rPr>
            <w:noProof/>
            <w:webHidden/>
          </w:rPr>
          <w:fldChar w:fldCharType="separate"/>
        </w:r>
        <w:r>
          <w:rPr>
            <w:noProof/>
            <w:webHidden/>
          </w:rPr>
          <w:t>65</w:t>
        </w:r>
        <w:r>
          <w:rPr>
            <w:noProof/>
            <w:webHidden/>
          </w:rPr>
          <w:fldChar w:fldCharType="end"/>
        </w:r>
      </w:hyperlink>
    </w:p>
    <w:p w14:paraId="13B872A5" w14:textId="713631B5" w:rsidR="00970438" w:rsidRPr="00D06213" w:rsidRDefault="00D06213" w:rsidP="00D06213">
      <w:pPr>
        <w:rPr>
          <w:rFonts w:cs="Calibri"/>
        </w:rPr>
      </w:pPr>
      <w:r>
        <w:rPr>
          <w:rFonts w:cs="Calibri"/>
        </w:rPr>
        <w:fldChar w:fldCharType="end"/>
      </w:r>
    </w:p>
    <w:p w14:paraId="6EA12D8B" w14:textId="77777777" w:rsidR="00D06213" w:rsidRPr="00D06213" w:rsidRDefault="00D06213" w:rsidP="00D06213">
      <w:pPr>
        <w:rPr>
          <w:rFonts w:cs="Calibri"/>
          <w:color w:val="000000"/>
        </w:rPr>
      </w:pPr>
      <w:r w:rsidRPr="00D06213">
        <w:rPr>
          <w:rFonts w:cs="Calibri"/>
          <w:color w:val="000000"/>
        </w:rPr>
        <w:br w:type="page"/>
      </w:r>
    </w:p>
    <w:p w14:paraId="287D13A8" w14:textId="5015C7DC" w:rsidR="00970438" w:rsidRDefault="00000000">
      <w:pPr>
        <w:pStyle w:val="Heading2"/>
      </w:pPr>
      <w:bookmarkStart w:id="2" w:name="_Toc236945237"/>
      <w:r>
        <w:lastRenderedPageBreak/>
        <w:t>1. What Axial is</w:t>
      </w:r>
      <w:bookmarkEnd w:id="2"/>
    </w:p>
    <w:p w14:paraId="6167E301" w14:textId="77777777" w:rsidR="00970438" w:rsidRDefault="00000000" w:rsidP="00D06213">
      <w:pPr>
        <w:jc w:val="both"/>
      </w:pPr>
      <w:r>
        <w:t>Axial reads a shelf of academic books once, in full, and writes down what every passage says. Then it answers research questions out of that reading, and ends by drafting the paper the answer is the material for.</w:t>
      </w:r>
    </w:p>
    <w:p w14:paraId="697C886F" w14:textId="77777777" w:rsidR="00970438" w:rsidRDefault="00000000" w:rsidP="00D06213">
      <w:pPr>
        <w:jc w:val="both"/>
      </w:pPr>
      <w:r>
        <w:t xml:space="preserve">The unit is not the book and not the chapter. It is the </w:t>
      </w:r>
      <w:r>
        <w:rPr>
          <w:b/>
        </w:rPr>
        <w:t>passage</w:t>
      </w:r>
      <w:r>
        <w:t>: a few paragraphs, about the size of one complete move in an argument. Axial reads every passage in the library, one at a time, in isolation, and records what that passage claims, whose position it is, who it argues against, whom it cites, and every named thing in it. That reading happens before any question is asked, and it is the only time a book is read.</w:t>
      </w:r>
    </w:p>
    <w:p w14:paraId="698AF9D1" w14:textId="77777777" w:rsidR="00970438" w:rsidRDefault="00000000" w:rsidP="00D06213">
      <w:pPr>
        <w:jc w:val="both"/>
      </w:pPr>
      <w:r>
        <w:t>What the reading produces is three things, in layers.</w:t>
      </w:r>
    </w:p>
    <w:p w14:paraId="139EAB8F" w14:textId="77777777" w:rsidR="00970438" w:rsidRDefault="00000000" w:rsidP="00D06213">
      <w:pPr>
        <w:jc w:val="both"/>
      </w:pPr>
      <w:r>
        <w:rPr>
          <w:b/>
        </w:rPr>
        <w:t>An encyclopaedia of names.</w:t>
      </w:r>
      <w:r>
        <w:t xml:space="preserve"> Every scholar, country, institution, event and concept any passage mentions gets a page. The page lists the passages that mention it and, where the page is big enough to hold an argument, states what the authors gathered there disagree about. Two books that never cite each other meet on the page for the name they both use.</w:t>
      </w:r>
    </w:p>
    <w:p w14:paraId="49283E40" w14:textId="77777777" w:rsidR="00970438" w:rsidRDefault="00000000" w:rsidP="00D06213">
      <w:pPr>
        <w:spacing w:before="80"/>
        <w:ind w:left="432"/>
        <w:jc w:val="both"/>
      </w:pPr>
      <w:r>
        <w:rPr>
          <w:b/>
          <w:i/>
        </w:rPr>
        <w:t>Name, and name page.</w:t>
      </w:r>
      <w:r>
        <w:rPr>
          <w:i/>
        </w:rPr>
        <w:t xml:space="preserve"> A name in Axial is any specific thing a passage names: a person (Charles Tilly), a place (Aleppo), an institution (the French Mandate), an event (the 1925 revolt), a concept (infrastructural power), or a book. It is whatever the passage itself named, in the passage's own words, not a category chosen from a list. A name page is the page Axial builds for one such name, and it works like an encyclopaedia entry that writes itself: it holds every passage in the library that mentioned that name, from whichever book, and it is the place where two authors who never read each other end up side by side. The library currently has 47,584 of them.</w:t>
      </w:r>
    </w:p>
    <w:p w14:paraId="27E90B06" w14:textId="77777777" w:rsidR="00970438" w:rsidRDefault="00000000" w:rsidP="00D06213">
      <w:pPr>
        <w:jc w:val="both"/>
      </w:pPr>
      <w:r>
        <w:rPr>
          <w:b/>
        </w:rPr>
        <w:t>A map of arguments.</w:t>
      </w:r>
      <w:r>
        <w:t xml:space="preserve"> Passages that make the same argument are grouped into a </w:t>
      </w:r>
      <w:r>
        <w:rPr>
          <w:b/>
        </w:rPr>
        <w:t>position</w:t>
      </w:r>
      <w:r>
        <w:t>, once, offline.</w:t>
      </w:r>
    </w:p>
    <w:p w14:paraId="32589CA1" w14:textId="77777777" w:rsidR="00970438" w:rsidRDefault="00000000" w:rsidP="00D06213">
      <w:pPr>
        <w:spacing w:before="80"/>
        <w:ind w:left="432"/>
        <w:jc w:val="both"/>
      </w:pPr>
      <w:r>
        <w:rPr>
          <w:b/>
          <w:i/>
        </w:rPr>
        <w:t>Position.</w:t>
      </w:r>
      <w:r>
        <w:rPr>
          <w:i/>
        </w:rPr>
        <w:t xml:space="preserve"> A position is one argument, held by however many passages make it. If eleven passages spread over five books all argue that states build bureaucracies in order to pay for war, those eleven passages are one position, and the position is stated in a single sentence drawn from their own wording. It is not a topic and not a category. It is a claim someone could disagree with, and the disagreement is exactly what the map is built to find. A position keeps every passage behind it, so it can always be opened back up into the books it came from.</w:t>
      </w:r>
    </w:p>
    <w:p w14:paraId="0C7D8FDA" w14:textId="77777777" w:rsidR="00970438" w:rsidRDefault="00000000" w:rsidP="00D06213">
      <w:pPr>
        <w:jc w:val="both"/>
      </w:pPr>
      <w:r>
        <w:t xml:space="preserve">Then every position is asked how it stands to its neighbours. The result is a graph of what supports, qualifies, exemplifies and contradicts what, across the whole library, stated in the corpus's own words. Nobody handed the model a menu of relationship types; it coined 504 distinct labels on this corpus, of which the four commonest are </w:t>
      </w:r>
      <w:r>
        <w:rPr>
          <w:i/>
        </w:rPr>
        <w:t>supports</w:t>
      </w:r>
      <w:r>
        <w:t xml:space="preserve">, </w:t>
      </w:r>
      <w:r>
        <w:rPr>
          <w:i/>
        </w:rPr>
        <w:t>exemplifies</w:t>
      </w:r>
      <w:r>
        <w:t xml:space="preserve">, </w:t>
      </w:r>
      <w:r>
        <w:rPr>
          <w:i/>
        </w:rPr>
        <w:t>qualifies</w:t>
      </w:r>
      <w:r>
        <w:t xml:space="preserve"> and </w:t>
      </w:r>
      <w:r>
        <w:rPr>
          <w:i/>
        </w:rPr>
        <w:t>contradicts</w:t>
      </w:r>
      <w:r>
        <w:t>.</w:t>
      </w:r>
    </w:p>
    <w:p w14:paraId="48045CFC" w14:textId="77777777" w:rsidR="00970438" w:rsidRDefault="00000000" w:rsidP="00D06213">
      <w:pPr>
        <w:jc w:val="both"/>
      </w:pPr>
      <w:r>
        <w:rPr>
          <w:b/>
        </w:rPr>
        <w:t>A paper.</w:t>
      </w:r>
      <w:r>
        <w:t xml:space="preserve"> You give Axial a case and a request. It interrogates the question before answering it, walks the two layers above for evidence, writes an answer as a list of claims each marked for what kind of claim it is and pointed at the passages behind it, runs a set of mechanical checks the model cannot reach, and then drafts a paper from the claims that survived. One command does all of it.</w:t>
      </w:r>
    </w:p>
    <w:p w14:paraId="6A7011A0" w14:textId="77777777" w:rsidR="00970438" w:rsidRDefault="00000000" w:rsidP="00D06213">
      <w:pPr>
        <w:jc w:val="both"/>
      </w:pPr>
      <w:r>
        <w:t>The finished paper reads like a journal article. Every citation in it resolves to a passage in a real book on the shelf, and the chain from sentence to passage is machine-checkable at every link.</w:t>
      </w:r>
    </w:p>
    <w:p w14:paraId="68611E69" w14:textId="77777777" w:rsidR="00970438" w:rsidRDefault="00000000">
      <w:pPr>
        <w:pStyle w:val="Heading3"/>
      </w:pPr>
      <w:bookmarkStart w:id="3" w:name="_Toc236945238"/>
      <w:r>
        <w:lastRenderedPageBreak/>
        <w:t>What it is not</w:t>
      </w:r>
      <w:bookmarkEnd w:id="3"/>
    </w:p>
    <w:p w14:paraId="70D88293" w14:textId="77777777" w:rsidR="00970438" w:rsidRDefault="00000000" w:rsidP="00D06213">
      <w:pPr>
        <w:jc w:val="both"/>
      </w:pPr>
      <w:r>
        <w:t>It is not a chatbot, not a search engine, and not a summariser. It never reaches the open web, and it cannot cite anything that is not in the library. It has no opinion it did not build from the corpus, and where the corpus is silent it is designed to say so rather than fill the gap from what the model happens to remember.</w:t>
      </w:r>
    </w:p>
    <w:p w14:paraId="3D1638D7" w14:textId="77777777" w:rsidR="00970438" w:rsidRDefault="00000000">
      <w:pPr>
        <w:pStyle w:val="Heading2"/>
      </w:pPr>
      <w:bookmarkStart w:id="4" w:name="_Toc236945239"/>
      <w:r>
        <w:t>2. Why the tools you already have do not do this</w:t>
      </w:r>
      <w:bookmarkEnd w:id="4"/>
    </w:p>
    <w:p w14:paraId="188F5844" w14:textId="77777777" w:rsidR="00970438" w:rsidRDefault="00000000" w:rsidP="00D06213">
      <w:pPr>
        <w:jc w:val="both"/>
      </w:pPr>
      <w:r>
        <w:t>You have probably uploaded PDFs to a chat assistant and asked questions, or pressed a "deep research" button. Those tools are useful. They are built for a different job, and the difference is structural rather than a matter of quality.</w:t>
      </w:r>
    </w:p>
    <w:p w14:paraId="4E39D91B" w14:textId="77777777" w:rsidR="00970438" w:rsidRDefault="00000000" w:rsidP="009C625C">
      <w:pPr>
        <w:jc w:val="both"/>
      </w:pPr>
      <w:r>
        <w:rPr>
          <w:b/>
        </w:rPr>
        <w:t>The order of operations is inverted.</w:t>
      </w:r>
      <w:r>
        <w:t xml:space="preserve"> Every retrieval-based tool searches first and reads second: it finds text that looks relevant to your question, then writes something on top of it. That has one well-known failure and one less obvious one. The known failure is that plausible-sounding text gets retrieved and plausible-sounding prose gets written over it, and nobody can check the join. The less obvious failure is that the tool can only ever see the part of the library your query happened to reach. It has no idea what is in the rest.</w:t>
      </w:r>
    </w:p>
    <w:p w14:paraId="1C4AC7B0" w14:textId="77777777" w:rsidR="00970438" w:rsidRDefault="00000000" w:rsidP="009C625C">
      <w:pPr>
        <w:jc w:val="both"/>
      </w:pPr>
      <w:r>
        <w:t>Axial reads everything before anything is asked. Retrieval then runs over a record of a completed reading, not over raw text. The question cannot decide what gets read, because the reading is already done.</w:t>
      </w:r>
    </w:p>
    <w:p w14:paraId="7BDB6D78" w14:textId="77777777" w:rsidR="00970438" w:rsidRDefault="00000000" w:rsidP="009C625C">
      <w:pPr>
        <w:jc w:val="both"/>
      </w:pPr>
      <w:r>
        <w:rPr>
          <w:b/>
        </w:rPr>
        <w:t>Against uploading books to a chat assistant.</w:t>
      </w:r>
      <w:r>
        <w:t xml:space="preserve"> The assistant retrieves a few passages and paraphrases them. It rarely separates what a source </w:t>
      </w:r>
      <w:r>
        <w:rPr>
          <w:i/>
        </w:rPr>
        <w:t>claims</w:t>
      </w:r>
      <w:r>
        <w:t xml:space="preserve"> from what it is </w:t>
      </w:r>
      <w:r>
        <w:rPr>
          <w:i/>
        </w:rPr>
        <w:t>inferring</w:t>
      </w:r>
      <w:r>
        <w:t>, it attributes unreliably, and it will produce a confident paragraph whether or not the sources support one. It never tells you what it left out. In Axial every assertion in an answer is marked as exactly one of three kinds, and the marking is enforced by a check that blocks release, not requested in a prompt.</w:t>
      </w:r>
    </w:p>
    <w:p w14:paraId="2C03A030" w14:textId="77777777" w:rsidR="00970438" w:rsidRDefault="00000000" w:rsidP="009C625C">
      <w:pPr>
        <w:jc w:val="both"/>
      </w:pPr>
      <w:r>
        <w:rPr>
          <w:b/>
        </w:rPr>
        <w:t>Against RAG and knowledge-graph systems.</w:t>
      </w:r>
    </w:p>
    <w:p w14:paraId="22251433" w14:textId="77777777" w:rsidR="00970438" w:rsidRDefault="00000000" w:rsidP="009C625C">
      <w:pPr>
        <w:spacing w:before="80"/>
        <w:ind w:left="432"/>
        <w:jc w:val="both"/>
      </w:pPr>
      <w:r>
        <w:rPr>
          <w:b/>
          <w:i/>
        </w:rPr>
        <w:t>RAG.</w:t>
      </w:r>
      <w:r>
        <w:rPr>
          <w:i/>
        </w:rPr>
        <w:t xml:space="preserve"> Short for retrieval-augmented generation, and it is the standard way almost every "chat with your documents" product works. The documents are cut into fragments and indexed. When you ask a question, the system searches that index, pulls out the handful of fragments that look most similar to your wording, pastes them invisibly above your question, and asks a language model to answer using them. It is a genuine improvement on a model answering from memory alone, because at least something real is in front of it. Its two limits are structural rather than fixable by a better search: the model only ever sees what your question happened to retrieve, and nothing in the arrangement distinguishes a sentence a source actually asserted from a sentence the model composed on top of it. A knowledge-graph system is a more sophisticated relative — it first extracts entities and the links between them, then searches that structure instead of raw text — but the order of operations, and therefore both limits, are the same.</w:t>
      </w:r>
    </w:p>
    <w:p w14:paraId="0384BC4D" w14:textId="77777777" w:rsidR="00970438" w:rsidRDefault="00000000" w:rsidP="009C625C">
      <w:pPr>
        <w:jc w:val="both"/>
      </w:pPr>
      <w:r>
        <w:t xml:space="preserve">Those systems improve retrieval: they find better passages, and some of them build a graph of entities to find them by. Axial builds that layer too, and then does the thing retrieval systems do not attempt, which is </w:t>
      </w:r>
      <w:r>
        <w:rPr>
          <w:b/>
        </w:rPr>
        <w:t>synthesis</w:t>
      </w:r>
      <w:r>
        <w:t xml:space="preserve"> — producing an argument no single source made, across sources, the way a scholar writes a review essay, held to the attribution a scholar is held to. A knowledge graph tells you that Tilly and Mann are both connected to "state formation". Axial's argument map records that a specific claim of Mann's </w:t>
      </w:r>
      <w:r>
        <w:rPr>
          <w:i/>
        </w:rPr>
        <w:t>qualifies</w:t>
      </w:r>
      <w:r>
        <w:t xml:space="preserve"> a specific claim of Tilly's, in a sentence, with the passages on both sides.</w:t>
      </w:r>
    </w:p>
    <w:p w14:paraId="16388C4C" w14:textId="77777777" w:rsidR="00970438" w:rsidRDefault="00000000" w:rsidP="009C625C">
      <w:pPr>
        <w:spacing w:before="80"/>
        <w:ind w:left="432"/>
        <w:jc w:val="both"/>
      </w:pPr>
      <w:r>
        <w:rPr>
          <w:b/>
          <w:i/>
        </w:rPr>
        <w:t>Tilly and Mann.</w:t>
      </w:r>
      <w:r>
        <w:rPr>
          <w:i/>
        </w:rPr>
        <w:t xml:space="preserve"> The two scholars this report keeps returning to, because they are the two the library's own passages meet over most often.</w:t>
      </w:r>
    </w:p>
    <w:p w14:paraId="126B0D8A" w14:textId="77777777" w:rsidR="00970438" w:rsidRDefault="00000000" w:rsidP="009C625C">
      <w:pPr>
        <w:jc w:val="both"/>
      </w:pPr>
      <w:r>
        <w:lastRenderedPageBreak/>
        <w:t>&gt;</w:t>
      </w:r>
    </w:p>
    <w:p w14:paraId="2FF31703" w14:textId="77777777" w:rsidR="00970438" w:rsidRDefault="00000000" w:rsidP="009C625C">
      <w:pPr>
        <w:spacing w:before="80"/>
        <w:ind w:left="432"/>
        <w:jc w:val="both"/>
      </w:pPr>
      <w:r>
        <w:rPr>
          <w:b/>
          <w:i/>
        </w:rPr>
        <w:t>Charles Tilly</w:t>
      </w:r>
      <w:r>
        <w:rPr>
          <w:i/>
        </w:rPr>
        <w:t xml:space="preserve"> (1929–2008) was an American sociologist and historian, at his death the Joseph L. Buttenwieser Professor of Social Science at Columbia, holding a joint appointment in sociology and political science. He published over fifty books and some six hundred articles, and effectively created the field now called contentious politics — the study of strikes, riots, revolutions and social movements as one family of behaviour. He is best known outside that field for the argument compressed into the phrase war made the state, and the state made war: rulers who needed to fight had to extract taxes to pay for it, extracting taxes required a bureaucracy, resisting subjects had to be bargained with, and the modern European state is what came out the other end. Tilly himself put the comparison bluntly, likening the arrangement to a protection racket. The library holds his From Mobilization to Revolution (1978).</w:t>
      </w:r>
    </w:p>
    <w:p w14:paraId="1BC6AA8E" w14:textId="77777777" w:rsidR="00970438" w:rsidRDefault="00000000" w:rsidP="009C625C">
      <w:pPr>
        <w:jc w:val="both"/>
      </w:pPr>
      <w:r>
        <w:t>&gt;</w:t>
      </w:r>
    </w:p>
    <w:p w14:paraId="2F89C29C" w14:textId="77777777" w:rsidR="00970438" w:rsidRDefault="00000000" w:rsidP="009C625C">
      <w:pPr>
        <w:spacing w:before="80"/>
        <w:ind w:left="432"/>
        <w:jc w:val="both"/>
      </w:pPr>
      <w:r>
        <w:rPr>
          <w:b/>
          <w:i/>
        </w:rPr>
        <w:t>Michael Mann</w:t>
      </w:r>
      <w:r>
        <w:rPr>
          <w:i/>
        </w:rPr>
        <w:t xml:space="preserve"> (b. 1942, Manchester) is Distinguished Research Professor Emeritus of Sociology at UCLA, where he taught from 1987, after a decade at the London School of Economics. His principal work is the four-volume The Sources of Social Power (1986, 1993, 2012, 2013), a history of power in human societies built on the claim that power runs through four channels — ideological, economic, military and political — which interact but never reduce to one another. His 1984 paper on the autonomous power of the state introduced the distinction between despotic power (what a ruler can do to people without negotiating) and infrastructural power (how deeply the state can actually reach into the society it governs to collect a tax or enforce a law). That distinction runs through both papers in the appendices. All four volumes are in the library, along with a volume of critical essays on his work.</w:t>
      </w:r>
    </w:p>
    <w:p w14:paraId="52FB96EA" w14:textId="77777777" w:rsidR="00970438" w:rsidRDefault="00000000" w:rsidP="009C625C">
      <w:pPr>
        <w:jc w:val="both"/>
      </w:pPr>
      <w:r>
        <w:t>&gt;</w:t>
      </w:r>
    </w:p>
    <w:p w14:paraId="18D96A59" w14:textId="7AC568CB" w:rsidR="00970438" w:rsidRDefault="00000000" w:rsidP="009C625C">
      <w:pPr>
        <w:spacing w:before="80"/>
        <w:ind w:left="432"/>
        <w:jc w:val="both"/>
      </w:pPr>
      <w:r>
        <w:rPr>
          <w:i/>
        </w:rPr>
        <w:t xml:space="preserve">The two are not opponents in any simple sense, and the map does not treat them as such. Mann's later work concedes that war no longer makes states the way it once did, which is one of the qualifications the library records. Axial was built the attribute-and-query way first, and </w:t>
      </w:r>
      <w:hyperlink w:anchor="sec4" w:history="1">
        <w:r w:rsidRPr="00D06213">
          <w:rPr>
            <w:rStyle w:val="Hyperlink"/>
            <w:i/>
          </w:rPr>
          <w:t>section 4</w:t>
        </w:r>
      </w:hyperlink>
      <w:r>
        <w:rPr>
          <w:i/>
        </w:rPr>
        <w:t xml:space="preserve"> reports what that produced: 18,761 tagged passages and zero connections between any two books.</w:t>
      </w:r>
    </w:p>
    <w:p w14:paraId="67D19BEA" w14:textId="77777777" w:rsidR="00970438" w:rsidRDefault="00000000" w:rsidP="009C625C">
      <w:pPr>
        <w:jc w:val="both"/>
      </w:pPr>
      <w:r>
        <w:rPr>
          <w:b/>
        </w:rPr>
        <w:t>Against "deep research" on the open web.</w:t>
      </w:r>
      <w:r>
        <w:t xml:space="preserve"> Those tools scrape whatever the web offers, weigh a preprint the same as a blog post, and sometimes cite sources that do not exist. Axial works on a curated shelf of real scholarship and cannot reach outside it. The grounding is not a policy. It is structural: the drafting model that writes the final paper has </w:t>
      </w:r>
      <w:r>
        <w:rPr>
          <w:b/>
        </w:rPr>
        <w:t>no retrieval tools at all</w:t>
      </w:r>
      <w:r>
        <w:t>. Its whole world is the list of claims that already passed the checks. It cannot introduce evidence because it has no path to any.</w:t>
      </w:r>
    </w:p>
    <w:p w14:paraId="6F575A10" w14:textId="77777777" w:rsidR="00970438" w:rsidRDefault="00000000" w:rsidP="009C625C">
      <w:pPr>
        <w:jc w:val="both"/>
      </w:pPr>
      <w:r>
        <w:rPr>
          <w:b/>
        </w:rPr>
        <w:t>The honest version of the comparison.</w:t>
      </w:r>
      <w:r>
        <w:t xml:space="preserve"> For "what does this book say about X", a chat assistant with the PDF attached is faster and cheaper, and you should use one. Axial is for the question a chat assistant cannot take seriously: what does a body of scholarship, read whole, say about a contested question, and where do its authors disagree.</w:t>
      </w:r>
    </w:p>
    <w:p w14:paraId="052713E6" w14:textId="77777777" w:rsidR="00970438" w:rsidRDefault="00000000">
      <w:pPr>
        <w:pStyle w:val="Heading2"/>
      </w:pPr>
      <w:bookmarkStart w:id="5" w:name="_Toc236945240"/>
      <w:bookmarkStart w:id="6" w:name="sec3"/>
      <w:bookmarkEnd w:id="6"/>
      <w:r>
        <w:t>3. How it works</w:t>
      </w:r>
      <w:bookmarkEnd w:id="5"/>
    </w:p>
    <w:p w14:paraId="47330A3D" w14:textId="77777777" w:rsidR="00970438" w:rsidRDefault="00000000">
      <w:pPr>
        <w:pStyle w:val="Heading3"/>
      </w:pPr>
      <w:bookmarkStart w:id="7" w:name="_Toc236945241"/>
      <w:r>
        <w:t>3.1 Before you ask anything</w:t>
      </w:r>
      <w:bookmarkEnd w:id="7"/>
    </w:p>
    <w:p w14:paraId="0C1C9C08" w14:textId="77777777" w:rsidR="00970438" w:rsidRDefault="00000000" w:rsidP="009C625C">
      <w:pPr>
        <w:jc w:val="both"/>
      </w:pPr>
      <w:r>
        <w:rPr>
          <w:b/>
        </w:rPr>
        <w:t>Intake.</w:t>
      </w:r>
      <w:r>
        <w:t xml:space="preserve"> A book arrives, from a Google Drive folder or from disk. Axial checks it has a real text layer and is not a scan, reads the author, title and date out of the file itself, and checks whether the file contains the whole work </w:t>
      </w:r>
      <w:r>
        <w:lastRenderedPageBreak/>
        <w:t>it claims to be. Bibliographic fields that cannot be confirmed from the file are recorded as not recovered rather than guessed. This matters more than it sounds: one file in the current library carries embedded metadata attributing it to an entirely different book, left over from the tool that made the PDF.</w:t>
      </w:r>
    </w:p>
    <w:p w14:paraId="409A9887" w14:textId="77777777" w:rsidR="00970438" w:rsidRDefault="00000000" w:rsidP="009C625C">
      <w:pPr>
        <w:jc w:val="both"/>
      </w:pPr>
      <w:r>
        <w:rPr>
          <w:b/>
        </w:rPr>
        <w:t>Structure.</w:t>
      </w:r>
      <w:r>
        <w:t xml:space="preserve"> The book's hierarchy is rebuilt — chapters, sections, headings, tables, figures, footnotes, index, bibliography. The damage PDFs do to text is repaired. Every block is sorted into prose, artifact, or apparatus. Front and back matter that carries no argument is set aside and recorded as set aside, never silently dropped.</w:t>
      </w:r>
    </w:p>
    <w:p w14:paraId="05DA40AC" w14:textId="77777777" w:rsidR="00970438" w:rsidRDefault="00000000" w:rsidP="009C625C">
      <w:pPr>
        <w:jc w:val="both"/>
      </w:pPr>
      <w:r>
        <w:rPr>
          <w:b/>
        </w:rPr>
        <w:t>Envelope.</w:t>
      </w:r>
      <w:r>
        <w:t xml:space="preserve"> One pass per book captures what the book says it is doing: the author's stated thesis, the scope, the argument as stated, and a table of contents reconstructed from the book's own prose. This is grounded in the text, never in what a model might know about the title. It travels with every passage afterwards, so a model reading one paragraph of a book it has never otherwise seen always knows what the book is arguing.</w:t>
      </w:r>
    </w:p>
    <w:p w14:paraId="20EFC0DB" w14:textId="77777777" w:rsidR="00970438" w:rsidRDefault="00000000" w:rsidP="009C625C">
      <w:pPr>
        <w:jc w:val="both"/>
      </w:pPr>
      <w:r>
        <w:rPr>
          <w:b/>
        </w:rPr>
        <w:t>Chunking.</w:t>
      </w:r>
      <w:r>
        <w:t xml:space="preserve"> The prose is cut into passages along the author's own paragraph and sentence boundaries, never a fixed word count, and every passage is kept between roughly 3,500 and 9,000 characters — one to four pages of a printed book. The size is chosen for the questions below. A claim and the evidence for it usually sit several paragraphs apart, and a smaller window would produce abstentions for want of text rather than for want of an answer. </w:t>
      </w:r>
      <w:r>
        <w:rPr>
          <w:b/>
        </w:rPr>
        <w:t>The cutting involves no AI at all.</w:t>
      </w:r>
      <w:r>
        <w:t xml:space="preserve"> It is mechanical, repeatable, and inspectable before a penny of model spend.</w:t>
      </w:r>
    </w:p>
    <w:p w14:paraId="28C65825" w14:textId="77777777" w:rsidR="00970438" w:rsidRDefault="00000000" w:rsidP="009C625C">
      <w:pPr>
        <w:jc w:val="both"/>
      </w:pPr>
      <w:r>
        <w:rPr>
          <w:b/>
        </w:rPr>
        <w:t>The reading.</w:t>
      </w:r>
      <w:r>
        <w:t xml:space="preserve"> One model call per passage. Fourteen open questions, producing seventeen recorded answers:</w:t>
      </w:r>
    </w:p>
    <w:tbl>
      <w:tblPr>
        <w:tblStyle w:val="LightGrid-Accent1"/>
        <w:tblW w:w="0" w:type="auto"/>
        <w:tblLook w:val="04A0" w:firstRow="1" w:lastRow="0" w:firstColumn="1" w:lastColumn="0" w:noHBand="0" w:noVBand="1"/>
      </w:tblPr>
      <w:tblGrid>
        <w:gridCol w:w="1242"/>
        <w:gridCol w:w="8262"/>
      </w:tblGrid>
      <w:tr w:rsidR="00970438" w14:paraId="236A807C"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5C303AF6" w14:textId="77777777" w:rsidR="00970438" w:rsidRDefault="00970438">
            <w:pPr>
              <w:spacing w:after="40"/>
            </w:pPr>
          </w:p>
        </w:tc>
        <w:tc>
          <w:tcPr>
            <w:tcW w:w="8262" w:type="dxa"/>
          </w:tcPr>
          <w:p w14:paraId="4152E00F"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Question</w:t>
            </w:r>
          </w:p>
        </w:tc>
      </w:tr>
      <w:tr w:rsidR="00970438" w14:paraId="629F7D8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CFD124" w14:textId="77777777" w:rsidR="00970438" w:rsidRDefault="00000000">
            <w:pPr>
              <w:spacing w:after="40"/>
            </w:pPr>
            <w:r>
              <w:rPr>
                <w:sz w:val="18"/>
              </w:rPr>
              <w:t>1</w:t>
            </w:r>
          </w:p>
        </w:tc>
        <w:tc>
          <w:tcPr>
            <w:tcW w:w="8262" w:type="dxa"/>
          </w:tcPr>
          <w:p w14:paraId="0A971F7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About</w:t>
            </w:r>
            <w:r>
              <w:rPr>
                <w:sz w:val="18"/>
              </w:rPr>
              <w:t xml:space="preserve"> — what is this passage about? Short phrases, in your own words.</w:t>
            </w:r>
          </w:p>
        </w:tc>
      </w:tr>
      <w:tr w:rsidR="00970438" w14:paraId="46FF0F4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1B9EDD8A" w14:textId="77777777" w:rsidR="00970438" w:rsidRDefault="00000000">
            <w:pPr>
              <w:spacing w:after="40"/>
            </w:pPr>
            <w:r>
              <w:rPr>
                <w:sz w:val="18"/>
              </w:rPr>
              <w:t>2</w:t>
            </w:r>
          </w:p>
        </w:tc>
        <w:tc>
          <w:tcPr>
            <w:tcW w:w="8262" w:type="dxa"/>
          </w:tcPr>
          <w:p w14:paraId="38A5AD8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Claim</w:t>
            </w:r>
            <w:r>
              <w:rPr>
                <w:sz w:val="18"/>
              </w:rPr>
              <w:t xml:space="preserve"> — what is being claimed, in one sentence.</w:t>
            </w:r>
          </w:p>
        </w:tc>
      </w:tr>
      <w:tr w:rsidR="00970438" w14:paraId="4B3A2B7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1FACF18" w14:textId="77777777" w:rsidR="00970438" w:rsidRDefault="00000000">
            <w:pPr>
              <w:spacing w:after="40"/>
            </w:pPr>
            <w:r>
              <w:rPr>
                <w:sz w:val="18"/>
              </w:rPr>
              <w:t>3</w:t>
            </w:r>
          </w:p>
        </w:tc>
        <w:tc>
          <w:tcPr>
            <w:tcW w:w="8262" w:type="dxa"/>
          </w:tcPr>
          <w:p w14:paraId="4DE7A88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Move</w:t>
            </w:r>
            <w:r>
              <w:rPr>
                <w:sz w:val="18"/>
              </w:rPr>
              <w:t xml:space="preserve"> — what is this passage </w:t>
            </w:r>
            <w:r>
              <w:rPr>
                <w:i/>
                <w:sz w:val="18"/>
              </w:rPr>
              <w:t>doing</w:t>
            </w:r>
            <w:r>
              <w:rPr>
                <w:sz w:val="18"/>
              </w:rPr>
              <w:t xml:space="preserve"> in the argument? Not a label like "evidence" but the move itself, for example "conceding a point in order to narrow it".</w:t>
            </w:r>
          </w:p>
        </w:tc>
      </w:tr>
      <w:tr w:rsidR="00970438" w14:paraId="5890A83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11A1A8C8" w14:textId="77777777" w:rsidR="00970438" w:rsidRDefault="00000000">
            <w:pPr>
              <w:spacing w:after="40"/>
            </w:pPr>
            <w:r>
              <w:rPr>
                <w:sz w:val="18"/>
              </w:rPr>
              <w:t>4</w:t>
            </w:r>
          </w:p>
        </w:tc>
        <w:tc>
          <w:tcPr>
            <w:tcW w:w="8262" w:type="dxa"/>
          </w:tcPr>
          <w:p w14:paraId="01D4B78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Ranges over / stops holding</w:t>
            </w:r>
            <w:r>
              <w:rPr>
                <w:sz w:val="18"/>
              </w:rPr>
              <w:t xml:space="preserve"> — what does the claim cover, and where does the author say it stops being true?</w:t>
            </w:r>
          </w:p>
        </w:tc>
      </w:tr>
      <w:tr w:rsidR="00970438" w14:paraId="266D605C"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091B2A7" w14:textId="77777777" w:rsidR="00970438" w:rsidRDefault="00000000">
            <w:pPr>
              <w:spacing w:after="40"/>
            </w:pPr>
            <w:r>
              <w:rPr>
                <w:sz w:val="18"/>
              </w:rPr>
              <w:t>5</w:t>
            </w:r>
          </w:p>
        </w:tc>
        <w:tc>
          <w:tcPr>
            <w:tcW w:w="8262" w:type="dxa"/>
          </w:tcPr>
          <w:p w14:paraId="307F806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Position of / position</w:t>
            </w:r>
            <w:r>
              <w:rPr>
                <w:sz w:val="18"/>
              </w:rPr>
              <w:t xml:space="preserve"> — whose position is this, and what </w:t>
            </w:r>
            <w:r>
              <w:rPr>
                <w:i/>
                <w:sz w:val="18"/>
              </w:rPr>
              <w:t>is</w:t>
            </w:r>
            <w:r>
              <w:rPr>
                <w:sz w:val="18"/>
              </w:rPr>
              <w:t xml:space="preserve"> that position in the passage's own terms?</w:t>
            </w:r>
          </w:p>
        </w:tc>
      </w:tr>
      <w:tr w:rsidR="00970438" w14:paraId="4B9D1E0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D166FB4" w14:textId="77777777" w:rsidR="00970438" w:rsidRDefault="00000000">
            <w:pPr>
              <w:spacing w:after="40"/>
            </w:pPr>
            <w:r>
              <w:rPr>
                <w:sz w:val="18"/>
              </w:rPr>
              <w:t>6</w:t>
            </w:r>
          </w:p>
        </w:tc>
        <w:tc>
          <w:tcPr>
            <w:tcW w:w="8262" w:type="dxa"/>
          </w:tcPr>
          <w:p w14:paraId="70C834C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Arguing against</w:t>
            </w:r>
            <w:r>
              <w:rPr>
                <w:sz w:val="18"/>
              </w:rPr>
              <w:t xml:space="preserve"> — who or what is it arguing against?</w:t>
            </w:r>
          </w:p>
        </w:tc>
      </w:tr>
      <w:tr w:rsidR="00970438" w14:paraId="2DE07774"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5955EFC" w14:textId="77777777" w:rsidR="00970438" w:rsidRDefault="00000000">
            <w:pPr>
              <w:spacing w:after="40"/>
            </w:pPr>
            <w:r>
              <w:rPr>
                <w:sz w:val="18"/>
              </w:rPr>
              <w:t>7</w:t>
            </w:r>
          </w:p>
        </w:tc>
        <w:tc>
          <w:tcPr>
            <w:tcW w:w="8262" w:type="dxa"/>
          </w:tcPr>
          <w:p w14:paraId="2E69DA1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Names</w:t>
            </w:r>
            <w:r>
              <w:rPr>
                <w:sz w:val="18"/>
              </w:rPr>
              <w:t xml:space="preserve"> — every named thing: people, places, institutions, events, movements, periods, and any figure or table the passage names, each with what kind of thing it is.</w:t>
            </w:r>
          </w:p>
        </w:tc>
      </w:tr>
      <w:tr w:rsidR="00970438" w14:paraId="5088905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1753617A" w14:textId="77777777" w:rsidR="00970438" w:rsidRDefault="00000000">
            <w:pPr>
              <w:spacing w:after="40"/>
            </w:pPr>
            <w:r>
              <w:rPr>
                <w:sz w:val="18"/>
              </w:rPr>
              <w:t>8</w:t>
            </w:r>
          </w:p>
        </w:tc>
        <w:tc>
          <w:tcPr>
            <w:tcW w:w="8262" w:type="dxa"/>
          </w:tcPr>
          <w:p w14:paraId="74CF51F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Citations</w:t>
            </w:r>
            <w:r>
              <w:rPr>
                <w:sz w:val="18"/>
              </w:rPr>
              <w:t xml:space="preserve"> — whom does it cite, and is each citation used as support, as a foil, or as an authority?</w:t>
            </w:r>
          </w:p>
        </w:tc>
      </w:tr>
      <w:tr w:rsidR="00970438" w14:paraId="0C83410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215BC76" w14:textId="77777777" w:rsidR="00970438" w:rsidRDefault="00000000">
            <w:pPr>
              <w:spacing w:after="40"/>
            </w:pPr>
            <w:r>
              <w:rPr>
                <w:sz w:val="18"/>
              </w:rPr>
              <w:t>9</w:t>
            </w:r>
          </w:p>
        </w:tc>
        <w:tc>
          <w:tcPr>
            <w:tcW w:w="8262" w:type="dxa"/>
          </w:tcPr>
          <w:p w14:paraId="36EBBB7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Mechanism</w:t>
            </w:r>
            <w:r>
              <w:rPr>
                <w:sz w:val="18"/>
              </w:rPr>
              <w:t xml:space="preserve"> — what causes what, in what order.</w:t>
            </w:r>
          </w:p>
        </w:tc>
      </w:tr>
      <w:tr w:rsidR="00970438" w14:paraId="08D6461F"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261CAD6" w14:textId="77777777" w:rsidR="00970438" w:rsidRDefault="00000000">
            <w:pPr>
              <w:spacing w:after="40"/>
            </w:pPr>
            <w:r>
              <w:rPr>
                <w:sz w:val="18"/>
              </w:rPr>
              <w:t>10</w:t>
            </w:r>
          </w:p>
        </w:tc>
        <w:tc>
          <w:tcPr>
            <w:tcW w:w="8262" w:type="dxa"/>
          </w:tcPr>
          <w:p w14:paraId="1CAF36C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Evidence</w:t>
            </w:r>
            <w:r>
              <w:rPr>
                <w:sz w:val="18"/>
              </w:rPr>
              <w:t xml:space="preserve"> — what evidence is offered.</w:t>
            </w:r>
          </w:p>
        </w:tc>
      </w:tr>
      <w:tr w:rsidR="00970438" w14:paraId="29C9D82B"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1F4CB91A" w14:textId="77777777" w:rsidR="00970438" w:rsidRDefault="00000000">
            <w:pPr>
              <w:spacing w:after="40"/>
            </w:pPr>
            <w:r>
              <w:rPr>
                <w:sz w:val="18"/>
              </w:rPr>
              <w:t>11</w:t>
            </w:r>
          </w:p>
        </w:tc>
        <w:tc>
          <w:tcPr>
            <w:tcW w:w="8262" w:type="dxa"/>
          </w:tcPr>
          <w:p w14:paraId="5D65E9D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Comparison</w:t>
            </w:r>
            <w:r>
              <w:rPr>
                <w:sz w:val="18"/>
              </w:rPr>
              <w:t xml:space="preserve"> — what comparison is made, stated or implied.</w:t>
            </w:r>
          </w:p>
        </w:tc>
      </w:tr>
      <w:tr w:rsidR="00970438" w14:paraId="52252D01"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3F76C063" w14:textId="77777777" w:rsidR="00970438" w:rsidRDefault="00000000">
            <w:pPr>
              <w:spacing w:after="40"/>
            </w:pPr>
            <w:r>
              <w:rPr>
                <w:sz w:val="18"/>
              </w:rPr>
              <w:t>12</w:t>
            </w:r>
          </w:p>
        </w:tc>
        <w:tc>
          <w:tcPr>
            <w:tcW w:w="8262" w:type="dxa"/>
          </w:tcPr>
          <w:p w14:paraId="49BF7CD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Defines / uses</w:t>
            </w:r>
            <w:r>
              <w:rPr>
                <w:sz w:val="18"/>
              </w:rPr>
              <w:t xml:space="preserve"> — what is defined here, and separately, what is merely used without being defined.</w:t>
            </w:r>
          </w:p>
        </w:tc>
      </w:tr>
      <w:tr w:rsidR="00970438" w14:paraId="0DACDA3C"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773C6497" w14:textId="77777777" w:rsidR="00970438" w:rsidRDefault="00000000">
            <w:pPr>
              <w:spacing w:after="40"/>
            </w:pPr>
            <w:r>
              <w:rPr>
                <w:sz w:val="18"/>
              </w:rPr>
              <w:t>13</w:t>
            </w:r>
          </w:p>
        </w:tc>
        <w:tc>
          <w:tcPr>
            <w:tcW w:w="8262" w:type="dxa"/>
          </w:tcPr>
          <w:p w14:paraId="62EBDDE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Concedes</w:t>
            </w:r>
            <w:r>
              <w:rPr>
                <w:sz w:val="18"/>
              </w:rPr>
              <w:t xml:space="preserve"> — what the author concedes or hedges.</w:t>
            </w:r>
          </w:p>
        </w:tc>
      </w:tr>
      <w:tr w:rsidR="00970438" w14:paraId="6A65145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3B3CF82E" w14:textId="77777777" w:rsidR="00970438" w:rsidRDefault="00000000">
            <w:pPr>
              <w:spacing w:after="40"/>
            </w:pPr>
            <w:r>
              <w:rPr>
                <w:sz w:val="18"/>
              </w:rPr>
              <w:t>14</w:t>
            </w:r>
          </w:p>
        </w:tc>
        <w:tc>
          <w:tcPr>
            <w:tcW w:w="8262" w:type="dxa"/>
          </w:tcPr>
          <w:p w14:paraId="2D09C20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Assumes</w:t>
            </w:r>
            <w:r>
              <w:rPr>
                <w:sz w:val="18"/>
              </w:rPr>
              <w:t xml:space="preserve"> — what it assumes without saying.</w:t>
            </w:r>
          </w:p>
        </w:tc>
      </w:tr>
    </w:tbl>
    <w:p w14:paraId="42C9C48A" w14:textId="77777777" w:rsidR="00970438" w:rsidRDefault="00970438"/>
    <w:p w14:paraId="5185BCCC" w14:textId="77777777" w:rsidR="00970438" w:rsidRDefault="00000000" w:rsidP="009C625C">
      <w:pPr>
        <w:jc w:val="both"/>
      </w:pPr>
      <w:r>
        <w:t>Three rules govern the whole reading, and each exists because the obvious alternative fails.</w:t>
      </w:r>
    </w:p>
    <w:p w14:paraId="12A8AFB6" w14:textId="77777777" w:rsidR="00970438" w:rsidRDefault="00000000" w:rsidP="009C625C">
      <w:pPr>
        <w:jc w:val="both"/>
      </w:pPr>
      <w:r>
        <w:rPr>
          <w:i/>
        </w:rPr>
        <w:t>Answer only from the passage in front of you.</w:t>
      </w:r>
      <w:r>
        <w:t xml:space="preserve"> No web, no lookup, no memory of the book. Where the passage does not support an answer, say so. </w:t>
      </w:r>
      <w:r>
        <w:rPr>
          <w:b/>
        </w:rPr>
        <w:t>An abstention is a normal answer and a guessed answer is worse than none</w:t>
      </w:r>
      <w:r>
        <w:t>, because nothing downstream can tell a guess from a reading.</w:t>
      </w:r>
    </w:p>
    <w:p w14:paraId="6C69852C" w14:textId="77777777" w:rsidR="00970438" w:rsidRDefault="00000000" w:rsidP="009C625C">
      <w:pPr>
        <w:jc w:val="both"/>
      </w:pPr>
      <w:r>
        <w:rPr>
          <w:i/>
        </w:rPr>
        <w:lastRenderedPageBreak/>
        <w:t>The free answer comes first, the examples second.</w:t>
      </w:r>
      <w:r>
        <w:t xml:space="preserve"> Each question is asked open, in the model's own words. Only afterwards is the model shown the domain's example vocabulary, and only as a separate, clearly-marked field. No code ever bridges the two — no normalisation, no rewriting, no filling one from the other. This ordering is the single guard against the failure that would make the whole design pointless: if the reading answered in the example vocabulary, Axial would have rebuilt keyword tagging with extra steps and hidden it.</w:t>
      </w:r>
    </w:p>
    <w:p w14:paraId="2726E1B2" w14:textId="77777777" w:rsidR="00970438" w:rsidRDefault="00000000" w:rsidP="009C625C">
      <w:pPr>
        <w:jc w:val="both"/>
      </w:pPr>
      <w:r>
        <w:rPr>
          <w:i/>
        </w:rPr>
        <w:t>Every passage is accounted for.</w:t>
      </w:r>
      <w:r>
        <w:t xml:space="preserve"> Answered plus failed plus skipped must equal the source's own passage count, or the pass raises rather than reporting a partial read as a complete one.</w:t>
      </w:r>
    </w:p>
    <w:p w14:paraId="19AD351F" w14:textId="77777777" w:rsidR="00970438" w:rsidRDefault="00000000" w:rsidP="009C625C">
      <w:pPr>
        <w:jc w:val="both"/>
      </w:pPr>
      <w:r>
        <w:t xml:space="preserve">Two of the seventeen answers carry most of the later weight. </w:t>
      </w:r>
      <w:r>
        <w:rPr>
          <w:b/>
        </w:rPr>
        <w:t>Names</w:t>
      </w:r>
      <w:r>
        <w:t xml:space="preserve"> is how passages find each other. </w:t>
      </w:r>
      <w:r>
        <w:rPr>
          <w:b/>
        </w:rPr>
        <w:t>Arguing against</w:t>
      </w:r>
      <w:r>
        <w:t xml:space="preserve"> is how disagreement becomes visible: an author who names an opponent has already done the work of locating the dispute, and Axial records it rather than inferring it.</w:t>
      </w:r>
    </w:p>
    <w:p w14:paraId="24DB965E" w14:textId="77777777" w:rsidR="00970438" w:rsidRDefault="00000000" w:rsidP="009C625C">
      <w:pPr>
        <w:jc w:val="both"/>
      </w:pPr>
      <w:r>
        <w:rPr>
          <w:b/>
        </w:rPr>
        <w:t>Reconciliation.</w:t>
      </w:r>
      <w:r>
        <w:t xml:space="preserve"> The same person or idea appears under many names — "Charles Tilly", "Tilly", "C. Tilly 1975", "Ba'th" and "Baath". A spelling fold that needs no model at all handles the mechanical cases. Clustering proposes the rest as </w:t>
      </w:r>
      <w:r>
        <w:rPr>
          <w:i/>
        </w:rPr>
        <w:t>hints</w:t>
      </w:r>
      <w:r>
        <w:t xml:space="preserve">, and a model call decides. </w:t>
      </w:r>
      <w:r>
        <w:rPr>
          <w:b/>
        </w:rPr>
        <w:t>"Cannot tell" is a real third outcome</w:t>
      </w:r>
      <w:r>
        <w:t>, not a failure, and merges are reversible and logged.</w:t>
      </w:r>
    </w:p>
    <w:p w14:paraId="17245F28" w14:textId="77777777" w:rsidR="00970438" w:rsidRDefault="00000000" w:rsidP="009C625C">
      <w:pPr>
        <w:jc w:val="both"/>
      </w:pPr>
      <w:r>
        <w:rPr>
          <w:b/>
        </w:rPr>
        <w:t>Materialisation.</w:t>
      </w:r>
      <w:r>
        <w:t xml:space="preserve"> The encyclopaedia is written out: a page per passage carrying its own answers, a page per surviving name listing the passages that mention it. This step involves no AI. It is a rendering of what the previous steps produced.</w:t>
      </w:r>
    </w:p>
    <w:p w14:paraId="69632E30" w14:textId="77777777" w:rsidR="00970438" w:rsidRDefault="00000000" w:rsidP="009C625C">
      <w:pPr>
        <w:jc w:val="both"/>
      </w:pPr>
      <w:r>
        <w:rPr>
          <w:b/>
        </w:rPr>
        <w:t>Gathering.</w:t>
      </w:r>
      <w:r>
        <w:t xml:space="preserve"> For each name big enough to hold an argument, the claims made at that name are put side by side and one question is asked: what do these authors disagree about? Code assembles the packet and enforces the budget, so the pass cannot be talked into fetching more and cannot blow its context window. A name with fewer than two members is skipped before a packet exists, because a disagreement needs two parties.</w:t>
      </w:r>
    </w:p>
    <w:p w14:paraId="1CEFCB2B" w14:textId="77777777" w:rsidR="00970438" w:rsidRDefault="00000000" w:rsidP="009C625C">
      <w:pPr>
        <w:jc w:val="both"/>
      </w:pPr>
      <w:r>
        <w:rPr>
          <w:b/>
        </w:rPr>
        <w:t>The argument map.</w:t>
      </w:r>
      <w:r>
        <w:t xml:space="preserve"> This is the layer that made version 1.0 of this report obsolete, and it is the one place Axial does something no retrieval system does.</w:t>
      </w:r>
    </w:p>
    <w:p w14:paraId="36520165" w14:textId="77777777" w:rsidR="00970438" w:rsidRDefault="00000000" w:rsidP="009C625C">
      <w:pPr>
        <w:jc w:val="both"/>
      </w:pPr>
      <w:r>
        <w:t>Reaching a passage through a name it happens to mention is a narrow door. A passage that makes exactly the argument you need but names nobody you thought to ask about is unreachable. So the map is built the other way round:</w:t>
      </w:r>
    </w:p>
    <w:p w14:paraId="030C5231" w14:textId="77777777" w:rsidR="00970438" w:rsidRDefault="00000000" w:rsidP="009C625C">
      <w:pPr>
        <w:jc w:val="both"/>
      </w:pPr>
      <w:r>
        <w:t xml:space="preserve">1. </w:t>
      </w:r>
      <w:r>
        <w:rPr>
          <w:b/>
        </w:rPr>
        <w:t>Select</w:t>
      </w:r>
      <w:r>
        <w:t xml:space="preserve"> every passage that actually argues something. Passages that abstain on every argumentative question — bibliographies, acknowledgements, method throat-clearing — are dropped. On the current library that leaves 6,010 of 6,842.</w:t>
      </w:r>
    </w:p>
    <w:p w14:paraId="0AB9D4C1" w14:textId="77777777" w:rsidR="00970438" w:rsidRDefault="00000000" w:rsidP="009C625C">
      <w:pPr>
        <w:jc w:val="both"/>
      </w:pPr>
      <w:r>
        <w:t xml:space="preserve">2. </w:t>
      </w:r>
      <w:r>
        <w:rPr>
          <w:b/>
        </w:rPr>
        <w:t>Bag</w:t>
      </w:r>
      <w:r>
        <w:t xml:space="preserve"> them by the similarity of their own one-sentence claims, using a local sentence encoder. A </w:t>
      </w:r>
      <w:r>
        <w:rPr>
          <w:i/>
        </w:rPr>
        <w:t>bag</w:t>
      </w:r>
      <w:r>
        <w:t xml:space="preserve"> is a rough pile of passages whose claims are worded alike, assembled by arithmetic rather than by reading — the working tray a model is later handed, never a finding in itself. Zero model calls, and the grain is a stated choice rather than a fitted one.</w:t>
      </w:r>
    </w:p>
    <w:p w14:paraId="1623B760" w14:textId="77777777" w:rsidR="00970438" w:rsidRDefault="00000000" w:rsidP="009C625C">
      <w:pPr>
        <w:jc w:val="both"/>
      </w:pPr>
      <w:r>
        <w:t xml:space="preserve">3. </w:t>
      </w:r>
      <w:r>
        <w:rPr>
          <w:b/>
        </w:rPr>
        <w:t>Extract.</w:t>
      </w:r>
      <w:r>
        <w:t xml:space="preserve"> Every bag is read in full, never sampled. The model is asked to name the arguments that </w:t>
      </w:r>
      <w:r>
        <w:rPr>
          <w:i/>
        </w:rPr>
        <w:t>recur</w:t>
      </w:r>
      <w:r>
        <w:t xml:space="preserve"> across passages, and told explicitly that producing roughly as many arguments as passages is a failed read. The reading is </w:t>
      </w:r>
      <w:r>
        <w:rPr>
          <w:b/>
        </w:rPr>
        <w:t>blind</w:t>
      </w:r>
      <w:r>
        <w:t>: it sees the claims under bare handles, never the authors. Authorship visible during extraction would let the model decide what meets, which would make the later cross-author counts measure their own input.</w:t>
      </w:r>
    </w:p>
    <w:p w14:paraId="733E9E60" w14:textId="77777777" w:rsidR="00970438" w:rsidRDefault="00000000" w:rsidP="009C625C">
      <w:pPr>
        <w:jc w:val="both"/>
      </w:pPr>
      <w:r>
        <w:lastRenderedPageBreak/>
        <w:t xml:space="preserve">4. </w:t>
      </w:r>
      <w:r>
        <w:rPr>
          <w:b/>
        </w:rPr>
        <w:t>Merge</w:t>
      </w:r>
      <w:r>
        <w:t xml:space="preserve"> the near-duplicate namings, keeping every raw phrasing and how many times each argument was independently named.</w:t>
      </w:r>
    </w:p>
    <w:p w14:paraId="444EC8E4" w14:textId="77777777" w:rsidR="00970438" w:rsidRDefault="00000000" w:rsidP="009C625C">
      <w:pPr>
        <w:jc w:val="both"/>
      </w:pPr>
      <w:r>
        <w:t xml:space="preserve">The current library yields </w:t>
      </w:r>
      <w:r>
        <w:rPr>
          <w:b/>
        </w:rPr>
        <w:t>1,937 positions</w:t>
      </w:r>
      <w:r>
        <w:t xml:space="preserve"> over 5,987 placed passages. Then every position is asked how it stands to its neighbours — again blind, again with </w:t>
      </w:r>
      <w:r>
        <w:rPr>
          <w:b/>
        </w:rPr>
        <w:t>no menu of relationship types</w:t>
      </w:r>
      <w:r>
        <w:t xml:space="preserve">, because an engine told to look for opposition finds opposition. That produced </w:t>
      </w:r>
      <w:r>
        <w:rPr>
          <w:b/>
        </w:rPr>
        <w:t>1,472 asserted relations</w:t>
      </w:r>
      <w:r>
        <w:t xml:space="preserve"> under </w:t>
      </w:r>
      <w:r>
        <w:rPr>
          <w:b/>
        </w:rPr>
        <w:t>504 labels the model coined itself</w:t>
      </w:r>
      <w:r>
        <w:t xml:space="preserve">, of which </w:t>
      </w:r>
      <w:r>
        <w:rPr>
          <w:b/>
        </w:rPr>
        <w:t>328 connect two positions with no author in common</w:t>
      </w:r>
      <w:r>
        <w:t xml:space="preserve"> — a genuine meeting between different books rather than one author elaborating on themself.</w:t>
      </w:r>
    </w:p>
    <w:p w14:paraId="1D7DA660" w14:textId="77777777" w:rsidR="00970438" w:rsidRDefault="00000000" w:rsidP="009C625C">
      <w:pPr>
        <w:jc w:val="both"/>
      </w:pPr>
      <w:r>
        <w:t xml:space="preserve">The whole map cost </w:t>
      </w:r>
      <w:r>
        <w:rPr>
          <w:b/>
        </w:rPr>
        <w:t>$0.75 and 45 minutes</w:t>
      </w:r>
      <w:r>
        <w:t xml:space="preserve"> to build the first time. Rebuilding it after four books were added cost </w:t>
      </w:r>
      <w:r>
        <w:rPr>
          <w:b/>
        </w:rPr>
        <w:t>$0</w:t>
      </w:r>
      <w:r>
        <w:t xml:space="preserve"> and 157 seconds, because a passage already placed keeps its bag and a reading whose input did not change is never re-asked.</w:t>
      </w:r>
    </w:p>
    <w:p w14:paraId="786478A7" w14:textId="77777777" w:rsidR="00970438" w:rsidRDefault="00000000">
      <w:pPr>
        <w:pStyle w:val="Heading3"/>
      </w:pPr>
      <w:bookmarkStart w:id="8" w:name="_Toc236945242"/>
      <w:r>
        <w:t>3.2 When you ask</w:t>
      </w:r>
      <w:bookmarkEnd w:id="8"/>
    </w:p>
    <w:p w14:paraId="41759F52" w14:textId="77777777" w:rsidR="00970438" w:rsidRDefault="00000000" w:rsidP="009C625C">
      <w:pPr>
        <w:jc w:val="both"/>
      </w:pPr>
      <w:r>
        <w:rPr>
          <w:b/>
        </w:rPr>
        <w:t>The question is interrogated before it is answered.</w:t>
      </w:r>
      <w:r>
        <w:t xml:space="preserve"> A brief is a case and a request. Axial first tests it: does the library actually cover this, are there premises smuggled into the phrasing, should the answer be bounded, should the question be refused outright. </w:t>
      </w:r>
      <w:r>
        <w:rPr>
          <w:b/>
        </w:rPr>
        <w:t>Refusal is a completed run, not an error.</w:t>
      </w:r>
      <w:r>
        <w:t xml:space="preserve"> A refused question makes no synthesis call and drafts no paper, and still exits cleanly.</w:t>
      </w:r>
    </w:p>
    <w:p w14:paraId="586DE1FB" w14:textId="77777777" w:rsidR="00970438" w:rsidRDefault="00000000" w:rsidP="009C625C">
      <w:pPr>
        <w:jc w:val="both"/>
      </w:pPr>
      <w:r>
        <w:t xml:space="preserve">Where the question's own terms produce a genuine, </w:t>
      </w:r>
      <w:r>
        <w:rPr>
          <w:i/>
        </w:rPr>
        <w:t>measured</w:t>
      </w:r>
      <w:r>
        <w:t xml:space="preserve"> fork — a real source imbalance, or a mismatch between the period the question asks about and the years the library's books were published — Axial asks the analyst, with options and free text. It never asks when no fork is found, which is the common case, and it never guesses a weight from the question's wording.</w:t>
      </w:r>
    </w:p>
    <w:p w14:paraId="0A83482F" w14:textId="77777777" w:rsidR="00970438" w:rsidRDefault="00000000" w:rsidP="009C625C">
      <w:pPr>
        <w:jc w:val="both"/>
      </w:pPr>
      <w:r>
        <w:rPr>
          <w:b/>
        </w:rPr>
        <w:t>Retrieval.</w:t>
      </w:r>
      <w:r>
        <w:t xml:space="preserve"> This is the one genuinely agentic loop in the system. The model plans and re-queries freely in the middle; code it cannot reach stands on both sides. It proposes one query at a time against ten deterministic tools over the notes, the name pages, the opposition edges and the argument-map positions. Every proposed call is validated against a schema before it touches the store. The tools contain no model calls: the same query returns the same passages in the same order, always.</w:t>
      </w:r>
    </w:p>
    <w:p w14:paraId="6974D910" w14:textId="77777777" w:rsidR="00970438" w:rsidRDefault="00000000" w:rsidP="009C625C">
      <w:pPr>
        <w:jc w:val="both"/>
      </w:pPr>
      <w:r>
        <w:t xml:space="preserve">The feedback the model gets back states what the evidence set now holds and which books it spans, and nothing else. It is never told the budget or the cap, because a cap a model can see is a cap it argues with. It is also never told "you already asked that", because saying so was measured to </w:t>
      </w:r>
      <w:r>
        <w:rPr>
          <w:i/>
        </w:rPr>
        <w:t>raise</w:t>
      </w:r>
      <w:r>
        <w:t xml:space="preserve"> repeat queries from 14% to 20%.</w:t>
      </w:r>
    </w:p>
    <w:p w14:paraId="42B8182C" w14:textId="77777777" w:rsidR="00970438" w:rsidRDefault="00000000" w:rsidP="009C625C">
      <w:pPr>
        <w:jc w:val="both"/>
      </w:pPr>
      <w:r>
        <w:t>A second, optional path replaces this loop entirely, walking the map of arguments instead of the name pages. It has three steps, and the names for them are the report's own shorthand.</w:t>
      </w:r>
    </w:p>
    <w:p w14:paraId="2B843643" w14:textId="77777777" w:rsidR="00970438" w:rsidRDefault="00000000" w:rsidP="009C625C">
      <w:pPr>
        <w:spacing w:before="80"/>
        <w:ind w:left="432"/>
        <w:jc w:val="both"/>
      </w:pPr>
      <w:r>
        <w:rPr>
          <w:b/>
          <w:i/>
        </w:rPr>
        <w:t>Door, landing, corridor.</w:t>
      </w:r>
      <w:r>
        <w:rPr>
          <w:i/>
        </w:rPr>
        <w:t xml:space="preserve"> The door is the first step: Axial reads your question and states, in plain contestable sentences, what arguments the question is actually about. It does this before it has looked at the library at all, so what happens to be on the shelf cannot bend what the question is taken to mean. The landing is where those stated arguments come to rest on the map: the positions that match them. The corridor is what opens off the landing: every position that argues with something that landed, followed in both directions. The corridor is the point of the whole arrangement. It is how the account your answer has to reject arrives — because it argues with what you landed on, and not because your question happened to mention it.</w:t>
      </w:r>
    </w:p>
    <w:p w14:paraId="0A227FDC" w14:textId="77777777" w:rsidR="00970438" w:rsidRDefault="00000000" w:rsidP="009C625C">
      <w:pPr>
        <w:jc w:val="both"/>
      </w:pPr>
      <w:r>
        <w:rPr>
          <w:b/>
        </w:rPr>
        <w:lastRenderedPageBreak/>
        <w:t>Synthesis.</w:t>
      </w:r>
      <w:r>
        <w:t xml:space="preserve"> The evidence is assembled deterministically, interleaved across sources so one book cannot spend the whole budget, and shown to the writing model under opaque short handles rather than real identifiers, so there is no long id in the prompt to transcribe or blend. The answer comes back as numbered claims, each marked:</w:t>
      </w:r>
    </w:p>
    <w:p w14:paraId="688FD464" w14:textId="77777777" w:rsidR="00970438" w:rsidRDefault="00000000" w:rsidP="009C625C">
      <w:pPr>
        <w:pStyle w:val="ListBullet"/>
        <w:spacing w:after="60"/>
        <w:jc w:val="both"/>
      </w:pPr>
      <w:r>
        <w:rPr>
          <w:b/>
        </w:rPr>
        <w:t>(a) source-says</w:t>
      </w:r>
      <w:r>
        <w:t xml:space="preserve"> — a source in the library asserts it, cited to the passage that does;</w:t>
      </w:r>
    </w:p>
    <w:p w14:paraId="70D3E661" w14:textId="77777777" w:rsidR="00970438" w:rsidRDefault="00000000" w:rsidP="009C625C">
      <w:pPr>
        <w:pStyle w:val="ListBullet"/>
        <w:spacing w:after="60"/>
        <w:jc w:val="both"/>
      </w:pPr>
      <w:r>
        <w:rPr>
          <w:b/>
        </w:rPr>
        <w:t>(b) tool-infers-across-sources</w:t>
      </w:r>
      <w:r>
        <w:t xml:space="preserve"> — Axial's own inference relating what different books say. </w:t>
      </w:r>
      <w:r>
        <w:rPr>
          <w:b/>
        </w:rPr>
        <w:t>This is the new knowledge, and it is also the whole risk</w:t>
      </w:r>
      <w:r>
        <w:t>, so it is never allowed to appear in a source's voice;</w:t>
      </w:r>
    </w:p>
    <w:p w14:paraId="0C3A0037" w14:textId="77777777" w:rsidR="00970438" w:rsidRDefault="00000000" w:rsidP="009C625C">
      <w:pPr>
        <w:pStyle w:val="ListBullet"/>
        <w:spacing w:after="60"/>
        <w:jc w:val="both"/>
      </w:pPr>
      <w:r>
        <w:rPr>
          <w:b/>
        </w:rPr>
        <w:t>(c) the analyst's judgment</w:t>
      </w:r>
      <w:r>
        <w:t xml:space="preserve"> — reasoning that runs past what the corpus grounds, marked as such.</w:t>
      </w:r>
    </w:p>
    <w:p w14:paraId="282703E4" w14:textId="77777777" w:rsidR="00970438" w:rsidRDefault="00000000" w:rsidP="009C625C">
      <w:pPr>
        <w:spacing w:before="80"/>
        <w:ind w:left="432"/>
        <w:jc w:val="both"/>
      </w:pPr>
      <w:r>
        <w:rPr>
          <w:b/>
          <w:i/>
        </w:rPr>
        <w:t>Grounds, and the confidence band.</w:t>
      </w:r>
      <w:r>
        <w:rPr>
          <w:i/>
        </w:rPr>
        <w:t xml:space="preserve"> A claim's grounds are the specific passages it rests on — not a book, not a page range, but the exact passages, recorded as pointers a machine can follow back to the text. Every claim of the first two kinds must carry them, and every pointer must resolve, or the claim is rejected. The confidence band is Axial's own statement of how much weight a claim will bear, in three steps: high, medium or low. It is deliberately three words and never a number, because a decimal like 0.87 implies a precision nothing here could justify.</w:t>
      </w:r>
    </w:p>
    <w:p w14:paraId="7BCD075C" w14:textId="77777777" w:rsidR="00970438" w:rsidRDefault="00000000" w:rsidP="009C625C">
      <w:pPr>
        <w:jc w:val="both"/>
      </w:pPr>
      <w:r>
        <w:rPr>
          <w:b/>
        </w:rPr>
        <w:t>Checking.</w:t>
      </w:r>
      <w:r>
        <w:t xml:space="preserve"> Mechanical checks then run outside the model's control. Does every claim carry a kind? Do its cited passages actually resolve? Is there a counter-position stating the opposing case at its strongest, or an explicit statement that the library is one-sided here? Is there a coverage map saying how much evidence each name in the answer rests on, and a confidence band that cannot exceed what that coverage supports? A failed check blocks release.</w:t>
      </w:r>
    </w:p>
    <w:p w14:paraId="03A043D8" w14:textId="77777777" w:rsidR="00970438" w:rsidRDefault="00000000" w:rsidP="009C625C">
      <w:pPr>
        <w:jc w:val="both"/>
      </w:pPr>
      <w:r>
        <w:t xml:space="preserve">If an answer leans on a name the library holds three passages about, the answer's stated confidence is pulled down to match, whatever the writing model thought of itself. </w:t>
      </w:r>
      <w:r>
        <w:rPr>
          <w:b/>
        </w:rPr>
        <w:t>Confidence is capped by evidence, not by tone.</w:t>
      </w:r>
    </w:p>
    <w:p w14:paraId="36576CD7" w14:textId="77777777" w:rsidR="00970438" w:rsidRDefault="00000000" w:rsidP="009C625C">
      <w:pPr>
        <w:jc w:val="both"/>
      </w:pPr>
      <w:r>
        <w:rPr>
          <w:b/>
        </w:rPr>
        <w:t>The paper.</w:t>
      </w:r>
      <w:r>
        <w:t xml:space="preserve"> The answer is not the deliverable. Once it is written and persisted, Axial drafts the paper it is the material for: it takes an inventory of the claims that survived, plans a narrative arc with a role for each section, drafts one section at a time, builds a citation index, and renders the paper with a bibliography of exactly the books it actually cited.</w:t>
      </w:r>
    </w:p>
    <w:p w14:paraId="52F756DC" w14:textId="77777777" w:rsidR="00970438" w:rsidRDefault="00000000" w:rsidP="009C625C">
      <w:pPr>
        <w:jc w:val="both"/>
      </w:pPr>
      <w:r>
        <w:t xml:space="preserve">The drafter sees the claim inventory and what earlier sections already cited. That is its entire world. </w:t>
      </w:r>
      <w:r>
        <w:rPr>
          <w:b/>
        </w:rPr>
        <w:t>It has no retrieval tools and no access to the library</w:t>
      </w:r>
      <w:r>
        <w:t>, so generate-then-cite is not forbidden by instruction, it is impossible by construction. An unknown citation marker is fatal at indexing rather than repaired.</w:t>
      </w:r>
    </w:p>
    <w:p w14:paraId="75CC1F31" w14:textId="77777777" w:rsidR="00970438" w:rsidRDefault="00000000" w:rsidP="009C625C">
      <w:pPr>
        <w:jc w:val="both"/>
      </w:pPr>
      <w:r>
        <w:t>Drafting roughly doubles the cost of a question, from $0.11–$0.30 for the answer to a further $0.08–$0.20 for the paper. A flag stops at the answer for exploratory work.</w:t>
      </w:r>
    </w:p>
    <w:p w14:paraId="32D5A2DF" w14:textId="77777777" w:rsidR="00970438" w:rsidRDefault="00000000">
      <w:pPr>
        <w:pStyle w:val="Heading3"/>
      </w:pPr>
      <w:bookmarkStart w:id="9" w:name="_Toc236945243"/>
      <w:r>
        <w:t>3.3 The rules every model call answers under</w:t>
      </w:r>
      <w:bookmarkEnd w:id="9"/>
    </w:p>
    <w:p w14:paraId="48D61975" w14:textId="77777777" w:rsidR="00970438" w:rsidRDefault="00000000" w:rsidP="009C625C">
      <w:pPr>
        <w:jc w:val="both"/>
      </w:pPr>
      <w:r>
        <w:t>Across the whole pipeline, a model is consulted in sixteen places, plus a set of judges that sit outside it. Three rules hold everywhere. Every question is open: nowhere is the model asked to pick from a list, and every question carries an explicit right to answer "I cannot tell from this". Where a count downstream depends on the answer, the question is asked blind: the models that group arguments and relate them never see the authors, so a count of how often the map joins different books measures the corpus rather than the model's sense of who ought to argue. And code stands on both sides of every call: code assembles what the model sees, and code reads what comes back.</w:t>
      </w:r>
    </w:p>
    <w:p w14:paraId="589B6C2D" w14:textId="77777777" w:rsidR="00970438" w:rsidRDefault="00000000" w:rsidP="009C625C">
      <w:pPr>
        <w:jc w:val="both"/>
      </w:pPr>
      <w:r>
        <w:lastRenderedPageBreak/>
        <w:t xml:space="preserve">The judges add a rule of their own: </w:t>
      </w:r>
      <w:r>
        <w:rPr>
          <w:b/>
        </w:rPr>
        <w:t>none may be run by the model that produced the thing being judged</w:t>
      </w:r>
      <w:r>
        <w:t>, and the sealed review panel goes further and requires a different training lab, because a family-mate's agreement is weak evidence.</w:t>
      </w:r>
    </w:p>
    <w:p w14:paraId="5D91EFE9" w14:textId="03BD21B6" w:rsidR="00970438" w:rsidRDefault="00000000" w:rsidP="009C625C">
      <w:pPr>
        <w:jc w:val="both"/>
      </w:pPr>
      <w:r>
        <w:t xml:space="preserve">The complete inventory — all sixteen questions, quoted from the working system — is in </w:t>
      </w:r>
      <w:hyperlink w:anchor="appF" w:history="1">
        <w:r w:rsidRPr="00D06213">
          <w:rPr>
            <w:rStyle w:val="Hyperlink"/>
          </w:rPr>
          <w:t>Appendix F</w:t>
        </w:r>
      </w:hyperlink>
      <w:r>
        <w:t>.</w:t>
      </w:r>
    </w:p>
    <w:p w14:paraId="42AD9742" w14:textId="77777777" w:rsidR="00970438" w:rsidRDefault="00000000">
      <w:pPr>
        <w:pStyle w:val="Heading2"/>
      </w:pPr>
      <w:bookmarkStart w:id="10" w:name="_Toc236945244"/>
      <w:bookmarkStart w:id="11" w:name="sec4"/>
      <w:bookmarkEnd w:id="11"/>
      <w:r>
        <w:t>4. Why questions, and not tags</w:t>
      </w:r>
      <w:bookmarkEnd w:id="10"/>
    </w:p>
    <w:p w14:paraId="1890A21C" w14:textId="77777777" w:rsidR="00970438" w:rsidRDefault="00000000" w:rsidP="009C625C">
      <w:pPr>
        <w:jc w:val="both"/>
      </w:pPr>
      <w:r>
        <w:t>Axial's first version did the standard thing, and the standard thing failed in a way worth reporting, because the same approach is what most document-intelligence and knowledge-graph products are built on today.</w:t>
      </w:r>
    </w:p>
    <w:p w14:paraId="7FA7CB8F" w14:textId="77777777" w:rsidR="00970438" w:rsidRDefault="00000000">
      <w:pPr>
        <w:pStyle w:val="Heading3"/>
      </w:pPr>
      <w:bookmarkStart w:id="12" w:name="_Toc236945245"/>
      <w:r>
        <w:t>4.1 What the first version did</w:t>
      </w:r>
      <w:bookmarkEnd w:id="12"/>
    </w:p>
    <w:p w14:paraId="63392069" w14:textId="77777777" w:rsidR="00970438" w:rsidRDefault="00000000" w:rsidP="009C625C">
      <w:pPr>
        <w:jc w:val="both"/>
      </w:pPr>
      <w:r>
        <w:t xml:space="preserve">Every passage was </w:t>
      </w:r>
      <w:r>
        <w:rPr>
          <w:b/>
        </w:rPr>
        <w:t>tagged</w:t>
      </w:r>
      <w:r>
        <w:t xml:space="preserve"> against five closed vocabularies: what field it belonged to, what kind of claim it made, which theoretical school it spoke from, what its empirical scope was, and what role it played in the argument. A separate pass looked for cross-references. This is the mechanical version of axial coding, and it is exactly what a knowledge-graph pipeline does: turn text into attributes, then query the attributes.</w:t>
      </w:r>
    </w:p>
    <w:p w14:paraId="219D58E7" w14:textId="77777777" w:rsidR="00970438" w:rsidRDefault="00000000" w:rsidP="009C625C">
      <w:pPr>
        <w:jc w:val="both"/>
      </w:pPr>
      <w:r>
        <w:t xml:space="preserve">For months the tags looked fine. A model read a passage, produced a sensible label, and moved on. Nobody had measured whether the labels were </w:t>
      </w:r>
      <w:r>
        <w:rPr>
          <w:i/>
        </w:rPr>
        <w:t>right</w:t>
      </w:r>
      <w:r>
        <w:t>, because measuring requires an answer key.</w:t>
      </w:r>
    </w:p>
    <w:p w14:paraId="2C6859F4" w14:textId="77777777" w:rsidR="00970438" w:rsidRDefault="00000000" w:rsidP="009C625C">
      <w:pPr>
        <w:pStyle w:val="Heading3"/>
        <w:jc w:val="both"/>
      </w:pPr>
      <w:bookmarkStart w:id="13" w:name="_Toc236945246"/>
      <w:r>
        <w:t>4.2 The measurement</w:t>
      </w:r>
      <w:bookmarkEnd w:id="13"/>
    </w:p>
    <w:p w14:paraId="3A4FBCC8" w14:textId="77777777" w:rsidR="00970438" w:rsidRDefault="00000000" w:rsidP="009C625C">
      <w:pPr>
        <w:jc w:val="both"/>
      </w:pPr>
      <w:r>
        <w:t>Two frontier models from two different labs were given the same neutral instructions and independently labelled the same 120 passages. Two independent labellers means agreement can be measured.</w:t>
      </w:r>
    </w:p>
    <w:p w14:paraId="200A2803" w14:textId="77777777" w:rsidR="00970438" w:rsidRDefault="00000000" w:rsidP="009C625C">
      <w:pPr>
        <w:jc w:val="both"/>
      </w:pPr>
      <w:r>
        <w:rPr>
          <w:b/>
        </w:rPr>
        <w:t>On the two hardest axes — kind of claim, and theoretical school — they agreed 49% of the time.</w:t>
      </w:r>
      <w:r>
        <w:t xml:space="preserve"> The internal bar for keeping an axis at all was 60%. Both were underwater.</w:t>
      </w:r>
    </w:p>
    <w:p w14:paraId="40ADCF62" w14:textId="77777777" w:rsidR="00970438" w:rsidRDefault="00000000" w:rsidP="009C625C">
      <w:pPr>
        <w:jc w:val="both"/>
      </w:pPr>
      <w:r>
        <w:t>The three obvious reactions were each tested, and each did nothing.</w:t>
      </w:r>
    </w:p>
    <w:tbl>
      <w:tblPr>
        <w:tblStyle w:val="LightGrid-Accent1"/>
        <w:tblW w:w="0" w:type="auto"/>
        <w:tblLook w:val="04A0" w:firstRow="1" w:lastRow="0" w:firstColumn="1" w:lastColumn="0" w:noHBand="0" w:noVBand="1"/>
      </w:tblPr>
      <w:tblGrid>
        <w:gridCol w:w="3794"/>
        <w:gridCol w:w="5710"/>
      </w:tblGrid>
      <w:tr w:rsidR="00970438" w14:paraId="1C07253F"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94" w:type="dxa"/>
          </w:tcPr>
          <w:p w14:paraId="66F9C9B3" w14:textId="77777777" w:rsidR="00970438" w:rsidRDefault="00000000">
            <w:pPr>
              <w:spacing w:after="40"/>
            </w:pPr>
            <w:r>
              <w:rPr>
                <w:sz w:val="18"/>
              </w:rPr>
              <w:t>The obvious fix</w:t>
            </w:r>
          </w:p>
        </w:tc>
        <w:tc>
          <w:tcPr>
            <w:tcW w:w="5710" w:type="dxa"/>
          </w:tcPr>
          <w:p w14:paraId="17BBD5D6"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What happened</w:t>
            </w:r>
          </w:p>
        </w:tc>
      </w:tr>
      <w:tr w:rsidR="00970438" w14:paraId="6D74A80E"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94" w:type="dxa"/>
          </w:tcPr>
          <w:p w14:paraId="592CA5B2" w14:textId="77777777" w:rsidR="00970438" w:rsidRDefault="00000000">
            <w:pPr>
              <w:spacing w:after="40"/>
            </w:pPr>
            <w:r>
              <w:rPr>
                <w:sz w:val="18"/>
              </w:rPr>
              <w:t>"Use a smarter model."</w:t>
            </w:r>
          </w:p>
        </w:tc>
        <w:tc>
          <w:tcPr>
            <w:tcW w:w="5710" w:type="dxa"/>
          </w:tcPr>
          <w:p w14:paraId="20DD864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The cheap production tagger agreed with one frontier labeller </w:t>
            </w:r>
            <w:r>
              <w:rPr>
                <w:b/>
                <w:sz w:val="18"/>
              </w:rPr>
              <w:t>more</w:t>
            </w:r>
            <w:r>
              <w:rPr>
                <w:sz w:val="18"/>
              </w:rPr>
              <w:t xml:space="preserve"> than the two frontier labellers agreed with each other. The model was not the lever.</w:t>
            </w:r>
          </w:p>
        </w:tc>
      </w:tr>
      <w:tr w:rsidR="00970438" w14:paraId="72A34172"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94" w:type="dxa"/>
          </w:tcPr>
          <w:p w14:paraId="2F601A9F" w14:textId="77777777" w:rsidR="00970438" w:rsidRDefault="00000000">
            <w:pPr>
              <w:spacing w:after="40"/>
            </w:pPr>
            <w:r>
              <w:rPr>
                <w:sz w:val="18"/>
              </w:rPr>
              <w:t>"The definitions are vague, rewrite them."</w:t>
            </w:r>
          </w:p>
        </w:tc>
        <w:tc>
          <w:tcPr>
            <w:tcW w:w="5710" w:type="dxa"/>
          </w:tcPr>
          <w:p w14:paraId="14EA113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A codebook rewrite costing 55% more prompt moved agreement by </w:t>
            </w:r>
            <w:r>
              <w:rPr>
                <w:b/>
                <w:sz w:val="18"/>
              </w:rPr>
              <w:t>roughly zero</w:t>
            </w:r>
            <w:r>
              <w:rPr>
                <w:sz w:val="18"/>
              </w:rPr>
              <w:t xml:space="preserve">. An explicit rule about what unit to label added </w:t>
            </w:r>
            <w:r>
              <w:rPr>
                <w:b/>
                <w:sz w:val="18"/>
              </w:rPr>
              <w:t>0.02</w:t>
            </w:r>
            <w:r>
              <w:rPr>
                <w:sz w:val="18"/>
              </w:rPr>
              <w:t>.</w:t>
            </w:r>
          </w:p>
        </w:tc>
      </w:tr>
      <w:tr w:rsidR="00970438" w14:paraId="1DD06A8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94" w:type="dxa"/>
          </w:tcPr>
          <w:p w14:paraId="7C12A3C7" w14:textId="77777777" w:rsidR="00970438" w:rsidRDefault="00000000">
            <w:pPr>
              <w:spacing w:after="40"/>
            </w:pPr>
            <w:r>
              <w:rPr>
                <w:sz w:val="18"/>
              </w:rPr>
              <w:t>"Give it more context."</w:t>
            </w:r>
          </w:p>
        </w:tc>
        <w:tc>
          <w:tcPr>
            <w:tcW w:w="5710" w:type="dxa"/>
          </w:tcPr>
          <w:p w14:paraId="722202C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Feeding the book's own thesis and stated argument into the labelling call scored </w:t>
            </w:r>
            <w:r>
              <w:rPr>
                <w:b/>
                <w:sz w:val="18"/>
              </w:rPr>
              <w:t>−0.01</w:t>
            </w:r>
            <w:r>
              <w:rPr>
                <w:sz w:val="18"/>
              </w:rPr>
              <w:t xml:space="preserve"> on the full sample.</w:t>
            </w:r>
          </w:p>
        </w:tc>
      </w:tr>
    </w:tbl>
    <w:p w14:paraId="5F936A5F" w14:textId="77777777" w:rsidR="00970438" w:rsidRDefault="00970438"/>
    <w:p w14:paraId="3564BA98" w14:textId="77777777" w:rsidR="00970438" w:rsidRDefault="00000000" w:rsidP="009C625C">
      <w:pPr>
        <w:pStyle w:val="Heading3"/>
        <w:jc w:val="both"/>
      </w:pPr>
      <w:bookmarkStart w:id="14" w:name="_Toc236945247"/>
      <w:r>
        <w:t>4.3 The finding that ended the approach</w:t>
      </w:r>
      <w:bookmarkEnd w:id="14"/>
    </w:p>
    <w:p w14:paraId="74572B43" w14:textId="77777777" w:rsidR="00970438" w:rsidRDefault="00000000" w:rsidP="009C625C">
      <w:pPr>
        <w:jc w:val="both"/>
      </w:pPr>
      <w:r>
        <w:t>Then the ceiling was measured, and there was nothing left to fix.</w:t>
      </w:r>
    </w:p>
    <w:p w14:paraId="4F23A592" w14:textId="77777777" w:rsidR="00970438" w:rsidRDefault="00000000" w:rsidP="009C625C">
      <w:pPr>
        <w:jc w:val="both"/>
      </w:pPr>
      <w:r>
        <w:rPr>
          <w:b/>
        </w:rPr>
        <w:t>The same model, given the identical prompt twice, reproduced its own theoretical-school label only 73% of the time.</w:t>
      </w:r>
      <w:r>
        <w:t xml:space="preserve"> Two independent coders also agreed 73%. Agreement between two readers cannot exceed the reliability of one reader with themself, so there was no headroom. The disagreement was not in the model, the prompt, or the definitions.</w:t>
      </w:r>
    </w:p>
    <w:p w14:paraId="2593B22D" w14:textId="77777777" w:rsidR="00970438" w:rsidRDefault="00000000" w:rsidP="009C625C">
      <w:pPr>
        <w:jc w:val="both"/>
      </w:pPr>
      <w:r>
        <w:rPr>
          <w:b/>
        </w:rPr>
        <w:lastRenderedPageBreak/>
        <w:t>It was in the question.</w:t>
      </w:r>
      <w:r>
        <w:t xml:space="preserve"> "Which school does this passage speak from?" does not have one answer. A closed vocabulary forces one anyway, and then the number it produces looks like knowledge.</w:t>
      </w:r>
    </w:p>
    <w:p w14:paraId="2E271D8C" w14:textId="77777777" w:rsidR="00970438" w:rsidRDefault="00000000" w:rsidP="009C625C">
      <w:pPr>
        <w:jc w:val="both"/>
      </w:pPr>
      <w:r>
        <w:t>A majority vote across several draws was built and shipped, and it did raise reliability. It did not repair anything, because the reliability was never the real problem.</w:t>
      </w:r>
    </w:p>
    <w:p w14:paraId="2DA55C5A" w14:textId="77777777" w:rsidR="00970438" w:rsidRDefault="00000000" w:rsidP="009C625C">
      <w:pPr>
        <w:pStyle w:val="Heading3"/>
        <w:jc w:val="both"/>
      </w:pPr>
      <w:bookmarkStart w:id="15" w:name="_Toc236945248"/>
      <w:r>
        <w:t>4.4 The structural failure underneath</w:t>
      </w:r>
      <w:bookmarkEnd w:id="15"/>
    </w:p>
    <w:p w14:paraId="3BD4B007" w14:textId="77777777" w:rsidR="00970438" w:rsidRDefault="00000000" w:rsidP="009C625C">
      <w:pPr>
        <w:jc w:val="both"/>
      </w:pPr>
      <w:r>
        <w:t>At the end of that version, over 31 books, the corpus looked like this:</w:t>
      </w:r>
    </w:p>
    <w:tbl>
      <w:tblPr>
        <w:tblStyle w:val="LightGrid-Accent1"/>
        <w:tblW w:w="0" w:type="auto"/>
        <w:tblLook w:val="04A0" w:firstRow="1" w:lastRow="0" w:firstColumn="1" w:lastColumn="0" w:noHBand="0" w:noVBand="1"/>
      </w:tblPr>
      <w:tblGrid>
        <w:gridCol w:w="4752"/>
        <w:gridCol w:w="4752"/>
      </w:tblGrid>
      <w:tr w:rsidR="00970438" w14:paraId="4D99AE31"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6971D362" w14:textId="77777777" w:rsidR="00970438" w:rsidRDefault="00000000">
            <w:pPr>
              <w:spacing w:after="40"/>
            </w:pPr>
            <w:r>
              <w:rPr>
                <w:sz w:val="18"/>
              </w:rPr>
              <w:t>What was counted</w:t>
            </w:r>
          </w:p>
        </w:tc>
        <w:tc>
          <w:tcPr>
            <w:tcW w:w="4752" w:type="dxa"/>
          </w:tcPr>
          <w:p w14:paraId="4EC74472"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count</w:t>
            </w:r>
          </w:p>
        </w:tc>
      </w:tr>
      <w:tr w:rsidR="00970438" w14:paraId="5DD0F17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1BBC7368" w14:textId="77777777" w:rsidR="00970438" w:rsidRDefault="00000000">
            <w:pPr>
              <w:spacing w:after="40"/>
            </w:pPr>
            <w:r>
              <w:rPr>
                <w:sz w:val="18"/>
              </w:rPr>
              <w:t>Passages tagged</w:t>
            </w:r>
          </w:p>
        </w:tc>
        <w:tc>
          <w:tcPr>
            <w:tcW w:w="4752" w:type="dxa"/>
          </w:tcPr>
          <w:p w14:paraId="27A41BF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18,761</w:t>
            </w:r>
          </w:p>
        </w:tc>
      </w:tr>
      <w:tr w:rsidR="00970438" w14:paraId="63136024"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3CC91A3" w14:textId="77777777" w:rsidR="00970438" w:rsidRDefault="00000000">
            <w:pPr>
              <w:spacing w:after="40"/>
            </w:pPr>
            <w:r>
              <w:rPr>
                <w:sz w:val="18"/>
              </w:rPr>
              <w:t>Connections between passages</w:t>
            </w:r>
          </w:p>
        </w:tc>
        <w:tc>
          <w:tcPr>
            <w:tcW w:w="4752" w:type="dxa"/>
          </w:tcPr>
          <w:p w14:paraId="49FBFC8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584</w:t>
            </w:r>
          </w:p>
        </w:tc>
      </w:tr>
      <w:tr w:rsidR="00970438" w14:paraId="2BF740E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95C3F82" w14:textId="77777777" w:rsidR="00970438" w:rsidRDefault="00000000">
            <w:pPr>
              <w:spacing w:after="40"/>
            </w:pPr>
            <w:r>
              <w:rPr>
                <w:sz w:val="18"/>
              </w:rPr>
              <w:t>Of those, inside a single book</w:t>
            </w:r>
          </w:p>
        </w:tc>
        <w:tc>
          <w:tcPr>
            <w:tcW w:w="4752" w:type="dxa"/>
          </w:tcPr>
          <w:p w14:paraId="62FD56C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584</w:t>
            </w:r>
          </w:p>
        </w:tc>
      </w:tr>
      <w:tr w:rsidR="00970438" w14:paraId="16232912"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47819644" w14:textId="77777777" w:rsidR="00970438" w:rsidRDefault="00000000">
            <w:pPr>
              <w:spacing w:after="40"/>
            </w:pPr>
            <w:r>
              <w:rPr>
                <w:sz w:val="18"/>
              </w:rPr>
              <w:t>Links between two books</w:t>
            </w:r>
          </w:p>
        </w:tc>
        <w:tc>
          <w:tcPr>
            <w:tcW w:w="4752" w:type="dxa"/>
          </w:tcPr>
          <w:p w14:paraId="516E78F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0</w:t>
            </w:r>
          </w:p>
        </w:tc>
      </w:tr>
      <w:tr w:rsidR="00970438" w14:paraId="10B2B86E"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DEB57C0" w14:textId="77777777" w:rsidR="00970438" w:rsidRDefault="00000000">
            <w:pPr>
              <w:spacing w:after="40"/>
            </w:pPr>
            <w:r>
              <w:rPr>
                <w:sz w:val="18"/>
              </w:rPr>
              <w:t>Links between two passages of prose</w:t>
            </w:r>
          </w:p>
        </w:tc>
        <w:tc>
          <w:tcPr>
            <w:tcW w:w="4752" w:type="dxa"/>
          </w:tcPr>
          <w:p w14:paraId="2892542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0</w:t>
            </w:r>
          </w:p>
        </w:tc>
      </w:tr>
    </w:tbl>
    <w:p w14:paraId="335A1526" w14:textId="77777777" w:rsidR="00970438" w:rsidRDefault="00970438"/>
    <w:p w14:paraId="21EA2DB2" w14:textId="77777777" w:rsidR="00970438" w:rsidRDefault="00000000" w:rsidP="009C625C">
      <w:pPr>
        <w:jc w:val="both"/>
      </w:pPr>
      <w:r>
        <w:t>Not one connection across the library. And the cause was not a bad setting. The only mechanism that could ever create a connection asked a closed question and filtered the answer against that book's own list of figures, so its output was confined to one book by construction. No parameter could have produced a cross-book link.</w:t>
      </w:r>
    </w:p>
    <w:p w14:paraId="2FE7C5CE" w14:textId="77777777" w:rsidR="00970438" w:rsidRDefault="00000000" w:rsidP="009C625C">
      <w:pPr>
        <w:jc w:val="both"/>
      </w:pPr>
      <w:r>
        <w:rPr>
          <w:b/>
        </w:rPr>
        <w:t>The diagnosis is one sentence: an attribute is not a relation.</w:t>
      </w:r>
      <w:r>
        <w:t xml:space="preserve"> A tag sorts a passage into a bin. Two passages in the same bin have been sorted the same way; they have not met. What actually makes two books argue is that one of them names Charles Tilly and so does the other, or that one says whom it argues against and the other is that target. </w:t>
      </w:r>
      <w:r>
        <w:rPr>
          <w:b/>
        </w:rPr>
        <w:t>A closed vocabulary cannot record either, because it has to know the answer before it reads.</w:t>
      </w:r>
    </w:p>
    <w:p w14:paraId="699C35E4" w14:textId="77777777" w:rsidR="00970438" w:rsidRDefault="00000000" w:rsidP="009C625C">
      <w:pPr>
        <w:pStyle w:val="Heading3"/>
        <w:jc w:val="both"/>
      </w:pPr>
      <w:bookmarkStart w:id="16" w:name="_Toc236945249"/>
      <w:r>
        <w:t>4.5 What replaced it</w:t>
      </w:r>
      <w:bookmarkEnd w:id="16"/>
    </w:p>
    <w:p w14:paraId="28CC65AA" w14:textId="77777777" w:rsidR="00970438" w:rsidRDefault="00000000" w:rsidP="009C625C">
      <w:pPr>
        <w:jc w:val="both"/>
      </w:pPr>
      <w:r>
        <w:t>The fix is the question, not a better detector. Ask what the passage says, in the passage's own words, and specifics come back rather than bins. Over the same books:</w:t>
      </w:r>
    </w:p>
    <w:tbl>
      <w:tblPr>
        <w:tblStyle w:val="LightGrid-Accent1"/>
        <w:tblW w:w="0" w:type="auto"/>
        <w:tblLook w:val="04A0" w:firstRow="1" w:lastRow="0" w:firstColumn="1" w:lastColumn="0" w:noHBand="0" w:noVBand="1"/>
      </w:tblPr>
      <w:tblGrid>
        <w:gridCol w:w="3168"/>
        <w:gridCol w:w="3168"/>
        <w:gridCol w:w="3168"/>
      </w:tblGrid>
      <w:tr w:rsidR="00970438" w14:paraId="404836F1"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464EB92" w14:textId="77777777" w:rsidR="00970438" w:rsidRDefault="00970438">
            <w:pPr>
              <w:spacing w:after="40"/>
            </w:pPr>
          </w:p>
        </w:tc>
        <w:tc>
          <w:tcPr>
            <w:tcW w:w="3168" w:type="dxa"/>
          </w:tcPr>
          <w:p w14:paraId="6EAE1E72"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Tagging</w:t>
            </w:r>
          </w:p>
        </w:tc>
        <w:tc>
          <w:tcPr>
            <w:tcW w:w="3168" w:type="dxa"/>
          </w:tcPr>
          <w:p w14:paraId="28D2F686"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Interrogation</w:t>
            </w:r>
          </w:p>
        </w:tc>
      </w:tr>
      <w:tr w:rsidR="00970438" w14:paraId="08520003"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D70813C" w14:textId="77777777" w:rsidR="00970438" w:rsidRDefault="00000000">
            <w:pPr>
              <w:spacing w:after="40"/>
            </w:pPr>
            <w:r>
              <w:rPr>
                <w:sz w:val="18"/>
              </w:rPr>
              <w:t>Passages</w:t>
            </w:r>
          </w:p>
        </w:tc>
        <w:tc>
          <w:tcPr>
            <w:tcW w:w="3168" w:type="dxa"/>
          </w:tcPr>
          <w:p w14:paraId="501AB1C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18,761</w:t>
            </w:r>
          </w:p>
        </w:tc>
        <w:tc>
          <w:tcPr>
            <w:tcW w:w="3168" w:type="dxa"/>
          </w:tcPr>
          <w:p w14:paraId="2B2367C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6,148</w:t>
            </w:r>
          </w:p>
        </w:tc>
      </w:tr>
      <w:tr w:rsidR="00970438" w14:paraId="28CD964C"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CD73314" w14:textId="77777777" w:rsidR="00970438" w:rsidRDefault="00000000">
            <w:pPr>
              <w:spacing w:after="40"/>
            </w:pPr>
            <w:r>
              <w:rPr>
                <w:sz w:val="18"/>
              </w:rPr>
              <w:t>Names shared across books</w:t>
            </w:r>
          </w:p>
        </w:tc>
        <w:tc>
          <w:tcPr>
            <w:tcW w:w="3168" w:type="dxa"/>
          </w:tcPr>
          <w:p w14:paraId="76CF64B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t>
            </w:r>
          </w:p>
        </w:tc>
        <w:tc>
          <w:tcPr>
            <w:tcW w:w="3168" w:type="dxa"/>
          </w:tcPr>
          <w:p w14:paraId="0D58F57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9,505</w:t>
            </w:r>
          </w:p>
        </w:tc>
      </w:tr>
      <w:tr w:rsidR="00970438" w14:paraId="0539C455"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20BA0B2" w14:textId="77777777" w:rsidR="00970438" w:rsidRDefault="00000000">
            <w:pPr>
              <w:spacing w:after="40"/>
            </w:pPr>
            <w:r>
              <w:rPr>
                <w:sz w:val="18"/>
              </w:rPr>
              <w:t>Of those, shared across different authors</w:t>
            </w:r>
          </w:p>
        </w:tc>
        <w:tc>
          <w:tcPr>
            <w:tcW w:w="3168" w:type="dxa"/>
          </w:tcPr>
          <w:p w14:paraId="4320CA9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t>
            </w:r>
          </w:p>
        </w:tc>
        <w:tc>
          <w:tcPr>
            <w:tcW w:w="3168" w:type="dxa"/>
          </w:tcPr>
          <w:p w14:paraId="5C09F64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8,769</w:t>
            </w:r>
          </w:p>
        </w:tc>
      </w:tr>
      <w:tr w:rsidR="00970438" w14:paraId="13C92833"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42DAFBF" w14:textId="77777777" w:rsidR="00970438" w:rsidRDefault="00000000">
            <w:pPr>
              <w:spacing w:after="40"/>
            </w:pPr>
            <w:r>
              <w:rPr>
                <w:sz w:val="18"/>
              </w:rPr>
              <w:t>Stated disagreements between authors</w:t>
            </w:r>
          </w:p>
        </w:tc>
        <w:tc>
          <w:tcPr>
            <w:tcW w:w="3168" w:type="dxa"/>
          </w:tcPr>
          <w:p w14:paraId="37BBF51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0</w:t>
            </w:r>
          </w:p>
        </w:tc>
        <w:tc>
          <w:tcPr>
            <w:tcW w:w="3168" w:type="dxa"/>
          </w:tcPr>
          <w:p w14:paraId="40B5A6B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447</w:t>
            </w:r>
          </w:p>
        </w:tc>
      </w:tr>
    </w:tbl>
    <w:p w14:paraId="2717FA14" w14:textId="77777777" w:rsidR="00970438" w:rsidRDefault="00970438"/>
    <w:p w14:paraId="5DE1AB07" w14:textId="77777777" w:rsidR="00970438" w:rsidRDefault="00000000" w:rsidP="009C625C">
      <w:pPr>
        <w:jc w:val="both"/>
      </w:pPr>
      <w:r>
        <w:t>The passage count fell because the passages got bigger, deliberately, to fit whole arguments. Everything else appeared for the first time.</w:t>
      </w:r>
    </w:p>
    <w:p w14:paraId="356B1C9C" w14:textId="77777777" w:rsidR="00970438" w:rsidRDefault="00000000" w:rsidP="009C625C">
      <w:pPr>
        <w:pStyle w:val="Heading3"/>
        <w:jc w:val="both"/>
      </w:pPr>
      <w:bookmarkStart w:id="17" w:name="_Toc236945250"/>
      <w:r>
        <w:t>4.6 The same lesson, twice more</w:t>
      </w:r>
      <w:bookmarkEnd w:id="17"/>
    </w:p>
    <w:p w14:paraId="69356A2E" w14:textId="77777777" w:rsidR="00970438" w:rsidRDefault="00000000" w:rsidP="009C625C">
      <w:pPr>
        <w:jc w:val="both"/>
      </w:pPr>
      <w:r>
        <w:rPr>
          <w:b/>
        </w:rPr>
        <w:t>Once at retrieval.</w:t>
      </w:r>
      <w:r>
        <w:t xml:space="preserve"> Interrogation produced a graph, and then materialisation threw most of it away by grouping passages into pages by their surface string. Whom a passage argues against was answered on </w:t>
      </w:r>
      <w:r>
        <w:rPr>
          <w:b/>
        </w:rPr>
        <w:t>76.4%</w:t>
      </w:r>
      <w:r>
        <w:t xml:space="preserve"> of </w:t>
      </w:r>
      <w:r>
        <w:lastRenderedPageBreak/>
        <w:t xml:space="preserve">passages, and only </w:t>
      </w:r>
      <w:r>
        <w:rPr>
          <w:b/>
        </w:rPr>
        <w:t>4.7%</w:t>
      </w:r>
      <w:r>
        <w:t xml:space="preserve"> of those targets joined to anything a question could actually reach. The opposition was recorded and not indexed. Loading the same passages into a relational store lifted that to </w:t>
      </w:r>
      <w:r>
        <w:rPr>
          <w:b/>
        </w:rPr>
        <w:t>44%</w:t>
      </w:r>
      <w:r>
        <w:t xml:space="preserve"> and exposed </w:t>
      </w:r>
      <w:r>
        <w:rPr>
          <w:b/>
        </w:rPr>
        <w:t>43,101 cross-source opposition pairs</w:t>
      </w:r>
      <w:r>
        <w:t>. That is the redesign that made this version of the report necessary.</w:t>
      </w:r>
    </w:p>
    <w:p w14:paraId="41375AED" w14:textId="3E215FBE" w:rsidR="00970438" w:rsidRDefault="00000000" w:rsidP="009C625C">
      <w:pPr>
        <w:jc w:val="both"/>
      </w:pPr>
      <w:r>
        <w:rPr>
          <w:b/>
        </w:rPr>
        <w:t>Once at the argument map.</w:t>
      </w:r>
      <w:r>
        <w:t xml:space="preserve"> The relation pass could have been given a tidy list of relationship types. It was not, for the reason stated in </w:t>
      </w:r>
      <w:hyperlink w:anchor="sec3" w:history="1">
        <w:r w:rsidRPr="00D06213">
          <w:rPr>
            <w:rStyle w:val="Hyperlink"/>
          </w:rPr>
          <w:t>section 3</w:t>
        </w:r>
      </w:hyperlink>
      <w:r>
        <w:t>: an engine told to look for opposition finds opposition. Given no menu it coined 504 labels, and the shapes that recur were named afterwards from what came back.</w:t>
      </w:r>
    </w:p>
    <w:p w14:paraId="03A80560" w14:textId="77777777" w:rsidR="00970438" w:rsidRDefault="00000000" w:rsidP="009C625C">
      <w:pPr>
        <w:pStyle w:val="Heading3"/>
        <w:jc w:val="both"/>
      </w:pPr>
      <w:bookmarkStart w:id="18" w:name="_Toc236945251"/>
      <w:r>
        <w:t>4.7 What the old vocabularies are still good for</w:t>
      </w:r>
      <w:bookmarkEnd w:id="18"/>
    </w:p>
    <w:p w14:paraId="5FE2EE18" w14:textId="77777777" w:rsidR="00970438" w:rsidRDefault="00000000" w:rsidP="009C625C">
      <w:pPr>
        <w:jc w:val="both"/>
      </w:pPr>
      <w:r>
        <w:t xml:space="preserve">They did not disappear. They survive as </w:t>
      </w:r>
      <w:r>
        <w:rPr>
          <w:b/>
        </w:rPr>
        <w:t>examples</w:t>
      </w:r>
      <w:r>
        <w:t>, and the design around them is the single most important guard in the reading pass.</w:t>
      </w:r>
    </w:p>
    <w:p w14:paraId="1FD4EDBB" w14:textId="77777777" w:rsidR="00970438" w:rsidRDefault="00000000" w:rsidP="009C625C">
      <w:pPr>
        <w:jc w:val="both"/>
      </w:pPr>
      <w:r>
        <w:t xml:space="preserve">The model answers every question in its own words </w:t>
      </w:r>
      <w:r>
        <w:rPr>
          <w:b/>
        </w:rPr>
        <w:t>first</w:t>
      </w:r>
      <w:r>
        <w:t xml:space="preserve">. Only afterwards is it shown the example vocabulary, in a separate section, with the instruction that these are "NOT a menu, NOT a vocabulary, and NOT a set of allowed answers", that "nothing checks your free answers against them", and that "an answer that matches none of them is the normal case". It then adds a </w:t>
      </w:r>
      <w:r>
        <w:rPr>
          <w:i/>
        </w:rPr>
        <w:t>second</w:t>
      </w:r>
      <w:r>
        <w:t>, separate note about which example its free answer happens to sit nearest, and whether the fit is close, loose or none. Code never bridges the two fields — no normalisation, no rewriting, no filling one from the other.</w:t>
      </w:r>
    </w:p>
    <w:p w14:paraId="46B0DEB3" w14:textId="77777777" w:rsidR="00970438" w:rsidRDefault="00000000" w:rsidP="009C625C">
      <w:pPr>
        <w:jc w:val="both"/>
      </w:pPr>
      <w:r>
        <w:t>That ordering is the whole difference between this design and the one it replaced. Reverse it and Axial is a tagger again, with extra steps, and nobody could tell from the output.</w:t>
      </w:r>
    </w:p>
    <w:p w14:paraId="0A5C429C" w14:textId="77777777" w:rsidR="00970438" w:rsidRDefault="00000000" w:rsidP="009C625C">
      <w:pPr>
        <w:pStyle w:val="Heading2"/>
        <w:jc w:val="both"/>
      </w:pPr>
      <w:bookmarkStart w:id="19" w:name="_Toc236945252"/>
      <w:r>
        <w:t>5. Why any of it can be checked</w:t>
      </w:r>
      <w:bookmarkEnd w:id="19"/>
    </w:p>
    <w:p w14:paraId="10741C63" w14:textId="77777777" w:rsidR="00970438" w:rsidRDefault="00000000" w:rsidP="009C625C">
      <w:pPr>
        <w:jc w:val="both"/>
      </w:pPr>
      <w:r>
        <w:t xml:space="preserve">A production tool makes novel claims, and a novel claim has no answer key. There is no gold standard for "the right synthesis of thirty-five books". So Axial does not claim correctness. It claims </w:t>
      </w:r>
      <w:r>
        <w:rPr>
          <w:b/>
        </w:rPr>
        <w:t>auditability</w:t>
      </w:r>
      <w:r>
        <w:t xml:space="preserve">, and organises everything around one sentence: </w:t>
      </w:r>
      <w:r>
        <w:rPr>
          <w:i/>
        </w:rPr>
        <w:t>accountability to grounds, with honest confidence.</w:t>
      </w:r>
    </w:p>
    <w:p w14:paraId="5171C0E7" w14:textId="77777777" w:rsidR="00970438" w:rsidRDefault="00000000" w:rsidP="009C625C">
      <w:pPr>
        <w:jc w:val="both"/>
      </w:pPr>
      <w:r>
        <w:t>Five commitments follow, and each is enforced somewhere a model cannot reach.</w:t>
      </w:r>
    </w:p>
    <w:p w14:paraId="14024DF0" w14:textId="77777777" w:rsidR="00970438" w:rsidRDefault="00000000" w:rsidP="009C625C">
      <w:pPr>
        <w:jc w:val="both"/>
      </w:pPr>
      <w:r>
        <w:rPr>
          <w:b/>
        </w:rPr>
        <w:t>Every claim is witnessed by the corpus, never by training memory.</w:t>
      </w:r>
      <w:r>
        <w:t xml:space="preserve"> The model's job is to reason </w:t>
      </w:r>
      <w:r>
        <w:rPr>
          <w:i/>
        </w:rPr>
        <w:t>across</w:t>
      </w:r>
      <w:r>
        <w:t xml:space="preserve"> grounded material, never to supply facts </w:t>
      </w:r>
      <w:r>
        <w:rPr>
          <w:i/>
        </w:rPr>
        <w:t>from itself</w:t>
      </w:r>
      <w:r>
        <w:t>. Where the corpus is silent the output says so.</w:t>
      </w:r>
    </w:p>
    <w:p w14:paraId="3774B8DE" w14:textId="77777777" w:rsidR="00970438" w:rsidRDefault="00000000" w:rsidP="009C625C">
      <w:pPr>
        <w:jc w:val="both"/>
      </w:pPr>
      <w:r>
        <w:rPr>
          <w:b/>
        </w:rPr>
        <w:t>Outputs are assembled from grounded moves, never written and then fitted with citations.</w:t>
      </w:r>
      <w:r>
        <w:t xml:space="preserve"> Marking every assertion as one of three kinds makes the join visible — the </w:t>
      </w:r>
      <w:r>
        <w:rPr>
          <w:i/>
        </w:rPr>
        <w:t>seam</w:t>
      </w:r>
      <w:r>
        <w:t>, in this report's shorthand, being the line where what a source said stops and what Axial concluded begins. The (b) seam is where the value is and where the risk is, in the same place, so it is checked first.</w:t>
      </w:r>
    </w:p>
    <w:p w14:paraId="13E4FDD5" w14:textId="77777777" w:rsidR="00970438" w:rsidRDefault="00000000" w:rsidP="009C625C">
      <w:pPr>
        <w:jc w:val="both"/>
      </w:pPr>
      <w:r>
        <w:rPr>
          <w:b/>
        </w:rPr>
        <w:t>The brief is interrogated, not obeyed.</w:t>
      </w:r>
      <w:r>
        <w:t xml:space="preserve"> A research brief is a claim about what is worth asking, and it can be wrong. Bounding and refusal are first-class outputs.</w:t>
      </w:r>
    </w:p>
    <w:p w14:paraId="52EA9E68" w14:textId="77777777" w:rsidR="00970438" w:rsidRDefault="00000000" w:rsidP="009C625C">
      <w:pPr>
        <w:jc w:val="both"/>
      </w:pPr>
      <w:r>
        <w:rPr>
          <w:b/>
        </w:rPr>
        <w:t>Counter-position is mandatory.</w:t>
      </w:r>
      <w:r>
        <w:t xml:space="preserve"> Comparative-historical sociology is a field of live disputes. A synthesis that reports one side has not settled the dispute, it has collapsed to one side and hidden that. </w:t>
      </w:r>
      <w:r>
        <w:rPr>
          <w:b/>
        </w:rPr>
        <w:t>On a contested question, no counter-position is a red flag, not a clean result.</w:t>
      </w:r>
      <w:r>
        <w:t xml:space="preserve"> When the library really is one-sided, the output says so and attributes the one-sidedness to the corpus, which is a different statement from "the sources agree".</w:t>
      </w:r>
    </w:p>
    <w:p w14:paraId="0DCBE74F" w14:textId="77777777" w:rsidR="00970438" w:rsidRDefault="00000000" w:rsidP="009C625C">
      <w:pPr>
        <w:jc w:val="both"/>
      </w:pPr>
      <w:r>
        <w:rPr>
          <w:b/>
        </w:rPr>
        <w:lastRenderedPageBreak/>
        <w:t>Confidence is disclosed, and trust is compositional.</w:t>
      </w:r>
      <w:r>
        <w:t xml:space="preserve"> There is no single quality score and none was invented. Trust decomposes into layers — is the substrate cleanly read, is every claim marked with the right kind, does the argument follow from its grounds, does stated confidence track reality — and a failure low down poisons everything above it. A flawless synthesis over a mis-attributed reading is worthless. The layers multiply; they do not average.</w:t>
      </w:r>
    </w:p>
    <w:p w14:paraId="627567E9" w14:textId="77777777" w:rsidR="00970438" w:rsidRDefault="00000000" w:rsidP="009C625C">
      <w:pPr>
        <w:jc w:val="both"/>
      </w:pPr>
      <w:r>
        <w:t>Two structural properties support all five.</w:t>
      </w:r>
    </w:p>
    <w:p w14:paraId="4D2047E9" w14:textId="77777777" w:rsidR="00970438" w:rsidRDefault="00000000" w:rsidP="009C625C">
      <w:pPr>
        <w:jc w:val="both"/>
      </w:pPr>
      <w:r>
        <w:rPr>
          <w:i/>
        </w:rPr>
        <w:t>Code holds the line on both sides of every model call.</w:t>
      </w:r>
      <w:r>
        <w:t xml:space="preserve"> Code assembles what the model sees, so a packet cannot overflow and a prompt cannot be talked into fetching more. Code reads what comes back, so an invented reference is dropped rather than repaired and a response nothing could be parsed from is never recorded as a verdict. And code keeps a ledger beside every paid pass, so an interrupted run resumes instead of paying twice.</w:t>
      </w:r>
    </w:p>
    <w:p w14:paraId="6A738F8E" w14:textId="77777777" w:rsidR="00970438" w:rsidRDefault="00000000" w:rsidP="009C625C">
      <w:pPr>
        <w:jc w:val="both"/>
      </w:pPr>
      <w:r>
        <w:rPr>
          <w:i/>
        </w:rPr>
        <w:t>Nothing is a one-way door.</w:t>
      </w:r>
      <w:r>
        <w:t xml:space="preserve"> Every intermediate artifact is on disk and inspectable: the structural tree of each book, the seventeen answers for every passage, every name page, every position and relation, every retrieval step with the exact pages it touched, and the cost of each pass. A claim in a finished paper can be walked back to the passage in the book, by hand, in under a minute.</w:t>
      </w:r>
    </w:p>
    <w:p w14:paraId="6E573996" w14:textId="77777777" w:rsidR="00970438" w:rsidRDefault="00000000" w:rsidP="009C625C">
      <w:pPr>
        <w:pStyle w:val="Heading2"/>
        <w:jc w:val="both"/>
      </w:pPr>
      <w:bookmarkStart w:id="20" w:name="_Toc236945253"/>
      <w:bookmarkStart w:id="21" w:name="sec6"/>
      <w:bookmarkEnd w:id="21"/>
      <w:r>
        <w:t>6. What is actually in the library</w:t>
      </w:r>
      <w:bookmarkEnd w:id="20"/>
    </w:p>
    <w:p w14:paraId="23492B20" w14:textId="5FD81974" w:rsidR="00970438" w:rsidRDefault="00000000" w:rsidP="009C625C">
      <w:pPr>
        <w:jc w:val="both"/>
      </w:pPr>
      <w:r>
        <w:t xml:space="preserve">The current library is </w:t>
      </w:r>
      <w:r>
        <w:rPr>
          <w:b/>
        </w:rPr>
        <w:t>35 books</w:t>
      </w:r>
      <w:r>
        <w:t xml:space="preserve">, listed in full in </w:t>
      </w:r>
      <w:hyperlink w:anchor="appC" w:history="1">
        <w:r w:rsidRPr="00D06213">
          <w:rPr>
            <w:rStyle w:val="Hyperlink"/>
          </w:rPr>
          <w:t>Appendix C</w:t>
        </w:r>
      </w:hyperlink>
      <w:r>
        <w:t>. It is deliberately built around one case, Syria, set inside the comparative-historical literature on state formation, nationalism and political violence — Mann's four volumes, Tilly, Gellner, Wimmer, Smith, Kalyvas, Jackson, Caspersen, alongside Batatu, Ayubi, Heydemann, White, Hinnebusch, Gelvin, Wedeen, Üngör and Vignal.</w:t>
      </w:r>
    </w:p>
    <w:p w14:paraId="49083960" w14:textId="77777777" w:rsidR="00970438" w:rsidRDefault="00000000" w:rsidP="009C625C">
      <w:pPr>
        <w:jc w:val="both"/>
      </w:pPr>
      <w:r>
        <w:t xml:space="preserve">Reading it produced </w:t>
      </w:r>
      <w:r>
        <w:rPr>
          <w:b/>
        </w:rPr>
        <w:t>6,842 passages</w:t>
      </w:r>
      <w:r>
        <w:t xml:space="preserve"> and </w:t>
      </w:r>
      <w:r>
        <w:rPr>
          <w:b/>
        </w:rPr>
        <w:t>47,584 name pages</w:t>
      </w:r>
      <w:r>
        <w:t xml:space="preserve"> carrying 137,276 mentions.</w:t>
      </w:r>
    </w:p>
    <w:p w14:paraId="5B8DEE0B" w14:textId="5F546B6C" w:rsidR="00970438" w:rsidRDefault="00000000" w:rsidP="009C625C">
      <w:pPr>
        <w:jc w:val="both"/>
      </w:pPr>
      <w:r>
        <w:t xml:space="preserve">A separate report, </w:t>
      </w:r>
      <w:r w:rsidRPr="009C625C">
        <w:rPr>
          <w:i/>
          <w:iCs/>
          <w:color w:val="C8553D"/>
        </w:rPr>
        <w:t>Axial — what the library covers, and what it does not</w:t>
      </w:r>
      <w:r>
        <w:t>, measures that index page by page. Its central finding is repeated here.</w:t>
      </w:r>
    </w:p>
    <w:p w14:paraId="6EF1F17D" w14:textId="77777777" w:rsidR="00970438" w:rsidRDefault="00000000" w:rsidP="009C625C">
      <w:pPr>
        <w:jc w:val="both"/>
      </w:pPr>
      <w:r>
        <w:rPr>
          <w:b/>
        </w:rPr>
        <w:t>A page is useful for research when it holds enough passages to compare and enough different books for the comparison to be between authors rather than within one.</w:t>
      </w:r>
      <w:r>
        <w:t xml:space="preserve"> That means roughly thirty to two hundred passages from five or more books. </w:t>
      </w:r>
      <w:r>
        <w:rPr>
          <w:b/>
        </w:rPr>
        <w:t>329 of the 47,584 pages meet that bar.</w:t>
      </w:r>
      <w:r>
        <w:t xml:space="preserve"> Seven in ten thousand.</w:t>
      </w:r>
    </w:p>
    <w:tbl>
      <w:tblPr>
        <w:tblStyle w:val="LightGrid-Accent1"/>
        <w:tblW w:w="0" w:type="auto"/>
        <w:tblLook w:val="04A0" w:firstRow="1" w:lastRow="0" w:firstColumn="1" w:lastColumn="0" w:noHBand="0" w:noVBand="1"/>
      </w:tblPr>
      <w:tblGrid>
        <w:gridCol w:w="4752"/>
        <w:gridCol w:w="4752"/>
      </w:tblGrid>
      <w:tr w:rsidR="00970438" w14:paraId="710E0D0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2CA2BEA" w14:textId="77777777" w:rsidR="00970438" w:rsidRDefault="00000000">
            <w:pPr>
              <w:spacing w:after="40"/>
            </w:pPr>
            <w:r>
              <w:rPr>
                <w:sz w:val="18"/>
              </w:rPr>
              <w:t>What was counted</w:t>
            </w:r>
          </w:p>
        </w:tc>
        <w:tc>
          <w:tcPr>
            <w:tcW w:w="4752" w:type="dxa"/>
          </w:tcPr>
          <w:p w14:paraId="3103923D"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count</w:t>
            </w:r>
          </w:p>
        </w:tc>
      </w:tr>
      <w:tr w:rsidR="00970438" w14:paraId="76AF410E"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43165102" w14:textId="77777777" w:rsidR="00970438" w:rsidRDefault="00000000">
            <w:pPr>
              <w:spacing w:after="40"/>
            </w:pPr>
            <w:r>
              <w:rPr>
                <w:sz w:val="18"/>
              </w:rPr>
              <w:t>Median passages per page, every kind of name</w:t>
            </w:r>
          </w:p>
        </w:tc>
        <w:tc>
          <w:tcPr>
            <w:tcW w:w="4752" w:type="dxa"/>
          </w:tcPr>
          <w:p w14:paraId="4A2E8B9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1</w:t>
            </w:r>
          </w:p>
        </w:tc>
      </w:tr>
      <w:tr w:rsidR="00970438" w14:paraId="01C3D1D7"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C5F9E50" w14:textId="77777777" w:rsidR="00970438" w:rsidRDefault="00000000">
            <w:pPr>
              <w:spacing w:after="40"/>
            </w:pPr>
            <w:r>
              <w:rPr>
                <w:sz w:val="18"/>
              </w:rPr>
              <w:t>Pages mentioned exactly once and never again</w:t>
            </w:r>
          </w:p>
        </w:tc>
        <w:tc>
          <w:tcPr>
            <w:tcW w:w="4752" w:type="dxa"/>
          </w:tcPr>
          <w:p w14:paraId="3B49300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32,447 of 47,584</w:t>
            </w:r>
          </w:p>
        </w:tc>
      </w:tr>
      <w:tr w:rsidR="00970438" w14:paraId="42EF5BD3"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055C40D" w14:textId="77777777" w:rsidR="00970438" w:rsidRDefault="00000000">
            <w:pPr>
              <w:spacing w:after="40"/>
            </w:pPr>
            <w:r>
              <w:rPr>
                <w:sz w:val="18"/>
              </w:rPr>
              <w:t>Pages that exist inside a single book</w:t>
            </w:r>
          </w:p>
        </w:tc>
        <w:tc>
          <w:tcPr>
            <w:tcW w:w="4752" w:type="dxa"/>
          </w:tcPr>
          <w:p w14:paraId="054F013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83.0%</w:t>
            </w:r>
          </w:p>
        </w:tc>
      </w:tr>
      <w:tr w:rsidR="00970438" w14:paraId="493974D5"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3A27F3F" w14:textId="77777777" w:rsidR="00970438" w:rsidRDefault="00000000">
            <w:pPr>
              <w:spacing w:after="40"/>
            </w:pPr>
            <w:r>
              <w:rPr>
                <w:sz w:val="18"/>
              </w:rPr>
              <w:t>Concepts discussed by five or more books at all</w:t>
            </w:r>
          </w:p>
        </w:tc>
        <w:tc>
          <w:tcPr>
            <w:tcW w:w="4752" w:type="dxa"/>
          </w:tcPr>
          <w:p w14:paraId="3BF88CA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135</w:t>
            </w:r>
          </w:p>
        </w:tc>
      </w:tr>
      <w:tr w:rsidR="00970438" w14:paraId="40072CF2"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C43DAC2" w14:textId="77777777" w:rsidR="00970438" w:rsidRDefault="00000000">
            <w:pPr>
              <w:spacing w:after="40"/>
            </w:pPr>
            <w:r>
              <w:rPr>
                <w:sz w:val="18"/>
              </w:rPr>
              <w:t>Concepts meeting the research bar</w:t>
            </w:r>
          </w:p>
        </w:tc>
        <w:tc>
          <w:tcPr>
            <w:tcW w:w="4752" w:type="dxa"/>
          </w:tcPr>
          <w:p w14:paraId="122C13F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18</w:t>
            </w:r>
          </w:p>
        </w:tc>
      </w:tr>
    </w:tbl>
    <w:p w14:paraId="6E54128F" w14:textId="77777777" w:rsidR="00970438" w:rsidRDefault="00970438"/>
    <w:p w14:paraId="2A58DF34" w14:textId="77777777" w:rsidR="00970438" w:rsidRDefault="00000000" w:rsidP="009C625C">
      <w:pPr>
        <w:jc w:val="both"/>
      </w:pPr>
      <w:r>
        <w:t>Three readings follow from this, and all three are useful.</w:t>
      </w:r>
    </w:p>
    <w:p w14:paraId="2E778D0E" w14:textId="77777777" w:rsidR="00970438" w:rsidRDefault="00000000" w:rsidP="009C625C">
      <w:pPr>
        <w:jc w:val="both"/>
      </w:pPr>
      <w:r>
        <w:rPr>
          <w:b/>
        </w:rPr>
        <w:t>The tail is real and it is mostly bibliography.</w:t>
      </w:r>
      <w:r>
        <w:t xml:space="preserve"> The </w:t>
      </w:r>
      <w:r>
        <w:rPr>
          <w:i/>
        </w:rPr>
        <w:t>tail</w:t>
      </w:r>
      <w:r>
        <w:t xml:space="preserve"> is the long, thin end of the distribution: the enormous number of name pages that carry almost nothing, as against the small number that carry a great deal. Two in three pages are a name a passage mentioned once. Works cited are the extreme case: 94.2% appear in one book only, which is what a bibliography looks like when you index it.</w:t>
      </w:r>
    </w:p>
    <w:p w14:paraId="3B6B30A5" w14:textId="77777777" w:rsidR="00970438" w:rsidRDefault="00000000" w:rsidP="009C625C">
      <w:pPr>
        <w:jc w:val="both"/>
      </w:pPr>
      <w:r>
        <w:rPr>
          <w:b/>
        </w:rPr>
        <w:lastRenderedPageBreak/>
        <w:t>Places, not concepts, are this library's strongest entry points.</w:t>
      </w:r>
      <w:r>
        <w:t xml:space="preserve"> Countries and places hold 35,493 mentions off 4,670 pages, more than twice the density of any other kind, and 129 of the 329 research-grade pages. That is a genuine property of a case-organised shelf. Its authors meet each other over Syria, Iraq, Britain and France far more often than over any idea.</w:t>
      </w:r>
    </w:p>
    <w:p w14:paraId="1A360CA0" w14:textId="77777777" w:rsidR="00970438" w:rsidRDefault="00000000" w:rsidP="009C625C">
      <w:pPr>
        <w:jc w:val="both"/>
      </w:pPr>
      <w:r>
        <w:rPr>
          <w:b/>
        </w:rPr>
        <w:t>Some topics are covered at length and yet not argued about.</w:t>
      </w:r>
      <w:r>
        <w:t xml:space="preserve"> Take every page with ten or more passages and ask whether one book supplies seventy percent of them. </w:t>
      </w:r>
      <w:r>
        <w:rPr>
          <w:i/>
        </w:rPr>
        <w:t>Negative sovereignty</w:t>
      </w:r>
      <w:r>
        <w:t xml:space="preserve">: 47 passages, 87% Jackson. </w:t>
      </w:r>
      <w:r>
        <w:rPr>
          <w:i/>
        </w:rPr>
        <w:t>State of exception</w:t>
      </w:r>
      <w:r>
        <w:t xml:space="preserve">: 27 passages, 93% Agamben. </w:t>
      </w:r>
      <w:r>
        <w:rPr>
          <w:i/>
        </w:rPr>
        <w:t>IEMP model</w:t>
      </w:r>
      <w:r>
        <w:t>: 80 passages, 82% Hall and Schroeder. These are not gaps in the ordinary sense. Every one is well covered. What is missing is a second author, which is a much more specific and much more fixable thing.</w:t>
      </w:r>
    </w:p>
    <w:p w14:paraId="268F1212" w14:textId="77777777" w:rsidR="00970438" w:rsidRDefault="00000000" w:rsidP="009C625C">
      <w:pPr>
        <w:jc w:val="both"/>
      </w:pPr>
      <w:r>
        <w:t>That measurement is what tells us which book to add next, and it is computed mechanically from the finished index with no model asked to judge anything.</w:t>
      </w:r>
    </w:p>
    <w:p w14:paraId="59B4FC01" w14:textId="77777777" w:rsidR="00970438" w:rsidRDefault="00000000" w:rsidP="009C625C">
      <w:pPr>
        <w:pStyle w:val="Heading2"/>
        <w:jc w:val="both"/>
      </w:pPr>
      <w:bookmarkStart w:id="22" w:name="_Toc236945254"/>
      <w:r>
        <w:t>7. How it was tested, and what the tests showed</w:t>
      </w:r>
      <w:bookmarkEnd w:id="22"/>
    </w:p>
    <w:p w14:paraId="0F348670" w14:textId="77777777" w:rsidR="00970438" w:rsidRDefault="00000000" w:rsidP="009C625C">
      <w:pPr>
        <w:pStyle w:val="Heading3"/>
        <w:jc w:val="both"/>
      </w:pPr>
      <w:bookmarkStart w:id="23" w:name="_Toc236945255"/>
      <w:bookmarkStart w:id="24" w:name="sec71"/>
      <w:bookmarkEnd w:id="24"/>
      <w:r>
        <w:t>7.1 The principle: no single number, and no number without its frame</w:t>
      </w:r>
      <w:bookmarkEnd w:id="23"/>
    </w:p>
    <w:p w14:paraId="6D162285" w14:textId="77777777" w:rsidR="00970438" w:rsidRDefault="00000000" w:rsidP="009C625C">
      <w:pPr>
        <w:jc w:val="both"/>
      </w:pPr>
      <w:r>
        <w:t>Axial computes no aggregate accuracy score and must not. A single figure lets a strong layer average away a weak one, which is precisely the failure the design exists to avoid. Instead there are four instruments, on different clocks, each reported on its own terms.</w:t>
      </w:r>
    </w:p>
    <w:tbl>
      <w:tblPr>
        <w:tblStyle w:val="LightGrid-Accent1"/>
        <w:tblW w:w="0" w:type="auto"/>
        <w:tblLook w:val="04A0" w:firstRow="1" w:lastRow="0" w:firstColumn="1" w:lastColumn="0" w:noHBand="0" w:noVBand="1"/>
      </w:tblPr>
      <w:tblGrid>
        <w:gridCol w:w="2376"/>
        <w:gridCol w:w="2835"/>
        <w:gridCol w:w="1917"/>
        <w:gridCol w:w="2376"/>
      </w:tblGrid>
      <w:tr w:rsidR="00970438" w14:paraId="1BA52D6F"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5372C20" w14:textId="77777777" w:rsidR="00970438" w:rsidRDefault="00000000">
            <w:pPr>
              <w:spacing w:after="40"/>
            </w:pPr>
            <w:r>
              <w:rPr>
                <w:sz w:val="18"/>
              </w:rPr>
              <w:t>Instrument</w:t>
            </w:r>
          </w:p>
        </w:tc>
        <w:tc>
          <w:tcPr>
            <w:tcW w:w="2835" w:type="dxa"/>
          </w:tcPr>
          <w:p w14:paraId="30A47901"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What it judges</w:t>
            </w:r>
          </w:p>
        </w:tc>
        <w:tc>
          <w:tcPr>
            <w:tcW w:w="1917" w:type="dxa"/>
          </w:tcPr>
          <w:p w14:paraId="30C2E9BD"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When it runs</w:t>
            </w:r>
          </w:p>
        </w:tc>
        <w:tc>
          <w:tcPr>
            <w:tcW w:w="2376" w:type="dxa"/>
          </w:tcPr>
          <w:p w14:paraId="408DD15A"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Can it block a release?</w:t>
            </w:r>
          </w:p>
        </w:tc>
      </w:tr>
      <w:tr w:rsidR="00970438" w14:paraId="153AFD71"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ACCB698" w14:textId="77777777" w:rsidR="00970438" w:rsidRDefault="00000000">
            <w:pPr>
              <w:spacing w:after="40"/>
            </w:pPr>
            <w:r>
              <w:rPr>
                <w:sz w:val="18"/>
              </w:rPr>
              <w:t>Mechanical checks</w:t>
            </w:r>
          </w:p>
        </w:tc>
        <w:tc>
          <w:tcPr>
            <w:tcW w:w="2835" w:type="dxa"/>
          </w:tcPr>
          <w:p w14:paraId="0A85B2B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Does the output have the shape it must: kinds present, grounds resolvable, coverage map non-empty</w:t>
            </w:r>
          </w:p>
        </w:tc>
        <w:tc>
          <w:tcPr>
            <w:tcW w:w="1917" w:type="dxa"/>
          </w:tcPr>
          <w:p w14:paraId="4625297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Every run</w:t>
            </w:r>
          </w:p>
        </w:tc>
        <w:tc>
          <w:tcPr>
            <w:tcW w:w="2376" w:type="dxa"/>
          </w:tcPr>
          <w:p w14:paraId="1AB462B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Yes</w:t>
            </w:r>
          </w:p>
        </w:tc>
      </w:tr>
      <w:tr w:rsidR="00970438" w14:paraId="6EB37837"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3198310" w14:textId="77777777" w:rsidR="00970438" w:rsidRDefault="00000000">
            <w:pPr>
              <w:spacing w:after="40"/>
            </w:pPr>
            <w:r>
              <w:rPr>
                <w:sz w:val="18"/>
              </w:rPr>
              <w:t>The required-source oracle</w:t>
            </w:r>
          </w:p>
        </w:tc>
        <w:tc>
          <w:tcPr>
            <w:tcW w:w="2835" w:type="dxa"/>
          </w:tcPr>
          <w:p w14:paraId="54C5BA5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Did the run's citations actually reach the books the question demands</w:t>
            </w:r>
          </w:p>
        </w:tc>
        <w:tc>
          <w:tcPr>
            <w:tcW w:w="1917" w:type="dxa"/>
          </w:tcPr>
          <w:p w14:paraId="408A073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 the test set</w:t>
            </w:r>
          </w:p>
        </w:tc>
        <w:tc>
          <w:tcPr>
            <w:tcW w:w="2376" w:type="dxa"/>
          </w:tcPr>
          <w:p w14:paraId="0A44065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No — it is a measurement</w:t>
            </w:r>
          </w:p>
        </w:tc>
      </w:tr>
      <w:tr w:rsidR="00970438" w14:paraId="7D0A15F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617BC8E" w14:textId="77777777" w:rsidR="00970438" w:rsidRDefault="00000000">
            <w:pPr>
              <w:spacing w:after="40"/>
            </w:pPr>
            <w:r>
              <w:rPr>
                <w:sz w:val="18"/>
              </w:rPr>
              <w:t>The four paper gates</w:t>
            </w:r>
          </w:p>
        </w:tc>
        <w:tc>
          <w:tcPr>
            <w:tcW w:w="2835" w:type="dxa"/>
          </w:tcPr>
          <w:p w14:paraId="07A9870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Provenance, grounding of new inferences, mislabelled seams, counter-position</w:t>
            </w:r>
          </w:p>
        </w:tc>
        <w:tc>
          <w:tcPr>
            <w:tcW w:w="1917" w:type="dxa"/>
          </w:tcPr>
          <w:p w14:paraId="0DAED41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Every paper</w:t>
            </w:r>
          </w:p>
        </w:tc>
        <w:tc>
          <w:tcPr>
            <w:tcW w:w="2376" w:type="dxa"/>
          </w:tcPr>
          <w:p w14:paraId="070C46F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Yes</w:t>
            </w:r>
          </w:p>
        </w:tc>
      </w:tr>
      <w:tr w:rsidR="00970438" w14:paraId="4F94DA2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6F98817" w14:textId="77777777" w:rsidR="00970438" w:rsidRDefault="00000000">
            <w:pPr>
              <w:spacing w:after="40"/>
            </w:pPr>
            <w:r>
              <w:rPr>
                <w:sz w:val="18"/>
              </w:rPr>
              <w:t>The sealed peer-review panel</w:t>
            </w:r>
          </w:p>
        </w:tc>
        <w:tc>
          <w:tcPr>
            <w:tcW w:w="2835" w:type="dxa"/>
          </w:tcPr>
          <w:p w14:paraId="2DE6887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Is the paper any good</w:t>
            </w:r>
          </w:p>
        </w:tc>
        <w:tc>
          <w:tcPr>
            <w:tcW w:w="1917" w:type="dxa"/>
          </w:tcPr>
          <w:p w14:paraId="000CFF5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Offline, on a sample</w:t>
            </w:r>
          </w:p>
        </w:tc>
        <w:tc>
          <w:tcPr>
            <w:tcW w:w="2376" w:type="dxa"/>
          </w:tcPr>
          <w:p w14:paraId="0DAD61F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No — and deliberately so</w:t>
            </w:r>
          </w:p>
        </w:tc>
      </w:tr>
    </w:tbl>
    <w:p w14:paraId="1C8247AF" w14:textId="77777777" w:rsidR="00970438" w:rsidRDefault="00970438"/>
    <w:p w14:paraId="4D04BE58" w14:textId="77777777" w:rsidR="00970438" w:rsidRDefault="00000000" w:rsidP="009C625C">
      <w:pPr>
        <w:jc w:val="both"/>
      </w:pPr>
      <w:r>
        <w:t>Every number below is stated with the conditions that produced it. Where a figure is one draw of one question, it says so.</w:t>
      </w:r>
    </w:p>
    <w:p w14:paraId="4A071188" w14:textId="77777777" w:rsidR="00970438" w:rsidRDefault="00000000" w:rsidP="009C625C">
      <w:pPr>
        <w:jc w:val="both"/>
      </w:pPr>
      <w:r>
        <w:rPr>
          <w:b/>
        </w:rPr>
        <w:t>The caveat that bounds every figure below.</w:t>
      </w:r>
      <w:r>
        <w:t xml:space="preserve"> Every test question in this report was written by an AI model, not by a working scholar. </w:t>
      </w:r>
      <w:r>
        <w:rPr>
          <w:b/>
        </w:rPr>
        <w:t>Every figure here therefore measures the engine. None of them measures answer quality against a real scholarly question.</w:t>
      </w:r>
    </w:p>
    <w:p w14:paraId="0C3866E6" w14:textId="2CE0F9DE" w:rsidR="00970438" w:rsidRDefault="00000000" w:rsidP="009C625C">
      <w:pPr>
        <w:jc w:val="both"/>
      </w:pPr>
      <w:r>
        <w:t>That arrangement was chosen so the engine could be built and hardened without waiting on anyone, and it did its job: a machine-written question exercises retrieval perfectly well, and nothing simulated was ever used as an answer key (</w:t>
      </w:r>
      <w:hyperlink w:anchor="appA" w:history="1">
        <w:r w:rsidRPr="00D06213">
          <w:rPr>
            <w:rStyle w:val="Hyperlink"/>
          </w:rPr>
          <w:t>Appendix A</w:t>
        </w:r>
      </w:hyperlink>
      <w:r>
        <w:t xml:space="preserve">). What it cannot do is tell us whether an answer is any good to a scholar who knows the field. That is the one instrument this project does not have, and closing the gap needs people rather </w:t>
      </w:r>
      <w:r>
        <w:lastRenderedPageBreak/>
        <w:t xml:space="preserve">than code. It is the substance of the request in the </w:t>
      </w:r>
      <w:r>
        <w:rPr>
          <w:color w:val="C8553D"/>
        </w:rPr>
        <w:t>final word</w:t>
      </w:r>
      <w:r>
        <w:t>, and the limit is carried in the specification so that no future run can quietly drop it while it stands.</w:t>
      </w:r>
    </w:p>
    <w:p w14:paraId="6AD04CE2" w14:textId="77777777" w:rsidR="00970438" w:rsidRDefault="00000000" w:rsidP="009C625C">
      <w:pPr>
        <w:pStyle w:val="Heading3"/>
        <w:jc w:val="both"/>
      </w:pPr>
      <w:bookmarkStart w:id="25" w:name="_Toc236945256"/>
      <w:bookmarkStart w:id="26" w:name="sec72"/>
      <w:bookmarkEnd w:id="26"/>
      <w:r>
        <w:t>7.2 The engine test: nine questions, run end to end</w:t>
      </w:r>
      <w:bookmarkEnd w:id="25"/>
    </w:p>
    <w:p w14:paraId="5422774E" w14:textId="77777777" w:rsidR="00970438" w:rsidRDefault="00000000" w:rsidP="009C625C">
      <w:pPr>
        <w:jc w:val="both"/>
      </w:pPr>
      <w:r>
        <w:t>Six short briefs and three hard ones, each chosen to stress a different shape of search.</w:t>
      </w:r>
    </w:p>
    <w:tbl>
      <w:tblPr>
        <w:tblStyle w:val="LightGrid-Accent1"/>
        <w:tblW w:w="0" w:type="auto"/>
        <w:tblLook w:val="04A0" w:firstRow="1" w:lastRow="0" w:firstColumn="1" w:lastColumn="0" w:noHBand="0" w:noVBand="1"/>
      </w:tblPr>
      <w:tblGrid>
        <w:gridCol w:w="1384"/>
        <w:gridCol w:w="8120"/>
      </w:tblGrid>
      <w:tr w:rsidR="00970438" w14:paraId="4B0A70E7"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947D941" w14:textId="77777777" w:rsidR="00970438" w:rsidRDefault="00000000">
            <w:pPr>
              <w:spacing w:after="40"/>
            </w:pPr>
            <w:r>
              <w:rPr>
                <w:sz w:val="18"/>
              </w:rPr>
              <w:t>Brief</w:t>
            </w:r>
          </w:p>
        </w:tc>
        <w:tc>
          <w:tcPr>
            <w:tcW w:w="8120" w:type="dxa"/>
          </w:tcPr>
          <w:p w14:paraId="64667E5C"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Why it was chosen</w:t>
            </w:r>
          </w:p>
        </w:tc>
      </w:tr>
      <w:tr w:rsidR="00970438" w14:paraId="263E969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A9A33D1" w14:textId="77777777" w:rsidR="00970438" w:rsidRDefault="00000000">
            <w:pPr>
              <w:spacing w:after="40"/>
            </w:pPr>
            <w:r>
              <w:rPr>
                <w:sz w:val="18"/>
              </w:rPr>
              <w:t>P3-04</w:t>
            </w:r>
          </w:p>
        </w:tc>
        <w:tc>
          <w:tcPr>
            <w:tcW w:w="8120" w:type="dxa"/>
          </w:tcPr>
          <w:p w14:paraId="38C2DA5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The library's centre of gravity. Its anchor, </w:t>
            </w:r>
            <w:r>
              <w:rPr>
                <w:rFonts w:ascii="Consolas" w:hAnsi="Consolas"/>
                <w:sz w:val="18"/>
              </w:rPr>
              <w:t>Syria</w:t>
            </w:r>
            <w:r>
              <w:rPr>
                <w:sz w:val="18"/>
              </w:rPr>
              <w:t>, carried 962 passages across 22 books — the case where one huge name can swamp everything else.</w:t>
            </w:r>
          </w:p>
        </w:tc>
      </w:tr>
      <w:tr w:rsidR="00970438" w14:paraId="13714F8C"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A240309" w14:textId="77777777" w:rsidR="00970438" w:rsidRDefault="00000000">
            <w:pPr>
              <w:spacing w:after="40"/>
            </w:pPr>
            <w:r>
              <w:rPr>
                <w:sz w:val="18"/>
              </w:rPr>
              <w:t>S-01</w:t>
            </w:r>
          </w:p>
        </w:tc>
        <w:tc>
          <w:tcPr>
            <w:tcW w:w="8120" w:type="dxa"/>
          </w:tcPr>
          <w:p w14:paraId="6295447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Scholar against scholar over a densely covered question: Tilly (154 passages, 20 books) against Mann (377, 15).</w:t>
            </w:r>
          </w:p>
        </w:tc>
      </w:tr>
      <w:tr w:rsidR="00970438" w14:paraId="2D67FAF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05630E" w14:textId="77777777" w:rsidR="00970438" w:rsidRDefault="00000000">
            <w:pPr>
              <w:spacing w:after="40"/>
            </w:pPr>
            <w:r>
              <w:rPr>
                <w:sz w:val="18"/>
              </w:rPr>
              <w:t>S-02</w:t>
            </w:r>
          </w:p>
        </w:tc>
        <w:tc>
          <w:tcPr>
            <w:tcW w:w="8120" w:type="dxa"/>
          </w:tcPr>
          <w:p w14:paraId="52B60EF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A concept several books use in incompatible ways: </w:t>
            </w:r>
            <w:r>
              <w:rPr>
                <w:rFonts w:ascii="Consolas" w:hAnsi="Consolas"/>
                <w:sz w:val="18"/>
              </w:rPr>
              <w:t>nationalism</w:t>
            </w:r>
            <w:r>
              <w:rPr>
                <w:sz w:val="18"/>
              </w:rPr>
              <w:t>, 158 passages across 18 books.</w:t>
            </w:r>
          </w:p>
        </w:tc>
      </w:tr>
      <w:tr w:rsidR="00970438" w14:paraId="11C28CA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91366D1" w14:textId="77777777" w:rsidR="00970438" w:rsidRDefault="00000000">
            <w:pPr>
              <w:spacing w:after="40"/>
            </w:pPr>
            <w:r>
              <w:rPr>
                <w:sz w:val="18"/>
              </w:rPr>
              <w:t>S-03</w:t>
            </w:r>
          </w:p>
        </w:tc>
        <w:tc>
          <w:tcPr>
            <w:tcW w:w="8120" w:type="dxa"/>
          </w:tcPr>
          <w:p w14:paraId="485C234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A concept whose own founding book is on the shelf: </w:t>
            </w:r>
            <w:r>
              <w:rPr>
                <w:rFonts w:ascii="Consolas" w:hAnsi="Consolas"/>
                <w:sz w:val="18"/>
              </w:rPr>
              <w:t>quasi-states</w:t>
            </w:r>
            <w:r>
              <w:rPr>
                <w:sz w:val="18"/>
              </w:rPr>
              <w:t>, 51 passages but only 5 books.</w:t>
            </w:r>
          </w:p>
        </w:tc>
      </w:tr>
      <w:tr w:rsidR="00970438" w14:paraId="04E0F10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F9B8490" w14:textId="77777777" w:rsidR="00970438" w:rsidRDefault="00000000">
            <w:pPr>
              <w:spacing w:after="40"/>
            </w:pPr>
            <w:r>
              <w:rPr>
                <w:sz w:val="18"/>
              </w:rPr>
              <w:t>S-04</w:t>
            </w:r>
          </w:p>
        </w:tc>
        <w:tc>
          <w:tcPr>
            <w:tcW w:w="8120" w:type="dxa"/>
          </w:tcPr>
          <w:p w14:paraId="3C397F9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Thin coverage. </w:t>
            </w:r>
            <w:r>
              <w:rPr>
                <w:rFonts w:ascii="Consolas" w:hAnsi="Consolas"/>
                <w:sz w:val="18"/>
              </w:rPr>
              <w:t>Transnistria</w:t>
            </w:r>
            <w:r>
              <w:rPr>
                <w:sz w:val="18"/>
              </w:rPr>
              <w:t>: 36 passages, 2 books. Does the engine notice it is thin without being told?</w:t>
            </w:r>
          </w:p>
        </w:tc>
      </w:tr>
      <w:tr w:rsidR="00970438" w14:paraId="0EF5C18E"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48AF787" w14:textId="77777777" w:rsidR="00970438" w:rsidRDefault="00000000">
            <w:pPr>
              <w:spacing w:after="40"/>
            </w:pPr>
            <w:r>
              <w:rPr>
                <w:sz w:val="18"/>
              </w:rPr>
              <w:t>S-05</w:t>
            </w:r>
          </w:p>
        </w:tc>
        <w:tc>
          <w:tcPr>
            <w:tcW w:w="8120" w:type="dxa"/>
          </w:tcPr>
          <w:p w14:paraId="2246BE0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Single-source concentration. </w:t>
            </w:r>
            <w:r>
              <w:rPr>
                <w:rFonts w:ascii="Consolas" w:hAnsi="Consolas"/>
                <w:sz w:val="18"/>
              </w:rPr>
              <w:t>Somaliland</w:t>
            </w:r>
            <w:r>
              <w:rPr>
                <w:sz w:val="18"/>
              </w:rPr>
              <w:t>: 52 passages, all from one book. Does it say so?</w:t>
            </w:r>
          </w:p>
        </w:tc>
      </w:tr>
      <w:tr w:rsidR="00970438" w14:paraId="0D7FBA6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50F2D58" w14:textId="77777777" w:rsidR="00970438" w:rsidRDefault="00000000">
            <w:pPr>
              <w:spacing w:after="40"/>
            </w:pPr>
            <w:r>
              <w:rPr>
                <w:sz w:val="18"/>
              </w:rPr>
              <w:t>A</w:t>
            </w:r>
          </w:p>
        </w:tc>
        <w:tc>
          <w:tcPr>
            <w:tcW w:w="8120" w:type="dxa"/>
          </w:tcPr>
          <w:p w14:paraId="324B4AC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Reach. Does the bellicist account of state formation survive transfer from Europe to the twentieth-century Middle East, with its critics engaged on their own terms?</w:t>
            </w:r>
          </w:p>
        </w:tc>
      </w:tr>
      <w:tr w:rsidR="00970438" w14:paraId="5E533552"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81E2D7F" w14:textId="77777777" w:rsidR="00970438" w:rsidRDefault="00000000">
            <w:pPr>
              <w:spacing w:after="40"/>
            </w:pPr>
            <w:r>
              <w:rPr>
                <w:sz w:val="18"/>
              </w:rPr>
              <w:t>B</w:t>
            </w:r>
          </w:p>
        </w:tc>
        <w:tc>
          <w:tcPr>
            <w:tcW w:w="8120" w:type="dxa"/>
          </w:tcPr>
          <w:p w14:paraId="38C4508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Judgment. Which account explains violence against Syrian civilians — control-and-information, or violence as identity-production? Forced to commit, and to state the rejected account at its strongest.</w:t>
            </w:r>
          </w:p>
        </w:tc>
      </w:tr>
      <w:tr w:rsidR="00970438" w14:paraId="30C1A54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9316D8C" w14:textId="77777777" w:rsidR="00970438" w:rsidRDefault="00000000">
            <w:pPr>
              <w:spacing w:after="40"/>
            </w:pPr>
            <w:r>
              <w:rPr>
                <w:sz w:val="18"/>
              </w:rPr>
              <w:t>C</w:t>
            </w:r>
          </w:p>
        </w:tc>
        <w:tc>
          <w:tcPr>
            <w:tcW w:w="8120" w:type="dxa"/>
          </w:tcPr>
          <w:p w14:paraId="384456C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Reach. Four competing explanations of why nationhood and mass war arrived together, tested against the mandate case.</w:t>
            </w:r>
          </w:p>
        </w:tc>
      </w:tr>
    </w:tbl>
    <w:p w14:paraId="0FEE42E1" w14:textId="77777777" w:rsidR="00970438" w:rsidRDefault="00970438"/>
    <w:p w14:paraId="42885A0D" w14:textId="77777777" w:rsidR="00970438" w:rsidRDefault="00000000" w:rsidP="009C625C">
      <w:pPr>
        <w:jc w:val="both"/>
      </w:pPr>
      <w:r>
        <w:rPr>
          <w:i/>
        </w:rPr>
        <w:t>Anchor counts above were measured against the live index on 2026-07-30, when the library held 31 books. The four books added since have moved them.</w:t>
      </w:r>
    </w:p>
    <w:p w14:paraId="03F373ED" w14:textId="77777777" w:rsidR="00970438" w:rsidRDefault="00000000" w:rsidP="009C625C">
      <w:pPr>
        <w:jc w:val="both"/>
      </w:pPr>
      <w:r>
        <w:rPr>
          <w:b/>
        </w:rPr>
        <w:t>S-04 and S-05 deliberately do not name what they are testing.</w:t>
      </w:r>
      <w:r>
        <w:t xml:space="preserve"> An earlier draft asked about "the library's thin evidence on Transnistria". Naming the finding in the question would make a pass prove only that the model follows instructions.</w:t>
      </w:r>
    </w:p>
    <w:p w14:paraId="2DB2FE5A" w14:textId="77777777" w:rsidR="00970438" w:rsidRDefault="00000000" w:rsidP="009C625C">
      <w:pPr>
        <w:jc w:val="both"/>
      </w:pPr>
      <w:r>
        <w:t xml:space="preserve">The scoring instrument is a </w:t>
      </w:r>
      <w:r>
        <w:rPr>
          <w:b/>
        </w:rPr>
        <w:t>required-source oracle</w:t>
      </w:r>
      <w:r>
        <w:t xml:space="preserve">. An </w:t>
      </w:r>
      <w:r>
        <w:rPr>
          <w:i/>
        </w:rPr>
        <w:t>oracle</w:t>
      </w:r>
      <w:r>
        <w:t>, in testing, is a rule that says what a correct result looks like, so a machine can mark the answer without a person reading it. This one is a list, written per question before the run: for each demand the question makes, which books carry material capable of satisfying it. A demand is met when the run's citations reach any book on its list. It is purely mechanical, needs no model call, and is the only measure of reach the project has.</w:t>
      </w:r>
    </w:p>
    <w:p w14:paraId="46D47F76" w14:textId="77777777" w:rsidR="00970438" w:rsidRDefault="00000000" w:rsidP="009C625C">
      <w:pPr>
        <w:jc w:val="both"/>
      </w:pPr>
      <w:r>
        <w:t>The most recent full run, on 2026-08-04 across all nine questions on the 31-book library:</w:t>
      </w:r>
    </w:p>
    <w:tbl>
      <w:tblPr>
        <w:tblStyle w:val="LightGrid-Accent1"/>
        <w:tblW w:w="0" w:type="auto"/>
        <w:tblLook w:val="04A0" w:firstRow="1" w:lastRow="0" w:firstColumn="1" w:lastColumn="0" w:noHBand="0" w:noVBand="1"/>
      </w:tblPr>
      <w:tblGrid>
        <w:gridCol w:w="4752"/>
        <w:gridCol w:w="4752"/>
      </w:tblGrid>
      <w:tr w:rsidR="00970438" w14:paraId="43E0C39A"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612AB79E" w14:textId="77777777" w:rsidR="00970438" w:rsidRDefault="00000000">
            <w:pPr>
              <w:spacing w:after="40"/>
            </w:pPr>
            <w:r>
              <w:rPr>
                <w:sz w:val="18"/>
              </w:rPr>
              <w:t>What was measured</w:t>
            </w:r>
          </w:p>
        </w:tc>
        <w:tc>
          <w:tcPr>
            <w:tcW w:w="4752" w:type="dxa"/>
          </w:tcPr>
          <w:p w14:paraId="3ED31BDD"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result</w:t>
            </w:r>
          </w:p>
        </w:tc>
      </w:tr>
      <w:tr w:rsidR="00970438" w14:paraId="497F65B2"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20BCCE61" w14:textId="77777777" w:rsidR="00970438" w:rsidRDefault="00000000">
            <w:pPr>
              <w:spacing w:after="40"/>
            </w:pPr>
            <w:r>
              <w:rPr>
                <w:sz w:val="18"/>
              </w:rPr>
              <w:t>Demands reached</w:t>
            </w:r>
          </w:p>
        </w:tc>
        <w:tc>
          <w:tcPr>
            <w:tcW w:w="4752" w:type="dxa"/>
          </w:tcPr>
          <w:p w14:paraId="0646142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26 of 37</w:t>
            </w:r>
          </w:p>
        </w:tc>
      </w:tr>
      <w:tr w:rsidR="00970438" w14:paraId="4961331C"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76D357B" w14:textId="77777777" w:rsidR="00970438" w:rsidRDefault="00000000">
            <w:pPr>
              <w:spacing w:after="40"/>
            </w:pPr>
            <w:r>
              <w:rPr>
                <w:sz w:val="18"/>
              </w:rPr>
              <w:t>Total cost, nine questions</w:t>
            </w:r>
          </w:p>
        </w:tc>
        <w:tc>
          <w:tcPr>
            <w:tcW w:w="4752" w:type="dxa"/>
          </w:tcPr>
          <w:p w14:paraId="73A9850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$2.57</w:t>
            </w:r>
          </w:p>
        </w:tc>
      </w:tr>
      <w:tr w:rsidR="00970438" w14:paraId="16ACD8BE"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0F2A3CC" w14:textId="77777777" w:rsidR="00970438" w:rsidRDefault="00000000">
            <w:pPr>
              <w:spacing w:after="40"/>
            </w:pPr>
            <w:r>
              <w:rPr>
                <w:sz w:val="18"/>
              </w:rPr>
              <w:t>Cost per question</w:t>
            </w:r>
          </w:p>
        </w:tc>
        <w:tc>
          <w:tcPr>
            <w:tcW w:w="4752" w:type="dxa"/>
          </w:tcPr>
          <w:p w14:paraId="67828EC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$0.18 – $0.43</w:t>
            </w:r>
          </w:p>
        </w:tc>
      </w:tr>
      <w:tr w:rsidR="00970438" w14:paraId="5A68CDD3"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003A015" w14:textId="77777777" w:rsidR="00970438" w:rsidRDefault="00000000">
            <w:pPr>
              <w:spacing w:after="40"/>
            </w:pPr>
            <w:r>
              <w:rPr>
                <w:sz w:val="18"/>
              </w:rPr>
              <w:t>Evidence composed per question</w:t>
            </w:r>
          </w:p>
        </w:tc>
        <w:tc>
          <w:tcPr>
            <w:tcW w:w="4752" w:type="dxa"/>
          </w:tcPr>
          <w:p w14:paraId="2620FBC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40 – 61 passages</w:t>
            </w:r>
          </w:p>
        </w:tc>
      </w:tr>
    </w:tbl>
    <w:p w14:paraId="01AD03F7" w14:textId="77777777" w:rsidR="00970438" w:rsidRDefault="00970438"/>
    <w:p w14:paraId="657DD087" w14:textId="77777777" w:rsidR="00970438" w:rsidRDefault="00000000" w:rsidP="009C625C">
      <w:pPr>
        <w:jc w:val="both"/>
      </w:pPr>
      <w:r>
        <w:t xml:space="preserve">That run was the first on a rewritten retrieval layer, and it produced the single most useful negative result the project has: </w:t>
      </w:r>
      <w:r>
        <w:rPr>
          <w:b/>
        </w:rPr>
        <w:t xml:space="preserve">the model was shown two to three times more evidence than the previous run and the oracle </w:t>
      </w:r>
      <w:r>
        <w:rPr>
          <w:b/>
        </w:rPr>
        <w:lastRenderedPageBreak/>
        <w:t>went down, not up.</w:t>
      </w:r>
      <w:r>
        <w:t xml:space="preserve"> A second draw settled which of the losses were real. One question that appeared to regress badly scored its best result ever on the re-run, retiring the regression. Two single-demand losses reproduced exactly, demand for demand, across both draws, and are recorded as real.</w:t>
      </w:r>
    </w:p>
    <w:p w14:paraId="26B5B4EC" w14:textId="77777777" w:rsidR="00970438" w:rsidRDefault="00000000" w:rsidP="009C625C">
      <w:pPr>
        <w:jc w:val="both"/>
      </w:pPr>
      <w:r>
        <w:t xml:space="preserve">The lesson generalised, and it is the one that governs how every figure in this report is read: </w:t>
      </w:r>
      <w:r>
        <w:rPr>
          <w:b/>
        </w:rPr>
        <w:t>one draw of one question is not a measurement.</w:t>
      </w:r>
      <w:r>
        <w:t xml:space="preserve"> One of the six short briefs has been measured moving 39% between two runs of identical code on the identical question. Differences smaller than that are noise until a second draw says otherwise.</w:t>
      </w:r>
    </w:p>
    <w:p w14:paraId="68E30033" w14:textId="77777777" w:rsidR="00D06213" w:rsidRDefault="00D06213" w:rsidP="009C625C">
      <w:pPr>
        <w:jc w:val="both"/>
      </w:pPr>
    </w:p>
    <w:p w14:paraId="23EA7F1A" w14:textId="77777777" w:rsidR="00970438" w:rsidRDefault="00000000" w:rsidP="009C625C">
      <w:pPr>
        <w:pStyle w:val="Heading3"/>
        <w:jc w:val="both"/>
      </w:pPr>
      <w:bookmarkStart w:id="27" w:name="_Toc236945257"/>
      <w:bookmarkStart w:id="28" w:name="sec73"/>
      <w:bookmarkEnd w:id="28"/>
      <w:r>
        <w:t>7.3 The four paper gates</w:t>
      </w:r>
      <w:bookmarkEnd w:id="27"/>
    </w:p>
    <w:p w14:paraId="761AD937" w14:textId="77777777" w:rsidR="00970438" w:rsidRDefault="00000000" w:rsidP="009C625C">
      <w:pPr>
        <w:jc w:val="both"/>
      </w:pPr>
      <w:r>
        <w:t>The paper is the deliverable, so it is gated on every run. All four checks are cheap by design. Two are purely mechanical and two are narrow judged checks scoped to the paper's own new inferences.</w:t>
      </w:r>
    </w:p>
    <w:tbl>
      <w:tblPr>
        <w:tblStyle w:val="LightGrid-Accent1"/>
        <w:tblW w:w="0" w:type="auto"/>
        <w:tblLook w:val="04A0" w:firstRow="1" w:lastRow="0" w:firstColumn="1" w:lastColumn="0" w:noHBand="0" w:noVBand="1"/>
      </w:tblPr>
      <w:tblGrid>
        <w:gridCol w:w="3168"/>
        <w:gridCol w:w="3168"/>
        <w:gridCol w:w="3168"/>
      </w:tblGrid>
      <w:tr w:rsidR="00970438" w14:paraId="6F35E968"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F0C0BD6" w14:textId="77777777" w:rsidR="00970438" w:rsidRDefault="00000000">
            <w:pPr>
              <w:spacing w:after="40"/>
            </w:pPr>
            <w:r>
              <w:rPr>
                <w:sz w:val="18"/>
              </w:rPr>
              <w:t>Gate</w:t>
            </w:r>
          </w:p>
        </w:tc>
        <w:tc>
          <w:tcPr>
            <w:tcW w:w="3168" w:type="dxa"/>
          </w:tcPr>
          <w:p w14:paraId="0C2F1080"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What it requires</w:t>
            </w:r>
          </w:p>
        </w:tc>
        <w:tc>
          <w:tcPr>
            <w:tcW w:w="3168" w:type="dxa"/>
          </w:tcPr>
          <w:p w14:paraId="0498A671"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Kind</w:t>
            </w:r>
          </w:p>
        </w:tc>
      </w:tr>
      <w:tr w:rsidR="00970438" w14:paraId="141A92C1"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2482901" w14:textId="77777777" w:rsidR="00970438" w:rsidRDefault="00000000">
            <w:pPr>
              <w:spacing w:after="40"/>
            </w:pPr>
            <w:r>
              <w:rPr>
                <w:sz w:val="18"/>
              </w:rPr>
              <w:t>Provenance integrity</w:t>
            </w:r>
          </w:p>
        </w:tc>
        <w:tc>
          <w:tcPr>
            <w:tcW w:w="3168" w:type="dxa"/>
          </w:tcPr>
          <w:p w14:paraId="2559C65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Every citation marker in the paper resolves to a claim with resolvable grounds; no claim's confidence band was raised above what its source claim carried</w:t>
            </w:r>
          </w:p>
        </w:tc>
        <w:tc>
          <w:tcPr>
            <w:tcW w:w="3168" w:type="dxa"/>
          </w:tcPr>
          <w:p w14:paraId="001A82D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Mechanical, </w:t>
            </w:r>
            <w:r>
              <w:rPr>
                <w:b/>
                <w:sz w:val="18"/>
              </w:rPr>
              <w:t>hard</w:t>
            </w:r>
            <w:r>
              <w:rPr>
                <w:sz w:val="18"/>
              </w:rPr>
              <w:t>. One dangling marker fails. One upgraded band fails.</w:t>
            </w:r>
          </w:p>
        </w:tc>
      </w:tr>
      <w:tr w:rsidR="00970438" w14:paraId="5694399F"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A7CBA60" w14:textId="77777777" w:rsidR="00970438" w:rsidRDefault="00000000">
            <w:pPr>
              <w:spacing w:after="40"/>
            </w:pPr>
            <w:r>
              <w:rPr>
                <w:sz w:val="18"/>
              </w:rPr>
              <w:t>Grounding of new inferences</w:t>
            </w:r>
          </w:p>
        </w:tc>
        <w:tc>
          <w:tcPr>
            <w:tcW w:w="3168" w:type="dxa"/>
          </w:tcPr>
          <w:p w14:paraId="7E06C8E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No new cross-source inference is contradicted by a passage it cites</w:t>
            </w:r>
          </w:p>
        </w:tc>
        <w:tc>
          <w:tcPr>
            <w:tcW w:w="3168" w:type="dxa"/>
          </w:tcPr>
          <w:p w14:paraId="6557062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Judged, by an independent model anchored to the passage text</w:t>
            </w:r>
          </w:p>
        </w:tc>
      </w:tr>
      <w:tr w:rsidR="00970438" w14:paraId="76DD2BA5"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F7363BA" w14:textId="77777777" w:rsidR="00970438" w:rsidRDefault="00000000">
            <w:pPr>
              <w:spacing w:after="40"/>
            </w:pPr>
            <w:r>
              <w:rPr>
                <w:sz w:val="18"/>
              </w:rPr>
              <w:t>Seam fidelity</w:t>
            </w:r>
          </w:p>
        </w:tc>
        <w:tc>
          <w:tcPr>
            <w:tcW w:w="3168" w:type="dxa"/>
          </w:tcPr>
          <w:p w14:paraId="58C59DA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No cross-source inference is dressed as something a source said; no speculation credits a source with the paper's own verdict</w:t>
            </w:r>
          </w:p>
        </w:tc>
        <w:tc>
          <w:tcPr>
            <w:tcW w:w="3168" w:type="dxa"/>
          </w:tcPr>
          <w:p w14:paraId="303EDE2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Judged, same call, two questions</w:t>
            </w:r>
          </w:p>
        </w:tc>
      </w:tr>
      <w:tr w:rsidR="00970438" w14:paraId="734CBFAA"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DE062F6" w14:textId="77777777" w:rsidR="00970438" w:rsidRDefault="00000000">
            <w:pPr>
              <w:spacing w:after="40"/>
            </w:pPr>
            <w:r>
              <w:rPr>
                <w:sz w:val="18"/>
              </w:rPr>
              <w:t>Counter-position presence</w:t>
            </w:r>
          </w:p>
        </w:tc>
        <w:tc>
          <w:tcPr>
            <w:tcW w:w="3168" w:type="dxa"/>
          </w:tcPr>
          <w:p w14:paraId="4441415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contested paper carries an opposing position with grounds, or explicitly discloses that the library is one-sided and why</w:t>
            </w:r>
          </w:p>
        </w:tc>
        <w:tc>
          <w:tcPr>
            <w:tcW w:w="3168" w:type="dxa"/>
          </w:tcPr>
          <w:p w14:paraId="1673CB5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Mechanical, </w:t>
            </w:r>
            <w:r>
              <w:rPr>
                <w:b/>
                <w:sz w:val="18"/>
              </w:rPr>
              <w:t>hard</w:t>
            </w:r>
          </w:p>
        </w:tc>
      </w:tr>
    </w:tbl>
    <w:p w14:paraId="6261CEA6" w14:textId="77777777" w:rsidR="00970438" w:rsidRDefault="00970438"/>
    <w:p w14:paraId="5D4193BD" w14:textId="77777777" w:rsidR="00970438" w:rsidRDefault="00000000" w:rsidP="009C625C">
      <w:pPr>
        <w:jc w:val="both"/>
      </w:pPr>
      <w:r>
        <w:t>On the two development papers reproduced in Appendices D and E, redrafted on the current build.</w:t>
      </w:r>
    </w:p>
    <w:p w14:paraId="37CDA6E8" w14:textId="77777777" w:rsidR="00970438" w:rsidRDefault="00000000" w:rsidP="009C625C">
      <w:pPr>
        <w:jc w:val="both"/>
      </w:pPr>
      <w:r>
        <w:rPr>
          <w:b/>
        </w:rPr>
        <w:t>How to read the table.</w:t>
      </w:r>
      <w:r>
        <w:t xml:space="preserve"> Each row is one check. The </w:t>
      </w:r>
      <w:r>
        <w:rPr>
          <w:b/>
        </w:rPr>
        <w:t>value</w:t>
      </w:r>
      <w:r>
        <w:t xml:space="preserve"> is the share that passed, on a scale where 1.0000 is everything and 0.0000 is nothing — so a rate reads 1.0000 when the check found no fault anywhere, and a count reads 0 when nothing was flagged. </w:t>
      </w:r>
      <w:r>
        <w:rPr>
          <w:b/>
        </w:rPr>
        <w:t>n</w:t>
      </w:r>
      <w:r>
        <w:t xml:space="preserve"> is how many things were actually examined: 215 citation markers, 105 claims, 32 cross-source inferences, 2 papers. A perfect score over a small n is a small piece of evidence, which is why n is printed beside every figure rather than left out.</w:t>
      </w:r>
    </w:p>
    <w:tbl>
      <w:tblPr>
        <w:tblStyle w:val="LightGrid-Accent1"/>
        <w:tblW w:w="0" w:type="auto"/>
        <w:tblLook w:val="04A0" w:firstRow="1" w:lastRow="0" w:firstColumn="1" w:lastColumn="0" w:noHBand="0" w:noVBand="1"/>
      </w:tblPr>
      <w:tblGrid>
        <w:gridCol w:w="2376"/>
        <w:gridCol w:w="2376"/>
        <w:gridCol w:w="2376"/>
        <w:gridCol w:w="2376"/>
      </w:tblGrid>
      <w:tr w:rsidR="00970438" w14:paraId="7F75336B"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788E5AD" w14:textId="77777777" w:rsidR="00970438" w:rsidRDefault="00000000">
            <w:pPr>
              <w:spacing w:after="40"/>
            </w:pPr>
            <w:r>
              <w:rPr>
                <w:sz w:val="18"/>
              </w:rPr>
              <w:t>Gate</w:t>
            </w:r>
          </w:p>
        </w:tc>
        <w:tc>
          <w:tcPr>
            <w:tcW w:w="2376" w:type="dxa"/>
          </w:tcPr>
          <w:p w14:paraId="09DFFE0F"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What was checked</w:t>
            </w:r>
          </w:p>
        </w:tc>
        <w:tc>
          <w:tcPr>
            <w:tcW w:w="2376" w:type="dxa"/>
          </w:tcPr>
          <w:p w14:paraId="7122419D"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Value</w:t>
            </w:r>
          </w:p>
        </w:tc>
        <w:tc>
          <w:tcPr>
            <w:tcW w:w="2376" w:type="dxa"/>
          </w:tcPr>
          <w:p w14:paraId="4A3C1EC4"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n</w:t>
            </w:r>
          </w:p>
        </w:tc>
      </w:tr>
      <w:tr w:rsidR="00970438" w14:paraId="37553CF6"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E42977E" w14:textId="77777777" w:rsidR="00970438" w:rsidRDefault="00000000">
            <w:pPr>
              <w:spacing w:after="40"/>
            </w:pPr>
            <w:r>
              <w:rPr>
                <w:sz w:val="18"/>
              </w:rPr>
              <w:t>Provenance integrity</w:t>
            </w:r>
          </w:p>
        </w:tc>
        <w:tc>
          <w:tcPr>
            <w:tcW w:w="2376" w:type="dxa"/>
          </w:tcPr>
          <w:p w14:paraId="6BBA8DE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citation markers resolving to a real claim</w:t>
            </w:r>
          </w:p>
        </w:tc>
        <w:tc>
          <w:tcPr>
            <w:tcW w:w="2376" w:type="dxa"/>
          </w:tcPr>
          <w:p w14:paraId="6EE365B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1.0000</w:t>
            </w:r>
          </w:p>
        </w:tc>
        <w:tc>
          <w:tcPr>
            <w:tcW w:w="2376" w:type="dxa"/>
          </w:tcPr>
          <w:p w14:paraId="24C1BBF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215</w:t>
            </w:r>
          </w:p>
        </w:tc>
      </w:tr>
      <w:tr w:rsidR="00970438" w14:paraId="3184AED6"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5C108CB9" w14:textId="77777777" w:rsidR="00970438" w:rsidRDefault="00000000">
            <w:pPr>
              <w:spacing w:after="40"/>
            </w:pPr>
            <w:r>
              <w:rPr>
                <w:sz w:val="18"/>
              </w:rPr>
              <w:t>Provenance integrity</w:t>
            </w:r>
          </w:p>
        </w:tc>
        <w:tc>
          <w:tcPr>
            <w:tcW w:w="2376" w:type="dxa"/>
          </w:tcPr>
          <w:p w14:paraId="01F3698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claims whose confidence was raised</w:t>
            </w:r>
          </w:p>
        </w:tc>
        <w:tc>
          <w:tcPr>
            <w:tcW w:w="2376" w:type="dxa"/>
          </w:tcPr>
          <w:p w14:paraId="72233A9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0</w:t>
            </w:r>
          </w:p>
        </w:tc>
        <w:tc>
          <w:tcPr>
            <w:tcW w:w="2376" w:type="dxa"/>
          </w:tcPr>
          <w:p w14:paraId="4C8BFD6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105</w:t>
            </w:r>
          </w:p>
        </w:tc>
      </w:tr>
      <w:tr w:rsidR="00970438" w14:paraId="64C98A35"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A34027C" w14:textId="77777777" w:rsidR="00970438" w:rsidRDefault="00000000">
            <w:pPr>
              <w:spacing w:after="40"/>
            </w:pPr>
            <w:r>
              <w:rPr>
                <w:sz w:val="18"/>
              </w:rPr>
              <w:t>Counter-position</w:t>
            </w:r>
          </w:p>
        </w:tc>
        <w:tc>
          <w:tcPr>
            <w:tcW w:w="2376" w:type="dxa"/>
          </w:tcPr>
          <w:p w14:paraId="4850387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contested papers carrying the opposing case</w:t>
            </w:r>
          </w:p>
        </w:tc>
        <w:tc>
          <w:tcPr>
            <w:tcW w:w="2376" w:type="dxa"/>
          </w:tcPr>
          <w:p w14:paraId="4893433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1.0000</w:t>
            </w:r>
          </w:p>
        </w:tc>
        <w:tc>
          <w:tcPr>
            <w:tcW w:w="2376" w:type="dxa"/>
          </w:tcPr>
          <w:p w14:paraId="5487475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w:t>
            </w:r>
          </w:p>
        </w:tc>
      </w:tr>
      <w:tr w:rsidR="00970438" w14:paraId="0A5C9915"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2C801C6" w14:textId="77777777" w:rsidR="00970438" w:rsidRDefault="00000000">
            <w:pPr>
              <w:spacing w:after="40"/>
            </w:pPr>
            <w:r>
              <w:rPr>
                <w:sz w:val="18"/>
              </w:rPr>
              <w:lastRenderedPageBreak/>
              <w:t>Paper grounding</w:t>
            </w:r>
          </w:p>
        </w:tc>
        <w:tc>
          <w:tcPr>
            <w:tcW w:w="2376" w:type="dxa"/>
          </w:tcPr>
          <w:p w14:paraId="6DF8DFB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new inferences not contradicted by their own evidence</w:t>
            </w:r>
          </w:p>
        </w:tc>
        <w:tc>
          <w:tcPr>
            <w:tcW w:w="2376" w:type="dxa"/>
          </w:tcPr>
          <w:p w14:paraId="7FAA968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1.0000</w:t>
            </w:r>
          </w:p>
        </w:tc>
        <w:tc>
          <w:tcPr>
            <w:tcW w:w="2376" w:type="dxa"/>
          </w:tcPr>
          <w:p w14:paraId="4E5E151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5</w:t>
            </w:r>
          </w:p>
        </w:tc>
      </w:tr>
      <w:tr w:rsidR="00970438" w14:paraId="25048F6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D69802A" w14:textId="77777777" w:rsidR="00970438" w:rsidRDefault="00000000">
            <w:pPr>
              <w:spacing w:after="40"/>
            </w:pPr>
            <w:r>
              <w:rPr>
                <w:sz w:val="18"/>
              </w:rPr>
              <w:t>Attribution fidelity</w:t>
            </w:r>
          </w:p>
        </w:tc>
        <w:tc>
          <w:tcPr>
            <w:tcW w:w="2376" w:type="dxa"/>
          </w:tcPr>
          <w:p w14:paraId="7366944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claims carrying a valid kind</w:t>
            </w:r>
          </w:p>
        </w:tc>
        <w:tc>
          <w:tcPr>
            <w:tcW w:w="2376" w:type="dxa"/>
          </w:tcPr>
          <w:p w14:paraId="41549EB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1.0000</w:t>
            </w:r>
          </w:p>
        </w:tc>
        <w:tc>
          <w:tcPr>
            <w:tcW w:w="2376" w:type="dxa"/>
          </w:tcPr>
          <w:p w14:paraId="6659FB2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105</w:t>
            </w:r>
          </w:p>
        </w:tc>
      </w:tr>
      <w:tr w:rsidR="00970438" w14:paraId="2E771EBE"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AFE883C" w14:textId="77777777" w:rsidR="00970438" w:rsidRDefault="00000000">
            <w:pPr>
              <w:spacing w:after="40"/>
            </w:pPr>
            <w:r>
              <w:rPr>
                <w:sz w:val="18"/>
              </w:rPr>
              <w:t>Attribution fidelity</w:t>
            </w:r>
          </w:p>
        </w:tc>
        <w:tc>
          <w:tcPr>
            <w:tcW w:w="2376" w:type="dxa"/>
          </w:tcPr>
          <w:p w14:paraId="51BD3E8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inferences wrongly dressed as a source's words</w:t>
            </w:r>
          </w:p>
        </w:tc>
        <w:tc>
          <w:tcPr>
            <w:tcW w:w="2376" w:type="dxa"/>
          </w:tcPr>
          <w:p w14:paraId="641403D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0.0000</w:t>
            </w:r>
          </w:p>
        </w:tc>
        <w:tc>
          <w:tcPr>
            <w:tcW w:w="2376" w:type="dxa"/>
          </w:tcPr>
          <w:p w14:paraId="6EE3A67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32</w:t>
            </w:r>
          </w:p>
        </w:tc>
      </w:tr>
      <w:tr w:rsidR="00970438" w14:paraId="799BB256"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AE33950" w14:textId="77777777" w:rsidR="00970438" w:rsidRDefault="00000000">
            <w:pPr>
              <w:spacing w:after="40"/>
            </w:pPr>
            <w:r>
              <w:rPr>
                <w:sz w:val="18"/>
              </w:rPr>
              <w:t>Attribution fidelity</w:t>
            </w:r>
          </w:p>
        </w:tc>
        <w:tc>
          <w:tcPr>
            <w:tcW w:w="2376" w:type="dxa"/>
          </w:tcPr>
          <w:p w14:paraId="6A1A872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judgments wrongly credited to a source</w:t>
            </w:r>
          </w:p>
        </w:tc>
        <w:tc>
          <w:tcPr>
            <w:tcW w:w="2376" w:type="dxa"/>
          </w:tcPr>
          <w:p w14:paraId="16C0D6B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0.0000</w:t>
            </w:r>
          </w:p>
        </w:tc>
        <w:tc>
          <w:tcPr>
            <w:tcW w:w="2376" w:type="dxa"/>
          </w:tcPr>
          <w:p w14:paraId="7EFAE12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w:t>
            </w:r>
          </w:p>
        </w:tc>
      </w:tr>
    </w:tbl>
    <w:p w14:paraId="6515771D" w14:textId="77777777" w:rsidR="00970438" w:rsidRDefault="00970438"/>
    <w:p w14:paraId="038786B4" w14:textId="77777777" w:rsidR="00970438" w:rsidRDefault="00000000" w:rsidP="009C625C">
      <w:pPr>
        <w:jc w:val="both"/>
      </w:pPr>
      <w:r>
        <w:t>The judging model is never the model that wrote the paper, and the guard raises before any judging call is made rather than checking afterwards.</w:t>
      </w:r>
    </w:p>
    <w:p w14:paraId="014761D7" w14:textId="77777777" w:rsidR="00970438" w:rsidRDefault="00000000" w:rsidP="009C625C">
      <w:pPr>
        <w:jc w:val="both"/>
      </w:pPr>
      <w:r>
        <w:t>The denominators are small, which is why they are printed. Five new inferences is five, not a rate.</w:t>
      </w:r>
    </w:p>
    <w:p w14:paraId="2A811C4B" w14:textId="77777777" w:rsidR="00970438" w:rsidRDefault="00000000" w:rsidP="009C625C">
      <w:pPr>
        <w:pStyle w:val="Heading3"/>
        <w:jc w:val="both"/>
      </w:pPr>
      <w:bookmarkStart w:id="29" w:name="_Toc236945258"/>
      <w:bookmarkStart w:id="30" w:name="sec74"/>
      <w:bookmarkEnd w:id="30"/>
      <w:r>
        <w:t>7.4 The panel: strangers who read the paper and nothing else</w:t>
      </w:r>
      <w:bookmarkEnd w:id="29"/>
    </w:p>
    <w:p w14:paraId="36274303" w14:textId="77777777" w:rsidR="00970438" w:rsidRDefault="00000000" w:rsidP="009C625C">
      <w:pPr>
        <w:jc w:val="both"/>
      </w:pPr>
      <w:r>
        <w:t>The cheap checks catch everything cheap to catch. The one thing none of them reaches is whether the argument holds together. That is measured by an offline panel, on a sample, and it blocks nothing.</w:t>
      </w:r>
    </w:p>
    <w:p w14:paraId="1B42A04C" w14:textId="77777777" w:rsidR="00970438" w:rsidRDefault="00000000" w:rsidP="009C625C">
      <w:pPr>
        <w:jc w:val="both"/>
      </w:pPr>
      <w:r>
        <w:t xml:space="preserve">A reviewer receives one </w:t>
      </w:r>
      <w:r>
        <w:rPr>
          <w:b/>
        </w:rPr>
        <w:t>sealed packet</w:t>
      </w:r>
      <w:r>
        <w:t>: the rendered paper, plus the resolved text of every passage its claims cite, plus the bibliography. Nothing else. No repository, no specifications, no prompts, no other reviewer's verdict, no pre-written model answer to anchor to.</w:t>
      </w:r>
    </w:p>
    <w:p w14:paraId="660C4971" w14:textId="77777777" w:rsidR="00970438" w:rsidRDefault="00000000" w:rsidP="009C625C">
      <w:pPr>
        <w:jc w:val="both"/>
      </w:pPr>
      <w:r>
        <w:t xml:space="preserve">The isolation is enforced by the code that builds the call, never by an instruction in the prompt. A model that has been handed file access will read the repository whatever its instructions say, so reviewers are dispatched down a path that </w:t>
      </w:r>
      <w:r>
        <w:rPr>
          <w:b/>
        </w:rPr>
        <w:t>has no parameter for tools to be passed through in the first place</w:t>
      </w:r>
      <w:r>
        <w:t>. The distinction is the whole point: an instruction to stay sealed can be disregarded, and a capability that was never granted cannot be.</w:t>
      </w:r>
    </w:p>
    <w:p w14:paraId="006A58FC" w14:textId="77777777" w:rsidR="00970438" w:rsidRDefault="00000000" w:rsidP="009C625C">
      <w:pPr>
        <w:jc w:val="both"/>
      </w:pPr>
      <w:r>
        <w:t xml:space="preserve">Each reviewer must come from a </w:t>
      </w:r>
      <w:r>
        <w:rPr>
          <w:b/>
        </w:rPr>
        <w:t>different training lab</w:t>
      </w:r>
      <w:r>
        <w:t xml:space="preserve"> than the model that wrote the paper — a stricter bar than a different model id, because shared training priors survive within a family and a family-mate's agreement is weak evidence. A model whose lab is not declared is a hard error, never assumed distinct. Reviewers return a fixed structure, never free prose: three ordinal bands plus a list of named defects tied to specific claims.</w:t>
      </w:r>
    </w:p>
    <w:p w14:paraId="0AE4625D" w14:textId="77777777" w:rsidR="00970438" w:rsidRDefault="00000000" w:rsidP="009C625C">
      <w:pPr>
        <w:jc w:val="both"/>
      </w:pPr>
      <w:r>
        <w:rPr>
          <w:b/>
        </w:rPr>
        <w:t>N ≥ 3 per packet, and the spread is the error bar.</w:t>
      </w:r>
      <w:r>
        <w:t xml:space="preserve"> Three reviewers splitting 1/3/5 and three agreeing on 3 are different results and must never render identically.</w:t>
      </w:r>
    </w:p>
    <w:p w14:paraId="769E40B5" w14:textId="77777777" w:rsidR="00970438" w:rsidRDefault="00000000" w:rsidP="009C625C">
      <w:pPr>
        <w:pStyle w:val="Heading4"/>
        <w:jc w:val="both"/>
      </w:pPr>
      <w:r>
        <w:t>The control that qualifies the instrument</w:t>
      </w:r>
    </w:p>
    <w:p w14:paraId="30254A91" w14:textId="77777777" w:rsidR="00970438" w:rsidRDefault="00000000" w:rsidP="009C625C">
      <w:pPr>
        <w:jc w:val="both"/>
      </w:pPr>
      <w:r>
        <w:rPr>
          <w:b/>
        </w:rPr>
        <w:t>The panel produces no reportable number until it has caught planted defects.</w:t>
      </w:r>
      <w:r>
        <w:t xml:space="preserve"> LLM judges are systematically generous and are moved by confident prose. A panel that waves a defective packet through is measuring nothing, and its clean verdicts are worthless until it is fixed.</w:t>
      </w:r>
    </w:p>
    <w:p w14:paraId="21AA60A3" w14:textId="77777777" w:rsidR="00970438" w:rsidRDefault="00000000" w:rsidP="009C625C">
      <w:pPr>
        <w:jc w:val="both"/>
      </w:pPr>
      <w:r>
        <w:t>Three defects were planted in a copy of one of the papers, and the reviewers were not told a control was running:</w:t>
      </w:r>
    </w:p>
    <w:p w14:paraId="204A1D64" w14:textId="77777777" w:rsidR="00970438" w:rsidRDefault="00000000" w:rsidP="009C625C">
      <w:pPr>
        <w:jc w:val="both"/>
      </w:pPr>
      <w:r>
        <w:t>1. A fabricated cause of regime survival, cited to a passage about local governance in Daraa that says nothing of the kind.</w:t>
      </w:r>
    </w:p>
    <w:p w14:paraId="56564671" w14:textId="77777777" w:rsidR="00970438" w:rsidRDefault="00000000" w:rsidP="009C625C">
      <w:pPr>
        <w:jc w:val="both"/>
      </w:pPr>
      <w:r>
        <w:lastRenderedPageBreak/>
        <w:t>2. The section stating the opposing case replaced with a caricature — "the regime got lucky… it need not detain us".</w:t>
      </w:r>
    </w:p>
    <w:p w14:paraId="46D930F8" w14:textId="77777777" w:rsidR="00970438" w:rsidRDefault="00000000" w:rsidP="009C625C">
      <w:pPr>
        <w:jc w:val="both"/>
      </w:pPr>
      <w:r>
        <w:t>3. A high confidence band asserted over coverage the paper's own map discloses as thin.</w:t>
      </w:r>
    </w:p>
    <w:tbl>
      <w:tblPr>
        <w:tblStyle w:val="LightGrid-Accent1"/>
        <w:tblW w:w="0" w:type="auto"/>
        <w:tblLook w:val="04A0" w:firstRow="1" w:lastRow="0" w:firstColumn="1" w:lastColumn="0" w:noHBand="0" w:noVBand="1"/>
      </w:tblPr>
      <w:tblGrid>
        <w:gridCol w:w="3168"/>
        <w:gridCol w:w="3168"/>
        <w:gridCol w:w="3168"/>
      </w:tblGrid>
      <w:tr w:rsidR="00970438" w14:paraId="7F9D64AF"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53884B8" w14:textId="77777777" w:rsidR="00970438" w:rsidRDefault="00970438">
            <w:pPr>
              <w:spacing w:after="40"/>
            </w:pPr>
          </w:p>
        </w:tc>
        <w:tc>
          <w:tcPr>
            <w:tcW w:w="3168" w:type="dxa"/>
          </w:tcPr>
          <w:p w14:paraId="34484C87"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control</w:t>
            </w:r>
          </w:p>
        </w:tc>
        <w:tc>
          <w:tcPr>
            <w:tcW w:w="3168" w:type="dxa"/>
          </w:tcPr>
          <w:p w14:paraId="54ACAE09"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same paper, clean</w:t>
            </w:r>
          </w:p>
        </w:tc>
      </w:tr>
      <w:tr w:rsidR="00970438" w14:paraId="5DD629AD"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42C9079" w14:textId="77777777" w:rsidR="00970438" w:rsidRDefault="00000000">
            <w:pPr>
              <w:spacing w:after="40"/>
            </w:pPr>
            <w:r>
              <w:rPr>
                <w:sz w:val="18"/>
              </w:rPr>
              <w:t>Factual correctness</w:t>
            </w:r>
          </w:p>
        </w:tc>
        <w:tc>
          <w:tcPr>
            <w:tcW w:w="3168" w:type="dxa"/>
          </w:tcPr>
          <w:p w14:paraId="4CAF586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weak ×3</w:t>
            </w:r>
          </w:p>
        </w:tc>
        <w:tc>
          <w:tcPr>
            <w:tcW w:w="3168" w:type="dxa"/>
          </w:tcPr>
          <w:p w14:paraId="7DDE8D0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adequate ×3</w:t>
            </w:r>
          </w:p>
        </w:tc>
      </w:tr>
      <w:tr w:rsidR="00970438" w14:paraId="506D9951"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C09B8B9" w14:textId="77777777" w:rsidR="00970438" w:rsidRDefault="00000000">
            <w:pPr>
              <w:spacing w:after="40"/>
            </w:pPr>
            <w:r>
              <w:rPr>
                <w:sz w:val="18"/>
              </w:rPr>
              <w:t>Citation grounding</w:t>
            </w:r>
          </w:p>
        </w:tc>
        <w:tc>
          <w:tcPr>
            <w:tcW w:w="3168" w:type="dxa"/>
          </w:tcPr>
          <w:p w14:paraId="1C007A1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weak ×3</w:t>
            </w:r>
          </w:p>
        </w:tc>
        <w:tc>
          <w:tcPr>
            <w:tcW w:w="3168" w:type="dxa"/>
          </w:tcPr>
          <w:p w14:paraId="5959430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adequate ×3</w:t>
            </w:r>
          </w:p>
        </w:tc>
      </w:tr>
      <w:tr w:rsidR="00970438" w14:paraId="0F5E1B7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79FAB98" w14:textId="77777777" w:rsidR="00970438" w:rsidRDefault="00000000">
            <w:pPr>
              <w:spacing w:after="40"/>
            </w:pPr>
            <w:r>
              <w:rPr>
                <w:sz w:val="18"/>
              </w:rPr>
              <w:t>Completeness</w:t>
            </w:r>
          </w:p>
        </w:tc>
        <w:tc>
          <w:tcPr>
            <w:tcW w:w="3168" w:type="dxa"/>
          </w:tcPr>
          <w:p w14:paraId="6386A0A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weak ×3</w:t>
            </w:r>
          </w:p>
        </w:tc>
        <w:tc>
          <w:tcPr>
            <w:tcW w:w="3168" w:type="dxa"/>
          </w:tcPr>
          <w:p w14:paraId="3ECE674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strong ×3</w:t>
            </w:r>
          </w:p>
        </w:tc>
      </w:tr>
      <w:tr w:rsidR="00970438" w14:paraId="28DC78FF"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8506EF0" w14:textId="77777777" w:rsidR="00970438" w:rsidRDefault="00000000">
            <w:pPr>
              <w:spacing w:after="40"/>
            </w:pPr>
            <w:r>
              <w:rPr>
                <w:sz w:val="18"/>
              </w:rPr>
              <w:t>Planted defects caught</w:t>
            </w:r>
          </w:p>
        </w:tc>
        <w:tc>
          <w:tcPr>
            <w:tcW w:w="3168" w:type="dxa"/>
          </w:tcPr>
          <w:p w14:paraId="30BCA45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3 of 3, by all three reviewers</w:t>
            </w:r>
          </w:p>
        </w:tc>
        <w:tc>
          <w:tcPr>
            <w:tcW w:w="3168" w:type="dxa"/>
          </w:tcPr>
          <w:p w14:paraId="4FF9451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t>
            </w:r>
          </w:p>
        </w:tc>
      </w:tr>
    </w:tbl>
    <w:p w14:paraId="2D1A88DC" w14:textId="77777777" w:rsidR="00970438" w:rsidRDefault="00970438"/>
    <w:p w14:paraId="6E011891" w14:textId="77777777" w:rsidR="00970438" w:rsidRDefault="00000000" w:rsidP="009C625C">
      <w:pPr>
        <w:jc w:val="both"/>
      </w:pPr>
      <w:r>
        <w:t>The panel discriminates, so the verdicts below are numbers rather than impressions.</w:t>
      </w:r>
    </w:p>
    <w:p w14:paraId="3B1858CE" w14:textId="77777777" w:rsidR="00970438" w:rsidRDefault="00000000" w:rsidP="009C625C">
      <w:pPr>
        <w:pStyle w:val="Heading4"/>
        <w:jc w:val="both"/>
      </w:pPr>
      <w:r>
        <w:t>What the panel said</w:t>
      </w:r>
    </w:p>
    <w:p w14:paraId="3013A07E" w14:textId="77777777" w:rsidR="00970438" w:rsidRDefault="00000000" w:rsidP="009C625C">
      <w:pPr>
        <w:jc w:val="both"/>
      </w:pPr>
      <w:r>
        <w:t>Twelve sealed reviewers ran in that round, three per packet — three on the control, three on the control's clean twin, and three on each of the two papers:</w:t>
      </w:r>
    </w:p>
    <w:tbl>
      <w:tblPr>
        <w:tblStyle w:val="LightGrid-Accent1"/>
        <w:tblW w:w="0" w:type="auto"/>
        <w:tblLook w:val="04A0" w:firstRow="1" w:lastRow="0" w:firstColumn="1" w:lastColumn="0" w:noHBand="0" w:noVBand="1"/>
      </w:tblPr>
      <w:tblGrid>
        <w:gridCol w:w="2376"/>
        <w:gridCol w:w="2376"/>
        <w:gridCol w:w="2376"/>
        <w:gridCol w:w="2376"/>
      </w:tblGrid>
      <w:tr w:rsidR="00970438" w14:paraId="2FE9874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C00CA73" w14:textId="77777777" w:rsidR="00970438" w:rsidRDefault="00000000">
            <w:pPr>
              <w:spacing w:after="40"/>
            </w:pPr>
            <w:r>
              <w:rPr>
                <w:sz w:val="18"/>
              </w:rPr>
              <w:t>Paper</w:t>
            </w:r>
          </w:p>
        </w:tc>
        <w:tc>
          <w:tcPr>
            <w:tcW w:w="2376" w:type="dxa"/>
          </w:tcPr>
          <w:p w14:paraId="4563A553"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Factual correctness</w:t>
            </w:r>
          </w:p>
        </w:tc>
        <w:tc>
          <w:tcPr>
            <w:tcW w:w="2376" w:type="dxa"/>
          </w:tcPr>
          <w:p w14:paraId="1ACA2B42"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Citation grounding</w:t>
            </w:r>
          </w:p>
        </w:tc>
        <w:tc>
          <w:tcPr>
            <w:tcW w:w="2376" w:type="dxa"/>
          </w:tcPr>
          <w:p w14:paraId="58EA4F1A"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Completeness</w:t>
            </w:r>
          </w:p>
        </w:tc>
      </w:tr>
      <w:tr w:rsidR="00970438" w14:paraId="0EDF8C65"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CF707FB" w14:textId="77777777" w:rsidR="00970438" w:rsidRDefault="00000000">
            <w:pPr>
              <w:spacing w:after="40"/>
            </w:pPr>
            <w:r>
              <w:rPr>
                <w:i/>
                <w:sz w:val="18"/>
              </w:rPr>
              <w:t>Privilege and the Contracted-Out Militia</w:t>
            </w:r>
          </w:p>
        </w:tc>
        <w:tc>
          <w:tcPr>
            <w:tcW w:w="2376" w:type="dxa"/>
          </w:tcPr>
          <w:p w14:paraId="1BF9FE9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adequate ×3</w:t>
            </w:r>
          </w:p>
        </w:tc>
        <w:tc>
          <w:tcPr>
            <w:tcW w:w="2376" w:type="dxa"/>
          </w:tcPr>
          <w:p w14:paraId="60A837C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adequate ×3</w:t>
            </w:r>
          </w:p>
        </w:tc>
        <w:tc>
          <w:tcPr>
            <w:tcW w:w="2376" w:type="dxa"/>
          </w:tcPr>
          <w:p w14:paraId="30718A9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strong ×3</w:t>
            </w:r>
          </w:p>
        </w:tc>
      </w:tr>
      <w:tr w:rsidR="00970438" w14:paraId="055FCF80"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119ACA0" w14:textId="77777777" w:rsidR="00970438" w:rsidRDefault="00000000">
            <w:pPr>
              <w:spacing w:after="40"/>
            </w:pPr>
            <w:r>
              <w:rPr>
                <w:i/>
                <w:sz w:val="18"/>
              </w:rPr>
              <w:t>What the Mandate Built</w:t>
            </w:r>
          </w:p>
        </w:tc>
        <w:tc>
          <w:tcPr>
            <w:tcW w:w="2376" w:type="dxa"/>
          </w:tcPr>
          <w:p w14:paraId="410036D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strong ×3</w:t>
            </w:r>
          </w:p>
        </w:tc>
        <w:tc>
          <w:tcPr>
            <w:tcW w:w="2376" w:type="dxa"/>
          </w:tcPr>
          <w:p w14:paraId="404593B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strong ×1, adequate ×2</w:t>
            </w:r>
          </w:p>
        </w:tc>
        <w:tc>
          <w:tcPr>
            <w:tcW w:w="2376" w:type="dxa"/>
          </w:tcPr>
          <w:p w14:paraId="48411F6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strong ×3</w:t>
            </w:r>
          </w:p>
        </w:tc>
      </w:tr>
    </w:tbl>
    <w:p w14:paraId="47A823BD" w14:textId="77777777" w:rsidR="00970438" w:rsidRDefault="00970438"/>
    <w:p w14:paraId="186FD305" w14:textId="77777777" w:rsidR="00970438" w:rsidRDefault="00000000" w:rsidP="009C625C">
      <w:pPr>
        <w:jc w:val="both"/>
      </w:pPr>
      <w:r>
        <w:t>Spread is zero on seven of the eight cells. An earlier round ran one reviewer per packet, which made the bands a sorting rather than a measurement. At three reviewers they reproduce.</w:t>
      </w:r>
    </w:p>
    <w:p w14:paraId="14FF13A0" w14:textId="77777777" w:rsidR="00970438" w:rsidRDefault="00000000" w:rsidP="009C625C">
      <w:pPr>
        <w:pStyle w:val="Heading4"/>
        <w:jc w:val="both"/>
      </w:pPr>
      <w:r>
        <w:t>The two things the reviewers found that the gates could not</w:t>
      </w:r>
    </w:p>
    <w:p w14:paraId="18A0AC6E" w14:textId="77777777" w:rsidR="00970438" w:rsidRDefault="00000000" w:rsidP="009C625C">
      <w:pPr>
        <w:jc w:val="both"/>
      </w:pPr>
      <w:r>
        <w:rPr>
          <w:b/>
        </w:rPr>
        <w:t>Five of six reviewers independently flagged the same citation.</w:t>
      </w:r>
      <w:r>
        <w:t xml:space="preserve"> Both papers use a passage from Bayat 2017 to tie Heydemann's networks-of-privilege framework to Syria. The passage is a publisher's book-series list — the line "Bassam Haddad, </w:t>
      </w:r>
      <w:r>
        <w:rPr>
          <w:i/>
        </w:rPr>
        <w:t>Business Networks in Syria</w:t>
      </w:r>
      <w:r>
        <w:t>" inside a catalogue. It resolves. It passes every mechanical check, because the machinery can verify that a marker points at a real passage and cannot judge that the passage is a catalogue entry.</w:t>
      </w:r>
    </w:p>
    <w:p w14:paraId="6703C07D" w14:textId="77777777" w:rsidR="00970438" w:rsidRDefault="00000000" w:rsidP="009C625C">
      <w:pPr>
        <w:jc w:val="both"/>
      </w:pPr>
      <w:r>
        <w:rPr>
          <w:b/>
        </w:rPr>
        <w:t>Four reviewers reached the same diagnosis unprompted: the keystone Syrian claim in both papers is carried by Moroccan and Egyptian evidence.</w:t>
      </w:r>
      <w:r>
        <w:t xml:space="preserve"> The library holds no Syria-specific networks-of-privilege passage, so the drafter reached for the nearest thing and argued by analogy.</w:t>
      </w:r>
    </w:p>
    <w:p w14:paraId="15FC7506" w14:textId="5E971F0B" w:rsidR="00970438" w:rsidRDefault="00000000" w:rsidP="009C625C">
      <w:pPr>
        <w:jc w:val="both"/>
      </w:pPr>
      <w:r>
        <w:t xml:space="preserve">That second finding is the important one, and it is not a retrieval bug. </w:t>
      </w:r>
      <w:r>
        <w:rPr>
          <w:b/>
        </w:rPr>
        <w:t>It is a corpus gap presenting as a citation defect, and no amount of retrieval work fixes it.</w:t>
      </w:r>
      <w:r>
        <w:t xml:space="preserve"> The fix is a book. This is exactly what the library measurement in </w:t>
      </w:r>
      <w:hyperlink w:anchor="sec6" w:history="1">
        <w:r w:rsidRPr="00D06213">
          <w:rPr>
            <w:rStyle w:val="Hyperlink"/>
          </w:rPr>
          <w:t>section 6</w:t>
        </w:r>
      </w:hyperlink>
      <w:r>
        <w:t xml:space="preserve"> is for.</w:t>
      </w:r>
    </w:p>
    <w:p w14:paraId="11221317" w14:textId="4E915EAF" w:rsidR="00970438" w:rsidRDefault="00000000" w:rsidP="009C625C">
      <w:pPr>
        <w:jc w:val="both"/>
      </w:pPr>
      <w:r>
        <w:t xml:space="preserve">Two further defects the four gates do not see: the rendered paper repeated a section heading verbatim, and its citation table listed identifiers that never appear as markers in the body. Both were found by reviewers, both were real, and both have since been fixed. The papers in Appendices D and E are reproduced as they were rendered, with the duplicate heading still visible in </w:t>
      </w:r>
      <w:hyperlink w:anchor="appD" w:history="1">
        <w:r w:rsidRPr="00D06213">
          <w:rPr>
            <w:rStyle w:val="Hyperlink"/>
          </w:rPr>
          <w:t>Appendix D</w:t>
        </w:r>
      </w:hyperlink>
      <w:r>
        <w:t>. It is left there rather than tidied.</w:t>
      </w:r>
    </w:p>
    <w:p w14:paraId="63431DC3" w14:textId="77777777" w:rsidR="00970438" w:rsidRDefault="00000000" w:rsidP="009C625C">
      <w:pPr>
        <w:pStyle w:val="Heading3"/>
        <w:jc w:val="both"/>
      </w:pPr>
      <w:bookmarkStart w:id="31" w:name="_Toc236945259"/>
      <w:r>
        <w:lastRenderedPageBreak/>
        <w:t>7.5 Open-weight models against proprietary ones</w:t>
      </w:r>
      <w:bookmarkEnd w:id="31"/>
    </w:p>
    <w:p w14:paraId="20D9BBD3" w14:textId="77777777" w:rsidR="00970438" w:rsidRDefault="00000000" w:rsidP="009C625C">
      <w:pPr>
        <w:jc w:val="both"/>
      </w:pPr>
      <w:r>
        <w:t>The same two hard questions were run twice against the same library at the same moment, in two sealed processes that could not read each other's configuration. One used only open-weight models. The other used only proprietary ones. Six blind reviewers judged the outputs, three per question, with the arm order flipped between the two so no judge could learn a position bias.</w:t>
      </w:r>
    </w:p>
    <w:tbl>
      <w:tblPr>
        <w:tblStyle w:val="LightGrid-Accent1"/>
        <w:tblW w:w="0" w:type="auto"/>
        <w:tblLook w:val="04A0" w:firstRow="1" w:lastRow="0" w:firstColumn="1" w:lastColumn="0" w:noHBand="0" w:noVBand="1"/>
      </w:tblPr>
      <w:tblGrid>
        <w:gridCol w:w="3936"/>
        <w:gridCol w:w="2976"/>
        <w:gridCol w:w="2592"/>
      </w:tblGrid>
      <w:tr w:rsidR="00970438" w14:paraId="37E8530D"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5C075C67" w14:textId="77777777" w:rsidR="00970438" w:rsidRDefault="00970438">
            <w:pPr>
              <w:spacing w:after="40"/>
            </w:pPr>
          </w:p>
        </w:tc>
        <w:tc>
          <w:tcPr>
            <w:tcW w:w="2976" w:type="dxa"/>
          </w:tcPr>
          <w:p w14:paraId="2170B196"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Open arm</w:t>
            </w:r>
          </w:p>
        </w:tc>
        <w:tc>
          <w:tcPr>
            <w:tcW w:w="2592" w:type="dxa"/>
          </w:tcPr>
          <w:p w14:paraId="7B599CFB"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Proprietary arm</w:t>
            </w:r>
          </w:p>
        </w:tc>
      </w:tr>
      <w:tr w:rsidR="00970438" w14:paraId="376B943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66C6FBF4" w14:textId="77777777" w:rsidR="00970438" w:rsidRDefault="00000000">
            <w:pPr>
              <w:spacing w:after="40"/>
            </w:pPr>
            <w:r>
              <w:rPr>
                <w:sz w:val="18"/>
              </w:rPr>
              <w:t>Reading the question, retrieval, counter-position</w:t>
            </w:r>
          </w:p>
        </w:tc>
        <w:tc>
          <w:tcPr>
            <w:tcW w:w="2976" w:type="dxa"/>
          </w:tcPr>
          <w:p w14:paraId="7ABC9E7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rFonts w:ascii="Consolas" w:hAnsi="Consolas"/>
                <w:sz w:val="18"/>
              </w:rPr>
              <w:t>deepseek-v4-pro</w:t>
            </w:r>
            <w:r>
              <w:rPr>
                <w:sz w:val="18"/>
              </w:rPr>
              <w:t xml:space="preserve">, </w:t>
            </w:r>
            <w:r>
              <w:rPr>
                <w:rFonts w:ascii="Consolas" w:hAnsi="Consolas"/>
                <w:sz w:val="18"/>
              </w:rPr>
              <w:t>glm-5.2</w:t>
            </w:r>
          </w:p>
        </w:tc>
        <w:tc>
          <w:tcPr>
            <w:tcW w:w="2592" w:type="dxa"/>
          </w:tcPr>
          <w:p w14:paraId="31196CB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rFonts w:ascii="Consolas" w:hAnsi="Consolas"/>
                <w:sz w:val="18"/>
              </w:rPr>
              <w:t>openai/gpt-5.4</w:t>
            </w:r>
          </w:p>
        </w:tc>
      </w:tr>
      <w:tr w:rsidR="00970438" w14:paraId="62E816F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35213076" w14:textId="77777777" w:rsidR="00970438" w:rsidRDefault="00000000">
            <w:pPr>
              <w:spacing w:after="40"/>
            </w:pPr>
            <w:r>
              <w:rPr>
                <w:sz w:val="18"/>
              </w:rPr>
              <w:t>Writing the answer</w:t>
            </w:r>
          </w:p>
        </w:tc>
        <w:tc>
          <w:tcPr>
            <w:tcW w:w="2976" w:type="dxa"/>
          </w:tcPr>
          <w:p w14:paraId="554CE0B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rFonts w:ascii="Consolas" w:hAnsi="Consolas"/>
                <w:sz w:val="18"/>
              </w:rPr>
              <w:t>glm-5.2</w:t>
            </w:r>
          </w:p>
        </w:tc>
        <w:tc>
          <w:tcPr>
            <w:tcW w:w="2592" w:type="dxa"/>
          </w:tcPr>
          <w:p w14:paraId="015632D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rFonts w:ascii="Consolas" w:hAnsi="Consolas"/>
                <w:sz w:val="18"/>
              </w:rPr>
              <w:t>openai/gpt-5.6-sol</w:t>
            </w:r>
          </w:p>
        </w:tc>
      </w:tr>
      <w:tr w:rsidR="00970438" w14:paraId="0A9879C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7CC63E3F" w14:textId="77777777" w:rsidR="00970438" w:rsidRDefault="00000000">
            <w:pPr>
              <w:spacing w:after="40"/>
            </w:pPr>
            <w:r>
              <w:rPr>
                <w:sz w:val="18"/>
              </w:rPr>
              <w:t>Question B (judgment)</w:t>
            </w:r>
          </w:p>
        </w:tc>
        <w:tc>
          <w:tcPr>
            <w:tcW w:w="2976" w:type="dxa"/>
          </w:tcPr>
          <w:p w14:paraId="5C4F02D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open, 3–0</w:t>
            </w:r>
          </w:p>
        </w:tc>
        <w:tc>
          <w:tcPr>
            <w:tcW w:w="2592" w:type="dxa"/>
          </w:tcPr>
          <w:p w14:paraId="5E2D4AB9" w14:textId="77777777" w:rsidR="00970438" w:rsidRDefault="00970438">
            <w:pPr>
              <w:spacing w:after="40"/>
              <w:cnfStyle w:val="000000100000" w:firstRow="0" w:lastRow="0" w:firstColumn="0" w:lastColumn="0" w:oddVBand="0" w:evenVBand="0" w:oddHBand="1" w:evenHBand="0" w:firstRowFirstColumn="0" w:firstRowLastColumn="0" w:lastRowFirstColumn="0" w:lastRowLastColumn="0"/>
            </w:pPr>
          </w:p>
        </w:tc>
      </w:tr>
      <w:tr w:rsidR="00970438" w14:paraId="06F8B1BF"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168436E3" w14:textId="77777777" w:rsidR="00970438" w:rsidRDefault="00000000">
            <w:pPr>
              <w:spacing w:after="40"/>
            </w:pPr>
            <w:r>
              <w:rPr>
                <w:sz w:val="18"/>
              </w:rPr>
              <w:t>Question C (survey)</w:t>
            </w:r>
          </w:p>
        </w:tc>
        <w:tc>
          <w:tcPr>
            <w:tcW w:w="2976" w:type="dxa"/>
          </w:tcPr>
          <w:p w14:paraId="693A5E68" w14:textId="77777777" w:rsidR="00970438" w:rsidRDefault="00970438">
            <w:pPr>
              <w:spacing w:after="40"/>
              <w:cnfStyle w:val="000000010000" w:firstRow="0" w:lastRow="0" w:firstColumn="0" w:lastColumn="0" w:oddVBand="0" w:evenVBand="0" w:oddHBand="0" w:evenHBand="1" w:firstRowFirstColumn="0" w:firstRowLastColumn="0" w:lastRowFirstColumn="0" w:lastRowLastColumn="0"/>
            </w:pPr>
          </w:p>
        </w:tc>
        <w:tc>
          <w:tcPr>
            <w:tcW w:w="2592" w:type="dxa"/>
          </w:tcPr>
          <w:p w14:paraId="7F44A19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closed, 3–0</w:t>
            </w:r>
          </w:p>
        </w:tc>
      </w:tr>
      <w:tr w:rsidR="00970438" w14:paraId="654FAEA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6" w:type="dxa"/>
          </w:tcPr>
          <w:p w14:paraId="0DC7985F" w14:textId="77777777" w:rsidR="00970438" w:rsidRDefault="00000000">
            <w:pPr>
              <w:spacing w:after="40"/>
            </w:pPr>
            <w:r>
              <w:rPr>
                <w:sz w:val="18"/>
              </w:rPr>
              <w:t>Cost, both questions</w:t>
            </w:r>
          </w:p>
        </w:tc>
        <w:tc>
          <w:tcPr>
            <w:tcW w:w="2976" w:type="dxa"/>
          </w:tcPr>
          <w:p w14:paraId="3D2D3FE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$0.618</w:t>
            </w:r>
          </w:p>
        </w:tc>
        <w:tc>
          <w:tcPr>
            <w:tcW w:w="2592" w:type="dxa"/>
          </w:tcPr>
          <w:p w14:paraId="0BF8DD5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b/>
                <w:sz w:val="18"/>
              </w:rPr>
              <w:t>$2.167</w:t>
            </w:r>
          </w:p>
        </w:tc>
      </w:tr>
    </w:tbl>
    <w:p w14:paraId="3CEB9C39" w14:textId="77777777" w:rsidR="00970438" w:rsidRDefault="00970438"/>
    <w:p w14:paraId="35D51DF6" w14:textId="77777777" w:rsidR="00970438" w:rsidRDefault="00000000" w:rsidP="009C625C">
      <w:pPr>
        <w:jc w:val="both"/>
      </w:pPr>
      <w:r>
        <w:rPr>
          <w:b/>
        </w:rPr>
        <w:t>Nobody won the round.</w:t>
      </w:r>
      <w:r>
        <w:t xml:space="preserve"> Each arm took the question that suited it, and the six ballots agree on why.</w:t>
      </w:r>
    </w:p>
    <w:p w14:paraId="4BEB2562" w14:textId="77777777" w:rsidR="00970438" w:rsidRDefault="00000000" w:rsidP="009C625C">
      <w:pPr>
        <w:jc w:val="both"/>
      </w:pPr>
      <w:r>
        <w:rPr>
          <w:i/>
        </w:rPr>
        <w:t>B is a case question</w:t>
      </w:r>
      <w:r>
        <w:t>: which account explains the Syrian pattern, tested against Syrian paramilitaries. The proprietary arm composed five passages, reached no Syrian evidence at all, and answered the paramilitary question with a Colombian example from a footnote. Every judge rated its grounding strong or impeccable and its completeness adequate or weak. Rigorous about material that does not answer the question.</w:t>
      </w:r>
    </w:p>
    <w:p w14:paraId="1705F13A" w14:textId="77777777" w:rsidR="00970438" w:rsidRDefault="00000000" w:rsidP="009C625C">
      <w:pPr>
        <w:jc w:val="both"/>
      </w:pPr>
      <w:r>
        <w:rPr>
          <w:i/>
        </w:rPr>
        <w:t>C is a survey question</w:t>
      </w:r>
      <w:r>
        <w:t>: weigh four explanations and test the winner. The proprietary arm weighed all four. The open arm never engaged Wimmer's exclusion-as-legitimacy account, routing that competitor through a narrower thesis instead.</w:t>
      </w:r>
    </w:p>
    <w:p w14:paraId="5A0402A1" w14:textId="77777777" w:rsidR="00970438" w:rsidRDefault="00000000" w:rsidP="009C625C">
      <w:pPr>
        <w:jc w:val="both"/>
      </w:pPr>
      <w:r>
        <w:rPr>
          <w:b/>
        </w:rPr>
        <w:t>The mechanical oracle and the human-shaped reader found the same hole, and this is the first time they have been checked against each other.</w:t>
      </w:r>
      <w:r>
        <w:t xml:space="preserve"> C on the open arm scored 7 of 8 with "exclusion built into the nation-state form" as its single missed demand. Two blind reviewers, with no access to the case file, named the absence of Wimmer as the reason they preferred the other arm.</w:t>
      </w:r>
    </w:p>
    <w:p w14:paraId="66E5BC0B" w14:textId="77777777" w:rsidR="00970438" w:rsidRDefault="00000000" w:rsidP="009C625C">
      <w:pPr>
        <w:jc w:val="both"/>
      </w:pPr>
      <w:r>
        <w:t xml:space="preserve">The practical reading: the arms are close on quality, split by question type, and </w:t>
      </w:r>
      <w:r>
        <w:rPr>
          <w:b/>
        </w:rPr>
        <w:t>the open arm costs 3.5 times less on the same two questions.</w:t>
      </w:r>
      <w:r>
        <w:t xml:space="preserve"> Nothing here argues for moving the wiring.</w:t>
      </w:r>
    </w:p>
    <w:p w14:paraId="166BDEDF" w14:textId="77777777" w:rsidR="00970438" w:rsidRDefault="00000000" w:rsidP="009C625C">
      <w:pPr>
        <w:jc w:val="both"/>
      </w:pPr>
      <w:r>
        <w:t>Three limits bound this comparison and none of them is soft. The test questions are AI-written. Every model in an arm moved at once, so the comparison measures two complete wirings and cannot say which swap produced the result. And it is one draw per cell.</w:t>
      </w:r>
    </w:p>
    <w:p w14:paraId="4351C191" w14:textId="77777777" w:rsidR="00970438" w:rsidRDefault="00000000" w:rsidP="009C625C">
      <w:pPr>
        <w:pStyle w:val="Heading3"/>
        <w:jc w:val="both"/>
      </w:pPr>
      <w:bookmarkStart w:id="32" w:name="_Toc236945260"/>
      <w:r>
        <w:t>7.6 The measurements that were uncomfortable</w:t>
      </w:r>
      <w:bookmarkEnd w:id="32"/>
    </w:p>
    <w:p w14:paraId="327BA620" w14:textId="77777777" w:rsidR="00970438" w:rsidRDefault="00000000" w:rsidP="009C625C">
      <w:pPr>
        <w:jc w:val="both"/>
      </w:pPr>
      <w:r>
        <w:t>These are reported because they change how the rest of the report should be read, and because a report that only carries its good numbers is not evidence of anything.</w:t>
      </w:r>
    </w:p>
    <w:p w14:paraId="4CA0FA48" w14:textId="77777777" w:rsidR="00970438" w:rsidRDefault="00000000" w:rsidP="009C625C">
      <w:pPr>
        <w:jc w:val="both"/>
      </w:pPr>
      <w:r>
        <w:rPr>
          <w:b/>
        </w:rPr>
        <w:t>Gather does not fully reproduce.</w:t>
      </w:r>
      <w:r>
        <w:t xml:space="preserve"> Asked twice about the same name, on byte-identical input, the pass agrees with itself 53% of the time, and </w:t>
      </w:r>
      <w:r>
        <w:rPr>
          <w:b/>
        </w:rPr>
        <w:t>36.1% of the disagreements it records come back null on the second reading</w:t>
      </w:r>
      <w:r>
        <w:t xml:space="preserve">. This was investigated and accepted as model variance. Its consequence is enforced in the design rather than hoped away: </w:t>
      </w:r>
      <w:r>
        <w:rPr>
          <w:b/>
        </w:rPr>
        <w:t>a Gather finding is a retrieval hint and never a citation.</w:t>
      </w:r>
      <w:r>
        <w:t xml:space="preserve"> No gate scores an answer against one, and no answer is credited for repeating one.</w:t>
      </w:r>
    </w:p>
    <w:p w14:paraId="56AE8222" w14:textId="77777777" w:rsidR="00970438" w:rsidRDefault="00000000" w:rsidP="009C625C">
      <w:pPr>
        <w:jc w:val="both"/>
      </w:pPr>
      <w:r>
        <w:rPr>
          <w:b/>
        </w:rPr>
        <w:lastRenderedPageBreak/>
        <w:t>Name merging disagrees with itself 13.3% of the time</w:t>
      </w:r>
      <w:r>
        <w:t xml:space="preserve"> on names with three or more variants. Investigating it showed the disagreements are almost entirely singular/plural and article variants, and that they move </w:t>
      </w:r>
      <w:r>
        <w:rPr>
          <w:b/>
        </w:rPr>
        <w:t>0.4% of the underlying material</w:t>
      </w:r>
      <w:r>
        <w:t>. A surface changing group is not its evidence moving, and conflating the two overstated the problem by a factor of thirty.</w:t>
      </w:r>
    </w:p>
    <w:p w14:paraId="7FC3345B" w14:textId="77777777" w:rsidR="00970438" w:rsidRDefault="00000000" w:rsidP="009C625C">
      <w:pPr>
        <w:jc w:val="both"/>
      </w:pPr>
      <w:r>
        <w:rPr>
          <w:b/>
        </w:rPr>
        <w:t>Retrieval misses one demand persistently.</w:t>
      </w:r>
      <w:r>
        <w:t xml:space="preserve"> Question B's identity-production leg has gone unreached five times, across three versions of the code and two model wirings. The retrieval rewrite was the change most likely to close it. It did not. It is recorded as an open finding rather than explained away.</w:t>
      </w:r>
    </w:p>
    <w:p w14:paraId="7EBC775F" w14:textId="77777777" w:rsidR="00970438" w:rsidRDefault="00000000" w:rsidP="009C625C">
      <w:pPr>
        <w:jc w:val="both"/>
      </w:pPr>
      <w:r>
        <w:rPr>
          <w:b/>
        </w:rPr>
        <w:t>More evidence did not produce better answers.</w:t>
      </w:r>
      <w:r>
        <w:t xml:space="preserve"> Raising the amount of evidence put in front of the writing model by two to three times tripled the bill and the oracle did not follow. Searching harder was tested separately at two budgets across four paid runs, and the amount of evidence that actually reached the model never moved — 17, 21, 18, 20 passages — while the amount gathered ranged from 56 to 181.</w:t>
      </w:r>
    </w:p>
    <w:p w14:paraId="1F3C8282" w14:textId="77777777" w:rsidR="00970438" w:rsidRDefault="00000000" w:rsidP="009C625C">
      <w:pPr>
        <w:jc w:val="both"/>
      </w:pPr>
      <w:r>
        <w:rPr>
          <w:b/>
        </w:rPr>
        <w:t>The panel's false-positive rate is unmeasured.</w:t>
      </w:r>
      <w:r>
        <w:t xml:space="preserve"> The control proves the reviewers catch defects that are there. Nothing tests whether they invent defects that are not. Every panel figure carries that limit, and "trusted" means the instrument catches planted defects, never that it does not manufacture them.</w:t>
      </w:r>
    </w:p>
    <w:p w14:paraId="6F67669A" w14:textId="77777777" w:rsidR="00970438" w:rsidRDefault="00000000" w:rsidP="009C625C">
      <w:pPr>
        <w:pStyle w:val="Heading2"/>
        <w:jc w:val="both"/>
      </w:pPr>
      <w:bookmarkStart w:id="33" w:name="_Toc236945261"/>
      <w:r>
        <w:t>8. Known limits and open problems</w:t>
      </w:r>
      <w:bookmarkEnd w:id="33"/>
    </w:p>
    <w:p w14:paraId="6CD816AE" w14:textId="77777777" w:rsidR="00970438" w:rsidRDefault="00000000" w:rsidP="009C625C">
      <w:pPr>
        <w:jc w:val="both"/>
      </w:pPr>
      <w:r>
        <w:t>Every limit the evidence in this report exposes, collected in one place.</w:t>
      </w:r>
    </w:p>
    <w:p w14:paraId="38EB116A" w14:textId="77777777" w:rsidR="00970438" w:rsidRDefault="00000000" w:rsidP="009C625C">
      <w:pPr>
        <w:jc w:val="both"/>
      </w:pPr>
      <w:r>
        <w:rPr>
          <w:b/>
        </w:rPr>
        <w:t>The test questions are machine-written.</w:t>
      </w:r>
      <w:r>
        <w:t xml:space="preserve"> Every question in this report was written by an AI model working from a description of the library. This is the project's largest single limit, and it is the one that most needs outside help to close.</w:t>
      </w:r>
    </w:p>
    <w:p w14:paraId="2D07E142" w14:textId="77777777" w:rsidR="00970438" w:rsidRDefault="00000000" w:rsidP="009C625C">
      <w:pPr>
        <w:jc w:val="both"/>
      </w:pPr>
      <w:r>
        <w:rPr>
          <w:b/>
        </w:rPr>
        <w:t>There is no human referee in the loop yet.</w:t>
      </w:r>
      <w:r>
        <w:t xml:space="preserve"> Answer quality is currently judged by a panel of models. </w:t>
      </w:r>
      <w:r>
        <w:rPr>
          <w:b/>
        </w:rPr>
        <w:t>No number in this report may be described as measured against human expert judgment, because none of it is</w:t>
      </w:r>
      <w:r>
        <w:t xml:space="preserve"> — and the specification forbids relabelling one that way. That constraint stays in force for as long as the panel is the only referee, and it is exactly what a scholar's questions and a scholar's reading would begin to relax.</w:t>
      </w:r>
    </w:p>
    <w:p w14:paraId="22595AF9" w14:textId="77777777" w:rsidR="00970438" w:rsidRDefault="00000000" w:rsidP="009C625C">
      <w:pPr>
        <w:jc w:val="both"/>
      </w:pPr>
      <w:r>
        <w:rPr>
          <w:b/>
        </w:rPr>
        <w:t>The library is thin where it matters most.</w:t>
      </w:r>
      <w:r>
        <w:t xml:space="preserve"> Concepts are the weakest kind of page in it. 83% of all pages exist inside a single book. Several of the largest concept pages are one author's vocabulary that nobody else on the shelf uses.</w:t>
      </w:r>
    </w:p>
    <w:p w14:paraId="5903CC8F" w14:textId="77777777" w:rsidR="00970438" w:rsidRDefault="00000000" w:rsidP="009C625C">
      <w:pPr>
        <w:jc w:val="both"/>
      </w:pPr>
      <w:r>
        <w:rPr>
          <w:b/>
        </w:rPr>
        <w:t>A corpus gap looks exactly like a citation defect.</w:t>
      </w:r>
      <w:r>
        <w:t xml:space="preserve"> When the library has no passage on the specific thing a paper needs, the drafter reaches for the nearest thing and argues by analogy. The panel caught this. The mechanical gates cannot.</w:t>
      </w:r>
    </w:p>
    <w:p w14:paraId="01CB7C72" w14:textId="77777777" w:rsidR="00970438" w:rsidRDefault="00000000" w:rsidP="009C625C">
      <w:pPr>
        <w:jc w:val="both"/>
      </w:pPr>
      <w:r>
        <w:rPr>
          <w:b/>
        </w:rPr>
        <w:t>Some checks are structurally blind.</w:t>
      </w:r>
      <w:r>
        <w:t xml:space="preserve"> A citation marker that resolves to a publisher's catalogue page passes every automated check there is. Whether a passage is the </w:t>
      </w:r>
      <w:r>
        <w:rPr>
          <w:i/>
        </w:rPr>
        <w:t>right kind of thing</w:t>
      </w:r>
      <w:r>
        <w:t xml:space="preserve"> to cite is a judgment, and only a reader makes it.</w:t>
      </w:r>
    </w:p>
    <w:p w14:paraId="7671C381" w14:textId="77777777" w:rsidR="00970438" w:rsidRDefault="00000000" w:rsidP="009C625C">
      <w:pPr>
        <w:jc w:val="both"/>
      </w:pPr>
      <w:r>
        <w:rPr>
          <w:b/>
        </w:rPr>
        <w:t>One draw is not a measurement, and most figures here are one draw.</w:t>
      </w:r>
      <w:r>
        <w:t xml:space="preserve"> Run-to-run variance on a single question has been measured at 39% on unchanged code.</w:t>
      </w:r>
    </w:p>
    <w:p w14:paraId="05661E83" w14:textId="77777777" w:rsidR="00970438" w:rsidRDefault="00000000" w:rsidP="009C625C">
      <w:pPr>
        <w:jc w:val="both"/>
      </w:pPr>
      <w:r>
        <w:rPr>
          <w:b/>
        </w:rPr>
        <w:t>Axial is built, not deployed.</w:t>
      </w:r>
      <w:r>
        <w:t xml:space="preserve"> It runs as a command-line tool on one machine, against a library assembled by one person. There is no service, no multi-user boundary, no hosted product. The two-role command-line split that exists today is a guard against running the wrong command by accident, not a security boundary.</w:t>
      </w:r>
    </w:p>
    <w:p w14:paraId="39AD2856" w14:textId="77777777" w:rsidR="00970438" w:rsidRDefault="00000000" w:rsidP="009C625C">
      <w:pPr>
        <w:jc w:val="both"/>
      </w:pPr>
      <w:r>
        <w:rPr>
          <w:b/>
        </w:rPr>
        <w:lastRenderedPageBreak/>
        <w:t>Two phases are not built.</w:t>
      </w:r>
      <w:r>
        <w:t xml:space="preserve"> Format adaptation and lens application exist as milestones with no specification, no date and no scheduled work.</w:t>
      </w:r>
    </w:p>
    <w:p w14:paraId="42F12D2E" w14:textId="77777777" w:rsidR="00970438" w:rsidRDefault="00000000" w:rsidP="009C625C">
      <w:pPr>
        <w:pStyle w:val="Heading2"/>
        <w:jc w:val="both"/>
      </w:pPr>
      <w:bookmarkStart w:id="34" w:name="_Toc236945262"/>
      <w:r>
        <w:t>Final word</w:t>
      </w:r>
      <w:bookmarkEnd w:id="34"/>
    </w:p>
    <w:p w14:paraId="395F118E" w14:textId="77777777" w:rsidR="00970438" w:rsidRDefault="00000000" w:rsidP="009C625C">
      <w:pPr>
        <w:jc w:val="both"/>
      </w:pPr>
      <w:r>
        <w:t>Three phases are built and working: reading the corpus, answering a question from it, and writing the paper. The full chain runs end to end on one command, on a real library of thirty-five scholarly books, for well under a dollar a paper.</w:t>
      </w:r>
    </w:p>
    <w:p w14:paraId="0F31583E" w14:textId="77777777" w:rsidR="00970438" w:rsidRDefault="00000000" w:rsidP="009C625C">
      <w:pPr>
        <w:jc w:val="both"/>
      </w:pPr>
      <w:r>
        <w:t>What the evidence in this report supports, and no more:</w:t>
      </w:r>
    </w:p>
    <w:p w14:paraId="73130C53" w14:textId="77777777" w:rsidR="00970438" w:rsidRDefault="00000000" w:rsidP="009C625C">
      <w:pPr>
        <w:pStyle w:val="ListBullet"/>
        <w:spacing w:after="60"/>
        <w:jc w:val="both"/>
      </w:pPr>
      <w:r>
        <w:rPr>
          <w:b/>
        </w:rPr>
        <w:t>The construction holds.</w:t>
      </w:r>
      <w:r>
        <w:t xml:space="preserve"> Claims are marked, grounds resolve, confidence is capped by coverage, and counter-position is present or its absence is disclosed. Those are hard gates and they pass at 1.00 on every paper.</w:t>
      </w:r>
    </w:p>
    <w:p w14:paraId="3CCCC922" w14:textId="77777777" w:rsidR="00970438" w:rsidRDefault="00000000" w:rsidP="009C625C">
      <w:pPr>
        <w:pStyle w:val="ListBullet"/>
        <w:spacing w:after="60"/>
        <w:jc w:val="both"/>
      </w:pPr>
      <w:r>
        <w:rPr>
          <w:b/>
        </w:rPr>
        <w:t>The panel discriminates.</w:t>
      </w:r>
      <w:r>
        <w:t xml:space="preserve"> It caught three planted defects unanimously, and at three reviewers per packet the bands reproduce.</w:t>
      </w:r>
    </w:p>
    <w:p w14:paraId="174CF64B" w14:textId="77777777" w:rsidR="00970438" w:rsidRDefault="00000000" w:rsidP="009C625C">
      <w:pPr>
        <w:pStyle w:val="ListBullet"/>
        <w:spacing w:after="60"/>
        <w:jc w:val="both"/>
      </w:pPr>
      <w:r>
        <w:rPr>
          <w:b/>
        </w:rPr>
        <w:t>The findings that matter came from readers, not from the machinery.</w:t>
      </w:r>
      <w:r>
        <w:t xml:space="preserve"> The two most valuable defects found in this evaluation were a mis-typed citation and a corpus gap, and both were found by sealed reviewers reading the paper the way a referee reads a submission.</w:t>
      </w:r>
    </w:p>
    <w:p w14:paraId="7E916605" w14:textId="77777777" w:rsidR="00970438" w:rsidRDefault="00000000" w:rsidP="009C625C">
      <w:pPr>
        <w:pStyle w:val="ListBullet"/>
        <w:spacing w:after="60"/>
        <w:jc w:val="both"/>
      </w:pPr>
      <w:r>
        <w:rPr>
          <w:b/>
        </w:rPr>
        <w:t>Open-weight models are competitive in production for this work, at roughly a third of the cost.</w:t>
      </w:r>
    </w:p>
    <w:p w14:paraId="2B03D8A9" w14:textId="77777777" w:rsidR="00970438" w:rsidRDefault="00000000" w:rsidP="009C625C">
      <w:pPr>
        <w:jc w:val="both"/>
      </w:pPr>
      <w:r>
        <w:t>What it does not support: any claim about answer quality against a real scholarly question. That gap is the shape of what we are asking for.</w:t>
      </w:r>
    </w:p>
    <w:p w14:paraId="4D9B9533" w14:textId="77777777" w:rsidR="00970438" w:rsidRDefault="00000000" w:rsidP="009C625C">
      <w:pPr>
        <w:jc w:val="both"/>
      </w:pPr>
      <w:r>
        <w:rPr>
          <w:b/>
        </w:rPr>
        <w:t>If you are a scholar or a researcher</w:t>
      </w:r>
      <w:r>
        <w:t>, there are three contributions, in ascending order of commitment, and the first is genuinely small.</w:t>
      </w:r>
    </w:p>
    <w:p w14:paraId="64B79C24" w14:textId="77777777" w:rsidR="00970438" w:rsidRDefault="00000000" w:rsidP="009C625C">
      <w:pPr>
        <w:jc w:val="both"/>
      </w:pPr>
      <w:r>
        <w:rPr>
          <w:i/>
        </w:rPr>
        <w:t>Set the questions.</w:t>
      </w:r>
      <w:r>
        <w:t xml:space="preserve"> A few real research questions from your area of expertise, of the kind you would actually put to a doctoral student. Three is a real contribution. A machine can invent a question that exercises the engine; only someone who knows the field can write one whose answer is worth judging.</w:t>
      </w:r>
    </w:p>
    <w:p w14:paraId="72EE1061" w14:textId="16A45AD7" w:rsidR="00970438" w:rsidRDefault="00000000" w:rsidP="009C625C">
      <w:pPr>
        <w:jc w:val="both"/>
      </w:pPr>
      <w:r>
        <w:rPr>
          <w:i/>
        </w:rPr>
        <w:t>Read an answer.</w:t>
      </w:r>
      <w:r>
        <w:t xml:space="preserve"> A paper and the passages it cites, judged the way you would referee a submission. That is the instrument </w:t>
      </w:r>
      <w:hyperlink w:anchor="sec74" w:history="1">
        <w:r w:rsidRPr="00D06213">
          <w:rPr>
            <w:rStyle w:val="Hyperlink"/>
          </w:rPr>
          <w:t>section 7.4</w:t>
        </w:r>
      </w:hyperlink>
      <w:r>
        <w:t xml:space="preserve"> currently fills with a panel of models, and a human verdict beside those would be the first of its kind here.</w:t>
      </w:r>
    </w:p>
    <w:p w14:paraId="31F74A62" w14:textId="17F0D616" w:rsidR="00970438" w:rsidRDefault="00000000" w:rsidP="009C625C">
      <w:pPr>
        <w:jc w:val="both"/>
      </w:pPr>
      <w:r>
        <w:rPr>
          <w:i/>
        </w:rPr>
        <w:t>Say what the shelf is missing.</w:t>
      </w:r>
      <w:r>
        <w:t xml:space="preserve"> The library measurement in </w:t>
      </w:r>
      <w:hyperlink w:anchor="sec6" w:history="1">
        <w:r w:rsidRPr="00D06213">
          <w:rPr>
            <w:rStyle w:val="Hyperlink"/>
          </w:rPr>
          <w:t>section 6</w:t>
        </w:r>
      </w:hyperlink>
      <w:r>
        <w:t xml:space="preserve"> names which topics have only one voice. Which book should answer Jackson on sovereignty, or Mann on infrastructural power, is a question a specialist answers in a sentence and we cannot answer at all.</w:t>
      </w:r>
    </w:p>
    <w:p w14:paraId="76ED4FDD" w14:textId="77777777" w:rsidR="00970438" w:rsidRDefault="00000000" w:rsidP="009C625C">
      <w:pPr>
        <w:jc w:val="both"/>
      </w:pPr>
      <w:r>
        <w:rPr>
          <w:b/>
        </w:rPr>
        <w:t>If you are an institution or a funder</w:t>
      </w:r>
      <w:r>
        <w:t>, the interesting property is that everything here is checkable. There is no aggregate score to take on faith. Every claim in every output walks back to a passage in a book, every intermediate artifact is on disk, every model call has a recorded cost, and the limits are written into the specification rather than into a footnote.</w:t>
      </w:r>
    </w:p>
    <w:p w14:paraId="091DCF51" w14:textId="77777777" w:rsidR="00970438" w:rsidRDefault="00000000" w:rsidP="009C625C">
      <w:pPr>
        <w:jc w:val="both"/>
      </w:pPr>
      <w:r>
        <w:rPr>
          <w:b/>
        </w:rPr>
        <w:t>If you want to see it fail</w:t>
      </w:r>
      <w:r>
        <w:t>, the fastest route is a question the library is thin on. That is a legitimate test and it is the one the design most wants to pass, because saying "the sources do not support this" is a first-class output rather than an error.</w:t>
      </w:r>
    </w:p>
    <w:p w14:paraId="6A69B3A6" w14:textId="77777777" w:rsidR="00D06213" w:rsidRPr="00D06213" w:rsidRDefault="00D06213" w:rsidP="00D06213">
      <w:pPr>
        <w:rPr>
          <w:rFonts w:cs="Calibri"/>
          <w:color w:val="000000"/>
        </w:rPr>
      </w:pPr>
      <w:r w:rsidRPr="00D06213">
        <w:rPr>
          <w:rFonts w:cs="Calibri"/>
          <w:color w:val="000000"/>
        </w:rPr>
        <w:br w:type="page"/>
      </w:r>
    </w:p>
    <w:p w14:paraId="57A71DFB" w14:textId="5E3D22B7" w:rsidR="00970438" w:rsidRDefault="00000000" w:rsidP="009C625C">
      <w:pPr>
        <w:pStyle w:val="Heading2"/>
        <w:jc w:val="both"/>
      </w:pPr>
      <w:bookmarkStart w:id="35" w:name="_Toc236945263"/>
      <w:bookmarkStart w:id="36" w:name="appA"/>
      <w:bookmarkEnd w:id="36"/>
      <w:r>
        <w:lastRenderedPageBreak/>
        <w:t>Appendix A — How the test questions were designed</w:t>
      </w:r>
      <w:bookmarkEnd w:id="35"/>
    </w:p>
    <w:p w14:paraId="413611EE" w14:textId="77777777" w:rsidR="00970438" w:rsidRDefault="00000000" w:rsidP="009C625C">
      <w:pPr>
        <w:jc w:val="both"/>
      </w:pPr>
      <w:r>
        <w:t>Who wrote the tests, and could they have been written to be passed?</w:t>
      </w:r>
    </w:p>
    <w:p w14:paraId="525AB8F1" w14:textId="77777777" w:rsidR="00970438" w:rsidRDefault="00000000" w:rsidP="009C625C">
      <w:pPr>
        <w:pStyle w:val="Heading3"/>
        <w:jc w:val="both"/>
      </w:pPr>
      <w:bookmarkStart w:id="37" w:name="_Toc236945264"/>
      <w:r>
        <w:t>A.1 Why the questions are machine-written, and what would change that</w:t>
      </w:r>
      <w:bookmarkEnd w:id="37"/>
    </w:p>
    <w:p w14:paraId="7D75DB73" w14:textId="77777777" w:rsidR="00970438" w:rsidRDefault="00000000" w:rsidP="009C625C">
      <w:pPr>
        <w:jc w:val="both"/>
      </w:pPr>
      <w:r>
        <w:t>The original plan was to collect research questions from working scholars and test Axial against those. When none had arrived, the project stopped waiting and built its own set, so that the engine could be developed and hardened rather than blocked. That is where things stand today: the question set is machine-written, and it is the standing arrangement rather than a settled end state. A set of questions from people who know the field is the single contribution that would most change what this report can claim, and asking for it is the reason this document exists.</w:t>
      </w:r>
    </w:p>
    <w:p w14:paraId="2D70CC2E" w14:textId="77777777" w:rsidR="00970438" w:rsidRDefault="00000000" w:rsidP="009C625C">
      <w:pPr>
        <w:jc w:val="both"/>
      </w:pPr>
      <w:r>
        <w:t xml:space="preserve">"We used AI to write our own test" invites a suspicion it should invite, so here is what the machine-written questions are and are not used for. A test question does two jobs here. It is an </w:t>
      </w:r>
      <w:r>
        <w:rPr>
          <w:b/>
        </w:rPr>
        <w:t>input</w:t>
      </w:r>
      <w:r>
        <w:t xml:space="preserve"> that exercises a retrieval shape, and it is an </w:t>
      </w:r>
      <w:r>
        <w:rPr>
          <w:b/>
        </w:rPr>
        <w:t>answer key</w:t>
      </w:r>
      <w:r>
        <w:t xml:space="preserve"> against which quality is scored. Axial's evaluation uses simulated questions only for the first job. </w:t>
      </w:r>
      <w:r>
        <w:rPr>
          <w:b/>
        </w:rPr>
        <w:t>Nothing simulated is ever an answer key.</w:t>
      </w:r>
      <w:r>
        <w:t xml:space="preserve"> Every judgment in every gate is anchored to material the library actually holds — the resolved text of a cited passage, a premise a test brief states plainly about itself, the paper's own coverage counts. Not one of them compares an output against a model's opinion of a good answer.</w:t>
      </w:r>
    </w:p>
    <w:p w14:paraId="5B55CEDC" w14:textId="77777777" w:rsidR="00970438" w:rsidRDefault="00000000" w:rsidP="009C625C">
      <w:pPr>
        <w:jc w:val="both"/>
      </w:pPr>
      <w:r>
        <w:t xml:space="preserve">An earlier design did have such an answer key, a pre-written "expected answer" per case. </w:t>
      </w:r>
      <w:r>
        <w:rPr>
          <w:b/>
        </w:rPr>
        <w:t>It was retired as a referee</w:t>
      </w:r>
      <w:r>
        <w:t>, on the grounds that scoring against it measures agreement with one model's opinion rather than quality, and it is now barred from ever being placed in a reviewer packet, because showing a reviewer a pre-written answer anchors it to that answer.</w:t>
      </w:r>
    </w:p>
    <w:p w14:paraId="05EDB913" w14:textId="1C1B5BED" w:rsidR="00970438" w:rsidRDefault="00000000" w:rsidP="009C625C">
      <w:pPr>
        <w:jc w:val="both"/>
      </w:pPr>
      <w:r>
        <w:t xml:space="preserve">So the honest statement is the one made in </w:t>
      </w:r>
      <w:hyperlink w:anchor="sec71" w:history="1">
        <w:r w:rsidRPr="00D06213">
          <w:rPr>
            <w:rStyle w:val="Hyperlink"/>
          </w:rPr>
          <w:t>section 7.1</w:t>
        </w:r>
      </w:hyperlink>
      <w:r>
        <w:t xml:space="preserve">: the questions are machine-written, and </w:t>
      </w:r>
      <w:r>
        <w:rPr>
          <w:b/>
        </w:rPr>
        <w:t>that bounds what the numbers mean rather than what they are anchored to.</w:t>
      </w:r>
      <w:r>
        <w:t xml:space="preserve"> It also names the gap a scholarly contribution would fill.</w:t>
      </w:r>
    </w:p>
    <w:p w14:paraId="0BE1B7A4" w14:textId="77777777" w:rsidR="00970438" w:rsidRDefault="00000000" w:rsidP="009C625C">
      <w:pPr>
        <w:pStyle w:val="Heading3"/>
        <w:jc w:val="both"/>
      </w:pPr>
      <w:bookmarkStart w:id="38" w:name="_Toc236945265"/>
      <w:r>
        <w:t>A.2 The two question sets, and why they are different</w:t>
      </w:r>
      <w:bookmarkEnd w:id="38"/>
    </w:p>
    <w:p w14:paraId="6D4EC8B8" w14:textId="51E3AEA0" w:rsidR="00970438" w:rsidRDefault="00000000" w:rsidP="009C625C">
      <w:pPr>
        <w:jc w:val="both"/>
      </w:pPr>
      <w:r>
        <w:rPr>
          <w:b/>
        </w:rPr>
        <w:t>Six short briefs, run on every change.</w:t>
      </w:r>
      <w:r>
        <w:t xml:space="preserve"> These exist to catch regressions cheaply, so each is short and each exercises exactly one retrieval shape: a hub anchor at the library's centre of gravity, scholar against scholar, a contested concept, a concept whose founding book is on the shelf, thin coverage, and single-source concentration. Their anchors were measured against the live index before they landed, book by book, and are printed in </w:t>
      </w:r>
      <w:hyperlink w:anchor="sec72" w:history="1">
        <w:r w:rsidRPr="00D06213">
          <w:rPr>
            <w:rStyle w:val="Hyperlink"/>
          </w:rPr>
          <w:t>section 7.2</w:t>
        </w:r>
      </w:hyperlink>
      <w:r>
        <w:t>.</w:t>
      </w:r>
    </w:p>
    <w:p w14:paraId="02773940" w14:textId="77777777" w:rsidR="00970438" w:rsidRDefault="00000000" w:rsidP="009C625C">
      <w:pPr>
        <w:jc w:val="both"/>
      </w:pPr>
      <w:r>
        <w:t xml:space="preserve">The set was </w:t>
      </w:r>
      <w:r>
        <w:rPr>
          <w:b/>
        </w:rPr>
        <w:t>rebuilt from scratch on 2026-07-30</w:t>
      </w:r>
      <w:r>
        <w:t xml:space="preserve"> for a reason that says something about how this project handles its own convenience. All five original briefs were Syria briefs. Twenty-five of the then thirty-one books are not about Syria, so the set was leaving most of the library unexercised and scoring well on the part it did reach. The replacements were authored </w:t>
      </w:r>
      <w:r>
        <w:rPr>
          <w:b/>
        </w:rPr>
        <w:t>by a model with no access to this repository</w:t>
      </w:r>
      <w:r>
        <w:t>, working from the measured index alone, then verified anchor by anchor before being accepted. One Syria brief was deliberately retained, because the source-concentration inspection needs a hub name to bite on.</w:t>
      </w:r>
    </w:p>
    <w:p w14:paraId="32DC1036" w14:textId="77777777" w:rsidR="00970438" w:rsidRDefault="00000000" w:rsidP="009C625C">
      <w:pPr>
        <w:jc w:val="both"/>
      </w:pPr>
      <w:r>
        <w:rPr>
          <w:b/>
        </w:rPr>
        <w:t>Three hard questions, run when the engine is stable.</w:t>
      </w:r>
      <w:r>
        <w:t xml:space="preserve"> These are long compound questions of the kind a doctoral examiner sets: weigh four or more competing explanations, test a preferred account against a second historical setting, engage the critics of the major theorists rather than only the theorists. They were authored </w:t>
      </w:r>
      <w:r>
        <w:lastRenderedPageBreak/>
        <w:t xml:space="preserve">the same way — by a model outside this environment, working from the library overview alone, </w:t>
      </w:r>
      <w:r>
        <w:rPr>
          <w:b/>
        </w:rPr>
        <w:t>told what each question had to stress and forbidden to name a book or ask for citations.</w:t>
      </w:r>
      <w:r>
        <w:t xml:space="preserve"> Their provenance, and the single edit made to them, is recorded in the repository.</w:t>
      </w:r>
    </w:p>
    <w:p w14:paraId="3F66B7CB" w14:textId="77777777" w:rsidR="00970438" w:rsidRDefault="00000000" w:rsidP="009C625C">
      <w:pPr>
        <w:jc w:val="both"/>
      </w:pPr>
      <w:r>
        <w:rPr>
          <w:b/>
        </w:rPr>
        <w:t>An adversarial set, which is the one place a question does carry an answer key.</w:t>
      </w:r>
      <w:r>
        <w:t xml:space="preserve"> Each of these briefs has a premise deliberately smuggled into it, and states that premise plainly in a block </w:t>
      </w:r>
      <w:r>
        <w:rPr>
          <w:b/>
        </w:rPr>
        <w:t>that is stripped out before the brief ever reaches the interrogation prompt.</w:t>
      </w:r>
      <w:r>
        <w:t xml:space="preserve"> A brief that leaks its own answer key measures nothing. The gate then asks whether the pre-pass caught the premise, judged by an independent model as correspondence of meaning rather than string matching.</w:t>
      </w:r>
    </w:p>
    <w:p w14:paraId="62A5BEDC" w14:textId="77777777" w:rsidR="00970438" w:rsidRDefault="00000000" w:rsidP="009C625C">
      <w:pPr>
        <w:jc w:val="both"/>
      </w:pPr>
      <w:r>
        <w:t xml:space="preserve">One question moved into this set for an instructive reason. It asks about "Tilly's coercive-extraction cycle", which is the argument of </w:t>
      </w:r>
      <w:r>
        <w:rPr>
          <w:i/>
        </w:rPr>
        <w:t>Coercion, Capital and European States</w:t>
      </w:r>
      <w:r>
        <w:t>. The library holds a different Tilly book. That is a smuggled premise, and it is worth more as a test of whether Axial notices than as a synthesis question.</w:t>
      </w:r>
    </w:p>
    <w:p w14:paraId="0B97EF24" w14:textId="77777777" w:rsidR="00970438" w:rsidRDefault="00000000" w:rsidP="009C625C">
      <w:pPr>
        <w:pStyle w:val="Heading3"/>
        <w:jc w:val="both"/>
      </w:pPr>
      <w:bookmarkStart w:id="39" w:name="_Toc236945266"/>
      <w:r>
        <w:t>A.3 Two design rules that keep a question from being a softball</w:t>
      </w:r>
      <w:bookmarkEnd w:id="39"/>
    </w:p>
    <w:p w14:paraId="5EBDFD29" w14:textId="77777777" w:rsidR="00970438" w:rsidRDefault="00000000" w:rsidP="009C625C">
      <w:pPr>
        <w:jc w:val="both"/>
      </w:pPr>
      <w:r>
        <w:rPr>
          <w:b/>
        </w:rPr>
        <w:t>A question must not name the finding it probes.</w:t>
      </w:r>
      <w:r>
        <w:t xml:space="preserve"> The thin-coverage and single-source questions ask nothing about thinness or concentration. Asking "why is the evidence on Transnistria thin" would make a pass prove only that the model follows instructions. The requirement that a run notice thinness unprompted lives in the scoring rubric instead, where the system cannot read it.</w:t>
      </w:r>
    </w:p>
    <w:p w14:paraId="39A5F9DE" w14:textId="77777777" w:rsidR="00970438" w:rsidRDefault="00000000" w:rsidP="009C625C">
      <w:pPr>
        <w:jc w:val="both"/>
      </w:pPr>
      <w:r>
        <w:rPr>
          <w:b/>
        </w:rPr>
        <w:t>Gates are scored on questions the system cannot already ace.</w:t>
      </w:r>
      <w:r>
        <w:t xml:space="preserve"> A test suite tuned until it passes measures the tuning. The three hard questions are deliberately the hardest thing the engine is asked to do, and two of their known weaknesses are documented in the specification rather than removed from the set.</w:t>
      </w:r>
    </w:p>
    <w:p w14:paraId="2F6F89AC" w14:textId="77777777" w:rsidR="00970438" w:rsidRDefault="00000000" w:rsidP="009C625C">
      <w:pPr>
        <w:pStyle w:val="Heading3"/>
        <w:jc w:val="both"/>
      </w:pPr>
      <w:bookmarkStart w:id="40" w:name="_Toc236945267"/>
      <w:r>
        <w:t>A.4 The oracle: how "did it reach the right books" is scored</w:t>
      </w:r>
      <w:bookmarkEnd w:id="40"/>
    </w:p>
    <w:p w14:paraId="65016506" w14:textId="77777777" w:rsidR="00970438" w:rsidRDefault="00000000" w:rsidP="009C625C">
      <w:pPr>
        <w:jc w:val="both"/>
      </w:pPr>
      <w:r>
        <w:t xml:space="preserve">Each test question has a </w:t>
      </w:r>
      <w:r>
        <w:rPr>
          <w:b/>
        </w:rPr>
        <w:t>case file</w:t>
      </w:r>
      <w:r>
        <w:t xml:space="preserve"> stating what the answer must reach, as a list of demands. Each demand names the books that carry material capable of satisfying it, and a demand is met when the run's citations reach </w:t>
      </w:r>
      <w:r>
        <w:rPr>
          <w:b/>
        </w:rPr>
        <w:t>any</w:t>
      </w:r>
      <w:r>
        <w:t xml:space="preserve"> of them.</w:t>
      </w:r>
    </w:p>
    <w:p w14:paraId="018D7358" w14:textId="77777777" w:rsidR="00970438" w:rsidRDefault="00000000" w:rsidP="009C625C">
      <w:pPr>
        <w:jc w:val="both"/>
      </w:pPr>
      <w:r>
        <w:t xml:space="preserve">That structure replaced a flat list of required book identifiers, and the reason is a real defect it caused. Under the old shape one question required a commentary volume </w:t>
      </w:r>
      <w:r>
        <w:rPr>
          <w:i/>
        </w:rPr>
        <w:t>about</w:t>
      </w:r>
      <w:r>
        <w:t xml:space="preserve"> a theorist and could be satisfied without ever citing that theorist's own four books, because a mechanical count-and-cut rule had named the commentary as the leading carrier. The rule is now explicit: </w:t>
      </w:r>
      <w:r>
        <w:rPr>
          <w:b/>
        </w:rPr>
        <w:t>a demand whose anchor is an author or a work names that author's own books, never the books that cite them</w:t>
      </w:r>
      <w:r>
        <w:t>, and counts choose among candidate carriers only where a demand's material genuinely spans more than one book.</w:t>
      </w:r>
    </w:p>
    <w:p w14:paraId="2A8EBA7B" w14:textId="77777777" w:rsidR="00970438" w:rsidRDefault="00000000" w:rsidP="009C625C">
      <w:pPr>
        <w:jc w:val="both"/>
      </w:pPr>
      <w:r>
        <w:t>Building a case file is one read-only pass over the index plus a judgment per demand. It costs no model call, and it is checked against the live index so that a case naming a book the library no longer holds is a named failure rather than a silent zero.</w:t>
      </w:r>
    </w:p>
    <w:p w14:paraId="72502EB9" w14:textId="77777777" w:rsidR="00D06213" w:rsidRPr="00D06213" w:rsidRDefault="00D06213" w:rsidP="00D06213">
      <w:pPr>
        <w:rPr>
          <w:rFonts w:cs="Calibri"/>
          <w:color w:val="000000"/>
        </w:rPr>
      </w:pPr>
      <w:r w:rsidRPr="00D06213">
        <w:rPr>
          <w:rFonts w:cs="Calibri"/>
          <w:color w:val="000000"/>
        </w:rPr>
        <w:br w:type="page"/>
      </w:r>
    </w:p>
    <w:p w14:paraId="4094CD69" w14:textId="60A3430D" w:rsidR="00970438" w:rsidRDefault="00000000" w:rsidP="009C625C">
      <w:pPr>
        <w:pStyle w:val="Heading2"/>
        <w:jc w:val="both"/>
      </w:pPr>
      <w:bookmarkStart w:id="41" w:name="_Toc236945268"/>
      <w:r>
        <w:lastRenderedPageBreak/>
        <w:t>Appendix B — How answers and papers are judged</w:t>
      </w:r>
      <w:bookmarkEnd w:id="41"/>
    </w:p>
    <w:p w14:paraId="27991A7D" w14:textId="77777777" w:rsidR="00970438" w:rsidRDefault="00000000" w:rsidP="009C625C">
      <w:pPr>
        <w:pStyle w:val="Heading3"/>
        <w:jc w:val="both"/>
      </w:pPr>
      <w:bookmarkStart w:id="42" w:name="_Toc236945269"/>
      <w:r>
        <w:t>B.1 The four instruments, and what each cannot do</w:t>
      </w:r>
      <w:bookmarkEnd w:id="42"/>
    </w:p>
    <w:p w14:paraId="3799E768" w14:textId="77777777" w:rsidR="00970438" w:rsidRDefault="00000000" w:rsidP="009C625C">
      <w:pPr>
        <w:jc w:val="both"/>
      </w:pPr>
      <w:r>
        <w:rPr>
          <w:b/>
        </w:rPr>
        <w:t>Mechanical checks, on every run.</w:t>
      </w:r>
      <w:r>
        <w:t xml:space="preserve"> Does every claim carry a kind? Do all cited passages resolve? Is the coverage map non-empty? Did the run stay inside its cost and time budget? Was any proposed query refused by the dispatcher? None of these is a quality judgment, and none of them can be. They are the floor.</w:t>
      </w:r>
    </w:p>
    <w:p w14:paraId="264F4AE3" w14:textId="77777777" w:rsidR="00970438" w:rsidRDefault="00000000" w:rsidP="009C625C">
      <w:pPr>
        <w:jc w:val="both"/>
      </w:pPr>
      <w:r>
        <w:t xml:space="preserve">An important property of this layer: </w:t>
      </w:r>
      <w:r>
        <w:rPr>
          <w:b/>
        </w:rPr>
        <w:t>a check with nothing to measure reports a third state, and that third state blocks release.</w:t>
      </w:r>
      <w:r>
        <w:t xml:space="preserve"> A metric that vacuously passes on zero observations reads as a green light for a check that never ran. A metric that fails on an input it never had sends a reader debugging the wrong thing. Both are worse than saying plainly that nothing was measured, so "not scoreable" is distinct from both pass and fail and is never collapsed back into a boolean anywhere downstream.</w:t>
      </w:r>
    </w:p>
    <w:p w14:paraId="4AF8B297" w14:textId="77777777" w:rsidR="00970438" w:rsidRDefault="00000000" w:rsidP="009C625C">
      <w:pPr>
        <w:jc w:val="both"/>
      </w:pPr>
      <w:r>
        <w:rPr>
          <w:b/>
        </w:rPr>
        <w:t>The five engine gates.</w:t>
      </w:r>
      <w:r>
        <w:t xml:space="preserve"> Attribution fidelity, grounding, counter-position presence and steelman quality, band-wise calibration, and adversarial premise-catching. Each judged check runs under its own identity and </w:t>
      </w:r>
      <w:r>
        <w:rPr>
          <w:b/>
        </w:rPr>
        <w:t>must resolve to a different model than the pass it grades</w:t>
      </w:r>
      <w:r>
        <w:t>; the guard raises before any judging call is made. Confidence is checked band by band — do the claims marked high actually hold up at the rate high implies — rather than as an error over a continuous score, because the three-band vocabulary deliberately does not produce a number to compute an error over.</w:t>
      </w:r>
    </w:p>
    <w:p w14:paraId="41E839AD" w14:textId="4EFD188E" w:rsidR="00970438" w:rsidRDefault="00000000" w:rsidP="009C625C">
      <w:pPr>
        <w:jc w:val="both"/>
      </w:pPr>
      <w:r>
        <w:rPr>
          <w:b/>
        </w:rPr>
        <w:t>The four paper gates</w:t>
      </w:r>
      <w:r>
        <w:t xml:space="preserve">, described in </w:t>
      </w:r>
      <w:hyperlink w:anchor="sec73" w:history="1">
        <w:r w:rsidRPr="00D06213">
          <w:rPr>
            <w:rStyle w:val="Hyperlink"/>
          </w:rPr>
          <w:t>section 7.3</w:t>
        </w:r>
      </w:hyperlink>
      <w:r>
        <w:t>.</w:t>
      </w:r>
    </w:p>
    <w:p w14:paraId="04F96E21" w14:textId="2F702B0C" w:rsidR="00970438" w:rsidRDefault="00000000" w:rsidP="009C625C">
      <w:pPr>
        <w:jc w:val="both"/>
      </w:pPr>
      <w:r>
        <w:rPr>
          <w:b/>
        </w:rPr>
        <w:t>The panel</w:t>
      </w:r>
      <w:r>
        <w:t xml:space="preserve">, described in </w:t>
      </w:r>
      <w:hyperlink w:anchor="sec74" w:history="1">
        <w:r w:rsidRPr="00D06213">
          <w:rPr>
            <w:rStyle w:val="Hyperlink"/>
          </w:rPr>
          <w:t>section 7.4</w:t>
        </w:r>
      </w:hyperlink>
      <w:r>
        <w:t>.</w:t>
      </w:r>
    </w:p>
    <w:p w14:paraId="70029804" w14:textId="77777777" w:rsidR="00970438" w:rsidRDefault="00000000" w:rsidP="009C625C">
      <w:pPr>
        <w:pStyle w:val="Heading3"/>
        <w:jc w:val="both"/>
      </w:pPr>
      <w:bookmarkStart w:id="43" w:name="_Toc236945270"/>
      <w:r>
        <w:t>B.2 Why several obvious metrics are deliberately not gates</w:t>
      </w:r>
      <w:bookmarkEnd w:id="43"/>
    </w:p>
    <w:p w14:paraId="2E8EBBDA" w14:textId="77777777" w:rsidR="00970438" w:rsidRDefault="00000000" w:rsidP="009C625C">
      <w:pPr>
        <w:jc w:val="both"/>
      </w:pPr>
      <w:r>
        <w:t xml:space="preserve">Source concentration, the cross-source inference rate, the share of evidence drawn from commentary rather than primary work, and the contradiction rate on new inferences are all computed and reported on every run, and </w:t>
      </w:r>
      <w:r>
        <w:rPr>
          <w:b/>
        </w:rPr>
        <w:t>none of them is a gate.</w:t>
      </w:r>
    </w:p>
    <w:p w14:paraId="34C97157" w14:textId="77777777" w:rsidR="00970438" w:rsidRDefault="00000000" w:rsidP="009C625C">
      <w:pPr>
        <w:jc w:val="both"/>
      </w:pPr>
      <w:r>
        <w:t>That absence is a decision rather than an oversight. A threshold asserted before its distribution has been inspected would flag legitimately concentrated, legitimately single-source, legitimately commentary-drawing analyses as failures. The stated rule for promoting any of them to a gate is: inspect the distribution, find a cut point that separates what a reader judges good from what they judge bad, then set it. Not before.</w:t>
      </w:r>
    </w:p>
    <w:p w14:paraId="2F0DD399" w14:textId="77777777" w:rsidR="00970438" w:rsidRDefault="00000000" w:rsidP="009C625C">
      <w:pPr>
        <w:jc w:val="both"/>
      </w:pPr>
      <w:r>
        <w:t xml:space="preserve">The same discipline retired a check that had been asserted and never fired: a threshold on how much three reviewers may disagree with each other. Outside a gate there is nothing for a threshold to block, and a number nobody enforces invites the reflex of loosening it until it stops firing. </w:t>
      </w:r>
      <w:r>
        <w:rPr>
          <w:b/>
        </w:rPr>
        <w:t>Reporting the spread stays mandatory. Thresholding it does not.</w:t>
      </w:r>
    </w:p>
    <w:p w14:paraId="407B68E0" w14:textId="77777777" w:rsidR="00970438" w:rsidRDefault="00000000" w:rsidP="009C625C">
      <w:pPr>
        <w:pStyle w:val="Heading3"/>
        <w:jc w:val="both"/>
      </w:pPr>
      <w:bookmarkStart w:id="44" w:name="_Toc236945271"/>
      <w:r>
        <w:t>B.3 The seven properties that make a review a review</w:t>
      </w:r>
      <w:bookmarkEnd w:id="44"/>
    </w:p>
    <w:p w14:paraId="5973407A" w14:textId="77777777" w:rsidR="00970438" w:rsidRDefault="00000000" w:rsidP="009C625C">
      <w:pPr>
        <w:jc w:val="both"/>
      </w:pPr>
      <w:r>
        <w:t xml:space="preserve">1. </w:t>
      </w:r>
      <w:r>
        <w:rPr>
          <w:b/>
        </w:rPr>
        <w:t>A stranger to the repository.</w:t>
      </w:r>
      <w:r>
        <w:t xml:space="preserve"> Each reviewer is a model that has never seen this codebase, its specifications, its prompts, or its cases. It reads the paper the way a journal referee reads a submission.</w:t>
      </w:r>
    </w:p>
    <w:p w14:paraId="357D5FC3" w14:textId="77777777" w:rsidR="00970438" w:rsidRDefault="00000000" w:rsidP="009C625C">
      <w:pPr>
        <w:jc w:val="both"/>
      </w:pPr>
      <w:r>
        <w:t xml:space="preserve">2. </w:t>
      </w:r>
      <w:r>
        <w:rPr>
          <w:b/>
        </w:rPr>
        <w:t>A sealed packet, enforced by tooling.</w:t>
      </w:r>
      <w:r>
        <w:t xml:space="preserve"> The rendered paper, the resolved text of every cited passage, the bibliography. Nothing else. No path into the repository exists in the packet.</w:t>
      </w:r>
    </w:p>
    <w:p w14:paraId="25CF94B5" w14:textId="77777777" w:rsidR="00970438" w:rsidRDefault="00000000" w:rsidP="009C625C">
      <w:pPr>
        <w:jc w:val="both"/>
      </w:pPr>
      <w:r>
        <w:lastRenderedPageBreak/>
        <w:t xml:space="preserve">3. </w:t>
      </w:r>
      <w:r>
        <w:rPr>
          <w:b/>
        </w:rPr>
        <w:t>A different training lab, not merely a different model.</w:t>
      </w:r>
      <w:r>
        <w:t xml:space="preserve"> A vendor collision is an error raised before any reviewer call.</w:t>
      </w:r>
    </w:p>
    <w:p w14:paraId="2788A791" w14:textId="77777777" w:rsidR="00970438" w:rsidRDefault="00000000" w:rsidP="009C625C">
      <w:pPr>
        <w:jc w:val="both"/>
      </w:pPr>
      <w:r>
        <w:t xml:space="preserve">4. </w:t>
      </w:r>
      <w:r>
        <w:rPr>
          <w:b/>
        </w:rPr>
        <w:t>N ≥ 3 independent reviewers, and the spread is reported.</w:t>
      </w:r>
      <w:r>
        <w:t xml:space="preserve"> A mean without a spread is not reportable.</w:t>
      </w:r>
    </w:p>
    <w:p w14:paraId="409127EA" w14:textId="77777777" w:rsidR="00970438" w:rsidRDefault="00000000" w:rsidP="009C625C">
      <w:pPr>
        <w:jc w:val="both"/>
      </w:pPr>
      <w:r>
        <w:t xml:space="preserve">5. </w:t>
      </w:r>
      <w:r>
        <w:rPr>
          <w:b/>
        </w:rPr>
        <w:t>A structured verdict, never free prose.</w:t>
      </w:r>
      <w:r>
        <w:t xml:space="preserve"> Ordinal bands per dimension plus named defects tied to claim identifiers. A response that does not parse is a failed call, never a silently imputed score.</w:t>
      </w:r>
    </w:p>
    <w:p w14:paraId="1BB5055D" w14:textId="77777777" w:rsidR="00970438" w:rsidRDefault="00000000" w:rsidP="009C625C">
      <w:pPr>
        <w:jc w:val="both"/>
      </w:pPr>
      <w:r>
        <w:t xml:space="preserve">6. </w:t>
      </w:r>
      <w:r>
        <w:rPr>
          <w:b/>
        </w:rPr>
        <w:t>A positive control, mandatory before any number is trusted.</w:t>
      </w:r>
      <w:r>
        <w:t xml:space="preserve"> Three planted defects: a mis-grounded claim, a strawmanned counter-position, an over-confident band. A plant that cannot be applied is an error, never a skip — a control that quietly plants two defects and then passes is worse than no control.</w:t>
      </w:r>
    </w:p>
    <w:p w14:paraId="0A9B93F6" w14:textId="77777777" w:rsidR="00970438" w:rsidRDefault="00000000" w:rsidP="009C625C">
      <w:pPr>
        <w:jc w:val="both"/>
      </w:pPr>
      <w:r>
        <w:t xml:space="preserve">7. </w:t>
      </w:r>
      <w:r>
        <w:rPr>
          <w:b/>
        </w:rPr>
        <w:t>Packets are assembled at run time and never committed.</w:t>
      </w:r>
      <w:r>
        <w:t xml:space="preserve"> They carry verbatim text from copyrighted books. What may be recorded is the verdict: scores, defect kinds, claim identifiers, reviewer models and labs. Never the text.</w:t>
      </w:r>
    </w:p>
    <w:p w14:paraId="0D87E94F" w14:textId="77777777" w:rsidR="00970438" w:rsidRDefault="00000000" w:rsidP="009C625C">
      <w:pPr>
        <w:pStyle w:val="Heading3"/>
        <w:jc w:val="both"/>
      </w:pPr>
      <w:bookmarkStart w:id="45" w:name="_Toc236945272"/>
      <w:r>
        <w:t>B.4 The reporting rules that bind</w:t>
      </w:r>
      <w:bookmarkEnd w:id="45"/>
    </w:p>
    <w:p w14:paraId="320E443B" w14:textId="77777777" w:rsidR="00970438" w:rsidRDefault="00000000" w:rsidP="009C625C">
      <w:pPr>
        <w:jc w:val="both"/>
      </w:pPr>
      <w:r>
        <w:rPr>
          <w:b/>
        </w:rPr>
        <w:t>Every panel figure travels with its frame</w:t>
      </w:r>
      <w:r>
        <w:t>: which papers, drawn from which performance tiers, under which model wirings, at which corpus version, judged by how many reviewers from which labs, with what spread. A number without its frame is a different claim.</w:t>
      </w:r>
    </w:p>
    <w:p w14:paraId="685C5EAD" w14:textId="77777777" w:rsidR="00970438" w:rsidRDefault="00000000" w:rsidP="009C625C">
      <w:pPr>
        <w:jc w:val="both"/>
      </w:pPr>
      <w:r>
        <w:rPr>
          <w:b/>
        </w:rPr>
        <w:t>No panel figure may be reported as measured against human expert judgment.</w:t>
      </w:r>
      <w:r>
        <w:t xml:space="preserve"> There is no human expert in this loop today. A model-refereed score relabelled as a human-validated one is manufactured precision wearing a different costume, and it is the one way this project could launder its own limits. If human referees do join, their verdicts are a separate instrument with its own frame, reported as such and never merged into the panel's numbers.</w:t>
      </w:r>
    </w:p>
    <w:p w14:paraId="3AA90B7C" w14:textId="77777777" w:rsidR="00970438" w:rsidRDefault="00000000" w:rsidP="009C625C">
      <w:pPr>
        <w:jc w:val="both"/>
      </w:pPr>
      <w:r>
        <w:rPr>
          <w:b/>
        </w:rPr>
        <w:t>No paper waits on a panel and no gate reads one.</w:t>
      </w:r>
      <w:r>
        <w:t xml:space="preserve"> A gate that named a missing panel verdict as its reason for being untrusted would be wrong by construction, because most papers will never receive one by design.</w:t>
      </w:r>
    </w:p>
    <w:p w14:paraId="470CDF48" w14:textId="77777777" w:rsidR="00D06213" w:rsidRPr="00D06213" w:rsidRDefault="00D06213" w:rsidP="00D06213">
      <w:pPr>
        <w:rPr>
          <w:rFonts w:cs="Calibri"/>
          <w:color w:val="000000"/>
        </w:rPr>
      </w:pPr>
      <w:r w:rsidRPr="00D06213">
        <w:rPr>
          <w:rFonts w:cs="Calibri"/>
          <w:color w:val="000000"/>
        </w:rPr>
        <w:br w:type="page"/>
      </w:r>
    </w:p>
    <w:p w14:paraId="022A5876" w14:textId="4B4F94D0" w:rsidR="00970438" w:rsidRDefault="00000000" w:rsidP="009C625C">
      <w:pPr>
        <w:pStyle w:val="Heading2"/>
        <w:jc w:val="both"/>
      </w:pPr>
      <w:bookmarkStart w:id="46" w:name="_Toc236945273"/>
      <w:bookmarkStart w:id="47" w:name="appC"/>
      <w:bookmarkEnd w:id="47"/>
      <w:r>
        <w:lastRenderedPageBreak/>
        <w:t>Appendix C — The library</w:t>
      </w:r>
      <w:bookmarkEnd w:id="46"/>
    </w:p>
    <w:p w14:paraId="2D905420" w14:textId="77777777" w:rsidR="00970438" w:rsidRDefault="00000000" w:rsidP="009C625C">
      <w:pPr>
        <w:jc w:val="both"/>
      </w:pPr>
      <w:r>
        <w:t xml:space="preserve">Thirty-five sources. Thirty-three are books, all held complete; seven of those are edited collections and four are volumes of one work (Mann's </w:t>
      </w:r>
      <w:r>
        <w:rPr>
          <w:i/>
        </w:rPr>
        <w:t>Sources of Social Power</w:t>
      </w:r>
      <w:r>
        <w:t>). The remaining two are a journal article and an unpublished master's research paper, flagged below.</w:t>
      </w:r>
    </w:p>
    <w:p w14:paraId="14F81E61" w14:textId="77777777" w:rsidR="00970438" w:rsidRDefault="00000000" w:rsidP="009C625C">
      <w:pPr>
        <w:jc w:val="both"/>
      </w:pPr>
      <w:r>
        <w:t>Bibliographic data was recovered from the files themselves — embedded metadata, title pages, copyright pages — and cross-checked. Fields that could not be confirmed are marked as not recovered rather than guessed.</w:t>
      </w:r>
    </w:p>
    <w:p w14:paraId="0DB2360D" w14:textId="77777777" w:rsidR="00970438" w:rsidRDefault="00000000" w:rsidP="009C625C">
      <w:pPr>
        <w:jc w:val="both"/>
      </w:pPr>
      <w:r>
        <w:t>"Passages" is how many passages the book was cut into. "Concepts it alone holds" counts the concepts no other book on the shelf mentions, which is the sharpest measure of where the library has nobody to answer a book with.</w:t>
      </w:r>
    </w:p>
    <w:tbl>
      <w:tblPr>
        <w:tblStyle w:val="LightGrid-Accent1"/>
        <w:tblW w:w="0" w:type="auto"/>
        <w:tblLook w:val="04A0" w:firstRow="1" w:lastRow="0" w:firstColumn="1" w:lastColumn="0" w:noHBand="0" w:noVBand="1"/>
      </w:tblPr>
      <w:tblGrid>
        <w:gridCol w:w="4503"/>
        <w:gridCol w:w="1134"/>
        <w:gridCol w:w="1842"/>
        <w:gridCol w:w="2025"/>
      </w:tblGrid>
      <w:tr w:rsidR="00970438" w14:paraId="6335EA48"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8D036CA" w14:textId="77777777" w:rsidR="00970438" w:rsidRDefault="00000000">
            <w:pPr>
              <w:spacing w:after="40"/>
            </w:pPr>
            <w:r>
              <w:rPr>
                <w:sz w:val="18"/>
              </w:rPr>
              <w:t>Source</w:t>
            </w:r>
          </w:p>
        </w:tc>
        <w:tc>
          <w:tcPr>
            <w:tcW w:w="1134" w:type="dxa"/>
          </w:tcPr>
          <w:p w14:paraId="36D2A159"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Passages</w:t>
            </w:r>
          </w:p>
        </w:tc>
        <w:tc>
          <w:tcPr>
            <w:tcW w:w="1842" w:type="dxa"/>
          </w:tcPr>
          <w:p w14:paraId="4984B57D"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Name pages touched</w:t>
            </w:r>
          </w:p>
        </w:tc>
        <w:tc>
          <w:tcPr>
            <w:tcW w:w="2025" w:type="dxa"/>
          </w:tcPr>
          <w:p w14:paraId="0333544E"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Concepts it alone holds</w:t>
            </w:r>
          </w:p>
        </w:tc>
      </w:tr>
      <w:tr w:rsidR="00970438" w14:paraId="75931EBA"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2669C3F9" w14:textId="77777777" w:rsidR="00970438" w:rsidRDefault="00000000">
            <w:pPr>
              <w:spacing w:after="40"/>
            </w:pPr>
            <w:r>
              <w:rPr>
                <w:sz w:val="18"/>
              </w:rPr>
              <w:t xml:space="preserve">Mann, </w:t>
            </w:r>
            <w:r>
              <w:rPr>
                <w:i/>
                <w:sz w:val="18"/>
              </w:rPr>
              <w:t>The Sources of Social Power</w:t>
            </w:r>
            <w:r>
              <w:rPr>
                <w:sz w:val="18"/>
              </w:rPr>
              <w:t>, vol. II</w:t>
            </w:r>
          </w:p>
        </w:tc>
        <w:tc>
          <w:tcPr>
            <w:tcW w:w="1134" w:type="dxa"/>
          </w:tcPr>
          <w:p w14:paraId="428FDC9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459</w:t>
            </w:r>
          </w:p>
        </w:tc>
        <w:tc>
          <w:tcPr>
            <w:tcW w:w="1842" w:type="dxa"/>
          </w:tcPr>
          <w:p w14:paraId="240E11A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4,127</w:t>
            </w:r>
          </w:p>
        </w:tc>
        <w:tc>
          <w:tcPr>
            <w:tcW w:w="2025" w:type="dxa"/>
          </w:tcPr>
          <w:p w14:paraId="4AC7FF1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431</w:t>
            </w:r>
          </w:p>
        </w:tc>
      </w:tr>
      <w:tr w:rsidR="00970438" w14:paraId="549C2C7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280EB6F0" w14:textId="77777777" w:rsidR="00970438" w:rsidRDefault="00000000">
            <w:pPr>
              <w:spacing w:after="40"/>
            </w:pPr>
            <w:r>
              <w:rPr>
                <w:sz w:val="18"/>
              </w:rPr>
              <w:t xml:space="preserve">Heydemann, ed., </w:t>
            </w:r>
            <w:r>
              <w:rPr>
                <w:i/>
                <w:sz w:val="18"/>
              </w:rPr>
              <w:t>War, Institutions, and Social Change</w:t>
            </w:r>
            <w:r>
              <w:rPr>
                <w:sz w:val="18"/>
              </w:rPr>
              <w:t xml:space="preserve"> (2000)</w:t>
            </w:r>
          </w:p>
        </w:tc>
        <w:tc>
          <w:tcPr>
            <w:tcW w:w="1134" w:type="dxa"/>
          </w:tcPr>
          <w:p w14:paraId="578CE84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350</w:t>
            </w:r>
          </w:p>
        </w:tc>
        <w:tc>
          <w:tcPr>
            <w:tcW w:w="1842" w:type="dxa"/>
          </w:tcPr>
          <w:p w14:paraId="53B7FCD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2,617</w:t>
            </w:r>
          </w:p>
        </w:tc>
        <w:tc>
          <w:tcPr>
            <w:tcW w:w="2025" w:type="dxa"/>
          </w:tcPr>
          <w:p w14:paraId="546C2A3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199</w:t>
            </w:r>
          </w:p>
        </w:tc>
      </w:tr>
      <w:tr w:rsidR="00970438" w14:paraId="4921360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6638D35" w14:textId="77777777" w:rsidR="00970438" w:rsidRDefault="00000000">
            <w:pPr>
              <w:spacing w:after="40"/>
            </w:pPr>
            <w:r>
              <w:rPr>
                <w:sz w:val="18"/>
              </w:rPr>
              <w:t xml:space="preserve">Mann, </w:t>
            </w:r>
            <w:r>
              <w:rPr>
                <w:i/>
                <w:sz w:val="18"/>
              </w:rPr>
              <w:t>The Sources of Social Power</w:t>
            </w:r>
            <w:r>
              <w:rPr>
                <w:sz w:val="18"/>
              </w:rPr>
              <w:t>, vol. I</w:t>
            </w:r>
          </w:p>
        </w:tc>
        <w:tc>
          <w:tcPr>
            <w:tcW w:w="1134" w:type="dxa"/>
          </w:tcPr>
          <w:p w14:paraId="342CDCE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349</w:t>
            </w:r>
          </w:p>
        </w:tc>
        <w:tc>
          <w:tcPr>
            <w:tcW w:w="1842" w:type="dxa"/>
          </w:tcPr>
          <w:p w14:paraId="3823820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2,950</w:t>
            </w:r>
          </w:p>
        </w:tc>
        <w:tc>
          <w:tcPr>
            <w:tcW w:w="2025" w:type="dxa"/>
          </w:tcPr>
          <w:p w14:paraId="454026E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338</w:t>
            </w:r>
          </w:p>
        </w:tc>
      </w:tr>
      <w:tr w:rsidR="00970438" w14:paraId="485D1F41"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1A22504F" w14:textId="77777777" w:rsidR="00970438" w:rsidRDefault="00000000">
            <w:pPr>
              <w:spacing w:after="40"/>
            </w:pPr>
            <w:r>
              <w:rPr>
                <w:sz w:val="18"/>
              </w:rPr>
              <w:t xml:space="preserve">Kalyvas, </w:t>
            </w:r>
            <w:r>
              <w:rPr>
                <w:i/>
                <w:sz w:val="18"/>
              </w:rPr>
              <w:t>The Logic of Violence in Civil War</w:t>
            </w:r>
            <w:r>
              <w:rPr>
                <w:sz w:val="18"/>
              </w:rPr>
              <w:t xml:space="preserve"> (2006)</w:t>
            </w:r>
          </w:p>
        </w:tc>
        <w:tc>
          <w:tcPr>
            <w:tcW w:w="1134" w:type="dxa"/>
          </w:tcPr>
          <w:p w14:paraId="316FAF2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335</w:t>
            </w:r>
          </w:p>
        </w:tc>
        <w:tc>
          <w:tcPr>
            <w:tcW w:w="1842" w:type="dxa"/>
          </w:tcPr>
          <w:p w14:paraId="249F5DC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3,225</w:t>
            </w:r>
          </w:p>
        </w:tc>
        <w:tc>
          <w:tcPr>
            <w:tcW w:w="2025" w:type="dxa"/>
          </w:tcPr>
          <w:p w14:paraId="10DEA49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205</w:t>
            </w:r>
          </w:p>
        </w:tc>
      </w:tr>
      <w:tr w:rsidR="00970438" w14:paraId="6193E9FC"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3784D7C1" w14:textId="77777777" w:rsidR="00970438" w:rsidRDefault="00000000">
            <w:pPr>
              <w:spacing w:after="40"/>
            </w:pPr>
            <w:r>
              <w:rPr>
                <w:sz w:val="18"/>
              </w:rPr>
              <w:t xml:space="preserve">Mann, </w:t>
            </w:r>
            <w:r>
              <w:rPr>
                <w:i/>
                <w:sz w:val="18"/>
              </w:rPr>
              <w:t>The Sources of Social Power</w:t>
            </w:r>
            <w:r>
              <w:rPr>
                <w:sz w:val="18"/>
              </w:rPr>
              <w:t>, vol. III</w:t>
            </w:r>
          </w:p>
        </w:tc>
        <w:tc>
          <w:tcPr>
            <w:tcW w:w="1134" w:type="dxa"/>
          </w:tcPr>
          <w:p w14:paraId="7E55EA7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319</w:t>
            </w:r>
          </w:p>
        </w:tc>
        <w:tc>
          <w:tcPr>
            <w:tcW w:w="1842" w:type="dxa"/>
          </w:tcPr>
          <w:p w14:paraId="4110D1E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3,265</w:t>
            </w:r>
          </w:p>
        </w:tc>
        <w:tc>
          <w:tcPr>
            <w:tcW w:w="2025" w:type="dxa"/>
          </w:tcPr>
          <w:p w14:paraId="3D50D8A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362</w:t>
            </w:r>
          </w:p>
        </w:tc>
      </w:tr>
      <w:tr w:rsidR="00970438" w14:paraId="2D4C56A8"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28463A8" w14:textId="77777777" w:rsidR="00970438" w:rsidRDefault="00000000">
            <w:pPr>
              <w:spacing w:after="40"/>
            </w:pPr>
            <w:r>
              <w:rPr>
                <w:sz w:val="18"/>
              </w:rPr>
              <w:t xml:space="preserve">Ayubi, </w:t>
            </w:r>
            <w:r>
              <w:rPr>
                <w:i/>
                <w:sz w:val="18"/>
              </w:rPr>
              <w:t>Over-stating the Arab State</w:t>
            </w:r>
            <w:r>
              <w:rPr>
                <w:sz w:val="18"/>
              </w:rPr>
              <w:t xml:space="preserve"> (1995)</w:t>
            </w:r>
          </w:p>
        </w:tc>
        <w:tc>
          <w:tcPr>
            <w:tcW w:w="1134" w:type="dxa"/>
          </w:tcPr>
          <w:p w14:paraId="2BEFE83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317</w:t>
            </w:r>
          </w:p>
        </w:tc>
        <w:tc>
          <w:tcPr>
            <w:tcW w:w="1842" w:type="dxa"/>
          </w:tcPr>
          <w:p w14:paraId="2DAC6B1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3,484</w:t>
            </w:r>
          </w:p>
        </w:tc>
        <w:tc>
          <w:tcPr>
            <w:tcW w:w="2025" w:type="dxa"/>
          </w:tcPr>
          <w:p w14:paraId="4A94109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581</w:t>
            </w:r>
          </w:p>
        </w:tc>
      </w:tr>
      <w:tr w:rsidR="00970438" w14:paraId="6AB79984"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4A5258C" w14:textId="77777777" w:rsidR="00970438" w:rsidRDefault="00000000">
            <w:pPr>
              <w:spacing w:after="40"/>
            </w:pPr>
            <w:r>
              <w:rPr>
                <w:sz w:val="18"/>
              </w:rPr>
              <w:t xml:space="preserve">Mann, </w:t>
            </w:r>
            <w:r>
              <w:rPr>
                <w:i/>
                <w:sz w:val="18"/>
              </w:rPr>
              <w:t>The Sources of Social Power</w:t>
            </w:r>
            <w:r>
              <w:rPr>
                <w:sz w:val="18"/>
              </w:rPr>
              <w:t>, vol. IV</w:t>
            </w:r>
          </w:p>
        </w:tc>
        <w:tc>
          <w:tcPr>
            <w:tcW w:w="1134" w:type="dxa"/>
          </w:tcPr>
          <w:p w14:paraId="2E9E66B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293</w:t>
            </w:r>
          </w:p>
        </w:tc>
        <w:tc>
          <w:tcPr>
            <w:tcW w:w="1842" w:type="dxa"/>
          </w:tcPr>
          <w:p w14:paraId="0DD85CA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2,934</w:t>
            </w:r>
          </w:p>
        </w:tc>
        <w:tc>
          <w:tcPr>
            <w:tcW w:w="2025" w:type="dxa"/>
          </w:tcPr>
          <w:p w14:paraId="4067D73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354</w:t>
            </w:r>
          </w:p>
        </w:tc>
      </w:tr>
      <w:tr w:rsidR="00970438" w14:paraId="2AA67ED8"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20893C90" w14:textId="77777777" w:rsidR="00970438" w:rsidRDefault="00000000">
            <w:pPr>
              <w:spacing w:after="40"/>
            </w:pPr>
            <w:r>
              <w:rPr>
                <w:sz w:val="18"/>
              </w:rPr>
              <w:t xml:space="preserve">Beshara, ed., </w:t>
            </w:r>
            <w:r>
              <w:rPr>
                <w:i/>
                <w:sz w:val="18"/>
              </w:rPr>
              <w:t>The Origins of Syrian Nationhood</w:t>
            </w:r>
            <w:r>
              <w:rPr>
                <w:sz w:val="18"/>
              </w:rPr>
              <w:t xml:space="preserve"> (2011)</w:t>
            </w:r>
          </w:p>
        </w:tc>
        <w:tc>
          <w:tcPr>
            <w:tcW w:w="1134" w:type="dxa"/>
          </w:tcPr>
          <w:p w14:paraId="4BE5317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290</w:t>
            </w:r>
          </w:p>
        </w:tc>
        <w:tc>
          <w:tcPr>
            <w:tcW w:w="1842" w:type="dxa"/>
          </w:tcPr>
          <w:p w14:paraId="32A74AD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3,247</w:t>
            </w:r>
          </w:p>
        </w:tc>
        <w:tc>
          <w:tcPr>
            <w:tcW w:w="2025" w:type="dxa"/>
          </w:tcPr>
          <w:p w14:paraId="56EF052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309</w:t>
            </w:r>
          </w:p>
        </w:tc>
      </w:tr>
      <w:tr w:rsidR="00970438" w14:paraId="78BC1E6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05CE2BC" w14:textId="77777777" w:rsidR="00970438" w:rsidRDefault="00000000">
            <w:pPr>
              <w:spacing w:after="40"/>
            </w:pPr>
            <w:r>
              <w:rPr>
                <w:sz w:val="18"/>
              </w:rPr>
              <w:t xml:space="preserve">Gellner, </w:t>
            </w:r>
            <w:r>
              <w:rPr>
                <w:i/>
                <w:sz w:val="18"/>
              </w:rPr>
              <w:t>Muslim Society</w:t>
            </w:r>
            <w:r>
              <w:rPr>
                <w:sz w:val="18"/>
              </w:rPr>
              <w:t xml:space="preserve"> (1981)</w:t>
            </w:r>
          </w:p>
        </w:tc>
        <w:tc>
          <w:tcPr>
            <w:tcW w:w="1134" w:type="dxa"/>
          </w:tcPr>
          <w:p w14:paraId="16731DF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268</w:t>
            </w:r>
          </w:p>
        </w:tc>
        <w:tc>
          <w:tcPr>
            <w:tcW w:w="1842" w:type="dxa"/>
          </w:tcPr>
          <w:p w14:paraId="5951542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1,675</w:t>
            </w:r>
          </w:p>
        </w:tc>
        <w:tc>
          <w:tcPr>
            <w:tcW w:w="2025" w:type="dxa"/>
          </w:tcPr>
          <w:p w14:paraId="2015A08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171</w:t>
            </w:r>
          </w:p>
        </w:tc>
      </w:tr>
      <w:tr w:rsidR="00970438" w14:paraId="5CCD1AB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3E73A92" w14:textId="77777777" w:rsidR="00970438" w:rsidRDefault="00000000">
            <w:pPr>
              <w:spacing w:after="40"/>
            </w:pPr>
            <w:r>
              <w:rPr>
                <w:sz w:val="18"/>
              </w:rPr>
              <w:t xml:space="preserve">Batatu, </w:t>
            </w:r>
            <w:r>
              <w:rPr>
                <w:i/>
                <w:sz w:val="18"/>
              </w:rPr>
              <w:t>Syria's Peasantry</w:t>
            </w:r>
            <w:r>
              <w:rPr>
                <w:sz w:val="18"/>
              </w:rPr>
              <w:t xml:space="preserve"> (1999)</w:t>
            </w:r>
          </w:p>
        </w:tc>
        <w:tc>
          <w:tcPr>
            <w:tcW w:w="1134" w:type="dxa"/>
          </w:tcPr>
          <w:p w14:paraId="38BED54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237</w:t>
            </w:r>
          </w:p>
        </w:tc>
        <w:tc>
          <w:tcPr>
            <w:tcW w:w="1842" w:type="dxa"/>
          </w:tcPr>
          <w:p w14:paraId="0C0896E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2,988</w:t>
            </w:r>
          </w:p>
        </w:tc>
        <w:tc>
          <w:tcPr>
            <w:tcW w:w="2025" w:type="dxa"/>
          </w:tcPr>
          <w:p w14:paraId="4092DA4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168</w:t>
            </w:r>
          </w:p>
        </w:tc>
      </w:tr>
      <w:tr w:rsidR="00970438" w14:paraId="3CC4FF4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438652B8" w14:textId="77777777" w:rsidR="00970438" w:rsidRDefault="00000000">
            <w:pPr>
              <w:spacing w:after="40"/>
            </w:pPr>
            <w:r>
              <w:rPr>
                <w:sz w:val="18"/>
              </w:rPr>
              <w:t xml:space="preserve">Hall &amp; Schroeder, eds., </w:t>
            </w:r>
            <w:r>
              <w:rPr>
                <w:i/>
                <w:sz w:val="18"/>
              </w:rPr>
              <w:t>An Anatomy of Power</w:t>
            </w:r>
            <w:r>
              <w:rPr>
                <w:sz w:val="18"/>
              </w:rPr>
              <w:t xml:space="preserve"> (2006)</w:t>
            </w:r>
          </w:p>
        </w:tc>
        <w:tc>
          <w:tcPr>
            <w:tcW w:w="1134" w:type="dxa"/>
          </w:tcPr>
          <w:p w14:paraId="132022D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232</w:t>
            </w:r>
          </w:p>
        </w:tc>
        <w:tc>
          <w:tcPr>
            <w:tcW w:w="1842" w:type="dxa"/>
          </w:tcPr>
          <w:p w14:paraId="52E4EB8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2,063</w:t>
            </w:r>
          </w:p>
        </w:tc>
        <w:tc>
          <w:tcPr>
            <w:tcW w:w="2025" w:type="dxa"/>
          </w:tcPr>
          <w:p w14:paraId="332C124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321</w:t>
            </w:r>
          </w:p>
        </w:tc>
      </w:tr>
      <w:tr w:rsidR="00970438" w14:paraId="0D6459F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C826BC8" w14:textId="77777777" w:rsidR="00970438" w:rsidRDefault="00000000">
            <w:pPr>
              <w:spacing w:after="40"/>
            </w:pPr>
            <w:r>
              <w:rPr>
                <w:sz w:val="18"/>
              </w:rPr>
              <w:t xml:space="preserve">Hinnebusch, </w:t>
            </w:r>
            <w:r>
              <w:rPr>
                <w:i/>
                <w:sz w:val="18"/>
              </w:rPr>
              <w:t>Authoritarian Power and State Formation</w:t>
            </w:r>
            <w:r>
              <w:rPr>
                <w:sz w:val="18"/>
              </w:rPr>
              <w:t xml:space="preserve"> (1990)</w:t>
            </w:r>
          </w:p>
        </w:tc>
        <w:tc>
          <w:tcPr>
            <w:tcW w:w="1134" w:type="dxa"/>
          </w:tcPr>
          <w:p w14:paraId="626DD6C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228</w:t>
            </w:r>
          </w:p>
        </w:tc>
        <w:tc>
          <w:tcPr>
            <w:tcW w:w="1842" w:type="dxa"/>
          </w:tcPr>
          <w:p w14:paraId="2AD6A67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1,517</w:t>
            </w:r>
          </w:p>
        </w:tc>
        <w:tc>
          <w:tcPr>
            <w:tcW w:w="2025" w:type="dxa"/>
          </w:tcPr>
          <w:p w14:paraId="07BD8A0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126</w:t>
            </w:r>
          </w:p>
        </w:tc>
      </w:tr>
      <w:tr w:rsidR="00970438" w14:paraId="28B8418A"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DDB9658" w14:textId="77777777" w:rsidR="00970438" w:rsidRDefault="00000000">
            <w:pPr>
              <w:spacing w:after="40"/>
            </w:pPr>
            <w:r>
              <w:rPr>
                <w:sz w:val="18"/>
              </w:rPr>
              <w:t xml:space="preserve">Malešević, </w:t>
            </w:r>
            <w:r>
              <w:rPr>
                <w:i/>
                <w:sz w:val="18"/>
              </w:rPr>
              <w:t>Nation-States and Nationalisms</w:t>
            </w:r>
            <w:r>
              <w:rPr>
                <w:sz w:val="18"/>
              </w:rPr>
              <w:t xml:space="preserve"> (2013)</w:t>
            </w:r>
          </w:p>
        </w:tc>
        <w:tc>
          <w:tcPr>
            <w:tcW w:w="1134" w:type="dxa"/>
          </w:tcPr>
          <w:p w14:paraId="4C238A5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214</w:t>
            </w:r>
          </w:p>
        </w:tc>
        <w:tc>
          <w:tcPr>
            <w:tcW w:w="1842" w:type="dxa"/>
          </w:tcPr>
          <w:p w14:paraId="0A7F9D7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1,525</w:t>
            </w:r>
          </w:p>
        </w:tc>
        <w:tc>
          <w:tcPr>
            <w:tcW w:w="2025" w:type="dxa"/>
          </w:tcPr>
          <w:p w14:paraId="5CC911A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144</w:t>
            </w:r>
          </w:p>
        </w:tc>
      </w:tr>
      <w:tr w:rsidR="00970438" w14:paraId="4F4A3A9B"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3FB7123D" w14:textId="77777777" w:rsidR="00970438" w:rsidRDefault="00000000">
            <w:pPr>
              <w:spacing w:after="40"/>
            </w:pPr>
            <w:r>
              <w:rPr>
                <w:sz w:val="18"/>
              </w:rPr>
              <w:t xml:space="preserve">Heydemann, ed., </w:t>
            </w:r>
            <w:r>
              <w:rPr>
                <w:i/>
                <w:sz w:val="18"/>
              </w:rPr>
              <w:t>Networks of Privilege</w:t>
            </w:r>
            <w:r>
              <w:rPr>
                <w:sz w:val="18"/>
              </w:rPr>
              <w:t xml:space="preserve"> (2004)</w:t>
            </w:r>
          </w:p>
        </w:tc>
        <w:tc>
          <w:tcPr>
            <w:tcW w:w="1134" w:type="dxa"/>
          </w:tcPr>
          <w:p w14:paraId="6D43967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208</w:t>
            </w:r>
          </w:p>
        </w:tc>
        <w:tc>
          <w:tcPr>
            <w:tcW w:w="1842" w:type="dxa"/>
          </w:tcPr>
          <w:p w14:paraId="54F000B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2,260</w:t>
            </w:r>
          </w:p>
        </w:tc>
        <w:tc>
          <w:tcPr>
            <w:tcW w:w="2025" w:type="dxa"/>
          </w:tcPr>
          <w:p w14:paraId="165829D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186</w:t>
            </w:r>
          </w:p>
        </w:tc>
      </w:tr>
      <w:tr w:rsidR="00970438" w14:paraId="41614B8F"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DB71ECD" w14:textId="77777777" w:rsidR="00970438" w:rsidRDefault="00000000">
            <w:pPr>
              <w:spacing w:after="40"/>
            </w:pPr>
            <w:r>
              <w:rPr>
                <w:sz w:val="18"/>
              </w:rPr>
              <w:t xml:space="preserve">Wimmer, </w:t>
            </w:r>
            <w:r>
              <w:rPr>
                <w:i/>
                <w:sz w:val="18"/>
              </w:rPr>
              <w:t>Waves of War</w:t>
            </w:r>
            <w:r>
              <w:rPr>
                <w:sz w:val="18"/>
              </w:rPr>
              <w:t xml:space="preserve"> (2013)</w:t>
            </w:r>
          </w:p>
        </w:tc>
        <w:tc>
          <w:tcPr>
            <w:tcW w:w="1134" w:type="dxa"/>
          </w:tcPr>
          <w:p w14:paraId="25259E2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197</w:t>
            </w:r>
          </w:p>
        </w:tc>
        <w:tc>
          <w:tcPr>
            <w:tcW w:w="1842" w:type="dxa"/>
          </w:tcPr>
          <w:p w14:paraId="2F31056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1,750</w:t>
            </w:r>
          </w:p>
        </w:tc>
        <w:tc>
          <w:tcPr>
            <w:tcW w:w="2025" w:type="dxa"/>
          </w:tcPr>
          <w:p w14:paraId="06A9F67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172</w:t>
            </w:r>
          </w:p>
        </w:tc>
      </w:tr>
      <w:tr w:rsidR="00970438" w14:paraId="7B303EA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4C9C915A" w14:textId="77777777" w:rsidR="00970438" w:rsidRDefault="00000000">
            <w:pPr>
              <w:spacing w:after="40"/>
            </w:pPr>
            <w:r>
              <w:rPr>
                <w:sz w:val="18"/>
              </w:rPr>
              <w:t xml:space="preserve">Malešević, </w:t>
            </w:r>
            <w:r>
              <w:rPr>
                <w:i/>
                <w:sz w:val="18"/>
              </w:rPr>
              <w:t>The Sociology of War and Violence</w:t>
            </w:r>
            <w:r>
              <w:rPr>
                <w:sz w:val="18"/>
              </w:rPr>
              <w:t xml:space="preserve"> (2010)</w:t>
            </w:r>
          </w:p>
        </w:tc>
        <w:tc>
          <w:tcPr>
            <w:tcW w:w="1134" w:type="dxa"/>
          </w:tcPr>
          <w:p w14:paraId="2D8112D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194</w:t>
            </w:r>
          </w:p>
        </w:tc>
        <w:tc>
          <w:tcPr>
            <w:tcW w:w="1842" w:type="dxa"/>
          </w:tcPr>
          <w:p w14:paraId="4BBBD60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1,994</w:t>
            </w:r>
          </w:p>
        </w:tc>
        <w:tc>
          <w:tcPr>
            <w:tcW w:w="2025" w:type="dxa"/>
          </w:tcPr>
          <w:p w14:paraId="000FDA2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264</w:t>
            </w:r>
          </w:p>
        </w:tc>
      </w:tr>
      <w:tr w:rsidR="00970438" w14:paraId="7E5F097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4DFEFD3" w14:textId="77777777" w:rsidR="00970438" w:rsidRDefault="00000000">
            <w:pPr>
              <w:spacing w:after="40"/>
            </w:pPr>
            <w:r>
              <w:rPr>
                <w:sz w:val="18"/>
              </w:rPr>
              <w:t xml:space="preserve">Gelvin, </w:t>
            </w:r>
            <w:r>
              <w:rPr>
                <w:i/>
                <w:sz w:val="18"/>
              </w:rPr>
              <w:t>Divided Loyalties</w:t>
            </w:r>
            <w:r>
              <w:rPr>
                <w:sz w:val="18"/>
              </w:rPr>
              <w:t xml:space="preserve"> (1998)</w:t>
            </w:r>
          </w:p>
        </w:tc>
        <w:tc>
          <w:tcPr>
            <w:tcW w:w="1134" w:type="dxa"/>
          </w:tcPr>
          <w:p w14:paraId="1E00357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191</w:t>
            </w:r>
          </w:p>
        </w:tc>
        <w:tc>
          <w:tcPr>
            <w:tcW w:w="1842" w:type="dxa"/>
          </w:tcPr>
          <w:p w14:paraId="090FD87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2,001</w:t>
            </w:r>
          </w:p>
        </w:tc>
        <w:tc>
          <w:tcPr>
            <w:tcW w:w="2025" w:type="dxa"/>
          </w:tcPr>
          <w:p w14:paraId="3FF03CF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144</w:t>
            </w:r>
          </w:p>
        </w:tc>
      </w:tr>
      <w:tr w:rsidR="00970438" w14:paraId="15570D5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1EFA4C15" w14:textId="77777777" w:rsidR="00970438" w:rsidRDefault="00000000">
            <w:pPr>
              <w:spacing w:after="40"/>
            </w:pPr>
            <w:r>
              <w:rPr>
                <w:sz w:val="18"/>
              </w:rPr>
              <w:t xml:space="preserve">Tilly, </w:t>
            </w:r>
            <w:r>
              <w:rPr>
                <w:i/>
                <w:sz w:val="18"/>
              </w:rPr>
              <w:t>From Mobilization to Revolution</w:t>
            </w:r>
            <w:r>
              <w:rPr>
                <w:sz w:val="18"/>
              </w:rPr>
              <w:t xml:space="preserve"> (1978)</w:t>
            </w:r>
          </w:p>
        </w:tc>
        <w:tc>
          <w:tcPr>
            <w:tcW w:w="1134" w:type="dxa"/>
          </w:tcPr>
          <w:p w14:paraId="03458A3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189</w:t>
            </w:r>
          </w:p>
        </w:tc>
        <w:tc>
          <w:tcPr>
            <w:tcW w:w="1842" w:type="dxa"/>
          </w:tcPr>
          <w:p w14:paraId="1DD4FA0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1,406</w:t>
            </w:r>
          </w:p>
        </w:tc>
        <w:tc>
          <w:tcPr>
            <w:tcW w:w="2025" w:type="dxa"/>
          </w:tcPr>
          <w:p w14:paraId="0E88133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234</w:t>
            </w:r>
          </w:p>
        </w:tc>
      </w:tr>
      <w:tr w:rsidR="00970438" w14:paraId="3BE291AC"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47A67D18" w14:textId="77777777" w:rsidR="00970438" w:rsidRDefault="00000000">
            <w:pPr>
              <w:spacing w:after="40"/>
            </w:pPr>
            <w:r>
              <w:rPr>
                <w:sz w:val="18"/>
              </w:rPr>
              <w:t xml:space="preserve">Kao &amp; Lust, eds., </w:t>
            </w:r>
            <w:r>
              <w:rPr>
                <w:i/>
                <w:sz w:val="18"/>
              </w:rPr>
              <w:t>Decentralization, Local Governance, and Inequality</w:t>
            </w:r>
            <w:r>
              <w:rPr>
                <w:sz w:val="18"/>
              </w:rPr>
              <w:t xml:space="preserve"> (2025)</w:t>
            </w:r>
          </w:p>
        </w:tc>
        <w:tc>
          <w:tcPr>
            <w:tcW w:w="1134" w:type="dxa"/>
          </w:tcPr>
          <w:p w14:paraId="5919E30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183</w:t>
            </w:r>
          </w:p>
        </w:tc>
        <w:tc>
          <w:tcPr>
            <w:tcW w:w="1842" w:type="dxa"/>
          </w:tcPr>
          <w:p w14:paraId="512841B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2,112</w:t>
            </w:r>
          </w:p>
        </w:tc>
        <w:tc>
          <w:tcPr>
            <w:tcW w:w="2025" w:type="dxa"/>
          </w:tcPr>
          <w:p w14:paraId="106CE03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100</w:t>
            </w:r>
          </w:p>
        </w:tc>
      </w:tr>
      <w:tr w:rsidR="00970438" w14:paraId="4F1C1912"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7DFB3857" w14:textId="77777777" w:rsidR="00970438" w:rsidRDefault="00000000">
            <w:pPr>
              <w:spacing w:after="40"/>
            </w:pPr>
            <w:r>
              <w:rPr>
                <w:sz w:val="18"/>
              </w:rPr>
              <w:t xml:space="preserve">Wedeen, </w:t>
            </w:r>
            <w:r>
              <w:rPr>
                <w:i/>
                <w:sz w:val="18"/>
              </w:rPr>
              <w:t>Authoritarian Apprehensions</w:t>
            </w:r>
            <w:r>
              <w:rPr>
                <w:sz w:val="18"/>
              </w:rPr>
              <w:t xml:space="preserve"> (2019)</w:t>
            </w:r>
          </w:p>
        </w:tc>
        <w:tc>
          <w:tcPr>
            <w:tcW w:w="1134" w:type="dxa"/>
          </w:tcPr>
          <w:p w14:paraId="29AD5F0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166</w:t>
            </w:r>
          </w:p>
        </w:tc>
        <w:tc>
          <w:tcPr>
            <w:tcW w:w="1842" w:type="dxa"/>
          </w:tcPr>
          <w:p w14:paraId="7B23B8C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1,823</w:t>
            </w:r>
          </w:p>
        </w:tc>
        <w:tc>
          <w:tcPr>
            <w:tcW w:w="2025" w:type="dxa"/>
          </w:tcPr>
          <w:p w14:paraId="24759D3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179</w:t>
            </w:r>
          </w:p>
        </w:tc>
      </w:tr>
      <w:tr w:rsidR="00970438" w14:paraId="221198C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3FAB131" w14:textId="77777777" w:rsidR="00970438" w:rsidRDefault="00000000">
            <w:pPr>
              <w:spacing w:after="40"/>
            </w:pPr>
            <w:r>
              <w:rPr>
                <w:sz w:val="18"/>
              </w:rPr>
              <w:t xml:space="preserve">Zaum, </w:t>
            </w:r>
            <w:r>
              <w:rPr>
                <w:i/>
                <w:sz w:val="18"/>
              </w:rPr>
              <w:t>The Sovereignty Paradox</w:t>
            </w:r>
            <w:r>
              <w:rPr>
                <w:sz w:val="18"/>
              </w:rPr>
              <w:t xml:space="preserve"> (2007)</w:t>
            </w:r>
          </w:p>
        </w:tc>
        <w:tc>
          <w:tcPr>
            <w:tcW w:w="1134" w:type="dxa"/>
          </w:tcPr>
          <w:p w14:paraId="436C5C9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165</w:t>
            </w:r>
          </w:p>
        </w:tc>
        <w:tc>
          <w:tcPr>
            <w:tcW w:w="1842" w:type="dxa"/>
          </w:tcPr>
          <w:p w14:paraId="2F2A25F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1,864</w:t>
            </w:r>
          </w:p>
        </w:tc>
        <w:tc>
          <w:tcPr>
            <w:tcW w:w="2025" w:type="dxa"/>
          </w:tcPr>
          <w:p w14:paraId="7EFF454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130</w:t>
            </w:r>
          </w:p>
        </w:tc>
      </w:tr>
      <w:tr w:rsidR="00970438" w14:paraId="1BA6F017"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181DBD38" w14:textId="77777777" w:rsidR="00970438" w:rsidRDefault="00000000">
            <w:pPr>
              <w:spacing w:after="40"/>
            </w:pPr>
            <w:r>
              <w:rPr>
                <w:sz w:val="18"/>
              </w:rPr>
              <w:t xml:space="preserve">White, </w:t>
            </w:r>
            <w:r>
              <w:rPr>
                <w:i/>
                <w:sz w:val="18"/>
              </w:rPr>
              <w:t>The Emergence of Minorities in the Middle East</w:t>
            </w:r>
            <w:r>
              <w:rPr>
                <w:sz w:val="18"/>
              </w:rPr>
              <w:t xml:space="preserve"> (2011)</w:t>
            </w:r>
          </w:p>
        </w:tc>
        <w:tc>
          <w:tcPr>
            <w:tcW w:w="1134" w:type="dxa"/>
          </w:tcPr>
          <w:p w14:paraId="47F0BB0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160</w:t>
            </w:r>
          </w:p>
        </w:tc>
        <w:tc>
          <w:tcPr>
            <w:tcW w:w="1842" w:type="dxa"/>
          </w:tcPr>
          <w:p w14:paraId="7944B3E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1,475</w:t>
            </w:r>
          </w:p>
        </w:tc>
        <w:tc>
          <w:tcPr>
            <w:tcW w:w="2025" w:type="dxa"/>
          </w:tcPr>
          <w:p w14:paraId="5BB7222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103</w:t>
            </w:r>
          </w:p>
        </w:tc>
      </w:tr>
      <w:tr w:rsidR="00970438" w14:paraId="607C83F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E5570BA" w14:textId="77777777" w:rsidR="00970438" w:rsidRDefault="00000000">
            <w:pPr>
              <w:spacing w:after="40"/>
            </w:pPr>
            <w:r>
              <w:rPr>
                <w:sz w:val="18"/>
              </w:rPr>
              <w:t xml:space="preserve">Malešević &amp; Haugaard, eds., </w:t>
            </w:r>
            <w:r>
              <w:rPr>
                <w:i/>
                <w:sz w:val="18"/>
              </w:rPr>
              <w:t>Ernest Gellner and Contemporary Social Thought</w:t>
            </w:r>
            <w:r>
              <w:rPr>
                <w:sz w:val="18"/>
              </w:rPr>
              <w:t xml:space="preserve"> (2007)</w:t>
            </w:r>
          </w:p>
        </w:tc>
        <w:tc>
          <w:tcPr>
            <w:tcW w:w="1134" w:type="dxa"/>
          </w:tcPr>
          <w:p w14:paraId="5ED28F9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150</w:t>
            </w:r>
          </w:p>
        </w:tc>
        <w:tc>
          <w:tcPr>
            <w:tcW w:w="1842" w:type="dxa"/>
          </w:tcPr>
          <w:p w14:paraId="4EDCB0E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1,751</w:t>
            </w:r>
          </w:p>
        </w:tc>
        <w:tc>
          <w:tcPr>
            <w:tcW w:w="2025" w:type="dxa"/>
          </w:tcPr>
          <w:p w14:paraId="037CA96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304</w:t>
            </w:r>
          </w:p>
        </w:tc>
      </w:tr>
      <w:tr w:rsidR="00970438" w14:paraId="49F2214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23DEFAD0" w14:textId="77777777" w:rsidR="00970438" w:rsidRDefault="00000000">
            <w:pPr>
              <w:spacing w:after="40"/>
            </w:pPr>
            <w:r>
              <w:rPr>
                <w:sz w:val="18"/>
              </w:rPr>
              <w:t xml:space="preserve">Vignal, </w:t>
            </w:r>
            <w:r>
              <w:rPr>
                <w:i/>
                <w:sz w:val="18"/>
              </w:rPr>
              <w:t>War-Torn</w:t>
            </w:r>
            <w:r>
              <w:rPr>
                <w:sz w:val="18"/>
              </w:rPr>
              <w:t xml:space="preserve"> (2021)</w:t>
            </w:r>
          </w:p>
        </w:tc>
        <w:tc>
          <w:tcPr>
            <w:tcW w:w="1134" w:type="dxa"/>
          </w:tcPr>
          <w:p w14:paraId="3C48C8D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146</w:t>
            </w:r>
          </w:p>
        </w:tc>
        <w:tc>
          <w:tcPr>
            <w:tcW w:w="1842" w:type="dxa"/>
          </w:tcPr>
          <w:p w14:paraId="4F4EB52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1,419</w:t>
            </w:r>
          </w:p>
        </w:tc>
        <w:tc>
          <w:tcPr>
            <w:tcW w:w="2025" w:type="dxa"/>
          </w:tcPr>
          <w:p w14:paraId="198978F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104</w:t>
            </w:r>
          </w:p>
        </w:tc>
      </w:tr>
      <w:tr w:rsidR="00970438" w14:paraId="3301FF9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8F36533" w14:textId="77777777" w:rsidR="00970438" w:rsidRDefault="00000000">
            <w:pPr>
              <w:spacing w:after="40"/>
            </w:pPr>
            <w:r>
              <w:rPr>
                <w:sz w:val="18"/>
              </w:rPr>
              <w:t xml:space="preserve">Jackson, </w:t>
            </w:r>
            <w:r>
              <w:rPr>
                <w:i/>
                <w:sz w:val="18"/>
              </w:rPr>
              <w:t>Quasi-States</w:t>
            </w:r>
            <w:r>
              <w:rPr>
                <w:sz w:val="18"/>
              </w:rPr>
              <w:t xml:space="preserve"> (1990)</w:t>
            </w:r>
          </w:p>
        </w:tc>
        <w:tc>
          <w:tcPr>
            <w:tcW w:w="1134" w:type="dxa"/>
          </w:tcPr>
          <w:p w14:paraId="5C7E4F8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132</w:t>
            </w:r>
          </w:p>
        </w:tc>
        <w:tc>
          <w:tcPr>
            <w:tcW w:w="1842" w:type="dxa"/>
          </w:tcPr>
          <w:p w14:paraId="74BD235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1,463</w:t>
            </w:r>
          </w:p>
        </w:tc>
        <w:tc>
          <w:tcPr>
            <w:tcW w:w="2025" w:type="dxa"/>
          </w:tcPr>
          <w:p w14:paraId="170196C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181</w:t>
            </w:r>
          </w:p>
        </w:tc>
      </w:tr>
      <w:tr w:rsidR="00970438" w14:paraId="3DCBE58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EB6757A" w14:textId="77777777" w:rsidR="00970438" w:rsidRDefault="00000000">
            <w:pPr>
              <w:spacing w:after="40"/>
            </w:pPr>
            <w:r>
              <w:rPr>
                <w:sz w:val="18"/>
              </w:rPr>
              <w:lastRenderedPageBreak/>
              <w:t xml:space="preserve">Chouliaraki, </w:t>
            </w:r>
            <w:r>
              <w:rPr>
                <w:i/>
                <w:sz w:val="18"/>
              </w:rPr>
              <w:t>Wronged</w:t>
            </w:r>
            <w:r>
              <w:rPr>
                <w:sz w:val="18"/>
              </w:rPr>
              <w:t xml:space="preserve"> (2024)</w:t>
            </w:r>
          </w:p>
        </w:tc>
        <w:tc>
          <w:tcPr>
            <w:tcW w:w="1134" w:type="dxa"/>
          </w:tcPr>
          <w:p w14:paraId="68C5C9A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127</w:t>
            </w:r>
          </w:p>
        </w:tc>
        <w:tc>
          <w:tcPr>
            <w:tcW w:w="1842" w:type="dxa"/>
          </w:tcPr>
          <w:p w14:paraId="06D6AB2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1,742</w:t>
            </w:r>
          </w:p>
        </w:tc>
        <w:tc>
          <w:tcPr>
            <w:tcW w:w="2025" w:type="dxa"/>
          </w:tcPr>
          <w:p w14:paraId="747168B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136</w:t>
            </w:r>
          </w:p>
        </w:tc>
      </w:tr>
      <w:tr w:rsidR="00970438" w14:paraId="0077E19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230BE1C" w14:textId="77777777" w:rsidR="00970438" w:rsidRDefault="00000000">
            <w:pPr>
              <w:spacing w:after="40"/>
            </w:pPr>
            <w:r>
              <w:rPr>
                <w:sz w:val="18"/>
              </w:rPr>
              <w:t xml:space="preserve">Bayat, </w:t>
            </w:r>
            <w:r>
              <w:rPr>
                <w:i/>
                <w:sz w:val="18"/>
              </w:rPr>
              <w:t>Revolution without Revolutionaries</w:t>
            </w:r>
            <w:r>
              <w:rPr>
                <w:sz w:val="18"/>
              </w:rPr>
              <w:t xml:space="preserve"> (2017)</w:t>
            </w:r>
          </w:p>
        </w:tc>
        <w:tc>
          <w:tcPr>
            <w:tcW w:w="1134" w:type="dxa"/>
          </w:tcPr>
          <w:p w14:paraId="32FA2B1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122</w:t>
            </w:r>
          </w:p>
        </w:tc>
        <w:tc>
          <w:tcPr>
            <w:tcW w:w="1842" w:type="dxa"/>
          </w:tcPr>
          <w:p w14:paraId="4254C37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1,924</w:t>
            </w:r>
          </w:p>
        </w:tc>
        <w:tc>
          <w:tcPr>
            <w:tcW w:w="2025" w:type="dxa"/>
          </w:tcPr>
          <w:p w14:paraId="48DA799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192</w:t>
            </w:r>
          </w:p>
        </w:tc>
      </w:tr>
      <w:tr w:rsidR="00970438" w14:paraId="1D5844B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12160CC4" w14:textId="77777777" w:rsidR="00970438" w:rsidRDefault="00000000">
            <w:pPr>
              <w:spacing w:after="40"/>
            </w:pPr>
            <w:r>
              <w:rPr>
                <w:sz w:val="18"/>
              </w:rPr>
              <w:t xml:space="preserve">Elcheroth &amp; Reicher, </w:t>
            </w:r>
            <w:r>
              <w:rPr>
                <w:i/>
                <w:sz w:val="18"/>
              </w:rPr>
              <w:t>Identity, Violence and Power</w:t>
            </w:r>
            <w:r>
              <w:rPr>
                <w:sz w:val="18"/>
              </w:rPr>
              <w:t xml:space="preserve"> (2017)</w:t>
            </w:r>
          </w:p>
        </w:tc>
        <w:tc>
          <w:tcPr>
            <w:tcW w:w="1134" w:type="dxa"/>
          </w:tcPr>
          <w:p w14:paraId="72F4637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120</w:t>
            </w:r>
          </w:p>
        </w:tc>
        <w:tc>
          <w:tcPr>
            <w:tcW w:w="1842" w:type="dxa"/>
          </w:tcPr>
          <w:p w14:paraId="2497B9C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981</w:t>
            </w:r>
          </w:p>
        </w:tc>
        <w:tc>
          <w:tcPr>
            <w:tcW w:w="2025" w:type="dxa"/>
          </w:tcPr>
          <w:p w14:paraId="6BBF1A1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87</w:t>
            </w:r>
          </w:p>
        </w:tc>
      </w:tr>
      <w:tr w:rsidR="00970438" w14:paraId="49E8DFB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E51C79F" w14:textId="77777777" w:rsidR="00970438" w:rsidRDefault="00000000">
            <w:pPr>
              <w:spacing w:after="40"/>
            </w:pPr>
            <w:r>
              <w:rPr>
                <w:sz w:val="18"/>
              </w:rPr>
              <w:t xml:space="preserve">Caspersen, </w:t>
            </w:r>
            <w:r>
              <w:rPr>
                <w:i/>
                <w:sz w:val="18"/>
              </w:rPr>
              <w:t>Unrecognized States</w:t>
            </w:r>
            <w:r>
              <w:rPr>
                <w:sz w:val="18"/>
              </w:rPr>
              <w:t xml:space="preserve"> (2012)</w:t>
            </w:r>
          </w:p>
        </w:tc>
        <w:tc>
          <w:tcPr>
            <w:tcW w:w="1134" w:type="dxa"/>
          </w:tcPr>
          <w:p w14:paraId="02640B1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115</w:t>
            </w:r>
          </w:p>
        </w:tc>
        <w:tc>
          <w:tcPr>
            <w:tcW w:w="1842" w:type="dxa"/>
          </w:tcPr>
          <w:p w14:paraId="530AFDA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1,338</w:t>
            </w:r>
          </w:p>
        </w:tc>
        <w:tc>
          <w:tcPr>
            <w:tcW w:w="2025" w:type="dxa"/>
          </w:tcPr>
          <w:p w14:paraId="67B29AC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84</w:t>
            </w:r>
          </w:p>
        </w:tc>
      </w:tr>
      <w:tr w:rsidR="00970438" w14:paraId="307A019E"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5DA7EDE" w14:textId="77777777" w:rsidR="00970438" w:rsidRDefault="00000000">
            <w:pPr>
              <w:spacing w:after="40"/>
            </w:pPr>
            <w:r>
              <w:rPr>
                <w:sz w:val="18"/>
              </w:rPr>
              <w:t xml:space="preserve">Gould, </w:t>
            </w:r>
            <w:r>
              <w:rPr>
                <w:i/>
                <w:sz w:val="18"/>
              </w:rPr>
              <w:t>Collision of Wills</w:t>
            </w:r>
            <w:r>
              <w:rPr>
                <w:sz w:val="18"/>
              </w:rPr>
              <w:t xml:space="preserve"> (2003)</w:t>
            </w:r>
          </w:p>
        </w:tc>
        <w:tc>
          <w:tcPr>
            <w:tcW w:w="1134" w:type="dxa"/>
          </w:tcPr>
          <w:p w14:paraId="2A41BDE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109</w:t>
            </w:r>
          </w:p>
        </w:tc>
        <w:tc>
          <w:tcPr>
            <w:tcW w:w="1842" w:type="dxa"/>
          </w:tcPr>
          <w:p w14:paraId="371F03B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658</w:t>
            </w:r>
          </w:p>
        </w:tc>
        <w:tc>
          <w:tcPr>
            <w:tcW w:w="2025" w:type="dxa"/>
          </w:tcPr>
          <w:p w14:paraId="3BDD365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73</w:t>
            </w:r>
          </w:p>
        </w:tc>
      </w:tr>
      <w:tr w:rsidR="00970438" w14:paraId="29D7A52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39CE0B7" w14:textId="77777777" w:rsidR="00970438" w:rsidRDefault="00000000">
            <w:pPr>
              <w:spacing w:after="40"/>
            </w:pPr>
            <w:r>
              <w:rPr>
                <w:sz w:val="18"/>
              </w:rPr>
              <w:t xml:space="preserve">Üngör, </w:t>
            </w:r>
            <w:r>
              <w:rPr>
                <w:i/>
                <w:sz w:val="18"/>
              </w:rPr>
              <w:t>Paramilitarism</w:t>
            </w:r>
            <w:r>
              <w:rPr>
                <w:sz w:val="18"/>
              </w:rPr>
              <w:t xml:space="preserve"> (2020)</w:t>
            </w:r>
          </w:p>
        </w:tc>
        <w:tc>
          <w:tcPr>
            <w:tcW w:w="1134" w:type="dxa"/>
          </w:tcPr>
          <w:p w14:paraId="4465AFE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92</w:t>
            </w:r>
          </w:p>
        </w:tc>
        <w:tc>
          <w:tcPr>
            <w:tcW w:w="1842" w:type="dxa"/>
          </w:tcPr>
          <w:p w14:paraId="0C1A58E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1,355</w:t>
            </w:r>
          </w:p>
        </w:tc>
        <w:tc>
          <w:tcPr>
            <w:tcW w:w="2025" w:type="dxa"/>
          </w:tcPr>
          <w:p w14:paraId="69D19F4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88</w:t>
            </w:r>
          </w:p>
        </w:tc>
      </w:tr>
      <w:tr w:rsidR="00970438" w14:paraId="2542741E"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0E7C4E0" w14:textId="77777777" w:rsidR="00970438" w:rsidRDefault="00000000">
            <w:pPr>
              <w:spacing w:after="40"/>
            </w:pPr>
            <w:r>
              <w:rPr>
                <w:sz w:val="18"/>
              </w:rPr>
              <w:t xml:space="preserve">Smith, </w:t>
            </w:r>
            <w:r>
              <w:rPr>
                <w:i/>
                <w:sz w:val="18"/>
              </w:rPr>
              <w:t>Ethno-symbolism and Nationalism</w:t>
            </w:r>
            <w:r>
              <w:rPr>
                <w:sz w:val="18"/>
              </w:rPr>
              <w:t xml:space="preserve"> (2009)</w:t>
            </w:r>
          </w:p>
        </w:tc>
        <w:tc>
          <w:tcPr>
            <w:tcW w:w="1134" w:type="dxa"/>
          </w:tcPr>
          <w:p w14:paraId="66789AF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84</w:t>
            </w:r>
          </w:p>
        </w:tc>
        <w:tc>
          <w:tcPr>
            <w:tcW w:w="1842" w:type="dxa"/>
          </w:tcPr>
          <w:p w14:paraId="3BDCFA0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1,292</w:t>
            </w:r>
          </w:p>
        </w:tc>
        <w:tc>
          <w:tcPr>
            <w:tcW w:w="2025" w:type="dxa"/>
          </w:tcPr>
          <w:p w14:paraId="2770964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146</w:t>
            </w:r>
          </w:p>
        </w:tc>
      </w:tr>
      <w:tr w:rsidR="00970438" w14:paraId="3E64EFC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016D7792" w14:textId="77777777" w:rsidR="00970438" w:rsidRDefault="00000000">
            <w:pPr>
              <w:spacing w:after="40"/>
            </w:pPr>
            <w:r>
              <w:rPr>
                <w:sz w:val="18"/>
              </w:rPr>
              <w:t xml:space="preserve">Agamben, </w:t>
            </w:r>
            <w:r>
              <w:rPr>
                <w:i/>
                <w:sz w:val="18"/>
              </w:rPr>
              <w:t>State of Exception</w:t>
            </w:r>
            <w:r>
              <w:rPr>
                <w:sz w:val="18"/>
              </w:rPr>
              <w:t xml:space="preserve"> (2005)</w:t>
            </w:r>
          </w:p>
        </w:tc>
        <w:tc>
          <w:tcPr>
            <w:tcW w:w="1134" w:type="dxa"/>
          </w:tcPr>
          <w:p w14:paraId="5F90D94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53</w:t>
            </w:r>
          </w:p>
        </w:tc>
        <w:tc>
          <w:tcPr>
            <w:tcW w:w="1842" w:type="dxa"/>
          </w:tcPr>
          <w:p w14:paraId="52EB7BD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624</w:t>
            </w:r>
          </w:p>
        </w:tc>
        <w:tc>
          <w:tcPr>
            <w:tcW w:w="2025" w:type="dxa"/>
          </w:tcPr>
          <w:p w14:paraId="2EF9C0C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188</w:t>
            </w:r>
          </w:p>
        </w:tc>
      </w:tr>
      <w:tr w:rsidR="00970438" w14:paraId="46AC2FCA"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414E7CB4" w14:textId="77777777" w:rsidR="00970438" w:rsidRDefault="00000000">
            <w:pPr>
              <w:spacing w:after="40"/>
            </w:pPr>
            <w:r>
              <w:rPr>
                <w:sz w:val="18"/>
              </w:rPr>
              <w:t xml:space="preserve">Kandiah, </w:t>
            </w:r>
            <w:r>
              <w:rPr>
                <w:i/>
                <w:sz w:val="18"/>
              </w:rPr>
              <w:t>State Legitimacy and Capacity in the Syrian Conflict</w:t>
            </w:r>
            <w:r>
              <w:rPr>
                <w:sz w:val="18"/>
              </w:rPr>
              <w:t xml:space="preserve"> (2018)&lt;br/&gt;</w:t>
            </w:r>
            <w:r>
              <w:rPr>
                <w:i/>
                <w:sz w:val="18"/>
              </w:rPr>
              <w:t>master's research paper</w:t>
            </w:r>
          </w:p>
        </w:tc>
        <w:tc>
          <w:tcPr>
            <w:tcW w:w="1134" w:type="dxa"/>
          </w:tcPr>
          <w:p w14:paraId="7B12EB1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29</w:t>
            </w:r>
          </w:p>
        </w:tc>
        <w:tc>
          <w:tcPr>
            <w:tcW w:w="1842" w:type="dxa"/>
          </w:tcPr>
          <w:p w14:paraId="1FD0D7A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223</w:t>
            </w:r>
          </w:p>
        </w:tc>
        <w:tc>
          <w:tcPr>
            <w:tcW w:w="2025" w:type="dxa"/>
          </w:tcPr>
          <w:p w14:paraId="29EEBBE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w:t>
            </w:r>
          </w:p>
        </w:tc>
      </w:tr>
      <w:tr w:rsidR="00970438" w14:paraId="0B1BC4B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6B2372B" w14:textId="77777777" w:rsidR="00970438" w:rsidRDefault="00000000">
            <w:pPr>
              <w:spacing w:after="40"/>
            </w:pPr>
            <w:r>
              <w:rPr>
                <w:sz w:val="18"/>
              </w:rPr>
              <w:t>Malešević, 'Do Civil Wars Make or Break States?' (2026)&lt;br/&gt;</w:t>
            </w:r>
            <w:r>
              <w:rPr>
                <w:i/>
                <w:sz w:val="18"/>
              </w:rPr>
              <w:t>journal article</w:t>
            </w:r>
          </w:p>
        </w:tc>
        <w:tc>
          <w:tcPr>
            <w:tcW w:w="1134" w:type="dxa"/>
          </w:tcPr>
          <w:p w14:paraId="0DFB3DD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w:t>
            </w:r>
          </w:p>
        </w:tc>
        <w:tc>
          <w:tcPr>
            <w:tcW w:w="1842" w:type="dxa"/>
          </w:tcPr>
          <w:p w14:paraId="7A805D6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336</w:t>
            </w:r>
          </w:p>
        </w:tc>
        <w:tc>
          <w:tcPr>
            <w:tcW w:w="2025" w:type="dxa"/>
          </w:tcPr>
          <w:p w14:paraId="298C6C1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15</w:t>
            </w:r>
          </w:p>
        </w:tc>
      </w:tr>
      <w:tr w:rsidR="00970438" w14:paraId="249CEFB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43574F57" w14:textId="77777777" w:rsidR="00970438" w:rsidRDefault="00000000">
            <w:pPr>
              <w:spacing w:after="40"/>
            </w:pPr>
            <w:r>
              <w:rPr>
                <w:sz w:val="18"/>
              </w:rPr>
              <w:t>35 sources</w:t>
            </w:r>
          </w:p>
        </w:tc>
        <w:tc>
          <w:tcPr>
            <w:tcW w:w="1134" w:type="dxa"/>
          </w:tcPr>
          <w:p w14:paraId="078B9DC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b/>
                <w:sz w:val="18"/>
              </w:rPr>
              <w:t>6,842</w:t>
            </w:r>
          </w:p>
        </w:tc>
        <w:tc>
          <w:tcPr>
            <w:tcW w:w="1842" w:type="dxa"/>
          </w:tcPr>
          <w:p w14:paraId="1231186A" w14:textId="77777777" w:rsidR="00970438" w:rsidRDefault="00970438">
            <w:pPr>
              <w:spacing w:after="40"/>
              <w:cnfStyle w:val="000000010000" w:firstRow="0" w:lastRow="0" w:firstColumn="0" w:lastColumn="0" w:oddVBand="0" w:evenVBand="0" w:oddHBand="0" w:evenHBand="1" w:firstRowFirstColumn="0" w:firstRowLastColumn="0" w:lastRowFirstColumn="0" w:lastRowLastColumn="0"/>
            </w:pPr>
          </w:p>
        </w:tc>
        <w:tc>
          <w:tcPr>
            <w:tcW w:w="2025" w:type="dxa"/>
          </w:tcPr>
          <w:p w14:paraId="00825FAC" w14:textId="77777777" w:rsidR="00970438" w:rsidRDefault="00970438">
            <w:pPr>
              <w:spacing w:after="40"/>
              <w:cnfStyle w:val="000000010000" w:firstRow="0" w:lastRow="0" w:firstColumn="0" w:lastColumn="0" w:oddVBand="0" w:evenVBand="0" w:oddHBand="0" w:evenHBand="1" w:firstRowFirstColumn="0" w:firstRowLastColumn="0" w:lastRowFirstColumn="0" w:lastRowLastColumn="0"/>
            </w:pPr>
          </w:p>
        </w:tc>
      </w:tr>
    </w:tbl>
    <w:p w14:paraId="33A471EF" w14:textId="77777777" w:rsidR="00970438" w:rsidRDefault="00970438"/>
    <w:p w14:paraId="46B39CE0" w14:textId="77777777" w:rsidR="00970438" w:rsidRDefault="00000000" w:rsidP="009C625C">
      <w:pPr>
        <w:jc w:val="both"/>
      </w:pPr>
      <w:r>
        <w:t xml:space="preserve">The full bibliography, with publishers, editions, translation notes and per-file provenance caveats, is in </w:t>
      </w:r>
      <w:r>
        <w:rPr>
          <w:rFonts w:ascii="Consolas" w:hAnsi="Consolas"/>
          <w:sz w:val="18"/>
        </w:rPr>
        <w:t>docs/corpus-bibliography.md</w:t>
      </w:r>
      <w:r>
        <w:t>.</w:t>
      </w:r>
    </w:p>
    <w:p w14:paraId="739624A9" w14:textId="77777777" w:rsidR="00970438" w:rsidRDefault="00000000" w:rsidP="009C625C">
      <w:pPr>
        <w:jc w:val="both"/>
      </w:pPr>
      <w:r>
        <w:rPr>
          <w:b/>
        </w:rPr>
        <w:t>Two entries are small enough to question.</w:t>
      </w:r>
      <w:r>
        <w:t xml:space="preserve"> Kandiah 2018 and Malešević 2026 are a master's research paper and a journal article rather than books, and both are close to invisible in the index. Gould 2003 now joins them at the thin end.</w:t>
      </w:r>
    </w:p>
    <w:p w14:paraId="62096379" w14:textId="77777777" w:rsidR="00970438" w:rsidRDefault="00000000" w:rsidP="009C625C">
      <w:pPr>
        <w:jc w:val="both"/>
      </w:pPr>
      <w:r>
        <w:rPr>
          <w:b/>
        </w:rPr>
        <w:t>The metadata warning is not hypothetical.</w:t>
      </w:r>
      <w:r>
        <w:t xml:space="preserve"> The Heydemann </w:t>
      </w:r>
      <w:r>
        <w:rPr>
          <w:i/>
        </w:rPr>
        <w:t>War, Institutions, and Social Change</w:t>
      </w:r>
      <w:r>
        <w:t xml:space="preserve"> file carries embedded metadata attributing it to Michael Hanby's </w:t>
      </w:r>
      <w:r>
        <w:rPr>
          <w:i/>
        </w:rPr>
        <w:t>Augustine and Modernity</w:t>
      </w:r>
      <w:r>
        <w:t>, a different book entirely. Two further files carry a placeholder author or a scanning-tool title. Embedded metadata alone is not a safe basis for citation, which is why it is cross-checked against the title page and why unconfirmed fields stay marked.</w:t>
      </w:r>
    </w:p>
    <w:p w14:paraId="1D3A115F" w14:textId="77777777" w:rsidR="00970438" w:rsidRDefault="00000000" w:rsidP="009C625C">
      <w:pPr>
        <w:jc w:val="both"/>
      </w:pPr>
      <w:r>
        <w:rPr>
          <w:b/>
        </w:rPr>
        <w:t>Copyright.</w:t>
      </w:r>
      <w:r>
        <w:t xml:space="preserve"> No source text is committed to the repository. Every derived artifact that carries verbatim passages — the passage records, the name pages, the reviewer packets — lives outside version control for that reason, and reviewer packets are assembled at run time and never written into the repository.</w:t>
      </w:r>
    </w:p>
    <w:p w14:paraId="594E4EC5" w14:textId="77777777" w:rsidR="00D06213" w:rsidRPr="00D06213" w:rsidRDefault="00D06213" w:rsidP="00D06213">
      <w:pPr>
        <w:rPr>
          <w:rFonts w:cs="Calibri"/>
          <w:color w:val="000000"/>
        </w:rPr>
      </w:pPr>
      <w:r w:rsidRPr="00D06213">
        <w:rPr>
          <w:rFonts w:cs="Calibri"/>
          <w:color w:val="000000"/>
        </w:rPr>
        <w:br w:type="page"/>
      </w:r>
    </w:p>
    <w:p w14:paraId="57B91904" w14:textId="10CB10C0" w:rsidR="00970438" w:rsidRDefault="00000000" w:rsidP="009C625C">
      <w:pPr>
        <w:pStyle w:val="Heading2"/>
        <w:jc w:val="both"/>
      </w:pPr>
      <w:bookmarkStart w:id="48" w:name="_Toc236945274"/>
      <w:bookmarkStart w:id="49" w:name="appD"/>
      <w:bookmarkEnd w:id="49"/>
      <w:r>
        <w:lastRenderedPageBreak/>
        <w:t>Appendix D — The first paper, and the questions behind it</w:t>
      </w:r>
      <w:bookmarkEnd w:id="48"/>
    </w:p>
    <w:p w14:paraId="73018E6F" w14:textId="77777777" w:rsidR="00970438" w:rsidRDefault="00000000" w:rsidP="009C625C">
      <w:pPr>
        <w:pStyle w:val="Heading3"/>
        <w:jc w:val="both"/>
      </w:pPr>
      <w:bookmarkStart w:id="50" w:name="_Toc236945275"/>
      <w:r>
        <w:t>The paper brief</w:t>
      </w:r>
      <w:bookmarkEnd w:id="50"/>
    </w:p>
    <w:p w14:paraId="1DC22C51" w14:textId="77777777" w:rsidR="00970438" w:rsidRDefault="00000000" w:rsidP="009C625C">
      <w:pPr>
        <w:jc w:val="both"/>
      </w:pPr>
      <w:r>
        <w:rPr>
          <w:b/>
        </w:rPr>
        <w:t>Title.</w:t>
      </w:r>
      <w:r>
        <w:t xml:space="preserve"> Privilege and the Contracted-Out Militia</w:t>
      </w:r>
    </w:p>
    <w:p w14:paraId="3D2AD9CC" w14:textId="77777777" w:rsidR="00970438" w:rsidRDefault="00000000" w:rsidP="009C625C">
      <w:pPr>
        <w:jc w:val="both"/>
      </w:pPr>
      <w:r>
        <w:rPr>
          <w:b/>
        </w:rPr>
        <w:t>Organising question (the `thesis` field).</w:t>
      </w:r>
      <w:r>
        <w:t xml:space="preserve"> The Syrian regime's survival and its violence are usually explained by different mechanisms, and they should not be. If networks of privilege are what institutionalised the state, then contracting coercion out to militias is not a departure from that arrangement but its continuation by other means.</w:t>
      </w:r>
    </w:p>
    <w:p w14:paraId="2FF22DB1" w14:textId="77777777" w:rsidR="00970438" w:rsidRDefault="00000000" w:rsidP="009C625C">
      <w:pPr>
        <w:jc w:val="both"/>
      </w:pPr>
      <w:r>
        <w:rPr>
          <w:b/>
        </w:rPr>
        <w:t>Lens.</w:t>
      </w:r>
      <w:r>
        <w:t xml:space="preserve"> political-economy</w:t>
      </w:r>
    </w:p>
    <w:p w14:paraId="78CFBD2F" w14:textId="77777777" w:rsidR="00970438" w:rsidRDefault="00000000" w:rsidP="009C625C">
      <w:pPr>
        <w:jc w:val="both"/>
      </w:pPr>
      <w:r>
        <w:rPr>
          <w:b/>
        </w:rPr>
        <w:t>Built from 2 prior analysis records.</w:t>
      </w:r>
      <w:r>
        <w:t xml:space="preserve"> The drafter never sees the library. It sees only the claims those records produced, and it cannot fetch anything else.</w:t>
      </w:r>
    </w:p>
    <w:p w14:paraId="5499A4C4" w14:textId="77777777" w:rsidR="00970438" w:rsidRDefault="00000000" w:rsidP="009C625C">
      <w:pPr>
        <w:pStyle w:val="Heading3"/>
        <w:jc w:val="both"/>
      </w:pPr>
      <w:bookmarkStart w:id="51" w:name="_Toc236945276"/>
      <w:r>
        <w:t>The research questions those records answered</w:t>
      </w:r>
      <w:bookmarkEnd w:id="51"/>
    </w:p>
    <w:p w14:paraId="2552D43D" w14:textId="77777777" w:rsidR="00970438" w:rsidRDefault="00000000" w:rsidP="009C625C">
      <w:pPr>
        <w:jc w:val="both"/>
      </w:pPr>
      <w:r>
        <w:t>These are the questions put to Axial, verbatim. Each was answered on its own, with its own retrieval, its own counter-position and its own checks, before the paper was planned.</w:t>
      </w:r>
    </w:p>
    <w:p w14:paraId="75A4E440" w14:textId="77777777" w:rsidR="00970438" w:rsidRDefault="00000000" w:rsidP="009C625C">
      <w:pPr>
        <w:jc w:val="both"/>
      </w:pPr>
      <w:r>
        <w:rPr>
          <w:b/>
        </w:rPr>
        <w:t>Question 1</w:t>
      </w:r>
      <w:r>
        <w:t xml:space="preserve"> — </w:t>
      </w:r>
      <w:r>
        <w:rPr>
          <w:rFonts w:ascii="Consolas" w:hAnsi="Consolas"/>
          <w:sz w:val="18"/>
        </w:rPr>
        <w:t>124f7ba6ff8927c7</w:t>
      </w:r>
    </w:p>
    <w:p w14:paraId="51D55F03" w14:textId="77777777" w:rsidR="00970438" w:rsidRDefault="00000000" w:rsidP="009C625C">
      <w:pPr>
        <w:spacing w:before="80"/>
        <w:ind w:left="432"/>
        <w:jc w:val="both"/>
      </w:pPr>
      <w:r>
        <w:rPr>
          <w:b/>
          <w:i/>
        </w:rPr>
        <w:t>Case.</w:t>
      </w:r>
      <w:r>
        <w:rPr>
          <w:i/>
        </w:rPr>
        <w:t xml:space="preserve"> Syria, 2000–2011</w:t>
      </w:r>
    </w:p>
    <w:p w14:paraId="01AAE85C" w14:textId="77777777" w:rsidR="00970438" w:rsidRDefault="00000000" w:rsidP="009C625C">
      <w:pPr>
        <w:jc w:val="both"/>
      </w:pPr>
      <w:r>
        <w:t>&gt;</w:t>
      </w:r>
    </w:p>
    <w:p w14:paraId="14A0C4FA" w14:textId="77777777" w:rsidR="00970438" w:rsidRDefault="00000000" w:rsidP="009C625C">
      <w:pPr>
        <w:spacing w:before="80"/>
        <w:ind w:left="432"/>
        <w:jc w:val="both"/>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14:paraId="76B15D19" w14:textId="77777777" w:rsidR="00970438" w:rsidRDefault="00000000" w:rsidP="009C625C">
      <w:pPr>
        <w:jc w:val="both"/>
      </w:pPr>
      <w:r>
        <w:rPr>
          <w:b/>
        </w:rPr>
        <w:t>Question 2</w:t>
      </w:r>
      <w:r>
        <w:t xml:space="preserve"> — </w:t>
      </w:r>
      <w:r>
        <w:rPr>
          <w:rFonts w:ascii="Consolas" w:hAnsi="Consolas"/>
          <w:sz w:val="18"/>
        </w:rPr>
        <w:t>47f316f6fb04bba7</w:t>
      </w:r>
    </w:p>
    <w:p w14:paraId="0D4D745B" w14:textId="77777777" w:rsidR="00970438" w:rsidRDefault="00000000" w:rsidP="009C625C">
      <w:pPr>
        <w:spacing w:before="80"/>
        <w:ind w:left="432"/>
        <w:jc w:val="both"/>
      </w:pPr>
      <w:r>
        <w:rPr>
          <w:b/>
          <w:i/>
        </w:rPr>
        <w:t>Case.</w:t>
      </w:r>
      <w:r>
        <w:rPr>
          <w:i/>
        </w:rPr>
        <w:t xml:space="preserve"> Syria, 2011-2024</w:t>
      </w:r>
    </w:p>
    <w:p w14:paraId="6F758CAA" w14:textId="77777777" w:rsidR="00970438" w:rsidRDefault="00000000" w:rsidP="009C625C">
      <w:pPr>
        <w:jc w:val="both"/>
      </w:pPr>
      <w:r>
        <w:t>&gt;</w:t>
      </w:r>
    </w:p>
    <w:p w14:paraId="0BA24C26" w14:textId="77777777" w:rsidR="00970438" w:rsidRDefault="00000000" w:rsidP="009C625C">
      <w:pPr>
        <w:spacing w:before="80"/>
        <w:ind w:left="432"/>
        <w:jc w:val="both"/>
      </w:pPr>
      <w:r>
        <w:rPr>
          <w:b/>
          <w:i/>
        </w:rPr>
        <w:t>Request.</w:t>
      </w:r>
      <w:r>
        <w:rPr>
          <w:i/>
        </w:rPr>
        <w:t xml:space="preserve"> How does the deliberate, state-sponsored paramilitarization of the Syrian conflict (Ungor) challenge Tilly's coercive-extraction cycle? Specifically, how does reliance on external geopolitical rents and non-state militias circumvent the necessity for domestic taxation and bureaucratic rationalization, thereby causing the war-making apparatus to actively hollow out infrastructural power rather than consolidate it (Malesevic, Mann)?</w:t>
      </w:r>
    </w:p>
    <w:p w14:paraId="6C5000FA" w14:textId="77777777" w:rsidR="00970438" w:rsidRDefault="00000000">
      <w:pPr>
        <w:pStyle w:val="Heading3"/>
      </w:pPr>
      <w:bookmarkStart w:id="52" w:name="_Toc236945277"/>
      <w:r>
        <w:t>What the paper came out as</w:t>
      </w:r>
      <w:bookmarkEnd w:id="52"/>
    </w:p>
    <w:tbl>
      <w:tblPr>
        <w:tblStyle w:val="LightGrid-Accent1"/>
        <w:tblW w:w="0" w:type="auto"/>
        <w:tblLook w:val="04A0" w:firstRow="1" w:lastRow="0" w:firstColumn="1" w:lastColumn="0" w:noHBand="0" w:noVBand="1"/>
      </w:tblPr>
      <w:tblGrid>
        <w:gridCol w:w="4752"/>
        <w:gridCol w:w="4752"/>
      </w:tblGrid>
      <w:tr w:rsidR="00970438" w14:paraId="55EA00F0"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4427958" w14:textId="77777777" w:rsidR="00970438" w:rsidRDefault="00000000">
            <w:pPr>
              <w:spacing w:after="40"/>
            </w:pPr>
            <w:r>
              <w:rPr>
                <w:sz w:val="18"/>
              </w:rPr>
              <w:t>What was counted</w:t>
            </w:r>
          </w:p>
        </w:tc>
        <w:tc>
          <w:tcPr>
            <w:tcW w:w="4752" w:type="dxa"/>
          </w:tcPr>
          <w:p w14:paraId="15360EFF"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count</w:t>
            </w:r>
          </w:p>
        </w:tc>
      </w:tr>
      <w:tr w:rsidR="00970438" w14:paraId="6C045665"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D32C8CA" w14:textId="77777777" w:rsidR="00970438" w:rsidRDefault="00000000">
            <w:pPr>
              <w:spacing w:after="40"/>
            </w:pPr>
            <w:r>
              <w:rPr>
                <w:sz w:val="18"/>
              </w:rPr>
              <w:t>Claims</w:t>
            </w:r>
          </w:p>
        </w:tc>
        <w:tc>
          <w:tcPr>
            <w:tcW w:w="4752" w:type="dxa"/>
          </w:tcPr>
          <w:p w14:paraId="704D997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39</w:t>
            </w:r>
          </w:p>
        </w:tc>
      </w:tr>
      <w:tr w:rsidR="00970438" w14:paraId="1303269E"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D735281" w14:textId="77777777" w:rsidR="00970438" w:rsidRDefault="00000000">
            <w:pPr>
              <w:spacing w:after="40"/>
            </w:pPr>
            <w:r>
              <w:rPr>
                <w:sz w:val="18"/>
              </w:rPr>
              <w:t>By kind</w:t>
            </w:r>
          </w:p>
        </w:tc>
        <w:tc>
          <w:tcPr>
            <w:tcW w:w="4752" w:type="dxa"/>
          </w:tcPr>
          <w:p w14:paraId="4C311BC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20, (b) 12, (c) 7</w:t>
            </w:r>
          </w:p>
        </w:tc>
      </w:tr>
      <w:tr w:rsidR="00970438" w14:paraId="7A35CE9E"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AED2AE6" w14:textId="77777777" w:rsidR="00970438" w:rsidRDefault="00000000">
            <w:pPr>
              <w:spacing w:after="40"/>
            </w:pPr>
            <w:r>
              <w:rPr>
                <w:sz w:val="18"/>
              </w:rPr>
              <w:t>Made by the paper itself, not carried from a record</w:t>
            </w:r>
          </w:p>
        </w:tc>
        <w:tc>
          <w:tcPr>
            <w:tcW w:w="4752" w:type="dxa"/>
          </w:tcPr>
          <w:p w14:paraId="7793BFE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w:t>
            </w:r>
          </w:p>
        </w:tc>
      </w:tr>
      <w:tr w:rsidR="00970438" w14:paraId="0A069A62"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D446B2C" w14:textId="77777777" w:rsidR="00970438" w:rsidRDefault="00000000">
            <w:pPr>
              <w:spacing w:after="40"/>
            </w:pPr>
            <w:r>
              <w:rPr>
                <w:sz w:val="18"/>
              </w:rPr>
              <w:t>Books cited</w:t>
            </w:r>
          </w:p>
        </w:tc>
        <w:tc>
          <w:tcPr>
            <w:tcW w:w="4752" w:type="dxa"/>
          </w:tcPr>
          <w:p w14:paraId="44D066D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13</w:t>
            </w:r>
          </w:p>
        </w:tc>
      </w:tr>
      <w:tr w:rsidR="00970438" w14:paraId="0ACED6A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A5D4545" w14:textId="77777777" w:rsidR="00970438" w:rsidRDefault="00000000">
            <w:pPr>
              <w:spacing w:after="40"/>
            </w:pPr>
            <w:r>
              <w:rPr>
                <w:sz w:val="18"/>
              </w:rPr>
              <w:t>Confidence band</w:t>
            </w:r>
          </w:p>
        </w:tc>
        <w:tc>
          <w:tcPr>
            <w:tcW w:w="4752" w:type="dxa"/>
          </w:tcPr>
          <w:p w14:paraId="27372D3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r>
      <w:tr w:rsidR="00970438" w14:paraId="2B8D4343"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C0D6A35" w14:textId="77777777" w:rsidR="00970438" w:rsidRDefault="00000000">
            <w:pPr>
              <w:spacing w:after="40"/>
            </w:pPr>
            <w:r>
              <w:rPr>
                <w:sz w:val="18"/>
              </w:rPr>
              <w:lastRenderedPageBreak/>
              <w:t>Shape check</w:t>
            </w:r>
          </w:p>
        </w:tc>
        <w:tc>
          <w:tcPr>
            <w:tcW w:w="4752" w:type="dxa"/>
          </w:tcPr>
          <w:p w14:paraId="69B04D2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strong</w:t>
            </w:r>
          </w:p>
        </w:tc>
      </w:tr>
      <w:tr w:rsidR="00970438" w14:paraId="4DE8BEA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655A369B" w14:textId="77777777" w:rsidR="00970438" w:rsidRDefault="00000000">
            <w:pPr>
              <w:spacing w:after="40"/>
            </w:pPr>
            <w:r>
              <w:rPr>
                <w:sz w:val="18"/>
              </w:rPr>
              <w:t>Cost to draft</w:t>
            </w:r>
          </w:p>
        </w:tc>
        <w:tc>
          <w:tcPr>
            <w:tcW w:w="4752" w:type="dxa"/>
          </w:tcPr>
          <w:p w14:paraId="50EDCD4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$0.082</w:t>
            </w:r>
          </w:p>
        </w:tc>
      </w:tr>
    </w:tbl>
    <w:p w14:paraId="74E73720" w14:textId="77777777" w:rsidR="00970438" w:rsidRDefault="00970438"/>
    <w:p w14:paraId="653ACFBE" w14:textId="77777777" w:rsidR="00970438" w:rsidRDefault="00000000" w:rsidP="009C625C">
      <w:pPr>
        <w:pStyle w:val="Heading3"/>
        <w:jc w:val="both"/>
      </w:pPr>
      <w:bookmarkStart w:id="53" w:name="_Toc236945278"/>
      <w:r>
        <w:t>The paper, as rendered</w:t>
      </w:r>
      <w:bookmarkEnd w:id="53"/>
    </w:p>
    <w:p w14:paraId="1C409573" w14:textId="77777777" w:rsidR="00970438" w:rsidRDefault="00000000" w:rsidP="009C625C">
      <w:pPr>
        <w:jc w:val="both"/>
      </w:pPr>
      <w:r>
        <w:rPr>
          <w:i/>
        </w:rPr>
        <w:t>Reproduced exactly as Axial produced it, including the confidence and coverage disclosure, the shape check, the citation index and the bibliography. Nothing has been edited, tidied or shortened.</w:t>
      </w:r>
    </w:p>
    <w:p w14:paraId="74B2260E" w14:textId="77777777" w:rsidR="00970438" w:rsidRDefault="00000000" w:rsidP="009C625C">
      <w:pPr>
        <w:pStyle w:val="Heading3"/>
        <w:jc w:val="both"/>
      </w:pPr>
      <w:bookmarkStart w:id="54" w:name="_Toc236945279"/>
      <w:r>
        <w:t>Privilege and the Contracted-Out Militia</w:t>
      </w:r>
      <w:bookmarkEnd w:id="54"/>
    </w:p>
    <w:p w14:paraId="716AD9A6" w14:textId="77777777" w:rsidR="00970438" w:rsidRDefault="00000000" w:rsidP="009C625C">
      <w:pPr>
        <w:jc w:val="both"/>
      </w:pPr>
      <w:r>
        <w:t>Because networks of privilege constituted Syria's institutional structure, the regime's survival and its turn to paramilitary coercion are a single political-economic process: contracting violence to militias continued the rent-distribution logic that had long bound elites and populations to the state.</w:t>
      </w:r>
    </w:p>
    <w:p w14:paraId="2B2CAB2B" w14:textId="77777777" w:rsidR="00970438" w:rsidRDefault="00000000" w:rsidP="009C625C">
      <w:pPr>
        <w:pStyle w:val="Heading4"/>
        <w:jc w:val="both"/>
      </w:pPr>
      <w:r>
        <w:t>The puzzle of separate explanations for survival and violence</w:t>
      </w:r>
    </w:p>
    <w:p w14:paraId="6BAF5FD1" w14:textId="77777777" w:rsidR="00970438" w:rsidRDefault="00000000" w:rsidP="009C625C">
      <w:pPr>
        <w:jc w:val="both"/>
      </w:pPr>
      <w:r>
        <w:t>The Syrian conflict produced two literatures that rarely speak to each other. One asks how the regime survived a mass uprising that toppled counterparts in Tunisia, Egypt, and Libya; the other asks why the state's monopoly on organized force fragmented into a patchwork of militias, shabiha, and foreign proxies. Each question has generated its own explanations—survival attributed to sectarian engineering, international patronage, or institutional cohesion; violence attributed to military weakness, sectarian hatred, or tactical adaptation. What falls out of this division is the possibility that the two phenomena are not merely concurrent but constitutive of one another, that the mechanism which kept the regime alive is the same mechanism that pushed it to contract coercion to irregular armed groups.</w:t>
      </w:r>
    </w:p>
    <w:p w14:paraId="41FBD4E7" w14:textId="77777777" w:rsidR="00970438" w:rsidRDefault="00000000" w:rsidP="009C625C">
      <w:pPr>
        <w:jc w:val="both"/>
      </w:pPr>
      <w:r>
        <w:t>That possibility becomes visible only when survival and violence are read through the regime's political-economic structure rather than against a backdrop of institutional form. Syria's state did not rest on a Weberian bureaucracy extracting taxes and delivering services; it rested on networks of privilege through which rents—whether from oil, smuggling routes, land, or aid flows—were distributed in exchange for loyalty. Under normal conditions, those networks bound elites and populations to the state by making their material reproduction dependent on the state's continued capacity to allocate. When uprising and sanctions contracted the rents available for distribution, the logic did not disappear; it found a new substrate. Contracting violence to militias distributed the means of coercion along the same channels that had distributed economic rents, binding commanders and fighters to the regime's survival through the spoils of war rather than the salaries of peacetime.</w:t>
      </w:r>
    </w:p>
    <w:p w14:paraId="7523850C" w14:textId="77777777" w:rsidR="00970438" w:rsidRDefault="00000000" w:rsidP="009C625C">
      <w:pPr>
        <w:jc w:val="both"/>
      </w:pPr>
      <w:r>
        <w:t>The puzzle this paper addresses, then, is not why the regime survived or why it turned to paramilitaries considered separately. It is why these two outcomes, so persistently analyzed in isolation, are better understood as a single process: the continuation of rent-distribution under conditions in which violence itself became the principal rent. Treating them together requires setting aside the assumption that institutional form and coercive strategy are independent variables, and asking instead what distributive structure could make the outsourcing of violence a rational—indeed the most rational—response to a crisis of revenue and loyalty.</w:t>
      </w:r>
    </w:p>
    <w:p w14:paraId="6EB4031C" w14:textId="77777777" w:rsidR="00970438" w:rsidRDefault="00000000" w:rsidP="009C625C">
      <w:pPr>
        <w:pStyle w:val="Heading4"/>
        <w:jc w:val="both"/>
      </w:pPr>
      <w:r>
        <w:lastRenderedPageBreak/>
        <w:t>Networks of privilege as the institutional foundation of the Syrian state</w:t>
      </w:r>
    </w:p>
    <w:p w14:paraId="0AE83CCA" w14:textId="77777777" w:rsidR="00970438" w:rsidRDefault="00000000" w:rsidP="009C625C">
      <w:pPr>
        <w:pStyle w:val="Heading4"/>
        <w:jc w:val="both"/>
      </w:pPr>
      <w:r>
        <w:t>Networks of privilege as the institutional foundation of the Syrian state</w:t>
      </w:r>
    </w:p>
    <w:p w14:paraId="0A70CF5A" w14:textId="77777777" w:rsidR="00970438" w:rsidRDefault="00000000" w:rsidP="009C625C">
      <w:pPr>
        <w:jc w:val="both"/>
      </w:pPr>
      <w:r>
        <w:t>The institutional structure of the Syrian state between 2000 and 2011 was not its bureaucracy but its patronage networks. Dense, overlapping ties among public officials and private economic actors so thoroughly dissolved the boundary between state and business that treating "public" and "private" as separable domains risks misdescribing the regime's actual operating logic [pc-001]. This is not a deficiency of formal capacity that the regime compensated for through coercion; it is a substitution of one form of infrastructural penetration — rent distribution through elite networks — for the bureaucratic penetration that standard frameworks expect [pc-007].</w:t>
      </w:r>
    </w:p>
    <w:p w14:paraId="24CF6B7D" w14:textId="77777777" w:rsidR="00970438" w:rsidRDefault="00000000" w:rsidP="009C625C">
      <w:pPr>
        <w:jc w:val="both"/>
      </w:pPr>
      <w:r>
        <w:t>Mann's definition of infrastructural power as the state's capacity to penetrate its territory and logistically implement decisions presupposes that penetration runs through administrative channels [pc-004]. Where the operative mechanism is patronage rather than bureaucracy, that definition will register absence: it will read network-based control as state weakness. Yet what appears as infrastructural deficit may instead be the displacement of administrative capacity by material incentives that empower non-state actors aligned with the regime — a pattern visible as early as the Ottoman period in southern Syria, where external subsidies to tribal actors eroded bureaucratic penetration not because the state lacked power but because network-based control was substituted for it [pc-006]. Critiques of Mann's framework for conflating ideological power with organizational infrastructure, and for requiring subjective appraisals of meaning-systems that fit poorly with organizational materialism, compound the problem: a framework already built around bureaucratic legibility becomes doubly unreliable when applied to regimes whose institutional structure is informal and network-based [pc-008][pc-036].</w:t>
      </w:r>
    </w:p>
    <w:p w14:paraId="445B724D" w14:textId="77777777" w:rsidR="00970438" w:rsidRDefault="00000000" w:rsidP="009C625C">
      <w:pPr>
        <w:jc w:val="both"/>
      </w:pPr>
      <w:r>
        <w:t>The durability of this structure under pressure confirms that it is institutional rather than incidental. Egypt's 1990s privatization did not dismantle elite networks; it allowed state bureaucrats and businessmen to entrench monopoly positions while the state retained its central role as rent distributor [pc-002]. Market-oriented reform, in other words, did not break the network — it reconfigured it. The same scholarly trajectory that established this pattern for Middle Eastern authoritarianisms more broadly directly connected it to Syrian authoritarian resilience in the pre-2011 period [pc-003]. If no Arab state has been a developmental success story — Ayubi's own concession — the explanation under this lens is not the absence of state power but the redirection of distributive capacity toward elite reproduction rather than developmental outcomes [pc-005]. The state was not weak; it was organized for a different purpose.</w:t>
      </w:r>
    </w:p>
    <w:p w14:paraId="033CD04A" w14:textId="77777777" w:rsidR="00970438" w:rsidRDefault="00000000" w:rsidP="009C625C">
      <w:pPr>
        <w:jc w:val="both"/>
      </w:pPr>
      <w:r>
        <w:t>This reframing dissolves what has been framed as a paradox. The "fierce but weak" characterization of the Syrian regime is descriptively accurate about coercive posture but resolves nothing analytically, because it misidentifies the source of resilience: stability derived not from despotic power compensating for infrastructural weakness, but from networks of privilege that functioned as a substitute form of infrastructural penetration, organizing society through patronage rather than administration [pc-007]. The regime's institutional foundation was rent distribution through networks, and the turn to paramilitary coercion after 2011 would prove to be a continuation of that same logic under conditions of armed conflict.</w:t>
      </w:r>
    </w:p>
    <w:p w14:paraId="4F0F51F7" w14:textId="77777777" w:rsidR="00970438" w:rsidRDefault="00000000" w:rsidP="009C625C">
      <w:pPr>
        <w:pStyle w:val="Heading4"/>
        <w:jc w:val="both"/>
      </w:pPr>
      <w:r>
        <w:t>The war-as-erosion view: external rents, paramilitaries, and the hollowing of the state</w:t>
      </w:r>
    </w:p>
    <w:p w14:paraId="19C85B95" w14:textId="77777777" w:rsidR="00970438" w:rsidRDefault="00000000" w:rsidP="009C625C">
      <w:pPr>
        <w:jc w:val="both"/>
      </w:pPr>
      <w:r>
        <w:t xml:space="preserve">The most forceful challenge to reading Syria's paramilitarization as a continuation of rent-distribution comes from the bellicist tradition, in which war is the engine of state-building: preparation for war drives rulers to extract resources from subject populations, build new bureaucracies to manage that extraction, face </w:t>
      </w:r>
      <w:r>
        <w:lastRenderedPageBreak/>
        <w:t>resistance, and emerge with durable increases in infrastructural capacity [pc-010][pc-011]. If this mechanism operated in Syria, the war should have consolidated the state. The erosion view contends that it did the reverse—that Syria's wartime trajectory produced the inverse of the European bellicist outcome.</w:t>
      </w:r>
    </w:p>
    <w:p w14:paraId="366E2E5C" w14:textId="77777777" w:rsidR="00970438" w:rsidRDefault="00000000" w:rsidP="009C625C">
      <w:pPr>
        <w:jc w:val="both"/>
      </w:pPr>
      <w:r>
        <w:t>Three convergent dynamics are said to have reversed the cycle. First, external geopolitical rents from Iran and Russia funded the regime's war-making, eliminating the necessity for domestic taxation as a precondition for sustained coercion [pc-022]. When external alliances supply resources to a war-making movement, they obviate the need to struggle with domestic social actors over extraction, marginalizing internal contests and fragmenting authority through competitive rent-seeking [pc-013]. The Palestinian case supplies the theoretical key: under conditions of external rent substitution, war undermined state building rather than facilitating it, leaving a polity that is fragile, fragmented, and contested, with the right to rule grounded in armed struggle rather than a negotiated social pact [pc-014][pc-024]. Syria's transformation from uprising to civil war to inter-state war through external intervention multiplied this dynamic, as each intervening power brought its own forces and proxies, further substituting geopolitical rents for domestic extraction and producing the opposite of the European outcome where war drove bureaucratization and infrastructural consolidation [pc-018][pc-025]. Second, the outsourcing of violence to paramilitaries who are self-funded through looting and rent-seeking decoupled the war-making apparatus from both domestic extraction and the state's bureaucratic apparatus [pc-012][pc-026]. Self-funding militias operating through criminal economies bypassed the state's extractive apparatus while usurping its monopoly on legitimate coercion, so that paramilitarization actively hollowed out infrastructural power rather than consolidating it [pc-023]. The fusion of external rents with outsourced paramilitary violence produced a coercive ecology that was structurally parasitic on the state's own infrastructural substance rather than generative of it [pc-027]. Third, this double decoupling compounds a structural condition predating the war: the Arab state already lacks infrastructural power—the capacity to penetrate society through mechanisms such as taxation—and must resort to raw coercion to preserve itself [pc-009][pc-015]. External rents delink extraction and redistribution from the national productive economy, producing high state autonomy vis-à-vis social interests; in the mid-1990s more than half of Middle Eastern state revenues were non-tax revenues [pc-016], and oil rents in Jordan expanded the public sector while simultaneously weakening institutional capacity [pc-017]. On this reading, paramilitarization did not create a novel dynamic of state erosion so much as accelerate a pre-existing trajectory of infrastructural weakness [pc-030].</w:t>
      </w:r>
    </w:p>
    <w:p w14:paraId="3BF540FC" w14:textId="77777777" w:rsidR="00970438" w:rsidRDefault="00000000" w:rsidP="009C625C">
      <w:pPr>
        <w:jc w:val="both"/>
      </w:pPr>
      <w:r>
        <w:t>The bellicist tradition itself supplies grounds for doubting that Syria should have followed the European path. Mann revised Tilly's dictum to acknowledge that wars no longer make states as they once did and that the fiscal-military nexus is no longer the backbone of advanced countries [pc-020], and the Tilly/Mann war-driven modernization path may be a European exception rather than a global norm, given that Latin America and postcolonial Africa saw very few inter-state wars [pc-019]. Civil wars foster state formation only under specific conditions—total victory, political neutralization of the opposition, reduction of ethnic factionalism, and continuous economic growth—none of which obtained in Syria, where external intervention, ethnic factionalism, and economic collapse prevailed [pc-021]. The deliberate, state-sponsored paramilitarization of the Syrian conflict thus constitutes, on this account, a definitive challenge to the coercive-extraction cycle: the fusion of external geopolitical rents with outsourced paramilitary violence created a war-making apparatus structurally decoupled from domestic extraction and bureaucratic rationalization, causing it to hollow out infrastructural power rather than consolidate it [pc-028].</w:t>
      </w:r>
    </w:p>
    <w:p w14:paraId="4ACADAEA" w14:textId="77777777" w:rsidR="00970438" w:rsidRDefault="00000000" w:rsidP="009C625C">
      <w:pPr>
        <w:jc w:val="both"/>
      </w:pPr>
      <w:r>
        <w:t xml:space="preserve">The erosion view nonetheless carries a liability it does not resolve. If infrastructural power was being actively destroyed through paramilitarization and external rent dependence, the account must explain why the Assad </w:t>
      </w:r>
      <w:r>
        <w:lastRenderedPageBreak/>
        <w:t>regime endured rather than collapsed [pc-029]. The concession the framework gestures toward—that despotic power exercised through paramilitaries backed by external patrons may substitute for infrastructural power in sustaining regime survival—undermines its own premise that coercion organized outside the bureaucratic apparatus is evidence of state weakness rather than of an alternative form of penetration. The networks-of-privilege framework identifies exactly such penetration: patronage networks that organize society without bureaucratic legibility and that the standard infrastructural-power assessment systematically misreads as weakness [pc-004][pc-036]. Both the erosion view's inability to account for regime survival and the infrastructural-power assessment's misreading of network-based control as state weakness converge on the same blind spot: each presupposes that effective state penetration must be bureaucratically legible, so that paramilitary coercion organized through informal channels is read as erosion rather than as a substitute mode of penetration that sustains the regime [pc-037]. What the erosion view describes as the hollowing of the state is therefore better understood as the continuation of a rent-distribution logic displaced onto paramilitary channels—the same logic that, before the war, bound elites and populations to the state through networks of privilege rather than through administrative capacity [pc-001][pc-007][pc-038].</w:t>
      </w:r>
    </w:p>
    <w:p w14:paraId="633D14E7" w14:textId="77777777" w:rsidR="00970438" w:rsidRDefault="00000000" w:rsidP="009C625C">
      <w:pPr>
        <w:pStyle w:val="Heading4"/>
        <w:jc w:val="both"/>
      </w:pPr>
      <w:r>
        <w:t>Continuation by other means: paramilitary violence as network logic</w:t>
      </w:r>
    </w:p>
    <w:p w14:paraId="3957D037" w14:textId="77777777" w:rsidR="00970438" w:rsidRDefault="00000000" w:rsidP="009C625C">
      <w:pPr>
        <w:jc w:val="both"/>
      </w:pPr>
      <w:r>
        <w:t>Paramilitary violence in Syria did not replace the regime's institutional structure; it was that structure, operating through the same logic of rent distribution via informal networks that had constituted the regime's power before 2011. What looks like state collapse—the proliferation of militias, the outsourcing of coercion to criminal networks, the regime's inability to reassert bureaucratic control even after military reconquest—is better understood as the continuation of a rent-distribution logic displaced onto paramilitary channels [pc-038].</w:t>
      </w:r>
    </w:p>
    <w:p w14:paraId="78DB8FD7" w14:textId="77777777" w:rsidR="00970438" w:rsidRDefault="00000000" w:rsidP="009C625C">
      <w:pPr>
        <w:jc w:val="both"/>
      </w:pPr>
      <w:r>
        <w:t>The regime's operative institutional structure was never bureaucratic capacity but dense, overlapping networks of public officials and private economic interests that distributed rent and managed access to economic opportunity [pc-001]. These networks performed the functional equivalent of infrastructural penetration—binding elites and populations to the state through patronage rather than administration [pc-031][pc-007]. Standard assessments that look only for formal bureaucratic capacity therefore systematically misread network-based control as state weakness [pc-036][pc-037]. The "fierce but weak" framework, which treats the regime's coercive posture as compensation for absent infrastructural power, resolves no paradox because it misidentifies the source of resilience: stability derived from networks that functioned as substitute penetration, not from despotic power filling an institutional vacuum [pc-007][pc-031].</w:t>
      </w:r>
    </w:p>
    <w:p w14:paraId="1A2A1E59" w14:textId="77777777" w:rsidR="00970438" w:rsidRDefault="00000000" w:rsidP="009C625C">
      <w:pPr>
        <w:jc w:val="both"/>
      </w:pPr>
      <w:r>
        <w:t xml:space="preserve">When the uprising ruptured these networks in 2011, the regime's response was not to build the bureaucratic capacity it had never possessed but to displace the rent-distribution logic onto paramilitary channels. Paramilitary forces conducted counter-insurgency operations, held power beyond the state's official security organs, maintained close links with political elites including the head of state, and operated in the social milieu of organized crime [pc-034]. Their self-funding through looting and rent-seeking meant the war-making apparatus was decoupled from both domestic extraction and the state's bureaucratic apparatus [pc-012][pc-026]—but this decoupling reproduced, rather than abandoned, the regime's reliance on informal networks as the operative mechanism of social control: the paramilitaries' criminal self-funding was itself a form of rent distribution through informal channels, the same logic by which networks of privilege had allocated economic opportunity before the war [pc-039]. The Suleiman al-Assad murder case encapsulates the dynamic. A regime-connected figure killed an air force colonel with impunity; the state's judicial apparatus failed to hold him accountable; an external patron, Iranian Quds Force commander Qasem Suleimani, intervened to mediate; and </w:t>
      </w:r>
      <w:r>
        <w:lastRenderedPageBreak/>
        <w:t>the perpetrator ultimately fled to Romania [pc-035]. The state's formal institutions were irrelevant to the resolution. The operative mechanisms were network ties, external rent, and patronage mediation—the same elements that had constituted the regime's institutional structure all along.</w:t>
      </w:r>
    </w:p>
    <w:p w14:paraId="5CDAFDE5" w14:textId="77777777" w:rsidR="00970438" w:rsidRDefault="00000000" w:rsidP="009C625C">
      <w:pPr>
        <w:jc w:val="both"/>
      </w:pPr>
      <w:r>
        <w:t>This synthesis carries an honest limit. If networks of privilege constituted a robust institutional structure that functionally substituted for infrastructural power, the scale and speed of the 2011 uprising's spread across Syria suggests these networks either did not penetrate society as deeply as the framework implies, or that they generated grievances among excluded populations that outweighed their stabilizing effects [pc-032]. Post-2011 evidence from Daraa compounds the difficulty: even after military reconquest the regime could not reinstate a monopoly over local governance and operated through tacit delegation to armed factions and tribal committees [pc-033]. This indicates that the regime's infrastructural reach was always thinner than either the "fierce but weak" or the networks-of-privilege framework fully captures, and that both overstate the regime's institutional depth in different ways [pc-033]. The continuation thesis does not require that the networks were uniformly deep or uniformly stabilizing. It requires that the regime's response to their partial failure followed the same logic that had governed their operation—rent distribution through informal delegation rather than bureaucratic consolidation—and on that score the evidence is consistent.</w:t>
      </w:r>
    </w:p>
    <w:p w14:paraId="584B118E" w14:textId="77777777" w:rsidR="00970438" w:rsidRDefault="00000000" w:rsidP="009C625C">
      <w:pPr>
        <w:pStyle w:val="Heading4"/>
        <w:jc w:val="both"/>
      </w:pPr>
      <w:r>
        <w:t>Confidence and coverage</w:t>
      </w:r>
    </w:p>
    <w:p w14:paraId="52ED6CD8" w14:textId="77777777" w:rsidR="00970438" w:rsidRDefault="00000000" w:rsidP="009C625C">
      <w:pPr>
        <w:jc w:val="both"/>
      </w:pPr>
      <w:r>
        <w:rPr>
          <w:b/>
        </w:rPr>
        <w:t>Overall confidence:</w:t>
      </w:r>
      <w:r>
        <w:t xml:space="preserve"> low (band shown with the coverage counts that justify it).</w:t>
      </w:r>
    </w:p>
    <w:p w14:paraId="797588C3" w14:textId="77777777" w:rsidR="00970438" w:rsidRDefault="00000000" w:rsidP="009C625C">
      <w:pPr>
        <w:jc w:val="both"/>
      </w:pPr>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Charles Tilly (dense: 154 corpus notes, 18 cited claims); Infrastructural power (moderate: 51 corpus notes, 10 cited claims); Loyalist paramilitary group (thin: 2 corpus notes, 10 cited claims); Siniša Malešević (moderate: 69 corpus notes, 1 cited claims); Syria (dense: 962 corpus notes, 26 cited claims); Syrian regime (thin: 11 corpus notes, 2 cited claims); fierce state (thin: 1 corpus notes, 6 cited claims); networks of privilege (thin: 2 corpus notes, 7 cited claims); oil rents (thin: 3 corpus notes, 3 cited claims)</w:t>
      </w:r>
    </w:p>
    <w:tbl>
      <w:tblPr>
        <w:tblStyle w:val="LightGrid-Accent1"/>
        <w:tblW w:w="0" w:type="auto"/>
        <w:tblLook w:val="04A0" w:firstRow="1" w:lastRow="0" w:firstColumn="1" w:lastColumn="0" w:noHBand="0" w:noVBand="1"/>
      </w:tblPr>
      <w:tblGrid>
        <w:gridCol w:w="2376"/>
        <w:gridCol w:w="2376"/>
        <w:gridCol w:w="2376"/>
        <w:gridCol w:w="2376"/>
      </w:tblGrid>
      <w:tr w:rsidR="00970438" w14:paraId="658E4FCD"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D0C8911" w14:textId="77777777" w:rsidR="00970438" w:rsidRDefault="00000000">
            <w:pPr>
              <w:spacing w:after="40"/>
            </w:pPr>
            <w:r>
              <w:rPr>
                <w:sz w:val="18"/>
              </w:rPr>
              <w:t>name</w:t>
            </w:r>
          </w:p>
        </w:tc>
        <w:tc>
          <w:tcPr>
            <w:tcW w:w="2376" w:type="dxa"/>
          </w:tcPr>
          <w:p w14:paraId="54F31E20"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corpus notes</w:t>
            </w:r>
          </w:p>
        </w:tc>
        <w:tc>
          <w:tcPr>
            <w:tcW w:w="2376" w:type="dxa"/>
          </w:tcPr>
          <w:p w14:paraId="0DD7A05F"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cited claims</w:t>
            </w:r>
          </w:p>
        </w:tc>
        <w:tc>
          <w:tcPr>
            <w:tcW w:w="2376" w:type="dxa"/>
          </w:tcPr>
          <w:p w14:paraId="243021D3"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coverage</w:t>
            </w:r>
          </w:p>
        </w:tc>
      </w:tr>
      <w:tr w:rsidR="00970438" w14:paraId="193DCCB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F985580" w14:textId="77777777" w:rsidR="00970438" w:rsidRDefault="00000000">
            <w:pPr>
              <w:spacing w:after="40"/>
            </w:pPr>
            <w:r>
              <w:rPr>
                <w:sz w:val="18"/>
              </w:rPr>
              <w:t>Business Networks in Syria: The Political Economy of Authoritarian Resilience</w:t>
            </w:r>
          </w:p>
        </w:tc>
        <w:tc>
          <w:tcPr>
            <w:tcW w:w="2376" w:type="dxa"/>
          </w:tcPr>
          <w:p w14:paraId="3214C3C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2376" w:type="dxa"/>
          </w:tcPr>
          <w:p w14:paraId="61A8611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2376" w:type="dxa"/>
          </w:tcPr>
          <w:p w14:paraId="13A0C1F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7ACA9D50"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2E353DB" w14:textId="77777777" w:rsidR="00970438" w:rsidRDefault="00000000">
            <w:pPr>
              <w:spacing w:after="40"/>
            </w:pPr>
            <w:r>
              <w:rPr>
                <w:sz w:val="18"/>
              </w:rPr>
              <w:t>Charles Tilly</w:t>
            </w:r>
          </w:p>
        </w:tc>
        <w:tc>
          <w:tcPr>
            <w:tcW w:w="2376" w:type="dxa"/>
          </w:tcPr>
          <w:p w14:paraId="1614EE6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154</w:t>
            </w:r>
          </w:p>
        </w:tc>
        <w:tc>
          <w:tcPr>
            <w:tcW w:w="2376" w:type="dxa"/>
          </w:tcPr>
          <w:p w14:paraId="3C0B746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18</w:t>
            </w:r>
          </w:p>
        </w:tc>
        <w:tc>
          <w:tcPr>
            <w:tcW w:w="2376" w:type="dxa"/>
          </w:tcPr>
          <w:p w14:paraId="1E7E9FF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dense</w:t>
            </w:r>
          </w:p>
        </w:tc>
      </w:tr>
      <w:tr w:rsidR="00970438" w14:paraId="4B7F2C5D"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A02122E" w14:textId="77777777" w:rsidR="00970438" w:rsidRDefault="00000000">
            <w:pPr>
              <w:spacing w:after="40"/>
            </w:pPr>
            <w:r>
              <w:rPr>
                <w:sz w:val="18"/>
              </w:rPr>
              <w:t>Infrastructural power</w:t>
            </w:r>
          </w:p>
        </w:tc>
        <w:tc>
          <w:tcPr>
            <w:tcW w:w="2376" w:type="dxa"/>
          </w:tcPr>
          <w:p w14:paraId="4C803BF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51</w:t>
            </w:r>
          </w:p>
        </w:tc>
        <w:tc>
          <w:tcPr>
            <w:tcW w:w="2376" w:type="dxa"/>
          </w:tcPr>
          <w:p w14:paraId="6E89309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10</w:t>
            </w:r>
          </w:p>
        </w:tc>
        <w:tc>
          <w:tcPr>
            <w:tcW w:w="2376" w:type="dxa"/>
          </w:tcPr>
          <w:p w14:paraId="201B1EF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moderate</w:t>
            </w:r>
          </w:p>
        </w:tc>
      </w:tr>
      <w:tr w:rsidR="00970438" w14:paraId="5F6991B6"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8D5CEB0" w14:textId="77777777" w:rsidR="00970438" w:rsidRDefault="00000000">
            <w:pPr>
              <w:spacing w:after="40"/>
            </w:pPr>
            <w:r>
              <w:rPr>
                <w:sz w:val="18"/>
              </w:rPr>
              <w:t>Loyalist paramilitary group</w:t>
            </w:r>
          </w:p>
        </w:tc>
        <w:tc>
          <w:tcPr>
            <w:tcW w:w="2376" w:type="dxa"/>
          </w:tcPr>
          <w:p w14:paraId="6D672D2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w:t>
            </w:r>
          </w:p>
        </w:tc>
        <w:tc>
          <w:tcPr>
            <w:tcW w:w="2376" w:type="dxa"/>
          </w:tcPr>
          <w:p w14:paraId="2A3BE44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10</w:t>
            </w:r>
          </w:p>
        </w:tc>
        <w:tc>
          <w:tcPr>
            <w:tcW w:w="2376" w:type="dxa"/>
          </w:tcPr>
          <w:p w14:paraId="56B1006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r w:rsidR="00970438" w14:paraId="0AC6D982"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007DD96" w14:textId="77777777" w:rsidR="00970438" w:rsidRDefault="00000000">
            <w:pPr>
              <w:spacing w:after="40"/>
            </w:pPr>
            <w:r>
              <w:rPr>
                <w:sz w:val="18"/>
              </w:rPr>
              <w:t>Siniša Malešević</w:t>
            </w:r>
          </w:p>
        </w:tc>
        <w:tc>
          <w:tcPr>
            <w:tcW w:w="2376" w:type="dxa"/>
          </w:tcPr>
          <w:p w14:paraId="78CCC7F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69</w:t>
            </w:r>
          </w:p>
        </w:tc>
        <w:tc>
          <w:tcPr>
            <w:tcW w:w="2376" w:type="dxa"/>
          </w:tcPr>
          <w:p w14:paraId="63202DF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2376" w:type="dxa"/>
          </w:tcPr>
          <w:p w14:paraId="6490317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moderate</w:t>
            </w:r>
          </w:p>
        </w:tc>
      </w:tr>
      <w:tr w:rsidR="00970438" w14:paraId="2A95F200"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9930EF2" w14:textId="77777777" w:rsidR="00970438" w:rsidRDefault="00000000">
            <w:pPr>
              <w:spacing w:after="40"/>
            </w:pPr>
            <w:r>
              <w:rPr>
                <w:sz w:val="18"/>
              </w:rPr>
              <w:t>Syria</w:t>
            </w:r>
          </w:p>
        </w:tc>
        <w:tc>
          <w:tcPr>
            <w:tcW w:w="2376" w:type="dxa"/>
          </w:tcPr>
          <w:p w14:paraId="69B10EA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962</w:t>
            </w:r>
          </w:p>
        </w:tc>
        <w:tc>
          <w:tcPr>
            <w:tcW w:w="2376" w:type="dxa"/>
          </w:tcPr>
          <w:p w14:paraId="488C64C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26</w:t>
            </w:r>
          </w:p>
        </w:tc>
        <w:tc>
          <w:tcPr>
            <w:tcW w:w="2376" w:type="dxa"/>
          </w:tcPr>
          <w:p w14:paraId="4D03EC8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dense</w:t>
            </w:r>
          </w:p>
        </w:tc>
      </w:tr>
      <w:tr w:rsidR="00970438" w14:paraId="2B9FD2E1"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5571C69C" w14:textId="77777777" w:rsidR="00970438" w:rsidRDefault="00000000">
            <w:pPr>
              <w:spacing w:after="40"/>
            </w:pPr>
            <w:r>
              <w:rPr>
                <w:sz w:val="18"/>
              </w:rPr>
              <w:t>Syrian regime</w:t>
            </w:r>
          </w:p>
        </w:tc>
        <w:tc>
          <w:tcPr>
            <w:tcW w:w="2376" w:type="dxa"/>
          </w:tcPr>
          <w:p w14:paraId="08DD3BF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11</w:t>
            </w:r>
          </w:p>
        </w:tc>
        <w:tc>
          <w:tcPr>
            <w:tcW w:w="2376" w:type="dxa"/>
          </w:tcPr>
          <w:p w14:paraId="2A5359A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w:t>
            </w:r>
          </w:p>
        </w:tc>
        <w:tc>
          <w:tcPr>
            <w:tcW w:w="2376" w:type="dxa"/>
          </w:tcPr>
          <w:p w14:paraId="5AA29E4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4C342A3F"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D69D296" w14:textId="77777777" w:rsidR="00970438" w:rsidRDefault="00000000">
            <w:pPr>
              <w:spacing w:after="40"/>
            </w:pPr>
            <w:r>
              <w:rPr>
                <w:sz w:val="18"/>
              </w:rPr>
              <w:t>fierce state</w:t>
            </w:r>
          </w:p>
        </w:tc>
        <w:tc>
          <w:tcPr>
            <w:tcW w:w="2376" w:type="dxa"/>
          </w:tcPr>
          <w:p w14:paraId="4FC09DF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w:t>
            </w:r>
          </w:p>
        </w:tc>
        <w:tc>
          <w:tcPr>
            <w:tcW w:w="2376" w:type="dxa"/>
          </w:tcPr>
          <w:p w14:paraId="2B78953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6</w:t>
            </w:r>
          </w:p>
        </w:tc>
        <w:tc>
          <w:tcPr>
            <w:tcW w:w="2376" w:type="dxa"/>
          </w:tcPr>
          <w:p w14:paraId="4C008D2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r w:rsidR="00970438" w14:paraId="788292E4"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8459040" w14:textId="77777777" w:rsidR="00970438" w:rsidRDefault="00000000">
            <w:pPr>
              <w:spacing w:after="40"/>
            </w:pPr>
            <w:r>
              <w:rPr>
                <w:sz w:val="18"/>
              </w:rPr>
              <w:t>networks of privilege</w:t>
            </w:r>
          </w:p>
        </w:tc>
        <w:tc>
          <w:tcPr>
            <w:tcW w:w="2376" w:type="dxa"/>
          </w:tcPr>
          <w:p w14:paraId="6FBBA72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w:t>
            </w:r>
          </w:p>
        </w:tc>
        <w:tc>
          <w:tcPr>
            <w:tcW w:w="2376" w:type="dxa"/>
          </w:tcPr>
          <w:p w14:paraId="0D08CDC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7</w:t>
            </w:r>
          </w:p>
        </w:tc>
        <w:tc>
          <w:tcPr>
            <w:tcW w:w="2376" w:type="dxa"/>
          </w:tcPr>
          <w:p w14:paraId="25CB04C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1DC7561F"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44A1DCD" w14:textId="77777777" w:rsidR="00970438" w:rsidRDefault="00000000">
            <w:pPr>
              <w:spacing w:after="40"/>
            </w:pPr>
            <w:r>
              <w:rPr>
                <w:sz w:val="18"/>
              </w:rPr>
              <w:t>oil rents</w:t>
            </w:r>
          </w:p>
        </w:tc>
        <w:tc>
          <w:tcPr>
            <w:tcW w:w="2376" w:type="dxa"/>
          </w:tcPr>
          <w:p w14:paraId="6A662DB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w:t>
            </w:r>
          </w:p>
        </w:tc>
        <w:tc>
          <w:tcPr>
            <w:tcW w:w="2376" w:type="dxa"/>
          </w:tcPr>
          <w:p w14:paraId="6CF5BDE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w:t>
            </w:r>
          </w:p>
        </w:tc>
        <w:tc>
          <w:tcPr>
            <w:tcW w:w="2376" w:type="dxa"/>
          </w:tcPr>
          <w:p w14:paraId="2A83CFC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bl>
    <w:p w14:paraId="033F9FA8" w14:textId="77777777" w:rsidR="00970438" w:rsidRDefault="00970438"/>
    <w:p w14:paraId="3ADCB2F1" w14:textId="77777777" w:rsidR="00970438" w:rsidRDefault="00000000">
      <w:pPr>
        <w:pStyle w:val="Heading4"/>
      </w:pPr>
      <w:r>
        <w:lastRenderedPageBreak/>
        <w:t>Shape check</w:t>
      </w:r>
    </w:p>
    <w:p w14:paraId="3FC9A943" w14:textId="77777777" w:rsidR="00970438" w:rsidRDefault="00000000">
      <w:r>
        <w:rPr>
          <w:b/>
        </w:rPr>
        <w:t>Band:</w:t>
      </w:r>
      <w:r>
        <w:t xml:space="preserve"> strong.</w:t>
      </w:r>
    </w:p>
    <w:p w14:paraId="366F346D" w14:textId="77777777" w:rsidR="00970438" w:rsidRDefault="00000000">
      <w:pPr>
        <w:pStyle w:val="Heading4"/>
      </w:pPr>
      <w:r>
        <w:t>Citations</w:t>
      </w:r>
    </w:p>
    <w:tbl>
      <w:tblPr>
        <w:tblStyle w:val="LightGrid-Accent1"/>
        <w:tblW w:w="0" w:type="auto"/>
        <w:tblLook w:val="04A0" w:firstRow="1" w:lastRow="0" w:firstColumn="1" w:lastColumn="0" w:noHBand="0" w:noVBand="1"/>
      </w:tblPr>
      <w:tblGrid>
        <w:gridCol w:w="1101"/>
        <w:gridCol w:w="1134"/>
        <w:gridCol w:w="1275"/>
        <w:gridCol w:w="4455"/>
        <w:gridCol w:w="1755"/>
      </w:tblGrid>
      <w:tr w:rsidR="00970438" w14:paraId="6798A2F3"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33AFF34" w14:textId="77777777" w:rsidR="00970438" w:rsidRDefault="00000000">
            <w:pPr>
              <w:spacing w:after="40"/>
            </w:pPr>
            <w:r>
              <w:rPr>
                <w:sz w:val="18"/>
              </w:rPr>
              <w:t>id</w:t>
            </w:r>
          </w:p>
        </w:tc>
        <w:tc>
          <w:tcPr>
            <w:tcW w:w="1134" w:type="dxa"/>
          </w:tcPr>
          <w:p w14:paraId="695D6446"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kind</w:t>
            </w:r>
          </w:p>
        </w:tc>
        <w:tc>
          <w:tcPr>
            <w:tcW w:w="1275" w:type="dxa"/>
          </w:tcPr>
          <w:p w14:paraId="3EDCD155"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confidence</w:t>
            </w:r>
          </w:p>
        </w:tc>
        <w:tc>
          <w:tcPr>
            <w:tcW w:w="4455" w:type="dxa"/>
          </w:tcPr>
          <w:p w14:paraId="3857860B"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grounds</w:t>
            </w:r>
          </w:p>
        </w:tc>
        <w:tc>
          <w:tcPr>
            <w:tcW w:w="1755" w:type="dxa"/>
          </w:tcPr>
          <w:p w14:paraId="10BE1782"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source</w:t>
            </w:r>
          </w:p>
        </w:tc>
      </w:tr>
      <w:tr w:rsidR="00970438" w14:paraId="3A6FAEE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5B0447A" w14:textId="77777777" w:rsidR="00970438" w:rsidRDefault="00000000">
            <w:pPr>
              <w:spacing w:after="40"/>
            </w:pPr>
            <w:r>
              <w:rPr>
                <w:sz w:val="18"/>
              </w:rPr>
              <w:t>pc-001</w:t>
            </w:r>
          </w:p>
        </w:tc>
        <w:tc>
          <w:tcPr>
            <w:tcW w:w="1134" w:type="dxa"/>
          </w:tcPr>
          <w:p w14:paraId="363FF45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4E8E207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3D7FAA0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heydemann-2004-72a4a9a9b3b0_144_the-genesis-of-a-network-the-rise-of-postindependence-private-elites-in-morocco_001</w:t>
            </w:r>
          </w:p>
        </w:tc>
        <w:tc>
          <w:tcPr>
            <w:tcW w:w="1755" w:type="dxa"/>
          </w:tcPr>
          <w:p w14:paraId="65A9B41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(2004)</w:t>
            </w:r>
          </w:p>
        </w:tc>
      </w:tr>
      <w:tr w:rsidR="00970438" w14:paraId="62482A2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994A841" w14:textId="77777777" w:rsidR="00970438" w:rsidRDefault="00000000">
            <w:pPr>
              <w:spacing w:after="40"/>
            </w:pPr>
            <w:r>
              <w:rPr>
                <w:sz w:val="18"/>
              </w:rPr>
              <w:t>pc-002</w:t>
            </w:r>
          </w:p>
        </w:tc>
        <w:tc>
          <w:tcPr>
            <w:tcW w:w="1134" w:type="dxa"/>
          </w:tcPr>
          <w:p w14:paraId="0707C08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4F709DC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2E61CCB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heydemann-2004-72a4a9a9b3b0_58_conclusion_001</w:t>
            </w:r>
          </w:p>
        </w:tc>
        <w:tc>
          <w:tcPr>
            <w:tcW w:w="1755" w:type="dxa"/>
          </w:tcPr>
          <w:p w14:paraId="78F8224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(2004)</w:t>
            </w:r>
          </w:p>
        </w:tc>
      </w:tr>
      <w:tr w:rsidR="00970438" w14:paraId="1B73212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5850524" w14:textId="77777777" w:rsidR="00970438" w:rsidRDefault="00000000">
            <w:pPr>
              <w:spacing w:after="40"/>
            </w:pPr>
            <w:r>
              <w:rPr>
                <w:sz w:val="18"/>
              </w:rPr>
              <w:t>pc-003</w:t>
            </w:r>
          </w:p>
        </w:tc>
        <w:tc>
          <w:tcPr>
            <w:tcW w:w="1134" w:type="dxa"/>
          </w:tcPr>
          <w:p w14:paraId="5B22DEB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63C5F10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3BBBC93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bayat-2017-ce6bb0643cfb_101_joel-beinin-editor_001</w:t>
            </w:r>
          </w:p>
        </w:tc>
        <w:tc>
          <w:tcPr>
            <w:tcW w:w="1755" w:type="dxa"/>
          </w:tcPr>
          <w:p w14:paraId="2E234DF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Asef Bayat (2017)</w:t>
            </w:r>
          </w:p>
        </w:tc>
      </w:tr>
      <w:tr w:rsidR="00970438" w14:paraId="5BE1763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ACA9009" w14:textId="77777777" w:rsidR="00970438" w:rsidRDefault="00000000">
            <w:pPr>
              <w:spacing w:after="40"/>
            </w:pPr>
            <w:r>
              <w:rPr>
                <w:sz w:val="18"/>
              </w:rPr>
              <w:t>pc-004</w:t>
            </w:r>
          </w:p>
        </w:tc>
        <w:tc>
          <w:tcPr>
            <w:tcW w:w="1134" w:type="dxa"/>
          </w:tcPr>
          <w:p w14:paraId="380460B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1AFF363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455" w:type="dxa"/>
          </w:tcPr>
          <w:p w14:paraId="4BCF4E0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hall-2006-449559bfe4dc_68_infrastructural-power-and-globalization_001</w:t>
            </w:r>
          </w:p>
        </w:tc>
        <w:tc>
          <w:tcPr>
            <w:tcW w:w="1755" w:type="dxa"/>
          </w:tcPr>
          <w:p w14:paraId="6AF1DE1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John A. Hall and Ralph Schroeder (2006)</w:t>
            </w:r>
          </w:p>
        </w:tc>
      </w:tr>
      <w:tr w:rsidR="00970438" w:rsidRPr="00D06213" w14:paraId="3918AFE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37FEFDE" w14:textId="77777777" w:rsidR="00970438" w:rsidRDefault="00000000">
            <w:pPr>
              <w:spacing w:after="40"/>
            </w:pPr>
            <w:r>
              <w:rPr>
                <w:sz w:val="18"/>
              </w:rPr>
              <w:t>pc-005</w:t>
            </w:r>
          </w:p>
        </w:tc>
        <w:tc>
          <w:tcPr>
            <w:tcW w:w="1134" w:type="dxa"/>
          </w:tcPr>
          <w:p w14:paraId="0E220F1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4BA9872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41B2939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w:t>
            </w:r>
          </w:p>
        </w:tc>
        <w:tc>
          <w:tcPr>
            <w:tcW w:w="1755" w:type="dxa"/>
          </w:tcPr>
          <w:p w14:paraId="7AD42EEA"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Steven Heydemann (2004)</w:t>
            </w:r>
          </w:p>
        </w:tc>
      </w:tr>
      <w:tr w:rsidR="00970438" w14:paraId="2063E8EB"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3213C83" w14:textId="77777777" w:rsidR="00970438" w:rsidRDefault="00000000">
            <w:pPr>
              <w:spacing w:after="40"/>
            </w:pPr>
            <w:r>
              <w:rPr>
                <w:sz w:val="18"/>
              </w:rPr>
              <w:t>pc-006</w:t>
            </w:r>
          </w:p>
        </w:tc>
        <w:tc>
          <w:tcPr>
            <w:tcW w:w="1134" w:type="dxa"/>
          </w:tcPr>
          <w:p w14:paraId="2D1B304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0717E09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455" w:type="dxa"/>
          </w:tcPr>
          <w:p w14:paraId="3A101F0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heydemann-2000-66701ffbb36c_38_conclusion_001</w:t>
            </w:r>
          </w:p>
        </w:tc>
        <w:tc>
          <w:tcPr>
            <w:tcW w:w="1755" w:type="dxa"/>
          </w:tcPr>
          <w:p w14:paraId="17833A6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(2000)</w:t>
            </w:r>
          </w:p>
        </w:tc>
      </w:tr>
      <w:tr w:rsidR="00970438" w14:paraId="335E25FE"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3EB4A00" w14:textId="77777777" w:rsidR="00970438" w:rsidRDefault="00000000">
            <w:pPr>
              <w:spacing w:after="40"/>
            </w:pPr>
            <w:r>
              <w:rPr>
                <w:sz w:val="18"/>
              </w:rPr>
              <w:t>pc-007</w:t>
            </w:r>
          </w:p>
        </w:tc>
        <w:tc>
          <w:tcPr>
            <w:tcW w:w="1134" w:type="dxa"/>
          </w:tcPr>
          <w:p w14:paraId="6482B88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(carried)</w:t>
            </w:r>
          </w:p>
        </w:tc>
        <w:tc>
          <w:tcPr>
            <w:tcW w:w="1275" w:type="dxa"/>
          </w:tcPr>
          <w:p w14:paraId="05EE7E7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2976907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w="1755" w:type="dxa"/>
          </w:tcPr>
          <w:p w14:paraId="449215E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John A. Hall and Ralph Schroeder (2006); Steven Heydemann (2004)</w:t>
            </w:r>
          </w:p>
        </w:tc>
      </w:tr>
      <w:tr w:rsidR="00970438" w14:paraId="2A641EC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DE43F2A" w14:textId="77777777" w:rsidR="00970438" w:rsidRDefault="00000000">
            <w:pPr>
              <w:spacing w:after="40"/>
            </w:pPr>
            <w:r>
              <w:rPr>
                <w:sz w:val="18"/>
              </w:rPr>
              <w:t>pc-008</w:t>
            </w:r>
          </w:p>
        </w:tc>
        <w:tc>
          <w:tcPr>
            <w:tcW w:w="1134" w:type="dxa"/>
          </w:tcPr>
          <w:p w14:paraId="7858097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275" w:type="dxa"/>
          </w:tcPr>
          <w:p w14:paraId="646F366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455" w:type="dxa"/>
          </w:tcPr>
          <w:p w14:paraId="1987CF8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hall-2006-449559bfe4dc_111_frank-trentmann_009, hall-2006-449559bfe4dc_48_performance-on-the-hazards-of-analytical-tacking_001</w:t>
            </w:r>
          </w:p>
        </w:tc>
        <w:tc>
          <w:tcPr>
            <w:tcW w:w="1755" w:type="dxa"/>
          </w:tcPr>
          <w:p w14:paraId="0A318FB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John A. Hall and Ralph Schroeder (2006)</w:t>
            </w:r>
          </w:p>
        </w:tc>
      </w:tr>
      <w:tr w:rsidR="00970438" w14:paraId="37E29A34"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DFC8477" w14:textId="77777777" w:rsidR="00970438" w:rsidRDefault="00000000">
            <w:pPr>
              <w:spacing w:after="40"/>
            </w:pPr>
            <w:r>
              <w:rPr>
                <w:sz w:val="18"/>
              </w:rPr>
              <w:t>pc-009</w:t>
            </w:r>
          </w:p>
        </w:tc>
        <w:tc>
          <w:tcPr>
            <w:tcW w:w="1134" w:type="dxa"/>
          </w:tcPr>
          <w:p w14:paraId="3B72A57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3842B71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72761C8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w:t>
            </w:r>
          </w:p>
        </w:tc>
        <w:tc>
          <w:tcPr>
            <w:tcW w:w="1755" w:type="dxa"/>
          </w:tcPr>
          <w:p w14:paraId="3830817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w:t>
            </w:r>
          </w:p>
        </w:tc>
      </w:tr>
      <w:tr w:rsidR="00970438" w14:paraId="268D6391"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B4281AE" w14:textId="77777777" w:rsidR="00970438" w:rsidRDefault="00000000">
            <w:pPr>
              <w:spacing w:after="40"/>
            </w:pPr>
            <w:r>
              <w:rPr>
                <w:sz w:val="18"/>
              </w:rPr>
              <w:t>pc-010</w:t>
            </w:r>
          </w:p>
        </w:tc>
        <w:tc>
          <w:tcPr>
            <w:tcW w:w="1134" w:type="dxa"/>
          </w:tcPr>
          <w:p w14:paraId="117599F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679FB96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455" w:type="dxa"/>
          </w:tcPr>
          <w:p w14:paraId="75993C4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mann-v1-2012-5f90ead66c93_136_implication-i-the-emergence-of-the-national-state_003</w:t>
            </w:r>
          </w:p>
        </w:tc>
        <w:tc>
          <w:tcPr>
            <w:tcW w:w="1755" w:type="dxa"/>
          </w:tcPr>
          <w:p w14:paraId="12AA33A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 Michael (2012)</w:t>
            </w:r>
          </w:p>
        </w:tc>
      </w:tr>
      <w:tr w:rsidR="00970438" w14:paraId="3ED9CB8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93184D9" w14:textId="77777777" w:rsidR="00970438" w:rsidRDefault="00000000">
            <w:pPr>
              <w:spacing w:after="40"/>
            </w:pPr>
            <w:r>
              <w:rPr>
                <w:sz w:val="18"/>
              </w:rPr>
              <w:t>pc-011</w:t>
            </w:r>
          </w:p>
        </w:tc>
        <w:tc>
          <w:tcPr>
            <w:tcW w:w="1134" w:type="dxa"/>
          </w:tcPr>
          <w:p w14:paraId="1BC2442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06BCBB4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455" w:type="dxa"/>
          </w:tcPr>
          <w:p w14:paraId="1168332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mann-v2-1993-ec759675dcbd_111_phase-2-revolution-reform-and-representation-1780-1850_003</w:t>
            </w:r>
          </w:p>
        </w:tc>
        <w:tc>
          <w:tcPr>
            <w:tcW w:w="1755" w:type="dxa"/>
          </w:tcPr>
          <w:p w14:paraId="657E719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Michael Mann (1993)</w:t>
            </w:r>
          </w:p>
        </w:tc>
      </w:tr>
      <w:tr w:rsidR="00970438" w14:paraId="0C797C91"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4621A64" w14:textId="77777777" w:rsidR="00970438" w:rsidRDefault="00000000">
            <w:pPr>
              <w:spacing w:after="40"/>
            </w:pPr>
            <w:r>
              <w:rPr>
                <w:sz w:val="18"/>
              </w:rPr>
              <w:t>pc-012</w:t>
            </w:r>
          </w:p>
        </w:tc>
        <w:tc>
          <w:tcPr>
            <w:tcW w:w="1134" w:type="dxa"/>
          </w:tcPr>
          <w:p w14:paraId="029B3D1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1882FE7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7467BDD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ungor-2020-ae5701dcc706_31_92-paramilitarism_003</w:t>
            </w:r>
          </w:p>
        </w:tc>
        <w:tc>
          <w:tcPr>
            <w:tcW w:w="1755" w:type="dxa"/>
          </w:tcPr>
          <w:p w14:paraId="4AE9F56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Uğur Ümit Üngör (2020)</w:t>
            </w:r>
          </w:p>
        </w:tc>
      </w:tr>
      <w:tr w:rsidR="00970438" w14:paraId="3F8E601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BAC86F7" w14:textId="77777777" w:rsidR="00970438" w:rsidRDefault="00000000">
            <w:pPr>
              <w:spacing w:after="40"/>
            </w:pPr>
            <w:r>
              <w:rPr>
                <w:sz w:val="18"/>
              </w:rPr>
              <w:t>pc-013</w:t>
            </w:r>
          </w:p>
        </w:tc>
        <w:tc>
          <w:tcPr>
            <w:tcW w:w="1134" w:type="dxa"/>
          </w:tcPr>
          <w:p w14:paraId="14C285B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0590FBC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455" w:type="dxa"/>
          </w:tcPr>
          <w:p w14:paraId="2618A90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heydemann-2000-66701ffbb36c_101_yezid-sayigh_004</w:t>
            </w:r>
          </w:p>
        </w:tc>
        <w:tc>
          <w:tcPr>
            <w:tcW w:w="1755" w:type="dxa"/>
          </w:tcPr>
          <w:p w14:paraId="1B1995A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(2000)</w:t>
            </w:r>
          </w:p>
        </w:tc>
      </w:tr>
      <w:tr w:rsidR="00970438" w14:paraId="55F5013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40A0077" w14:textId="77777777" w:rsidR="00970438" w:rsidRDefault="00000000">
            <w:pPr>
              <w:spacing w:after="40"/>
            </w:pPr>
            <w:r>
              <w:rPr>
                <w:sz w:val="18"/>
              </w:rPr>
              <w:t>pc-014</w:t>
            </w:r>
          </w:p>
        </w:tc>
        <w:tc>
          <w:tcPr>
            <w:tcW w:w="1134" w:type="dxa"/>
          </w:tcPr>
          <w:p w14:paraId="1EC0BD7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6330FE6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455" w:type="dxa"/>
          </w:tcPr>
          <w:p w14:paraId="699BB70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heydemann-2000-66701ffbb36c_101_yezid-sayigh_004</w:t>
            </w:r>
          </w:p>
        </w:tc>
        <w:tc>
          <w:tcPr>
            <w:tcW w:w="1755" w:type="dxa"/>
          </w:tcPr>
          <w:p w14:paraId="15C8DDE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(2000)</w:t>
            </w:r>
          </w:p>
        </w:tc>
      </w:tr>
      <w:tr w:rsidR="00970438" w14:paraId="170BF06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33D6EB5" w14:textId="77777777" w:rsidR="00970438" w:rsidRDefault="00000000">
            <w:pPr>
              <w:spacing w:after="40"/>
            </w:pPr>
            <w:r>
              <w:rPr>
                <w:sz w:val="18"/>
              </w:rPr>
              <w:t>pc-015</w:t>
            </w:r>
          </w:p>
        </w:tc>
        <w:tc>
          <w:tcPr>
            <w:tcW w:w="1134" w:type="dxa"/>
          </w:tcPr>
          <w:p w14:paraId="56CCDEA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0C86C91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455" w:type="dxa"/>
          </w:tcPr>
          <w:p w14:paraId="29DE67E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ayubi-1995-16fd6a2e503f_10_the-middle-east-and-the-state-debate-a-conceptual-framework_002</w:t>
            </w:r>
          </w:p>
        </w:tc>
        <w:tc>
          <w:tcPr>
            <w:tcW w:w="1755" w:type="dxa"/>
          </w:tcPr>
          <w:p w14:paraId="5445DBB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w:t>
            </w:r>
          </w:p>
        </w:tc>
      </w:tr>
      <w:tr w:rsidR="00970438" w14:paraId="4D0A44CB"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01253DE" w14:textId="77777777" w:rsidR="00970438" w:rsidRDefault="00000000">
            <w:pPr>
              <w:spacing w:after="40"/>
            </w:pPr>
            <w:r>
              <w:rPr>
                <w:sz w:val="18"/>
              </w:rPr>
              <w:t>pc-016</w:t>
            </w:r>
          </w:p>
        </w:tc>
        <w:tc>
          <w:tcPr>
            <w:tcW w:w="1134" w:type="dxa"/>
          </w:tcPr>
          <w:p w14:paraId="1A284B2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16D9144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20EAD4B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heydemann-2004-72a4a9a9b3b0_90_rents-and-fiscal-</w:t>
            </w:r>
            <w:r>
              <w:rPr>
                <w:sz w:val="18"/>
              </w:rPr>
              <w:lastRenderedPageBreak/>
              <w:t>policy_001</w:t>
            </w:r>
          </w:p>
        </w:tc>
        <w:tc>
          <w:tcPr>
            <w:tcW w:w="1755" w:type="dxa"/>
          </w:tcPr>
          <w:p w14:paraId="6BEF0E7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 xml:space="preserve">Steven Heydemann </w:t>
            </w:r>
            <w:r>
              <w:rPr>
                <w:sz w:val="18"/>
              </w:rPr>
              <w:lastRenderedPageBreak/>
              <w:t>(2004)</w:t>
            </w:r>
          </w:p>
        </w:tc>
      </w:tr>
      <w:tr w:rsidR="00970438" w14:paraId="59FA217A"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DFDF2B2" w14:textId="77777777" w:rsidR="00970438" w:rsidRDefault="00000000">
            <w:pPr>
              <w:spacing w:after="40"/>
            </w:pPr>
            <w:r>
              <w:rPr>
                <w:sz w:val="18"/>
              </w:rPr>
              <w:lastRenderedPageBreak/>
              <w:t>pc-017</w:t>
            </w:r>
          </w:p>
        </w:tc>
        <w:tc>
          <w:tcPr>
            <w:tcW w:w="1134" w:type="dxa"/>
          </w:tcPr>
          <w:p w14:paraId="32544D1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671D33B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665578E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heydemann-2004-72a4a9a9b3b0_93_oil-boom-and-rent-seeking-1973-1989_001</w:t>
            </w:r>
          </w:p>
        </w:tc>
        <w:tc>
          <w:tcPr>
            <w:tcW w:w="1755" w:type="dxa"/>
          </w:tcPr>
          <w:p w14:paraId="780B063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(2004)</w:t>
            </w:r>
          </w:p>
        </w:tc>
      </w:tr>
      <w:tr w:rsidR="00970438" w14:paraId="552D950F"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BE339D5" w14:textId="77777777" w:rsidR="00970438" w:rsidRDefault="00000000">
            <w:pPr>
              <w:spacing w:after="40"/>
            </w:pPr>
            <w:r>
              <w:rPr>
                <w:sz w:val="18"/>
              </w:rPr>
              <w:t>pc-018</w:t>
            </w:r>
          </w:p>
        </w:tc>
        <w:tc>
          <w:tcPr>
            <w:tcW w:w="1134" w:type="dxa"/>
          </w:tcPr>
          <w:p w14:paraId="072E8B8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1FAB8A4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455" w:type="dxa"/>
          </w:tcPr>
          <w:p w14:paraId="12E5275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malesevic-2026-4faeb528594d_10_forging-statehood-through-inter-and-intra-state-wars_001</w:t>
            </w:r>
          </w:p>
        </w:tc>
        <w:tc>
          <w:tcPr>
            <w:tcW w:w="1755" w:type="dxa"/>
          </w:tcPr>
          <w:p w14:paraId="7C22915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Siniša Malešević (2026)</w:t>
            </w:r>
          </w:p>
        </w:tc>
      </w:tr>
      <w:tr w:rsidR="00970438" w14:paraId="2D037D2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0BC48F9" w14:textId="77777777" w:rsidR="00970438" w:rsidRDefault="00000000">
            <w:pPr>
              <w:spacing w:after="40"/>
            </w:pPr>
            <w:r>
              <w:rPr>
                <w:sz w:val="18"/>
              </w:rPr>
              <w:t>pc-019</w:t>
            </w:r>
          </w:p>
        </w:tc>
        <w:tc>
          <w:tcPr>
            <w:tcW w:w="1134" w:type="dxa"/>
          </w:tcPr>
          <w:p w14:paraId="6248613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0DC6058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455" w:type="dxa"/>
          </w:tcPr>
          <w:p w14:paraId="00CF96C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malesevic-2007-323a2518e61b_22_militarism-and-empire_001</w:t>
            </w:r>
          </w:p>
        </w:tc>
        <w:tc>
          <w:tcPr>
            <w:tcW w:w="1755" w:type="dxa"/>
          </w:tcPr>
          <w:p w14:paraId="36D88F7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Siniša Malešević and Mark Haugaard (2007)</w:t>
            </w:r>
          </w:p>
        </w:tc>
      </w:tr>
      <w:tr w:rsidR="00970438" w14:paraId="44DFAD32"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9E60335" w14:textId="77777777" w:rsidR="00970438" w:rsidRDefault="00000000">
            <w:pPr>
              <w:spacing w:after="40"/>
            </w:pPr>
            <w:r>
              <w:rPr>
                <w:sz w:val="18"/>
              </w:rPr>
              <w:t>pc-020</w:t>
            </w:r>
          </w:p>
        </w:tc>
        <w:tc>
          <w:tcPr>
            <w:tcW w:w="1134" w:type="dxa"/>
          </w:tcPr>
          <w:p w14:paraId="0815FC9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4E8916A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455" w:type="dxa"/>
          </w:tcPr>
          <w:p w14:paraId="7C3816E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mann-v4-2013-1b7e828e0199_14_mad-and-the-decline-of-war_002</w:t>
            </w:r>
          </w:p>
        </w:tc>
        <w:tc>
          <w:tcPr>
            <w:tcW w:w="1755" w:type="dxa"/>
          </w:tcPr>
          <w:p w14:paraId="0ED2B7B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Michael Mann (2013)</w:t>
            </w:r>
          </w:p>
        </w:tc>
      </w:tr>
      <w:tr w:rsidR="00970438" w14:paraId="2D6E4F6E"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4042158" w14:textId="77777777" w:rsidR="00970438" w:rsidRDefault="00000000">
            <w:pPr>
              <w:spacing w:after="40"/>
            </w:pPr>
            <w:r>
              <w:rPr>
                <w:sz w:val="18"/>
              </w:rPr>
              <w:t>pc-021</w:t>
            </w:r>
          </w:p>
        </w:tc>
        <w:tc>
          <w:tcPr>
            <w:tcW w:w="1134" w:type="dxa"/>
          </w:tcPr>
          <w:p w14:paraId="3D80001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728F508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455" w:type="dxa"/>
          </w:tcPr>
          <w:p w14:paraId="7F107E3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malesevic-2026-4faeb528594d_10_forging-statehood-through-inter-and-intra-state-wars_002</w:t>
            </w:r>
          </w:p>
        </w:tc>
        <w:tc>
          <w:tcPr>
            <w:tcW w:w="1755" w:type="dxa"/>
          </w:tcPr>
          <w:p w14:paraId="36C7E37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Siniša Malešević (2026)</w:t>
            </w:r>
          </w:p>
        </w:tc>
      </w:tr>
      <w:tr w:rsidR="00970438" w14:paraId="21E80578"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BEA0AD2" w14:textId="77777777" w:rsidR="00970438" w:rsidRDefault="00000000">
            <w:pPr>
              <w:spacing w:after="40"/>
            </w:pPr>
            <w:r>
              <w:rPr>
                <w:sz w:val="18"/>
              </w:rPr>
              <w:t>pc-022</w:t>
            </w:r>
          </w:p>
        </w:tc>
        <w:tc>
          <w:tcPr>
            <w:tcW w:w="1134" w:type="dxa"/>
          </w:tcPr>
          <w:p w14:paraId="5CAE0EA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275" w:type="dxa"/>
          </w:tcPr>
          <w:p w14:paraId="1C74F9F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4EA5E4F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mann-v1-2012-5f90ead66c93_136_implication-i-the-emergence-of-the-national-state_003, ungor-2020-ae5701dcc706_31_92-paramilitarism_003, ungor-2020-ae5701dcc706_10_4-paramilitarism_001, heydemann-2000-66701ffbb36c_101_yezid-sayigh_004, malesevic-2026-4faeb528594d_10_forging-statehood-through-inter-and-intra-state-wars_001</w:t>
            </w:r>
          </w:p>
        </w:tc>
        <w:tc>
          <w:tcPr>
            <w:tcW w:w="1755" w:type="dxa"/>
          </w:tcPr>
          <w:p w14:paraId="4D4D19E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 Michael (2012); Siniša Malešević (2026); Steven Heydemann (2000); Uğur Ümit Üngör (2020)</w:t>
            </w:r>
          </w:p>
        </w:tc>
      </w:tr>
      <w:tr w:rsidR="00970438" w14:paraId="622CA00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D268FCE" w14:textId="77777777" w:rsidR="00970438" w:rsidRDefault="00000000">
            <w:pPr>
              <w:spacing w:after="40"/>
            </w:pPr>
            <w:r>
              <w:rPr>
                <w:sz w:val="18"/>
              </w:rPr>
              <w:t>pc-023</w:t>
            </w:r>
          </w:p>
        </w:tc>
        <w:tc>
          <w:tcPr>
            <w:tcW w:w="1134" w:type="dxa"/>
          </w:tcPr>
          <w:p w14:paraId="2B67A90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42CD420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576B968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ungor-2020-ae5701dcc706_31_92-paramilitarism_003, ayubi-1995-16fd6a2e503f_10_the-middle-east-and-the-state-debate-a-conceptual-framework_002, ungor-2020-ae5701dcc706_10_4-paramilitarism_001, mann-v1-2012-5f90ead66c93_136_implication-i-the-emergence-of-the-national-state_003, mann-v2-1993-ec759675dcbd_111_phase-2-revolution-reform-and-representation-1780-1850_003</w:t>
            </w:r>
          </w:p>
        </w:tc>
        <w:tc>
          <w:tcPr>
            <w:tcW w:w="1755" w:type="dxa"/>
          </w:tcPr>
          <w:p w14:paraId="557AC6E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Mann, Michael (2012); Michael Mann (1993); Uğur Ümit Üngör (2020)</w:t>
            </w:r>
          </w:p>
        </w:tc>
      </w:tr>
      <w:tr w:rsidR="00970438" w14:paraId="4FD0C09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503CA70" w14:textId="77777777" w:rsidR="00970438" w:rsidRDefault="00000000">
            <w:pPr>
              <w:spacing w:after="40"/>
            </w:pPr>
            <w:r>
              <w:rPr>
                <w:sz w:val="18"/>
              </w:rPr>
              <w:t>pc-024</w:t>
            </w:r>
          </w:p>
        </w:tc>
        <w:tc>
          <w:tcPr>
            <w:tcW w:w="1134" w:type="dxa"/>
          </w:tcPr>
          <w:p w14:paraId="5D7A16B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275" w:type="dxa"/>
          </w:tcPr>
          <w:p w14:paraId="2FC7014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0089494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heydemann-2000-66701ffbb36c_101_yezid-sayigh_004, malesevic-2026-4faeb528594d_10_forging-statehood-through-inter-and-intra-state-wars_001, ungor-2020-ae5701dcc706_31_92-paramilitarism_003</w:t>
            </w:r>
          </w:p>
        </w:tc>
        <w:tc>
          <w:tcPr>
            <w:tcW w:w="1755" w:type="dxa"/>
          </w:tcPr>
          <w:p w14:paraId="2DCDEB8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Siniša Malešević (2026); Steven Heydemann (2000); Uğur Ümit Üngör (2020)</w:t>
            </w:r>
          </w:p>
        </w:tc>
      </w:tr>
      <w:tr w:rsidR="00970438" w14:paraId="5988114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678D7C1" w14:textId="77777777" w:rsidR="00970438" w:rsidRDefault="00000000">
            <w:pPr>
              <w:spacing w:after="40"/>
            </w:pPr>
            <w:r>
              <w:rPr>
                <w:sz w:val="18"/>
              </w:rPr>
              <w:t>pc-025</w:t>
            </w:r>
          </w:p>
        </w:tc>
        <w:tc>
          <w:tcPr>
            <w:tcW w:w="1134" w:type="dxa"/>
          </w:tcPr>
          <w:p w14:paraId="34F9CB2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6DF347F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455" w:type="dxa"/>
          </w:tcPr>
          <w:p w14:paraId="291BF24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malesevic-2007-323a2518e61b_22_militarism-and-empire_001, malesevic-2026-4faeb528594d_10_forging-statehood-through-inter-and-intra-state-wars_001, mann-v4-2013-1b7e828e0199_14_mad-and-the-decline-of-war_002, mann-v1-2012-5f90ead66c93_136_implication-i-the-emergence-of-the-national-state_003</w:t>
            </w:r>
          </w:p>
        </w:tc>
        <w:tc>
          <w:tcPr>
            <w:tcW w:w="1755" w:type="dxa"/>
          </w:tcPr>
          <w:p w14:paraId="302A158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Mann, Michael (2012); Michael Mann (2013); Siniša Malešević (2026); Siniša Malešević and Mark Haugaard (2007)</w:t>
            </w:r>
          </w:p>
        </w:tc>
      </w:tr>
      <w:tr w:rsidR="00970438" w14:paraId="4B4957F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40B2CE7" w14:textId="77777777" w:rsidR="00970438" w:rsidRDefault="00000000">
            <w:pPr>
              <w:spacing w:after="40"/>
            </w:pPr>
            <w:r>
              <w:rPr>
                <w:sz w:val="18"/>
              </w:rPr>
              <w:t>pc-026</w:t>
            </w:r>
          </w:p>
        </w:tc>
        <w:tc>
          <w:tcPr>
            <w:tcW w:w="1134" w:type="dxa"/>
          </w:tcPr>
          <w:p w14:paraId="4BC6738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275" w:type="dxa"/>
          </w:tcPr>
          <w:p w14:paraId="174B0B8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35066C8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ungor-2020-ae5701dcc706_31_92-paramilitarism_003, ayubi-1995-16fd6a2e503f_10_the-middle-east-and-the-state-debate-a-conceptual-framework_002, ungor-2020-ae5701dcc706_10_4-paramilitarism_001</w:t>
            </w:r>
          </w:p>
        </w:tc>
        <w:tc>
          <w:tcPr>
            <w:tcW w:w="1755" w:type="dxa"/>
          </w:tcPr>
          <w:p w14:paraId="527E1DC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 Uğur Ümit Üngör (2020)</w:t>
            </w:r>
          </w:p>
        </w:tc>
      </w:tr>
      <w:tr w:rsidR="00970438" w:rsidRPr="00D06213" w14:paraId="447FE07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7C0CEE3" w14:textId="77777777" w:rsidR="00970438" w:rsidRDefault="00000000">
            <w:pPr>
              <w:spacing w:after="40"/>
            </w:pPr>
            <w:r>
              <w:rPr>
                <w:sz w:val="18"/>
              </w:rPr>
              <w:t>pc-027</w:t>
            </w:r>
          </w:p>
        </w:tc>
        <w:tc>
          <w:tcPr>
            <w:tcW w:w="1134" w:type="dxa"/>
          </w:tcPr>
          <w:p w14:paraId="1ACDB5B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60C1838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7AE0900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heydemann-2000-66701ffbb36c_101_yezid-sayigh_004, heydemann-2004-72a4a9a9b3b0_90_rents-and-fiscal-policy_001, ungor-2020-ae5701dcc706_31_92-paramilitarism_003, ayubi-1995-16fd6a2e503f_10_the-middle-east-and-the-state-debate-a-conceptual-framework_002, ungor-2020-ae5701dcc706_10_4-</w:t>
            </w:r>
            <w:r>
              <w:rPr>
                <w:sz w:val="18"/>
              </w:rPr>
              <w:lastRenderedPageBreak/>
              <w:t>paramilitarism_001</w:t>
            </w:r>
          </w:p>
        </w:tc>
        <w:tc>
          <w:tcPr>
            <w:tcW w:w="1755" w:type="dxa"/>
          </w:tcPr>
          <w:p w14:paraId="1402A4FB"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lastRenderedPageBreak/>
              <w:t>Ayubi, Nazih N.; (1995); Steven Heydemann (2000); Steven Heydemann (2004); Uğur Ümit Üngör (2020)</w:t>
            </w:r>
          </w:p>
        </w:tc>
      </w:tr>
      <w:tr w:rsidR="00970438" w:rsidRPr="00D06213" w14:paraId="54A8F44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8D3004E" w14:textId="77777777" w:rsidR="00970438" w:rsidRDefault="00000000">
            <w:pPr>
              <w:spacing w:after="40"/>
            </w:pPr>
            <w:r>
              <w:rPr>
                <w:sz w:val="18"/>
              </w:rPr>
              <w:t>pc-028</w:t>
            </w:r>
          </w:p>
        </w:tc>
        <w:tc>
          <w:tcPr>
            <w:tcW w:w="1134" w:type="dxa"/>
          </w:tcPr>
          <w:p w14:paraId="51BFB0B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275" w:type="dxa"/>
          </w:tcPr>
          <w:p w14:paraId="41EA2F9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5031BEE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mann-v1-2012-5f90ead66c93_136_implication-i-the-emergence-of-the-national-state_003, ungor-2020-ae5701dcc706_31_92-paramilitarism_003, heydemann-2000-66701ffbb36c_101_yezid-sayigh_004, ayubi-1995-16fd6a2e503f_10_the-middle-east-and-the-state-debate-a-conceptual-framework_002, ungor-2020-ae5701dcc706_10_4-paramilitarism_001</w:t>
            </w:r>
          </w:p>
        </w:tc>
        <w:tc>
          <w:tcPr>
            <w:tcW w:w="1755" w:type="dxa"/>
          </w:tcPr>
          <w:p w14:paraId="1F748898" w14:textId="77777777" w:rsidR="00970438" w:rsidRPr="00D06213" w:rsidRDefault="00000000">
            <w:pPr>
              <w:spacing w:after="40"/>
              <w:cnfStyle w:val="000000010000" w:firstRow="0" w:lastRow="0" w:firstColumn="0" w:lastColumn="0" w:oddVBand="0" w:evenVBand="0" w:oddHBand="0" w:evenHBand="1" w:firstRowFirstColumn="0" w:firstRowLastColumn="0" w:lastRowFirstColumn="0" w:lastRowLastColumn="0"/>
              <w:rPr>
                <w:lang w:val="nl-NL"/>
              </w:rPr>
            </w:pPr>
            <w:r w:rsidRPr="00D06213">
              <w:rPr>
                <w:sz w:val="18"/>
                <w:lang w:val="nl-NL"/>
              </w:rPr>
              <w:t>Ayubi, Nazih N.; (1995); Mann, Michael (2012); Steven Heydemann (2000); Uğur Ümit Üngör (2020)</w:t>
            </w:r>
          </w:p>
        </w:tc>
      </w:tr>
      <w:tr w:rsidR="00970438" w14:paraId="43082FE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0B119F1" w14:textId="77777777" w:rsidR="00970438" w:rsidRDefault="00000000">
            <w:pPr>
              <w:spacing w:after="40"/>
            </w:pPr>
            <w:r>
              <w:rPr>
                <w:sz w:val="18"/>
              </w:rPr>
              <w:t>pc-029</w:t>
            </w:r>
          </w:p>
        </w:tc>
        <w:tc>
          <w:tcPr>
            <w:tcW w:w="1134" w:type="dxa"/>
          </w:tcPr>
          <w:p w14:paraId="553D28F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(carried)</w:t>
            </w:r>
          </w:p>
        </w:tc>
        <w:tc>
          <w:tcPr>
            <w:tcW w:w="1275" w:type="dxa"/>
          </w:tcPr>
          <w:p w14:paraId="265858B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455" w:type="dxa"/>
          </w:tcPr>
          <w:p w14:paraId="2650B3B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mann-v2-1993-ec759675dcbd_111_phase-2-revolution-reform-and-representation-1780-1850_003, ungor-2020-ae5701dcc706_10_4-paramilitarism_001, ayubi-1995-16fd6a2e503f_10_the-middle-east-and-the-state-debate-a-conceptual-framework_002</w:t>
            </w:r>
          </w:p>
        </w:tc>
        <w:tc>
          <w:tcPr>
            <w:tcW w:w="1755" w:type="dxa"/>
          </w:tcPr>
          <w:p w14:paraId="010BF6D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Michael Mann (1993); Uğur Ümit Üngör (2020)</w:t>
            </w:r>
          </w:p>
        </w:tc>
      </w:tr>
      <w:tr w:rsidR="00970438" w14:paraId="6A5C7AA5"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C2370F0" w14:textId="77777777" w:rsidR="00970438" w:rsidRDefault="00000000">
            <w:pPr>
              <w:spacing w:after="40"/>
            </w:pPr>
            <w:r>
              <w:rPr>
                <w:sz w:val="18"/>
              </w:rPr>
              <w:t>pc-030</w:t>
            </w:r>
          </w:p>
        </w:tc>
        <w:tc>
          <w:tcPr>
            <w:tcW w:w="1134" w:type="dxa"/>
          </w:tcPr>
          <w:p w14:paraId="66B0845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275" w:type="dxa"/>
          </w:tcPr>
          <w:p w14:paraId="1CD1358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20FF399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ayubi-1995-16fd6a2e503f_10_the-middle-east-and-the-state-debate-a-conceptual-framework_002, ungor-2020-ae5701dcc706_31_92-paramilitarism_003, heydemann-2000-66701ffbb36c_101_yezid-sayigh_004</w:t>
            </w:r>
          </w:p>
        </w:tc>
        <w:tc>
          <w:tcPr>
            <w:tcW w:w="1755" w:type="dxa"/>
          </w:tcPr>
          <w:p w14:paraId="7A5001A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 Steven Heydemann (2000); Uğur Ümit Üngör (2020)</w:t>
            </w:r>
          </w:p>
        </w:tc>
      </w:tr>
      <w:tr w:rsidR="00970438" w:rsidRPr="00D06213" w14:paraId="2E7C0B4B"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8DA0C71" w14:textId="77777777" w:rsidR="00970438" w:rsidRDefault="00000000">
            <w:pPr>
              <w:spacing w:after="40"/>
            </w:pPr>
            <w:r>
              <w:rPr>
                <w:sz w:val="18"/>
              </w:rPr>
              <w:t>pc-031</w:t>
            </w:r>
          </w:p>
        </w:tc>
        <w:tc>
          <w:tcPr>
            <w:tcW w:w="1134" w:type="dxa"/>
          </w:tcPr>
          <w:p w14:paraId="601C389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35B40EA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57A260E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w:t>
            </w:r>
          </w:p>
        </w:tc>
        <w:tc>
          <w:tcPr>
            <w:tcW w:w="1755" w:type="dxa"/>
          </w:tcPr>
          <w:p w14:paraId="0B6B4D2A"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Steven Heydemann (2004)</w:t>
            </w:r>
          </w:p>
        </w:tc>
      </w:tr>
      <w:tr w:rsidR="00970438" w14:paraId="700AE1EA"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7C9F736" w14:textId="77777777" w:rsidR="00970438" w:rsidRDefault="00000000">
            <w:pPr>
              <w:spacing w:after="40"/>
            </w:pPr>
            <w:r>
              <w:rPr>
                <w:sz w:val="18"/>
              </w:rPr>
              <w:t>pc-032</w:t>
            </w:r>
          </w:p>
        </w:tc>
        <w:tc>
          <w:tcPr>
            <w:tcW w:w="1134" w:type="dxa"/>
          </w:tcPr>
          <w:p w14:paraId="4A1DD0F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275" w:type="dxa"/>
          </w:tcPr>
          <w:p w14:paraId="74E5B73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455" w:type="dxa"/>
          </w:tcPr>
          <w:p w14:paraId="2BB1C67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vignal-2021-c7005c2bf8ef_30_fragmenting-space-and-society-to-suppress-the-revolution_001, vignal-2021-c7005c2bf8ef_22_the-shabab-revolution_001</w:t>
            </w:r>
          </w:p>
        </w:tc>
        <w:tc>
          <w:tcPr>
            <w:tcW w:w="1755" w:type="dxa"/>
          </w:tcPr>
          <w:p w14:paraId="5E1894A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Leila Vignal ; (2021)</w:t>
            </w:r>
          </w:p>
        </w:tc>
      </w:tr>
      <w:tr w:rsidR="00970438" w14:paraId="00DBF94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C89D0C1" w14:textId="77777777" w:rsidR="00970438" w:rsidRDefault="00000000">
            <w:pPr>
              <w:spacing w:after="40"/>
            </w:pPr>
            <w:r>
              <w:rPr>
                <w:sz w:val="18"/>
              </w:rPr>
              <w:t>pc-033</w:t>
            </w:r>
          </w:p>
        </w:tc>
        <w:tc>
          <w:tcPr>
            <w:tcW w:w="1134" w:type="dxa"/>
          </w:tcPr>
          <w:p w14:paraId="7E1A7AF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275" w:type="dxa"/>
          </w:tcPr>
          <w:p w14:paraId="58EC438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7AE6636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kao-2025-ab19e646ab7d_54_1-introduction_001, kao-2025-ab19e646ab7d_58_5-local-governance-and-the-return-of-the-regime-mid-2018-to-the-present_002</w:t>
            </w:r>
          </w:p>
        </w:tc>
        <w:tc>
          <w:tcPr>
            <w:tcW w:w="1755" w:type="dxa"/>
          </w:tcPr>
          <w:p w14:paraId="737F974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Kristen Kao (Editor) (2025)</w:t>
            </w:r>
          </w:p>
        </w:tc>
      </w:tr>
      <w:tr w:rsidR="00970438" w14:paraId="25012A3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1F6FB54" w14:textId="77777777" w:rsidR="00970438" w:rsidRDefault="00000000">
            <w:pPr>
              <w:spacing w:after="40"/>
            </w:pPr>
            <w:r>
              <w:rPr>
                <w:sz w:val="18"/>
              </w:rPr>
              <w:t>pc-034</w:t>
            </w:r>
          </w:p>
        </w:tc>
        <w:tc>
          <w:tcPr>
            <w:tcW w:w="1134" w:type="dxa"/>
          </w:tcPr>
          <w:p w14:paraId="4B14738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275" w:type="dxa"/>
          </w:tcPr>
          <w:p w14:paraId="6AA0AEE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455" w:type="dxa"/>
          </w:tcPr>
          <w:p w14:paraId="31621C7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ungor-2020-ae5701dcc706_10_4-paramilitarism_001</w:t>
            </w:r>
          </w:p>
        </w:tc>
        <w:tc>
          <w:tcPr>
            <w:tcW w:w="1755" w:type="dxa"/>
          </w:tcPr>
          <w:p w14:paraId="1BEB17E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Uğur Ümit Üngör (2020)</w:t>
            </w:r>
          </w:p>
        </w:tc>
      </w:tr>
      <w:tr w:rsidR="00970438" w14:paraId="1E87317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8BCB73A" w14:textId="77777777" w:rsidR="00970438" w:rsidRDefault="00000000">
            <w:pPr>
              <w:spacing w:after="40"/>
            </w:pPr>
            <w:r>
              <w:rPr>
                <w:sz w:val="18"/>
              </w:rPr>
              <w:t>pc-035</w:t>
            </w:r>
          </w:p>
        </w:tc>
        <w:tc>
          <w:tcPr>
            <w:tcW w:w="1134" w:type="dxa"/>
          </w:tcPr>
          <w:p w14:paraId="3ACDF79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275" w:type="dxa"/>
          </w:tcPr>
          <w:p w14:paraId="0AA0860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455" w:type="dxa"/>
          </w:tcPr>
          <w:p w14:paraId="4B4234B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ungor-2020-ae5701dcc706_10_4-paramilitarism_001</w:t>
            </w:r>
          </w:p>
        </w:tc>
        <w:tc>
          <w:tcPr>
            <w:tcW w:w="1755" w:type="dxa"/>
          </w:tcPr>
          <w:p w14:paraId="45EC8A6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Uğur Ümit Üngör (2020)</w:t>
            </w:r>
          </w:p>
        </w:tc>
      </w:tr>
      <w:tr w:rsidR="00970438" w14:paraId="5CC87A3A"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3809E95" w14:textId="77777777" w:rsidR="00970438" w:rsidRDefault="00000000">
            <w:pPr>
              <w:spacing w:after="40"/>
            </w:pPr>
            <w:r>
              <w:rPr>
                <w:sz w:val="18"/>
              </w:rPr>
              <w:t>pc-036</w:t>
            </w:r>
          </w:p>
        </w:tc>
        <w:tc>
          <w:tcPr>
            <w:tcW w:w="1134" w:type="dxa"/>
          </w:tcPr>
          <w:p w14:paraId="38508E8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(this paper's verdict)</w:t>
            </w:r>
          </w:p>
        </w:tc>
        <w:tc>
          <w:tcPr>
            <w:tcW w:w="1275" w:type="dxa"/>
          </w:tcPr>
          <w:p w14:paraId="05778C3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455" w:type="dxa"/>
          </w:tcPr>
          <w:p w14:paraId="564AA09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hall-2006-449559bfe4dc_68_infrastructural-power-and-globalization_001, hall-2006-449559bfe4dc_111_frank-trentmann_009, hall-2006-449559bfe4dc_48_performance-on-the-hazards-of-analytical-tacking_001</w:t>
            </w:r>
          </w:p>
        </w:tc>
        <w:tc>
          <w:tcPr>
            <w:tcW w:w="1755" w:type="dxa"/>
          </w:tcPr>
          <w:p w14:paraId="07FF00A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John A. Hall and Ralph Schroeder (2006)</w:t>
            </w:r>
          </w:p>
        </w:tc>
      </w:tr>
      <w:tr w:rsidR="00970438" w14:paraId="67C0021B"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205FD6E" w14:textId="77777777" w:rsidR="00970438" w:rsidRDefault="00000000">
            <w:pPr>
              <w:spacing w:after="40"/>
            </w:pPr>
            <w:r>
              <w:rPr>
                <w:sz w:val="18"/>
              </w:rPr>
              <w:t>pc-037</w:t>
            </w:r>
          </w:p>
        </w:tc>
        <w:tc>
          <w:tcPr>
            <w:tcW w:w="1134" w:type="dxa"/>
          </w:tcPr>
          <w:p w14:paraId="0AD8303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(this paper's inference)</w:t>
            </w:r>
          </w:p>
        </w:tc>
        <w:tc>
          <w:tcPr>
            <w:tcW w:w="1275" w:type="dxa"/>
          </w:tcPr>
          <w:p w14:paraId="22BD895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455" w:type="dxa"/>
          </w:tcPr>
          <w:p w14:paraId="5C4B8C2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w:t>
            </w:r>
          </w:p>
        </w:tc>
        <w:tc>
          <w:tcPr>
            <w:tcW w:w="1755" w:type="dxa"/>
          </w:tcPr>
          <w:p w14:paraId="594C861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John A. Hall and Ralph Schroeder (2006); Michael Mann (1993); Uğur Ümit Üngör (2020)</w:t>
            </w:r>
          </w:p>
        </w:tc>
      </w:tr>
      <w:tr w:rsidR="00970438" w14:paraId="0B8CD7B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C1DAE09" w14:textId="77777777" w:rsidR="00970438" w:rsidRDefault="00000000">
            <w:pPr>
              <w:spacing w:after="40"/>
            </w:pPr>
            <w:r>
              <w:rPr>
                <w:sz w:val="18"/>
              </w:rPr>
              <w:t>pc-038</w:t>
            </w:r>
          </w:p>
        </w:tc>
        <w:tc>
          <w:tcPr>
            <w:tcW w:w="1134" w:type="dxa"/>
          </w:tcPr>
          <w:p w14:paraId="29AA5C2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c (this </w:t>
            </w:r>
            <w:r>
              <w:rPr>
                <w:sz w:val="18"/>
              </w:rPr>
              <w:lastRenderedPageBreak/>
              <w:t>paper's verdict)</w:t>
            </w:r>
          </w:p>
        </w:tc>
        <w:tc>
          <w:tcPr>
            <w:tcW w:w="1275" w:type="dxa"/>
          </w:tcPr>
          <w:p w14:paraId="079DDF3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low</w:t>
            </w:r>
          </w:p>
        </w:tc>
        <w:tc>
          <w:tcPr>
            <w:tcW w:w="4455" w:type="dxa"/>
          </w:tcPr>
          <w:p w14:paraId="4E8930C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mann-v2-1993-ec759675dcbd_111_phase-2-revolution-</w:t>
            </w:r>
            <w:r>
              <w:rPr>
                <w:sz w:val="18"/>
              </w:rPr>
              <w:lastRenderedPageBreak/>
              <w:t>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 heydemann-2004-72a4a9a9b3b0_144_the-genesis-of-a-network-the-rise-of-postindependence-private-elites-in-morocco_001, ayubi-1995-16fd6a2e503f_146_conclusion-the-strong-the-hard-and-the-fierce_003, heydemann-2004-72a4a9a9b3b0_58_conclusion_001, mann-v1-2012-5f90ead66c93_136_implication-i-the-emergence-of-the-national-state_003, ungor-2020-ae5701dcc706_31_92-paramilitarism_003, heydemann-2000-66701ffbb36c_101_yezid-sayigh_004</w:t>
            </w:r>
          </w:p>
        </w:tc>
        <w:tc>
          <w:tcPr>
            <w:tcW w:w="1755" w:type="dxa"/>
          </w:tcPr>
          <w:p w14:paraId="0020F61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 xml:space="preserve">Ayubi, Nazih N.; </w:t>
            </w:r>
            <w:r>
              <w:rPr>
                <w:sz w:val="18"/>
              </w:rPr>
              <w:lastRenderedPageBreak/>
              <w:t>(1995); John A. Hall and Ralph Schroeder (2006); Mann, Michael (2012); Michael Mann (1993); Steven Heydemann (2000); Steven Heydemann (2004); Uğur Ümit Üngör (2020)</w:t>
            </w:r>
          </w:p>
        </w:tc>
      </w:tr>
      <w:tr w:rsidR="00970438" w14:paraId="4395002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53C9D1D" w14:textId="77777777" w:rsidR="00970438" w:rsidRDefault="00000000">
            <w:pPr>
              <w:spacing w:after="40"/>
            </w:pPr>
            <w:r>
              <w:rPr>
                <w:sz w:val="18"/>
              </w:rPr>
              <w:lastRenderedPageBreak/>
              <w:t>pc-039</w:t>
            </w:r>
          </w:p>
        </w:tc>
        <w:tc>
          <w:tcPr>
            <w:tcW w:w="1134" w:type="dxa"/>
          </w:tcPr>
          <w:p w14:paraId="71643FA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(this paper's inference)</w:t>
            </w:r>
          </w:p>
        </w:tc>
        <w:tc>
          <w:tcPr>
            <w:tcW w:w="1275" w:type="dxa"/>
          </w:tcPr>
          <w:p w14:paraId="2DEA203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455" w:type="dxa"/>
          </w:tcPr>
          <w:p w14:paraId="09E22DC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ungor-2020-ae5701dcc706_31_92-paramilitarism_003, ayubi-1995-16fd6a2e503f_146_conclusion-the-strong-the-hard-and-the-fierce_003, heydemann-2004-72a4a9a9b3b0_144_the-genesis-of-a-network-the-rise-of-postindependence-private-elites-in-morocco_001, heydemann-2004-72a4a9a9b3b0_58_conclusion_001</w:t>
            </w:r>
          </w:p>
        </w:tc>
        <w:tc>
          <w:tcPr>
            <w:tcW w:w="1755" w:type="dxa"/>
          </w:tcPr>
          <w:p w14:paraId="4503F32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Steven Heydemann (2004); Uğur Ümit Üngör (2020)</w:t>
            </w:r>
          </w:p>
        </w:tc>
      </w:tr>
    </w:tbl>
    <w:p w14:paraId="4633CD35" w14:textId="77777777" w:rsidR="00970438" w:rsidRDefault="00970438"/>
    <w:p w14:paraId="4C543974" w14:textId="77777777" w:rsidR="00970438" w:rsidRDefault="00000000" w:rsidP="009C625C">
      <w:pPr>
        <w:pStyle w:val="Heading4"/>
        <w:jc w:val="both"/>
      </w:pPr>
      <w:r>
        <w:t>Bibliography</w:t>
      </w:r>
    </w:p>
    <w:p w14:paraId="562CF0C1" w14:textId="77777777" w:rsidR="00970438" w:rsidRDefault="00000000" w:rsidP="009C625C">
      <w:pPr>
        <w:pStyle w:val="ListBullet"/>
        <w:spacing w:after="60"/>
        <w:jc w:val="both"/>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14:paraId="151CFF3F" w14:textId="77777777" w:rsidR="00970438" w:rsidRDefault="00000000" w:rsidP="009C625C">
      <w:pPr>
        <w:pStyle w:val="ListBullet"/>
        <w:spacing w:after="60"/>
        <w:jc w:val="both"/>
      </w:pPr>
      <w:r>
        <w:rPr>
          <w:b/>
        </w:rPr>
        <w:t>vignal-2021-c7005c2bf8ef</w:t>
      </w:r>
      <w:r>
        <w:t xml:space="preserve"> — author: Leila Vignal ; (from embedded metadata); title: War-Torn (from embedded metadata); date: 2021 (from title page); publisher: C. Hurst and Company (Publishers) Limited (from open_library)</w:t>
      </w:r>
    </w:p>
    <w:p w14:paraId="1478D347" w14:textId="77777777" w:rsidR="00970438" w:rsidRDefault="00000000" w:rsidP="009C625C">
      <w:pPr>
        <w:pStyle w:val="ListBullet"/>
        <w:spacing w:after="60"/>
        <w:jc w:val="both"/>
      </w:pPr>
      <w:r>
        <w:rPr>
          <w:b/>
        </w:rPr>
        <w:t>ayubi-1995-16fd6a2e503f</w:t>
      </w:r>
      <w:r>
        <w:t xml:space="preserve"> — author: Ayubi, Nazih N.; (from embedded metadata); title: Over-stating the Arab State (from open_library); date: 1995 (from title page); publisher: I. B. Tauris (from open_library)</w:t>
      </w:r>
    </w:p>
    <w:p w14:paraId="7A4E17E4" w14:textId="77777777" w:rsidR="00970438" w:rsidRDefault="00000000" w:rsidP="009C625C">
      <w:pPr>
        <w:pStyle w:val="ListBullet"/>
        <w:spacing w:after="60"/>
        <w:jc w:val="both"/>
      </w:pPr>
      <w:r>
        <w:rPr>
          <w:b/>
        </w:rPr>
        <w:t>bayat-2017-ce6bb0643cfb</w:t>
      </w:r>
      <w:r>
        <w:t xml:space="preserve"> — author: Asef Bayat (from embedded metadata); title: Revolution Without Revolutionaries (from embedded metadata); date: 2017 (from title page); publisher: Stanford University Press (from open_library)</w:t>
      </w:r>
    </w:p>
    <w:p w14:paraId="20F78283" w14:textId="77777777" w:rsidR="00970438" w:rsidRDefault="00000000" w:rsidP="009C625C">
      <w:pPr>
        <w:pStyle w:val="ListBullet"/>
        <w:spacing w:after="60"/>
        <w:jc w:val="both"/>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14:paraId="525698A8" w14:textId="77777777" w:rsidR="00970438" w:rsidRDefault="00000000" w:rsidP="009C625C">
      <w:pPr>
        <w:pStyle w:val="ListBullet"/>
        <w:spacing w:after="60"/>
        <w:jc w:val="both"/>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14:paraId="5F2B404B" w14:textId="77777777" w:rsidR="00970438" w:rsidRDefault="00000000" w:rsidP="009C625C">
      <w:pPr>
        <w:pStyle w:val="ListBullet"/>
        <w:spacing w:after="60"/>
        <w:jc w:val="both"/>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14:paraId="194E603B" w14:textId="77777777" w:rsidR="00970438" w:rsidRDefault="00000000" w:rsidP="009C625C">
      <w:pPr>
        <w:pStyle w:val="ListBullet"/>
        <w:spacing w:after="60"/>
        <w:jc w:val="both"/>
      </w:pPr>
      <w:r>
        <w:rPr>
          <w:b/>
        </w:rPr>
        <w:lastRenderedPageBreak/>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14:paraId="6ECE68E2" w14:textId="77777777" w:rsidR="00970438" w:rsidRDefault="00000000" w:rsidP="009C625C">
      <w:pPr>
        <w:pStyle w:val="ListBullet"/>
        <w:spacing w:after="60"/>
        <w:jc w:val="both"/>
      </w:pPr>
      <w:r>
        <w:rPr>
          <w:b/>
        </w:rPr>
        <w:t>malesevic-2007-323a2518e61b</w:t>
      </w:r>
      <w:r>
        <w:t xml:space="preserve"> — author: Siniša Malešević and Mark Haugaard (from title page); title: Ernest Gellner and Contemporary Social Thought (from title page); date: 2007 (from title page); publisher: Cambridge University Press (from open_library)</w:t>
      </w:r>
    </w:p>
    <w:p w14:paraId="7F9AA1CE" w14:textId="77777777" w:rsidR="00970438" w:rsidRDefault="00000000" w:rsidP="009C625C">
      <w:pPr>
        <w:pStyle w:val="ListBullet"/>
        <w:spacing w:after="60"/>
        <w:jc w:val="both"/>
      </w:pPr>
      <w:r>
        <w:rPr>
          <w:b/>
        </w:rPr>
        <w:t>mann-v4-2013-1b7e828e0199</w:t>
      </w:r>
      <w:r>
        <w:t xml:space="preserve"> — author: Michael Mann (from embedded metadata); title: The Sources of Social Power (from embedded metadata); date: 2013 (from title page); publisher: Cambridge University Press (from open_library)</w:t>
      </w:r>
    </w:p>
    <w:p w14:paraId="6A3E57D7" w14:textId="77777777" w:rsidR="00970438" w:rsidRDefault="00000000" w:rsidP="009C625C">
      <w:pPr>
        <w:pStyle w:val="ListBullet"/>
        <w:spacing w:after="60"/>
        <w:jc w:val="both"/>
      </w:pPr>
      <w:r>
        <w:rPr>
          <w:b/>
        </w:rPr>
        <w:t>mann-v1-2012-5f90ead66c93</w:t>
      </w:r>
      <w:r>
        <w:t xml:space="preserve"> — author: Mann, Michael (from embedded metadata); title: The Sources of Social Power, Volume 1 (from embedded metadata); date: 2012 (from title page); publisher: Cambridge University Press (from open_library)</w:t>
      </w:r>
    </w:p>
    <w:p w14:paraId="74BCC49E" w14:textId="77777777" w:rsidR="00970438" w:rsidRDefault="00000000" w:rsidP="009C625C">
      <w:pPr>
        <w:pStyle w:val="ListBullet"/>
        <w:spacing w:after="60"/>
        <w:jc w:val="both"/>
      </w:pPr>
      <w:r>
        <w:rPr>
          <w:b/>
        </w:rPr>
        <w:t>mann-v2-1993-ec759675dcbd</w:t>
      </w:r>
      <w:r>
        <w:t xml:space="preserve"> — author: Michael Mann (from embedded metadata); title: The Sources of Social Power: Volume 2, The Rise of Classes and Nation States 1760-1914 (from embedded metadata); date: 1993 (from title page); publisher: Cambridge University Press (from open_library)</w:t>
      </w:r>
    </w:p>
    <w:p w14:paraId="08CFE8B9" w14:textId="77777777" w:rsidR="00970438" w:rsidRDefault="00000000" w:rsidP="009C625C">
      <w:pPr>
        <w:pStyle w:val="ListBullet"/>
        <w:spacing w:after="60"/>
        <w:jc w:val="both"/>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14:paraId="6063106A" w14:textId="77777777" w:rsidR="00D06213" w:rsidRPr="00D06213" w:rsidRDefault="00D06213" w:rsidP="00D06213">
      <w:pPr>
        <w:rPr>
          <w:rFonts w:cs="Calibri"/>
          <w:color w:val="000000"/>
        </w:rPr>
      </w:pPr>
      <w:r w:rsidRPr="00D06213">
        <w:rPr>
          <w:rFonts w:cs="Calibri"/>
          <w:color w:val="000000"/>
        </w:rPr>
        <w:br w:type="page"/>
      </w:r>
    </w:p>
    <w:p w14:paraId="2B1FB67C" w14:textId="46A5C428" w:rsidR="00970438" w:rsidRDefault="00000000" w:rsidP="009C625C">
      <w:pPr>
        <w:pStyle w:val="Heading2"/>
        <w:jc w:val="both"/>
      </w:pPr>
      <w:bookmarkStart w:id="55" w:name="_Toc236945280"/>
      <w:r>
        <w:lastRenderedPageBreak/>
        <w:t>Appendix E — The second paper, and the questions behind it</w:t>
      </w:r>
      <w:bookmarkEnd w:id="55"/>
    </w:p>
    <w:p w14:paraId="7AA86C24" w14:textId="77777777" w:rsidR="00970438" w:rsidRDefault="00000000" w:rsidP="009C625C">
      <w:pPr>
        <w:pStyle w:val="Heading3"/>
        <w:jc w:val="both"/>
      </w:pPr>
      <w:bookmarkStart w:id="56" w:name="_Toc236945281"/>
      <w:r>
        <w:t>The paper brief</w:t>
      </w:r>
      <w:bookmarkEnd w:id="56"/>
    </w:p>
    <w:p w14:paraId="2A498AA7" w14:textId="77777777" w:rsidR="00970438" w:rsidRDefault="00000000" w:rsidP="009C625C">
      <w:pPr>
        <w:jc w:val="both"/>
      </w:pPr>
      <w:r>
        <w:rPr>
          <w:b/>
        </w:rPr>
        <w:t>Title.</w:t>
      </w:r>
      <w:r>
        <w:t xml:space="preserve"> What the Mandate Built</w:t>
      </w:r>
    </w:p>
    <w:p w14:paraId="6258FFF5" w14:textId="77777777" w:rsidR="00970438" w:rsidRDefault="00000000" w:rsidP="009C625C">
      <w:pPr>
        <w:jc w:val="both"/>
      </w:pPr>
      <w:r>
        <w:rPr>
          <w:b/>
        </w:rPr>
        <w:t>Organising question (the `thesis` field).</w:t>
      </w:r>
      <w:r>
        <w:t xml:space="preserve"> The institutions that decided who held power in Syria after 2011 were built under the mandate, not by the Baath and not by the war. What changed across a century was which group the arrangement favoured, and what stayed constant was that belonging, rather than office, was the thing being allocated.</w:t>
      </w:r>
    </w:p>
    <w:p w14:paraId="0B604B4D" w14:textId="77777777" w:rsidR="00970438" w:rsidRDefault="00000000" w:rsidP="009C625C">
      <w:pPr>
        <w:jc w:val="both"/>
      </w:pPr>
      <w:r>
        <w:rPr>
          <w:b/>
        </w:rPr>
        <w:t>Lens.</w:t>
      </w:r>
      <w:r>
        <w:t xml:space="preserve"> political-economy</w:t>
      </w:r>
    </w:p>
    <w:p w14:paraId="08356EAA" w14:textId="77777777" w:rsidR="00970438" w:rsidRDefault="00000000" w:rsidP="009C625C">
      <w:pPr>
        <w:jc w:val="both"/>
      </w:pPr>
      <w:r>
        <w:rPr>
          <w:b/>
        </w:rPr>
        <w:t>Built from 3 prior analysis records.</w:t>
      </w:r>
      <w:r>
        <w:t xml:space="preserve"> The drafter never sees the library. It sees only the claims those records produced, and it cannot fetch anything else.</w:t>
      </w:r>
    </w:p>
    <w:p w14:paraId="04E33140" w14:textId="77777777" w:rsidR="00970438" w:rsidRDefault="00000000" w:rsidP="009C625C">
      <w:pPr>
        <w:pStyle w:val="Heading3"/>
        <w:jc w:val="both"/>
      </w:pPr>
      <w:bookmarkStart w:id="57" w:name="_Toc236945282"/>
      <w:r>
        <w:t>The research questions those records answered</w:t>
      </w:r>
      <w:bookmarkEnd w:id="57"/>
    </w:p>
    <w:p w14:paraId="1AE50E4A" w14:textId="77777777" w:rsidR="00970438" w:rsidRDefault="00000000" w:rsidP="009C625C">
      <w:pPr>
        <w:jc w:val="both"/>
      </w:pPr>
      <w:r>
        <w:t>These are the questions put to Axial, verbatim. Each was answered on its own, with its own retrieval, its own counter-position and its own checks, before the paper was planned.</w:t>
      </w:r>
    </w:p>
    <w:p w14:paraId="6061DC89" w14:textId="77777777" w:rsidR="00970438" w:rsidRDefault="00000000" w:rsidP="009C625C">
      <w:pPr>
        <w:jc w:val="both"/>
      </w:pPr>
      <w:r>
        <w:rPr>
          <w:b/>
        </w:rPr>
        <w:t>Question 1</w:t>
      </w:r>
      <w:r>
        <w:t xml:space="preserve"> — </w:t>
      </w:r>
      <w:r>
        <w:rPr>
          <w:rFonts w:ascii="Consolas" w:hAnsi="Consolas"/>
          <w:sz w:val="18"/>
        </w:rPr>
        <w:t>0ae817e05d4dc424</w:t>
      </w:r>
    </w:p>
    <w:p w14:paraId="255661B1" w14:textId="77777777" w:rsidR="00970438" w:rsidRDefault="00000000" w:rsidP="009C625C">
      <w:pPr>
        <w:spacing w:before="80"/>
        <w:ind w:left="432"/>
        <w:jc w:val="both"/>
      </w:pPr>
      <w:r>
        <w:rPr>
          <w:b/>
          <w:i/>
        </w:rPr>
        <w:t>Case.</w:t>
      </w:r>
      <w:r>
        <w:rPr>
          <w:i/>
        </w:rPr>
        <w:t xml:space="preserve"> Syria, 1920-2011</w:t>
      </w:r>
    </w:p>
    <w:p w14:paraId="7DEE88AE" w14:textId="77777777" w:rsidR="00970438" w:rsidRDefault="00000000" w:rsidP="009C625C">
      <w:pPr>
        <w:jc w:val="both"/>
      </w:pPr>
      <w:r>
        <w:t>&gt;</w:t>
      </w:r>
    </w:p>
    <w:p w14:paraId="42FE830E" w14:textId="77777777" w:rsidR="00970438" w:rsidRDefault="00000000" w:rsidP="009C625C">
      <w:pPr>
        <w:spacing w:before="80"/>
        <w:ind w:left="432"/>
        <w:jc w:val="both"/>
      </w:pPr>
      <w:r>
        <w:rPr>
          <w:b/>
          <w:i/>
        </w:rPr>
        <w:t>Request.</w:t>
      </w:r>
      <w:r>
        <w:rPr>
          <w:i/>
        </w:rPr>
        <w:t xml:space="preserve"> In what specific organizational ways do the French colonial institutionalization of minority identities (White) and the class-based, agrarian mobility structures of the lesser rural notables (Batatu) intersect with Wimmer's 'waves of war' thesis? How did these pre-existing networks of privilege (Heydemann) utilize ethno-nationalist and sectarian boundaries to ensure the organizational cohesion of the state's despotic core against a peri-urban opposition?</w:t>
      </w:r>
    </w:p>
    <w:p w14:paraId="38F69610" w14:textId="77777777" w:rsidR="00970438" w:rsidRDefault="00000000" w:rsidP="009C625C">
      <w:pPr>
        <w:jc w:val="both"/>
      </w:pPr>
      <w:r>
        <w:rPr>
          <w:b/>
        </w:rPr>
        <w:t>Question 2</w:t>
      </w:r>
      <w:r>
        <w:t xml:space="preserve"> — </w:t>
      </w:r>
      <w:r>
        <w:rPr>
          <w:rFonts w:ascii="Consolas" w:hAnsi="Consolas"/>
          <w:sz w:val="18"/>
        </w:rPr>
        <w:t>124f7ba6ff8927c7</w:t>
      </w:r>
    </w:p>
    <w:p w14:paraId="66E7C5D1" w14:textId="77777777" w:rsidR="00970438" w:rsidRDefault="00000000" w:rsidP="009C625C">
      <w:pPr>
        <w:spacing w:before="80"/>
        <w:ind w:left="432"/>
        <w:jc w:val="both"/>
      </w:pPr>
      <w:r>
        <w:rPr>
          <w:b/>
          <w:i/>
        </w:rPr>
        <w:t>Case.</w:t>
      </w:r>
      <w:r>
        <w:rPr>
          <w:i/>
        </w:rPr>
        <w:t xml:space="preserve"> Syria, 2000–2011</w:t>
      </w:r>
    </w:p>
    <w:p w14:paraId="649CD33E" w14:textId="77777777" w:rsidR="00970438" w:rsidRDefault="00000000" w:rsidP="009C625C">
      <w:pPr>
        <w:jc w:val="both"/>
      </w:pPr>
      <w:r>
        <w:t>&gt;</w:t>
      </w:r>
    </w:p>
    <w:p w14:paraId="6F60D613" w14:textId="77777777" w:rsidR="00970438" w:rsidRDefault="00000000" w:rsidP="009C625C">
      <w:pPr>
        <w:spacing w:before="80"/>
        <w:ind w:left="432"/>
        <w:jc w:val="both"/>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14:paraId="71018DF6" w14:textId="77777777" w:rsidR="00970438" w:rsidRDefault="00000000" w:rsidP="009C625C">
      <w:pPr>
        <w:jc w:val="both"/>
      </w:pPr>
      <w:r>
        <w:rPr>
          <w:b/>
        </w:rPr>
        <w:t>Question 3</w:t>
      </w:r>
      <w:r>
        <w:t xml:space="preserve"> — </w:t>
      </w:r>
      <w:r>
        <w:rPr>
          <w:rFonts w:ascii="Consolas" w:hAnsi="Consolas"/>
          <w:sz w:val="18"/>
        </w:rPr>
        <w:t>fd0c2636d456d0fc</w:t>
      </w:r>
    </w:p>
    <w:p w14:paraId="63B00855" w14:textId="77777777" w:rsidR="00970438" w:rsidRDefault="00000000" w:rsidP="009C625C">
      <w:pPr>
        <w:spacing w:before="80"/>
        <w:ind w:left="432"/>
        <w:jc w:val="both"/>
      </w:pPr>
      <w:r>
        <w:rPr>
          <w:b/>
          <w:i/>
        </w:rPr>
        <w:t>Case.</w:t>
      </w:r>
      <w:r>
        <w:rPr>
          <w:i/>
        </w:rPr>
        <w:t xml:space="preserve"> Syria, 2011–2024 — regime, AANES/SDF northeast, Idlib</w:t>
      </w:r>
    </w:p>
    <w:p w14:paraId="733C895B" w14:textId="77777777" w:rsidR="00970438" w:rsidRDefault="00000000" w:rsidP="009C625C">
      <w:pPr>
        <w:jc w:val="both"/>
      </w:pPr>
      <w:r>
        <w:t>&gt;</w:t>
      </w:r>
    </w:p>
    <w:p w14:paraId="746E5826" w14:textId="77777777" w:rsidR="00970438" w:rsidRDefault="00000000" w:rsidP="009C625C">
      <w:pPr>
        <w:spacing w:before="80"/>
        <w:ind w:left="432"/>
        <w:jc w:val="both"/>
      </w:pPr>
      <w:r>
        <w:rPr>
          <w:b/>
          <w:i/>
        </w:rPr>
        <w:t>Request.</w:t>
      </w:r>
      <w:r>
        <w:rPr>
          <w:i/>
        </w:rPr>
        <w:t xml:space="preserve"> Is fragmented Syria one juridical sovereign under stress or several empirical polities that never acquired recognition? Distinguish Jackson-style negative sovereignty from Caspersen-style de-facto statehood; do not collapse the two.</w:t>
      </w:r>
    </w:p>
    <w:p w14:paraId="48389FD1" w14:textId="77777777" w:rsidR="00970438" w:rsidRDefault="00000000">
      <w:pPr>
        <w:pStyle w:val="Heading3"/>
      </w:pPr>
      <w:bookmarkStart w:id="58" w:name="_Toc236945283"/>
      <w:r>
        <w:lastRenderedPageBreak/>
        <w:t>What the paper came out as</w:t>
      </w:r>
      <w:bookmarkEnd w:id="58"/>
    </w:p>
    <w:tbl>
      <w:tblPr>
        <w:tblStyle w:val="LightGrid-Accent1"/>
        <w:tblW w:w="0" w:type="auto"/>
        <w:tblLook w:val="04A0" w:firstRow="1" w:lastRow="0" w:firstColumn="1" w:lastColumn="0" w:noHBand="0" w:noVBand="1"/>
      </w:tblPr>
      <w:tblGrid>
        <w:gridCol w:w="4752"/>
        <w:gridCol w:w="4752"/>
      </w:tblGrid>
      <w:tr w:rsidR="00970438" w14:paraId="697BEBF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F57F210" w14:textId="77777777" w:rsidR="00970438" w:rsidRDefault="00000000">
            <w:pPr>
              <w:spacing w:after="40"/>
            </w:pPr>
            <w:r>
              <w:rPr>
                <w:sz w:val="18"/>
              </w:rPr>
              <w:t>What was counted</w:t>
            </w:r>
          </w:p>
        </w:tc>
        <w:tc>
          <w:tcPr>
            <w:tcW w:w="4752" w:type="dxa"/>
          </w:tcPr>
          <w:p w14:paraId="2BEE2130"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count</w:t>
            </w:r>
          </w:p>
        </w:tc>
      </w:tr>
      <w:tr w:rsidR="00970438" w14:paraId="13E77058"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217CE59" w14:textId="77777777" w:rsidR="00970438" w:rsidRDefault="00000000">
            <w:pPr>
              <w:spacing w:after="40"/>
            </w:pPr>
            <w:r>
              <w:rPr>
                <w:sz w:val="18"/>
              </w:rPr>
              <w:t>Claims</w:t>
            </w:r>
          </w:p>
        </w:tc>
        <w:tc>
          <w:tcPr>
            <w:tcW w:w="4752" w:type="dxa"/>
          </w:tcPr>
          <w:p w14:paraId="76541CF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66</w:t>
            </w:r>
          </w:p>
        </w:tc>
      </w:tr>
      <w:tr w:rsidR="00970438" w14:paraId="4075A093"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0CDA055" w14:textId="77777777" w:rsidR="00970438" w:rsidRDefault="00000000">
            <w:pPr>
              <w:spacing w:after="40"/>
            </w:pPr>
            <w:r>
              <w:rPr>
                <w:sz w:val="18"/>
              </w:rPr>
              <w:t>By kind</w:t>
            </w:r>
          </w:p>
        </w:tc>
        <w:tc>
          <w:tcPr>
            <w:tcW w:w="4752" w:type="dxa"/>
          </w:tcPr>
          <w:p w14:paraId="5B8CB7D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34, (b) 20, (c) 12</w:t>
            </w:r>
          </w:p>
        </w:tc>
      </w:tr>
      <w:tr w:rsidR="00970438" w14:paraId="5226218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B9E0FB3" w14:textId="77777777" w:rsidR="00970438" w:rsidRDefault="00000000">
            <w:pPr>
              <w:spacing w:after="40"/>
            </w:pPr>
            <w:r>
              <w:rPr>
                <w:sz w:val="18"/>
              </w:rPr>
              <w:t>Made by the paper itself, not carried from a record</w:t>
            </w:r>
          </w:p>
        </w:tc>
        <w:tc>
          <w:tcPr>
            <w:tcW w:w="4752" w:type="dxa"/>
          </w:tcPr>
          <w:p w14:paraId="79CD403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10</w:t>
            </w:r>
          </w:p>
        </w:tc>
      </w:tr>
      <w:tr w:rsidR="00970438" w14:paraId="745BCE70"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1BE108E5" w14:textId="77777777" w:rsidR="00970438" w:rsidRDefault="00000000">
            <w:pPr>
              <w:spacing w:after="40"/>
            </w:pPr>
            <w:r>
              <w:rPr>
                <w:sz w:val="18"/>
              </w:rPr>
              <w:t>Books cited</w:t>
            </w:r>
          </w:p>
        </w:tc>
        <w:tc>
          <w:tcPr>
            <w:tcW w:w="4752" w:type="dxa"/>
          </w:tcPr>
          <w:p w14:paraId="231EEC4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15</w:t>
            </w:r>
          </w:p>
        </w:tc>
      </w:tr>
      <w:tr w:rsidR="00970438" w14:paraId="0F881E76"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10B8CB0" w14:textId="77777777" w:rsidR="00970438" w:rsidRDefault="00000000">
            <w:pPr>
              <w:spacing w:after="40"/>
            </w:pPr>
            <w:r>
              <w:rPr>
                <w:sz w:val="18"/>
              </w:rPr>
              <w:t>Confidence band</w:t>
            </w:r>
          </w:p>
        </w:tc>
        <w:tc>
          <w:tcPr>
            <w:tcW w:w="4752" w:type="dxa"/>
          </w:tcPr>
          <w:p w14:paraId="3320E1E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r>
      <w:tr w:rsidR="00970438" w14:paraId="26EC7A13"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74056048" w14:textId="77777777" w:rsidR="00970438" w:rsidRDefault="00000000">
            <w:pPr>
              <w:spacing w:after="40"/>
            </w:pPr>
            <w:r>
              <w:rPr>
                <w:sz w:val="18"/>
              </w:rPr>
              <w:t>Shape check</w:t>
            </w:r>
          </w:p>
        </w:tc>
        <w:tc>
          <w:tcPr>
            <w:tcW w:w="4752" w:type="dxa"/>
          </w:tcPr>
          <w:p w14:paraId="0D4B905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strong</w:t>
            </w:r>
          </w:p>
        </w:tc>
      </w:tr>
      <w:tr w:rsidR="00970438" w14:paraId="4877372F"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5913EE09" w14:textId="77777777" w:rsidR="00970438" w:rsidRDefault="00000000">
            <w:pPr>
              <w:spacing w:after="40"/>
            </w:pPr>
            <w:r>
              <w:rPr>
                <w:sz w:val="18"/>
              </w:rPr>
              <w:t>Cost to draft</w:t>
            </w:r>
          </w:p>
        </w:tc>
        <w:tc>
          <w:tcPr>
            <w:tcW w:w="4752" w:type="dxa"/>
          </w:tcPr>
          <w:p w14:paraId="6C9FC5E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$0.199</w:t>
            </w:r>
          </w:p>
        </w:tc>
      </w:tr>
    </w:tbl>
    <w:p w14:paraId="208CD606" w14:textId="77777777" w:rsidR="00970438" w:rsidRDefault="00970438"/>
    <w:p w14:paraId="55FB76C0" w14:textId="77777777" w:rsidR="00970438" w:rsidRDefault="00000000" w:rsidP="009C625C">
      <w:pPr>
        <w:pStyle w:val="Heading3"/>
        <w:jc w:val="both"/>
      </w:pPr>
      <w:bookmarkStart w:id="59" w:name="_Toc236945284"/>
      <w:r>
        <w:t>The paper, as rendered</w:t>
      </w:r>
      <w:bookmarkEnd w:id="59"/>
    </w:p>
    <w:p w14:paraId="2B078409" w14:textId="77777777" w:rsidR="00970438" w:rsidRDefault="00000000" w:rsidP="009C625C">
      <w:pPr>
        <w:jc w:val="both"/>
      </w:pPr>
      <w:r>
        <w:rPr>
          <w:i/>
        </w:rPr>
        <w:t>Reproduced exactly as Axial produced it, including the confidence and coverage disclosure, the shape check, the citation index and the bibliography. Nothing has been edited, tidied or shortened.</w:t>
      </w:r>
    </w:p>
    <w:p w14:paraId="5A611067" w14:textId="77777777" w:rsidR="00970438" w:rsidRDefault="00000000" w:rsidP="009C625C">
      <w:pPr>
        <w:pStyle w:val="Heading3"/>
        <w:jc w:val="both"/>
      </w:pPr>
      <w:bookmarkStart w:id="60" w:name="_Toc236945285"/>
      <w:r>
        <w:t>What the Mandate Built</w:t>
      </w:r>
      <w:bookmarkEnd w:id="60"/>
    </w:p>
    <w:p w14:paraId="58BF3607" w14:textId="77777777" w:rsidR="00970438" w:rsidRDefault="00000000" w:rsidP="009C625C">
      <w:pPr>
        <w:jc w:val="both"/>
      </w:pPr>
      <w:r>
        <w:t>The institutions that allocated power in Syria from the mandate through the civil war were structured not around formal office or bureaucratic capacity but around the distribution of belonging itself—first by the French imposition of communitarian categories, then by the class-based capture of the state's coercive apparatus by a rural minoritarian officer corps, and finally by the reorganization of rent-seeking through ethno-sectarian patronage networks that substituted infrastructural penetration with clientelistic loyalty, such that what changed across a century was which group the arrangement favored and what remained constant was that material survival and political power depended on inclusion in the network of privilege the state recognized as its own.</w:t>
      </w:r>
    </w:p>
    <w:p w14:paraId="3A8898FD" w14:textId="77777777" w:rsidR="00970438" w:rsidRDefault="00000000" w:rsidP="009C625C">
      <w:pPr>
        <w:pStyle w:val="Heading4"/>
        <w:jc w:val="both"/>
      </w:pPr>
      <w:r>
        <w:t>Introduction: The Puzzle of Syrian Institutional Continuity</w:t>
      </w:r>
    </w:p>
    <w:p w14:paraId="2561F1B6" w14:textId="77777777" w:rsidR="00970438" w:rsidRDefault="00000000" w:rsidP="009C625C">
      <w:pPr>
        <w:jc w:val="both"/>
      </w:pPr>
      <w:r>
        <w:t xml:space="preserve">Syria's political order survived three ruptures that should, by most accounts, have destroyed it: the end of mandate rule, the social revolution that brought a rural officer corps to power, and the ascent of a narrow patronage regime that repaid loyalty with access to rents. Yet beneath each transition the basic logic of who got what, and on what terms, moved less than the surface drama suggested. The puzzle is not why Syria experienced conflict—it plainly did—but why a century of upheaval left intact a particular institutional grammar: power allocated not through office or capacity but through recognized membership in a privileged network, and survival tied to inclusion in that network rather than to any enforceable claim on the state. This paper argues that the institutions governing distribution in Syria, from the French mandate through the civil war, were structured around the distribution of belonging itself. What shifted across the period was which group the arrangement favored; what remained constant was the mechanism—material survival and political power depended on inclusion in the network of privilege the state recognized as its own. The French imposed communitarian categories that made sect a unit of fiscal and administrative classification; a rural minoritarian officer corps then captured the coercive apparatus on a class basis, converting military rank into a lever over the allocation of resources; and the later regime reorganized rent-seeking through ethno-sectarian patronage networks that substituted clientelistic loyalty for infrastructural penetration. At each stage, the economic base of political power was not productive capacity or broad taxation but the controlled distribution of access—to </w:t>
      </w:r>
      <w:r>
        <w:lastRenderedPageBreak/>
        <w:t>land, to posts, to licenses, to protection—and the cost was borne by those excluded from whichever category the state currently privileged. Read through a political-economy lens, the continuity is not a residue or a lag but the thing to be explained: how the arrangement reproduces itself when the group it favors changes.</w:t>
      </w:r>
    </w:p>
    <w:p w14:paraId="398297C1" w14:textId="77777777" w:rsidR="00970438" w:rsidRDefault="00000000" w:rsidP="009C625C">
      <w:pPr>
        <w:pStyle w:val="Heading4"/>
        <w:jc w:val="both"/>
      </w:pPr>
      <w:r>
        <w:t>The Mandate Origins of Communitarian Allocation</w:t>
      </w:r>
    </w:p>
    <w:p w14:paraId="62048946" w14:textId="77777777" w:rsidR="00970438" w:rsidRDefault="00000000" w:rsidP="009C625C">
      <w:pPr>
        <w:jc w:val="both"/>
      </w:pPr>
      <w:r>
        <w:t>The institutions the French mandate established in Syria allocated access to the state's material resources not through bureaucratic capacity or formal office but through communal category — and in doing so produced the very categories of belonging that would organize Syrian political life for the next century. Officials who arrived with a communitarian understanding of society institutionalized it through military recruitment and administrative division along communal lines [pc-003]. The categories this system required were not primordial: the term 'minority' appeared infrequently in the archives until approximately 1930, when it rapidly became widespread [pc-001], and a coherent Sunni Muslim Arabic-speaking majority had no political reality until the developing Syrian state, together with nationalist ideology, enframed diverse actors and constituted them as a single group [pc-002]. What the mandate imposed, then, was a scheme for allocating material access — to military salaries, to administrative positions, to inclusion within rather than subjection to the coercive apparatus — distributed by communal category rather than by bureaucratic capacity or formal office, while simultaneously manufacturing the categories of minority and majority that would make such allocation appear to reflect the natural composition of society [pc-059].</w:t>
      </w:r>
    </w:p>
    <w:p w14:paraId="63132B2D" w14:textId="77777777" w:rsidR="00970438" w:rsidRDefault="00000000" w:rsidP="009C625C">
      <w:pPr>
        <w:jc w:val="both"/>
      </w:pPr>
      <w:r>
        <w:t>The Great Revolt of 1925-7 exposed the distributive stakes of this arrangement. French forces suppressed the revolt using irregular troops drawn from Armenian, Circassian, and other communities, organizing coercion against what was in fact a cross-communal, cross-class coalition — one that, as Michael Provence argues, served as a crucible of Syrian nationhood, contrary to the French interpretation of the revolt as sectarian — along the very communal lines the mandate had been institutionalizing [pc-004]. The French interpretation concealed a material logic at work: communities whose members were recruited into irregular paramilitary formations gained access to the state's coercive payroll, while the cross-communal and cross-class coalition that revolted bore the cost of resisting an arrangement that allocated opportunity by communal category rather than by claim of right [pc-060].</w:t>
      </w:r>
    </w:p>
    <w:p w14:paraId="716C5B00" w14:textId="77777777" w:rsidR="00970438" w:rsidRDefault="00000000" w:rsidP="009C625C">
      <w:pPr>
        <w:jc w:val="both"/>
      </w:pPr>
      <w:r>
        <w:t>The gradual spread of the concept of 'minority' through the 1920s and 1930s as Syrian society transformed under the nation-state form [pc-003] tracked the consolidation of this distributional arrangement. The concept carried ideological baggage that permitted regimes to curtail political rights while presenting themselves as expressions of popular will, through the public aggrandizement of the 'nation' or 'majority' and the identification and persecution of 'minorities' [pc-005]. The logic this established — that a ruling group could claim majoritarian legitimacy while deploying sectarian categories against its opponents — directly predicted the mechanism by which Syria's later despotic core would operate: the regime presented itself as representing the majority while identifying the peri-urban opposition as sectarian threats, inverting the actual minority character of the ruling elite [pc-005]. The mandate's communitarian allocation thus established not merely a taxonomy of identity but a distributional template — in which belonging, not bureaucratic capacity or formal office, determined access to the material resources of the state — whose beneficiaries would change across the century but whose logic would persist [pc-061].</w:t>
      </w:r>
    </w:p>
    <w:p w14:paraId="64EC004A" w14:textId="77777777" w:rsidR="00970438" w:rsidRDefault="00000000" w:rsidP="009C625C">
      <w:pPr>
        <w:pStyle w:val="Heading4"/>
        <w:jc w:val="both"/>
      </w:pPr>
      <w:r>
        <w:t>Class, Coercion, and the Ruralization of the State</w:t>
      </w:r>
    </w:p>
    <w:p w14:paraId="4CD4094C" w14:textId="77777777" w:rsidR="00970438" w:rsidRDefault="00000000" w:rsidP="009C625C">
      <w:pPr>
        <w:jc w:val="both"/>
      </w:pPr>
      <w:r>
        <w:t xml:space="preserve">The colonial political economy that concentrated private wealth in an agrarian landed bourgeoisie made the army the one institution through which the rural poor could accumulate political power [pc-008][pc-059]. This </w:t>
      </w:r>
      <w:r>
        <w:lastRenderedPageBreak/>
        <w:t>was not a design choice but a structural consequence: families too impoverished to pay the badal, the conscription exemption fee, sent their sons into uniform, while the landed and merchant classes purchased their way out [pc-006]. The officers who emerged from this selection were overwhelmingly of rural and peasant extraction, drawn from common provincial provenance and disproportionately from religiously minoritarian communities the mandate had already positioned within rather than against the coercive apparatus [pc-007][pc-010][pc-059]. Their cohesion as a political force derived initially not from sectarian identity but from shared class position and Ba'thist ideology [pc-011]. What made ruralization decisive was the underdevelopment of the local capitalist class: the state had grown overdeveloped relative to the private economy, so that a bureau-technocratic bourgeoisie of officers and administrators could derive political weight from control of the state apparatus itself rather than from any independent economic base [pc-009]. The nationalist intelligentsia, economically powerless against the landed bourgeoisie, had ceded the field to men whose organized force could break the stalemate civilians could not [pc-008]. Between 1963 and 1968, successive purges eliminated Sunni and Druze rivals and left the rural minoritarian faction in command [pc-007]. Yet the purges operated through political, regional, and class cleavages that only retrospectively congealed into sectarian ones, as each round of elimination narrowed the circle of belonging and left communal identity as the visible residue of who remained [pc-011]. The material consequences of this capture were initially redistributive: the radical Ba'thist period narrowed rural income gaps [pc-012]. But the retreat from radicalism and liberalization after 1972 reversed those gains, with the producers' share of agricultural income collapsing from 12.8 percent in 1970 to 5.1 percent in 1975 [pc-012]. The ruralization of political power did not produce a ruralization of the economy; it produced a ruling corps whose relationship to the countryside it claimed to represent turned extractive, as the officers' transformation into a bureau-technocratic bourgeoisie severed their material interests from those of the rural poor whose sons still filled the ranks [pc-012][pc-009][pc-062]. What persisted across this transformation was the distributional template the mandate had established: belonging, not bureaucratic capacity or formal office, determined access to the state's material resources [pc-061]. What changed was which group the template favored — from communities the French had recruited as irregulars to communities that had entered the officer corps through poverty — and what remained constant was the logic that material survival and political power depended on inclusion in the network of privilege the state recognized as its own [pc-061][pc-011].</w:t>
      </w:r>
    </w:p>
    <w:p w14:paraId="7D759075" w14:textId="77777777" w:rsidR="00970438" w:rsidRDefault="00000000" w:rsidP="009C625C">
      <w:pPr>
        <w:pStyle w:val="Heading4"/>
        <w:jc w:val="both"/>
      </w:pPr>
      <w:r>
        <w:t>The Counter-Position: Fierce but Weak—Despotic Power as the Explanatory Framework</w:t>
      </w:r>
    </w:p>
    <w:p w14:paraId="2233CF44" w14:textId="77777777" w:rsidR="00970438" w:rsidRDefault="00000000" w:rsidP="009C625C">
      <w:pPr>
        <w:jc w:val="both"/>
      </w:pPr>
      <w:r>
        <w:t xml:space="preserve">One influential alternative to the networks-of-privilege account would explain the Syrian state's trajectory through the distinction between despotic and infrastructural power. On this view, the Arab state is often violent precisely because it is weak: it excels in despotic power—arbitrary action without constraint—while lacking the infrastructural capacity to genuinely penetrate and organize society, making it 'fierce' rather than 'strong' [pc-013][pc-014]. The framework has real explanatory purchase on the Syrian trajectory. When the 2011 uprising massed, the regime's repressive strategy—fragmenting national space through checkpoints, military force, and propaganda to atomize the movement—resembled precisely the pattern a fierce-state analysis predicts: a state resorting to coercion because it lacked the capacity to relate to society through organization [pc-015]. Under conditions of mass mobilization, the networks of privilege that had structured access to the state's resources proved insufficient as a mechanism of societal control, and the state fell back on raw coercion—the one capacity it had cultivated without interruption [pc-015]. The framework also concedes a developmental limit of its own. No Arab country has been 'a glaring success story' on the developmental front, a failure that the fierce-state account registers as symptomatic of infrastructural weakness [pc-016]. Yet this developmental failure need not be read as an absence of state power; it can equally be read as evidence that </w:t>
      </w:r>
      <w:r>
        <w:lastRenderedPageBreak/>
        <w:t>the state's distributive capacity is organized through networks of privilege that prioritize elite reproduction over developmental goals [pc-016]. The infrastructural deficit the framework identifies is not a generic accident of peripheral state formation but a structural feature of a state whose capacity to distribute material resources runs through patronage organized by belonging rather than through bureaucratic penetration of society [pc-063]. The counter-position correctly registers the violence as a symptom of organizational deficit, but it cannot explain the distributive logic that determines which deficit is tolerated and whose capacity is built [pc-064].</w:t>
      </w:r>
    </w:p>
    <w:p w14:paraId="38A339CC" w14:textId="77777777" w:rsidR="00970438" w:rsidRDefault="00000000" w:rsidP="009C625C">
      <w:pPr>
        <w:pStyle w:val="Heading4"/>
        <w:jc w:val="both"/>
      </w:pPr>
      <w:r>
        <w:t>Networks of Privilege as the Real Institutional Structure</w:t>
      </w:r>
    </w:p>
    <w:p w14:paraId="68ED15A2" w14:textId="77777777" w:rsidR="00970438" w:rsidRDefault="00000000" w:rsidP="009C625C">
      <w:pPr>
        <w:jc w:val="both"/>
      </w:pPr>
      <w:r>
        <w:t>The institutional structure that sustained the Syrian regime between 2000 and 2011 was not its formal bureaucracy, its legal apparatus, or even its coercive machinery considered in isolation. It was the dense, overlapping networks of public officials and private economic interests that distributed rent, managed access to opportunity, and bound society to the regime through patronage rather than administration. In Middle Eastern political economies where these networks operate, the boundary between public and private becomes so thoroughly blurred that insisting on it is "potentially misleading," meaning the state's operative institutional structure is constituted not by bureaucratic capacity but by the patronage networks that actually perform the work of governance [pc-020]. Egypt's 1990s privatization illustrates the pattern: rather than breaking elite networks, reform allowed state bureaucrats and private businessmen to entrench their monopoly power while the state retained its central role as distributor of rent, demonstrating that networks of privilege are resistant to market-oriented reform and constitute the regime's actual institutional architecture [pc-021]. That Syria's business networks have been studied within the same scholarly program that produced this framework directly ties the question of Syrian authoritarian resilience to the operations of networks of privilege [pc-022].</w:t>
      </w:r>
    </w:p>
    <w:p w14:paraId="6A63CF7A" w14:textId="77777777" w:rsidR="00970438" w:rsidRDefault="00000000" w:rsidP="009C625C">
      <w:pPr>
        <w:jc w:val="both"/>
      </w:pPr>
      <w:r>
        <w:t>What this means is that economic liberalization does not eliminate rent-seeking; it reorganizes it. Privileged actors mobilize politically through networks to preserve and enhance access to politically mediated resources, shaping the very reforms that ostensibly discipline them [pc-017]. Reform is thus constitutive of new distributive coalitions, generating regulatory hybrids and compromise formulas that cut across conventional categories of state and market, public and private [pc-018]. In Syria, the retreat from Ba'thist radicalism in 1972 and the liberalization of the 1980s did not dismantle the rural-based elite's control but reorganized rent-seeking around loyalist business networks, producing the crosscutting coalitions between military officers, technocrats, and private capitalists that this framework predicts [pc-019]. The officers who had become a bureau-technocratic bourgeoisie dependent on control of the state apparatus rather than any independent economic base had by then structurally severed their material interests from the rural constituency whose sons still filled the ranks, so liberalization's reversal of rural gains expressed not a betrayal of the regime's founding logic but its fulfillment [pc-062].</w:t>
      </w:r>
    </w:p>
    <w:p w14:paraId="121B5D2E" w14:textId="77777777" w:rsidR="00970438" w:rsidRDefault="00000000" w:rsidP="009C625C">
      <w:pPr>
        <w:jc w:val="both"/>
      </w:pPr>
      <w:r>
        <w:t xml:space="preserve">The implication for assessing state power is fundamental. Infrastructural power, as Mann defines it, is the institutional capacity of a central state to penetrate its territories and logistically implement decisions [pc-023]. Assessing infrastructural power by looking for formal bureaucratic penetration will therefore miss cases where the operative mechanism of penetration is patronage rather than administration—where the state reaches society not through its own offices but through the networks it sponsors [pc-023]. The Ottoman experience in southern Syria makes the point concrete: infrastructural power was undermined not by state weakness per se but by external subsidies and material incentives that empowered tribal actors, demonstrating that what looks like state incapacity may actually be the substitution of network-based control for bureaucratic penetration [pc-024]. This substitution recurs across Syrian state formation—from the Ottoman period through the mandate's communitarian allocation of access to the coercive payroll, through the Ba'thist officers' </w:t>
      </w:r>
      <w:r>
        <w:lastRenderedPageBreak/>
        <w:t>reorganization of rent—such that the pattern is better understood as a structural feature of a state whose distributive capacity runs through patronage organized by belonging rather than as a contingent failure of administrative capacity [pc-065][pc-063].</w:t>
      </w:r>
    </w:p>
    <w:p w14:paraId="3ED269BB" w14:textId="77777777" w:rsidR="00970438" w:rsidRDefault="00000000" w:rsidP="009C625C">
      <w:pPr>
        <w:jc w:val="both"/>
      </w:pPr>
      <w:r>
        <w:t>This reframing exposes the limits of the "fierce but weak" thesis. The framework holds that Arab states excel in despotic power—arbitrary coercion free from constitutional constraint—while lacking the infrastructural capacity to genuinely penetrate and organize society, making their violence a symptom of weakness rather than strength [pc-013][pc-014]. No Arab country, by this framework's own concession, has been a "glaring success story" on the developmental front [pc-016]. But the framework treats the absence of formal infrastructural capacity as the whole story, when the evidence from the networks-of-privilege research program shows that elite networks of public officials and private interests perform the functional equivalent of infrastructural penetration—distributing rent, managing access to economic opportunity, and binding society to the regime—rendering standard infrastructural power assessments that look only for bureaucratic capacity fundamentally inadequate [pc-026]. The regime's stability during 2000–2011 derived not from despotic power compensating for infrastructural weakness but from networks of privilege that functioned as a substitute form of infrastructural penetration, organizing society through patronage rather than bureaucracy [pc-025]. The "fierce but weak" framework, while descriptively accurate about the regime's coercive posture, thus resolves no paradox, because it misidentifies the source of authoritarian resilience: the regime was not strong in coercion because it was weak in penetration; it was resilient because its penetration ran through networks rather than offices [pc-025].</w:t>
      </w:r>
    </w:p>
    <w:p w14:paraId="292EF15E" w14:textId="77777777" w:rsidR="00970438" w:rsidRDefault="00000000" w:rsidP="009C625C">
      <w:pPr>
        <w:jc w:val="both"/>
      </w:pPr>
      <w:r>
        <w:t>The difficulty is compounded by broader critiques of Mann's framework, which has been charged with conflating ideological power with organizational infrastructure and with requiring subjective appraisal of meaning-systems that do not fit organizational materialism—critiques that further undermine the reliability of standard infrastructural power assessments for regimes like Syria's, where the operative institutional structure is informal and network-based rather than bureaucratically legible [pc-027]. The fierce-state counter-position correctly registers the regime's violence as a symptom of organizational deficit, but it cannot explain the distributive logic that determines which deficit is tolerated and whose capacity is built [pc-064]. Under the networks-of-privilege lens, the developmental failure the fierce-state framework observes is explained not by an absence of state power but by the fact that the state's distributive capacity is organized through networks that prioritize elite reproduction over developmental goals [pc-016]. The regime's repressive strategy in 2011—fragmenting national space through checkpoints, military force, and propaganda to atomize the movement—did resemble a fierce state relying on coercion because it lacked the capacity to relate to society through organization [pc-015]. But this should be read not as confirmation that networks of privilege were always structurally insufficient, but as evidence that networks of privilege, while constituting the operative institutional structure of the regime, proved insufficient as a mechanism of societal control under conditions of mass mobilization—failing precisely because the patronage circuits that had substituted for bureaucratic penetration could not manage a crisis that demanded universal rather than selective distribution [pc-015].</w:t>
      </w:r>
    </w:p>
    <w:p w14:paraId="08EE731A" w14:textId="77777777" w:rsidR="00970438" w:rsidRDefault="00000000" w:rsidP="009C625C">
      <w:pPr>
        <w:pStyle w:val="Heading4"/>
        <w:jc w:val="both"/>
      </w:pPr>
      <w:r>
        <w:t>The Wartime Stress Test: Belonging as Dispossession</w:t>
      </w:r>
    </w:p>
    <w:p w14:paraId="3EC258A7" w14:textId="77777777" w:rsidR="00970438" w:rsidRDefault="00000000" w:rsidP="009C625C">
      <w:pPr>
        <w:jc w:val="both"/>
      </w:pPr>
      <w:r>
        <w:t xml:space="preserve">The civil war did not rupture the distributional logic of the Syrian state; it exposed that logic in its most elemental form. When mass mobilization emerged in 2011 from precisely those peri-urban and urban populations the state had never genuinely integrated through infrastructural capacity—populations it had controlled despotically but never organized bureaucratically—the regime's response was not to extend penetration but to weaponize the despotic core's organizational cohesion to physically eliminate opposition </w:t>
      </w:r>
      <w:r>
        <w:lastRenderedPageBreak/>
        <w:t xml:space="preserve">and transfer property to loyalists [pc-033][pc-031]. Survival in civil war, as the Syrian case demonstrates, requires controlling or neutralizing the political center and eliminating or integrating competitors, and the Assad regime tied these imperatives together into a single strategy in which destruction, displacement, and dispossession were not byproducts but instruments of regime survival [pc-029][pc-028]. The ruling elite, described as hell-bent on survival, deployed wartime dispossession and reconstruction policy to deliberately exclude large sections of the population from their homes and property rights [pc-028]. What looked like chaos was the distributional template operating without its peacetime camouflage: belonging, not right or capacity, determined who retained property and who lost it [pc-061]. The organizational cohesion that made this possible was not improvised. The regime's despotic core—Alawite officers unified by shared rural-peasant origins and Ba'thist persuasion who controlled the air squadrons, missile detachments, armored brigades, and intelligence services—could be mobilized as a sectarily-defined coercive apparatus against peri-urban and urban opposition precisely because successive purges had eliminated rival factions and Sunni officers had remained fragmented along urban-rural, class, and political lines [pc-030]. This cohesion had been built over decades through the convergence of sectarian boundaries and class-based military structures, such that when the Muslim Brotherhood rose in the 1970s-80s and again when the 2011 uprising erupted, the state lacked the infrastructural power to genuinely penetrate society but possessed a organizationally cohesive coercive apparatus defined by belonging [pc-030]. The wartime dispossession policies thus represent the culmination of a logic that had been operating since the rural-based, disproportionately minoritarian Ba'thist elite captured the state's despotic instruments and then used economic liberalization not to dismantle privilege but to reorganize rent-seeking opportunities around loyalist networks [pc-031][pc-019]. The French mandate had supplied the categorical framework—minority and majority—that made ethnic exclusion politically meaningful, while the class-based mechanisms of agrarian depression driving Alawite peasants into military service and deep Sunni class divisions provided the organizational vehicle through which an ethno-sectarian minority captured the state's coercive core [pc-032]. What the nation-state form imposed, the civil war revealed as an exclusionary power structure: institutionally weak elites favor their own communities because they lack the capacity to build genuine nationhood, and the waves of ethnic rebellion and civil conflict that followed were not deviations but the predictable products of a state that distributed material resources through patronage organized by belonging rather than through administrative capacity [pc-032][pc-063]. The regime's reliance on paramilitaries and local strongmen during the war further confirms that this was not a case of state collapse but of what Üngör terms perverse state formation—a state that actively produces strongmen and maintains over a dozen intelligence agencies and prisons alongside paramilitary organizations even while appearing weak in service provision [pc-034]. The resulting local governance architecture was fragmented and fragile precisely because the regime's punitive approach to disloyal populations and reliance on tribal and militia actors for governance legitimacy produced dispersed, contested authority across the South, Idlib, Kurdish areas, Aleppo, and Homs [pc-035]. This fragmentation was not the failure of a distributional system but its wartime expression: the state that had substituted network-based control for bureaucratic penetration now substituted militia-based coercion for territorial administration, with the same underlying logic—access to material resources and physical security determined by proximity to the networks the regime recognized as its own [pc-065][pc-025]. The officers who had transformed into a bureau-technocratic bourgeoisie whose political weight derived from control of the state apparatus rather than any independent economic base had long since severed their material interests from the rural constituency whose sons still filled the ranks [pc-062][pc-009]. Wartime dispossession thus completed a century-long arc: the communitarian allocation that the French mandate imposed—who could draw military pay, staff administrative posts, or be positioned within rather than against the apparatus of coercion—had evolved into a system in which the ruling corps could dispossess entire populations not in spite of its dependence on belonging but because of it, since the regime's survival no </w:t>
      </w:r>
      <w:r>
        <w:lastRenderedPageBreak/>
        <w:t>longer required the welfare of any constituency outside the network of privilege [pc-059][pc-062]. What changed across the century was which group the arrangement favored and how violently the exclusion was enforced; what remained constant was that material survival and political power depended on inclusion in the network the state recognized as its own.</w:t>
      </w:r>
    </w:p>
    <w:p w14:paraId="40CFDEF3" w14:textId="77777777" w:rsidR="00970438" w:rsidRDefault="00000000" w:rsidP="009C625C">
      <w:pPr>
        <w:pStyle w:val="Heading4"/>
        <w:jc w:val="both"/>
      </w:pPr>
      <w:r>
        <w:t>Sovereignty Without Capacity: The Juridical Scaffolding of Network Rule</w:t>
      </w:r>
    </w:p>
    <w:p w14:paraId="01A8F9C8" w14:textId="77777777" w:rsidR="00970438" w:rsidRDefault="00000000" w:rsidP="009C625C">
      <w:pPr>
        <w:jc w:val="both"/>
      </w:pPr>
      <w:r>
        <w:t xml:space="preserve">The survival of the Assad regime through a decade of territorial fragmentation, external intervention, and mass displacement presents a paradox only if one assumes that rule requires governance capacity. It does not, if rule is organized through networks of belonging rather than through bureaucratic penetration of society. What the regime required was not the ability to administer territory but the ability to remain the sole recognized entity entitled to distribute the material resources of sovereignty—and this it retained through a juridical scaffolding that international norms and great-power patronage maintained even as the state's empirical capabilities collapsed [pc-036][pc-037]. The distinction between negative sovereignty—the formal-legal entitlement to non-intervention—and positive sovereignty—the empirical capacity to govern—was separated by decolonization, producing quasi-states that possess the first by definition and the second only partially [pc-036][pc-037]. Syria from 2011 through 2024 fits this template precisely: the regime retained its UN seat, its diplomatic relations, and the protection of Russia and China at the Security Council, where thirteen resolutions aimed at investigating, condemning, sanctioning, or intervening against the regime were vetoed [pc-039]. It remained a single juridical sovereign even as its positive sovereignty was severely degraded by territorial fragmentation, external intervention, and factionalized elites [pc-038]. The 2018 Fragile States Index recorded the consequence—External Intervention at 10.0, State Legitimacy at 9.9, Factionalized Elites at 9.9, and Public Services at 9.3—governance capacity and state legitimacy severely deteriorated while state functions were very heavily dictated by external actors [pc-043]. What negative sovereignty protected was not a state in any infrastructural sense but a monopoly position: the regime's claim to be the sole legitimate distributor of the resources—legal validity, property titles, international aid access, reconstruction contracts—that networks of privilege required to function [pc-066]. The contrast with the PLO makes the stakes visible. The PLO developed statelike institutions, serving as the receptacle for political legitimacy and the central arena for national politics, yet because it was not juridically recognized it was deprived of the advantages of negative sovereignty that recognized states enjoyed even after losing empirical attributes of sovereignty [pc-041]. An organization that built institutions but lacked recognition could be easily abandoned by international actors [pc-040]. The Assad regime faced no such vulnerability: its recognized sovereign status insulated it from abandonment regardless of its empirical governance failures [pc-040][pc-038]. The asymmetry reveals that what matters for network rule is not capacity but entitlement—the juridically guaranteed position of being the actor the international system treats as the state [pc-066]. The regime's use of this position to enforce its monopoly on material access is visible in the micro-structure of property and legal documentation during the war. Local councils in opposition-held areas established their own land and property registries; the Free Syrian Lawyers Association operated offices registering contracts in Idlib [pc-042]. These were functional substitutes for state administration—the kind of institutional capacity that standard analyses equate with sovereignty. But the regime's Legislative Decree 11 of 2016 declared all property registrations in areas outside regime control null and void [pc-042]. The decree could not be enforced in territory the regime did not control, yet it retained juridical force because the regime retained negative sovereignty: its acts remained the acts of a recognized state, while the opposition's records were the acts of non-sovereign actors. This is the mechanism by which juridical scaffolding preserved network rule—the opposition could administer territory but could not make its administration legally durable, while the regime could not administer territory but could make its legal acts </w:t>
      </w:r>
      <w:r>
        <w:lastRenderedPageBreak/>
        <w:t>binding. In a system where material survival depends on inclusion in the network of privilege the state recognizes as its own, the capacity to invalidate alternative legal records is the capacity to ensure that inclusion runs through the regime's networks alone [pc-067]. External patrons sustained this arrangement not as a byproduct of indifference but through active geopolitical investment. Where external patron powers have geopolitical interests, their interference substantially hinders long-term state stability, because domestic leaders are caught between meeting the demands of citizens and foreign backers, causing governance capacity and state stability to take a back seat [pc-044]. The Security Council vetoes were the international expression of this dynamic: Russia and China maintained the regime's negative sovereignty not to enable governance but to preserve a client whose value lay in geopolitical alignment, not in administrative competence [pc-039][pc-044]. The result is that the state's infrastructural deficit—the absence of bureaucratic capacity to genuinely penetrate and organize society—was not a gap waiting to be filled but a structural feature of a political order in which the distribution of material resources runs through patronage organized by belonging rather than through administrative capacity [pc-063][pc-065]. The regime's perverse state formation—commanding over a dozen intelligence agencies and prisons alongside paramilitary organizations even while appearing weak in service provision—confirms that capacity was built selectively, where it served the networks of privilege, and left unbuilt where it did not [pc-034]. Negative sovereignty insulated this selectivity from external challenge: no international actor could legally displace the regime's claim to rule, and no domestic alternative could acquire the juridical standing to make its governance enforceable beyond the territory it held by force. What remained constant across the century—from the French mandate's communitarian allocation of access to the coercive payroll [pc-059][pc-061], through the rural officer corps's capture of the state's despotic instruments [pc-006][pc-010], to the wartime regime's invalidation of opposition property records—was that material survival and political power depended on inclusion in the network of privilege the state recognized as its own. What changed was which group the arrangement favored. The juridical scaffolding of negative sovereignty ensured that the question of who counted as the state was settled internationally, not empirically, and that the answer determined whose networks of belonging would be the only ones with legal force [pc-067].</w:t>
      </w:r>
    </w:p>
    <w:p w14:paraId="4A83178A" w14:textId="77777777" w:rsidR="00970438" w:rsidRDefault="00000000" w:rsidP="009C625C">
      <w:pPr>
        <w:pStyle w:val="Heading4"/>
        <w:jc w:val="both"/>
      </w:pPr>
      <w:r>
        <w:t>Synthesis: Belonging, Not Office, as the Constant of Syrian Political Economy</w:t>
      </w:r>
    </w:p>
    <w:p w14:paraId="222AF795" w14:textId="77777777" w:rsidR="00970438" w:rsidRDefault="00000000" w:rsidP="009C625C">
      <w:pPr>
        <w:jc w:val="both"/>
      </w:pPr>
      <w:r>
        <w:t>Across a century of Syrian state formation, the distribution of belonging—not formal office or bureaucratic capacity—determined who could access the material resources of the state. The French mandate established this distributional template by allocating access to military pay, administrative posts, and the apparatus of coercion along communal lines, while simultaneously producing the very minority/majority categories that would naturalize the resulting distribution [pc-059][pc-061]. The suppression of the Great Revolt of 1925-7 laid bare the material stakes: communities recruited into irregular paramilitary formations gained entry to the state's coercive payroll, while the cross-communal and cross-class coalition that resisted bore the cost of an arrangement that allocated opportunity by communal category rather than by claim of right [pc-060]. This was not a communitarian overlay on an otherwise functional administrative system; it was the constitutive mechanism through which the state distributed material resources, and it established a template whose beneficiaries would change across the century but whose logic would persist [pc-061].</w:t>
      </w:r>
    </w:p>
    <w:p w14:paraId="6568C407" w14:textId="77777777" w:rsidR="00970438" w:rsidRDefault="00000000" w:rsidP="009C625C">
      <w:pPr>
        <w:jc w:val="both"/>
      </w:pPr>
      <w:r>
        <w:t xml:space="preserve">The post-independence state did not dismantle this template; it transferred it to new beneficiaries through class-based mechanisms. Rural peasants from minoritarian communities, driven into military service by economic deprivation that made the conscription exemption fee unaffordable, captured the coercive apparatus while their Sunni counterparts remained fragmented along class, regional, and political lines [pc-006][pc-007]. Their transformation into a bureau-technocratic bourgeoisie—whose political weight derived from control of the state apparatus rather than from any independent economic base—structurally severed </w:t>
      </w:r>
      <w:r>
        <w:lastRenderedPageBreak/>
        <w:t>their material interests from the rural constituency whose sons still filled the ranks [pc-009][pc-062]. The reversal of rural gains under post-1972 liberalization, when the producers' share of agricultural income fell from 12.8 percent to 5.1 percent, was therefore not a betrayal of the regime's founding logic but a predictable expression of it: the ruling corps had ceased to depend on the welfare of the countryside it claimed to represent [pc-012][pc-062]. The officers who captured the state's coercive instruments had become a class whose economic base was the state itself, and whose material interest lay in preserving the distribitional mechanism that had brought them to power rather than in broadening it.</w:t>
      </w:r>
    </w:p>
    <w:p w14:paraId="7F352385" w14:textId="77777777" w:rsidR="00970438" w:rsidRDefault="00000000" w:rsidP="009C625C">
      <w:pPr>
        <w:jc w:val="both"/>
      </w:pPr>
      <w:r>
        <w:t>Economic liberalization reorganized rather than eliminated rent-seeking, generating crosscutting coalitions between military officers, technocrats, and private capitalists that operated through the ethno-sectarian boundaries the mandate had institutionalized and the class-based military structures that had carried the Ba'thists to power [pc-017][pc-019][pc-031]. The regime's wartime dispossession policies represent the culmination of this logic—using the despotic core's organizational cohesion to physically eliminate peri-urban opposition and transfer property to regime loyalists, so that reconstruction itself became an instrument of redistribution toward the network of belonging [pc-028][pc-031]. What persisted across each reorganization was the underlying mechanism: the state's capacity to distribute material resources ran through patronage organized by belonging rather than through administrative capacity [pc-063][pc-065]. This was not an isolated episode of reform producing unintended consequences but a recurring pattern across Syrian state formation, in which what appears as infrastructural deficit is the structural form of a state that distributes through patronage rather than through bureaucracy [pc-065].</w:t>
      </w:r>
    </w:p>
    <w:p w14:paraId="34A0A37F" w14:textId="77777777" w:rsidR="00970438" w:rsidRDefault="00000000" w:rsidP="009C625C">
      <w:pPr>
        <w:jc w:val="both"/>
      </w:pPr>
      <w:r>
        <w:t>This distributional logic reframes the debate over whether Syria was a fierce state compensating for infrastructural weakness or a regime governed by networks of privilege. The infrastructural deficit the fierce-state framework identifies is not a generic accident of peripheral state formation but a structural feature of a state whose distributive mechanism is patronage organized by belonging [pc-063]. The violence the fierce-state framework registers as a symptom of weakness is better understood as the coercive face of a distributive system that allocates material resources by inclusion or exclusion from networks of belonging [pc-064]. Networks of privilege did not compensate for an absence of state capacity; they constituted the state's operative institutional structure, performing the functional equivalent of infrastructural penetration by distributing rent, managing access to economic opportunity, and binding society to the regime through clientelistic loyalty rather than bureaucratic administration [pc-025][pc-026]. The regime's repressive strategy in 2011—fragmenting national space through checkpoints and military force to atomize the movement—resembled the fierce state's reliance on coercion precisely because it lacked the capacity to relate to society through organization, which is consistent with the view that networks of privilege, while structurally real, proved insufficient as a mechanism of societal control under conditions of mass mobilization [pc-015].</w:t>
      </w:r>
    </w:p>
    <w:p w14:paraId="11AD147C" w14:textId="77777777" w:rsidR="00970438" w:rsidRDefault="00000000" w:rsidP="009C625C">
      <w:pPr>
        <w:jc w:val="both"/>
      </w:pPr>
      <w:r>
        <w:t xml:space="preserve">The international dimension of this system is not incidental but structural. Jackson's separation of negative from positive sovereignty is the condition that makes network rule viable: when international recognition insulates a regime from intervention, it can substitute patronage networks for bureaucratic capacity without losing its claim to rule, because the juridical shield prevents alternative institutional structures from acquiring the sovereign legitimacy needed to challenge the network's monopoly on distributing material resources [pc-066]. Fragmented Syria from 2011 to 2024 is best understood as one juridical sovereign under stress rather than several empirical polities—the Assad regime retained its UN seat, diplomatic recognition, and great-power protection even as its empirical governance capacity collapsed and the conflict transformed from uprising to civil war to interstate war with the intervention of Turkey, Iran, Russia, the United States, and Hezbollah [pc-047][pc-038][pc-051]. The juridical scaffolding preserved the regime's monopoly as the sole </w:t>
      </w:r>
      <w:r>
        <w:lastRenderedPageBreak/>
        <w:t>legitimate distributor of material resources, so that even functional opposition governance—property registries, contract registration by the Free Syrian Lawyers Association—could be juridically erased by Legislative Decree 11 of 2016, a decree unenforceable on the ground but decisive in law [pc-067][pc-042]. The breakaway entities never consolidated the independent, self-sustaining de facto statehood that would qualify them as unrecognized states under the standard criteria, because their heavy dependence on external patrons—the United States for the SDF, Turkey for opposition groups—undermined the de facto independence requirement, and the AANES pursued autonomy within Syria rather than full secession [pc-052][pc-056][pc-057]. Caspersen's distinction between unrecognized states and states-within-states further clarifies the asymmetry: entities that maintain high independence but recognize the central government and operate with its tacit approval face no external threat to their de facto existence, whereas Syria's breakaway entities possessed neither recognition nor the central government's acquiescence [pc-053]. The PLO case demonstrates the vulnerability this produces: the PLO built statelike institutions but, lacking juridical recognition, was deprived of negative sovereignty protections and could be easily abandoned by international actors—precisely the vulnerability the Assad regime avoided by retaining its recognized sovereign status regardless of its empirical governance failures [pc-040][pc-041].</w:t>
      </w:r>
    </w:p>
    <w:p w14:paraId="37F78841" w14:textId="77777777" w:rsidR="00970438" w:rsidRDefault="00000000" w:rsidP="009C625C">
      <w:pPr>
        <w:jc w:val="both"/>
      </w:pPr>
      <w:r>
        <w:t>This century-long trajectory confirms, with striking precision, the prediction that exclusionary nation-state power structures violate the principle of self-rule and trigger ethnic rebellion and outside intervention [pc-045][pc-058]. The nation-state form the French mandate imposed created the categorical framework that made ethnic exclusion politically meaningful, while the class-based mechanisms of agrarian mobility provided the organizational vehicle through which an ethno-sectarian minority could capture the state's despotic core [pc-032]. Successive waves of rebellion—the Muslim Brotherhood uprising, the 2011 revolution—followed as the framework anticipates [pc-045]. Yet treating this trajectory as a near-automatic consequence of nation-state formation, as Wimmer's structuralist thesis implies, overstates its inevitability [pc-046]. The position adopted here—that French minority institutionalization, class-based agrarian mobility, and exclusionary power structures converge to explain Syria's despotic core—risks reproducing the very anachronism the mandate evidence warns against: the officers who captured the state did not initially act as Alawis but as rural peasants and Ba'thists, and the sectarianization of state power was an emergent product of successive purges and political crystallizations rather than a pre-planned ethno-nationalist strategy [pc-046][pc-011]. The organizational cohesion of the despotic core was as much a product of unintended class dynamics and military institutional accidents as of deliberate ethno-sectarian boundary-making [pc-046].</w:t>
      </w:r>
    </w:p>
    <w:p w14:paraId="2E32E9B9" w14:textId="77777777" w:rsidR="00970438" w:rsidRDefault="00000000" w:rsidP="009C625C">
      <w:pPr>
        <w:jc w:val="both"/>
      </w:pPr>
      <w:r>
        <w:t xml:space="preserve">More fundamentally, the networks-of-privilege framework struggles to explain the regime's near-collapse in 2011. If networks of privilege constituted a robust institutional structure that functionally substituted for infrastructural power, the scale and speed of the uprising's spread across Syria suggests these networks either did not penetrate society as deeply as the framework implies, or that they generated grievances among excluded populations that outweighed their stabilizing effects—an outcome the framework does not adequately predict [pc-048]. Post-2011 evidence from Daraa shows that even after military reconquest the regime could not reinstate a monopoly over local governance and operated through tacit delegation to armed factions and tribal committees, suggesting that the regime's infrastructural reach was always thinner than either the fierce-but-weak or the networks-of-privilege framework fully captures [pc-049]. The regime's reliance on paramilitaries and informal parastatal networks rather than regular state institutions—thriving not in genuine state weakness but in a perverse state formation that actively produces strongmen while maintaining strong coercive capacities—reinforces this assessment [pc-034][pc-035]. The hollowness of negative sovereignty compounds the problem: with Syria's External Intervention score at 10.0, the juridical sovereign was increasingly a legal fiction sustained by Russian and Iranian patronage rather than a meaningful </w:t>
      </w:r>
      <w:r>
        <w:lastRenderedPageBreak/>
        <w:t>independent actor, and if external patrons withdrew, the juridical shell might collapse faster than the Jacksonian framework predicts, because the regime's negative sovereignty was maintained not by international norms alone but by active great-power intervention [pc-050][pc-043][pc-044].</w:t>
      </w:r>
    </w:p>
    <w:p w14:paraId="723D3C50" w14:textId="77777777" w:rsidR="00970438" w:rsidRDefault="00000000" w:rsidP="009C625C">
      <w:pPr>
        <w:jc w:val="both"/>
      </w:pPr>
      <w:r>
        <w:t>What changed across the century was which group the arrangement favored and what idiom of belonging it invoked: communal category under the mandate, class and party under early Ba'thism, sectarian network under liberalized patronage. What remained constant was that material survival and political power depended on inclusion in the network of privilege the state recognized as its own [pc-068]. The French distributed access by communal category; the Ba'thist officers distributed it by class origin and party loyalty that crystallized into sectarian networks; the liberalized regime distributed it through crosscutting patronage coalitions that blurred the boundary between public and private so thoroughly that establishing one was potentially misleading [pc-020]. The distributive mechanism was belonging in each case, not office, and the state's institutional structure was constituted by the network rather than by the bureaucracy it nominally contained [pc-068].</w:t>
      </w:r>
    </w:p>
    <w:p w14:paraId="323FCEA9" w14:textId="77777777" w:rsidR="00970438" w:rsidRDefault="00000000" w:rsidP="009C625C">
      <w:pPr>
        <w:pStyle w:val="Heading4"/>
        <w:jc w:val="both"/>
      </w:pPr>
      <w:r>
        <w:t>Confidence and coverage</w:t>
      </w:r>
    </w:p>
    <w:p w14:paraId="54E7FE23" w14:textId="77777777" w:rsidR="00970438" w:rsidRDefault="00000000" w:rsidP="009C625C">
      <w:pPr>
        <w:jc w:val="both"/>
      </w:pPr>
      <w:r>
        <w:rPr>
          <w:b/>
        </w:rPr>
        <w:t>Overall confidence:</w:t>
      </w:r>
      <w:r>
        <w:t xml:space="preserve"> low (band shown with the coverage counts that justify it).</w:t>
      </w:r>
    </w:p>
    <w:p w14:paraId="630D6F43" w14:textId="77777777" w:rsidR="00970438" w:rsidRDefault="00000000" w:rsidP="009C625C">
      <w:pPr>
        <w:jc w:val="both"/>
      </w:pPr>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French Mandate (moderate: 55 corpus notes, 13 cited claims); French Mandate Syria (thin: 19 corpus notes, 14 cited claims); Hanna Batatu (moderate: 29 corpus notes, 9 cited claims); Idlib (moderate: 30 corpus notes, 22 cited claims); Infrastructural power (moderate: 51 corpus notes, 17 cited claims); Rojava (thin: 4 corpus notes, 2 cited claims); Steven Heydemann (moderate: 45 corpus notes, 17 cited claims); Syria (dense: 962 corpus notes, 51 cited claims); Syria's Peasantry, the Descendants of Its Lesser Rural Notables, and Their Politics (thin: 5 corpus notes, 7 cited claims); Syrian regime (thin: 11 corpus notes, 3 cited claims); Waves of War (thin: 3 corpus notes, 4 cited claims); de facto independence (thin: 6 corpus notes, 5 cited claims); despotic power (moderate: 27 corpus notes, 14 cited claims); fierce state (thin: 1 corpus notes, 13 cited claims); minorities (thin: 12 corpus notes, 8 cited claims); negative sovereignty (moderate: 47 corpus notes, 9 cited claims); networks of privilege (thin: 2 corpus notes, 7 cited claims)</w:t>
      </w:r>
    </w:p>
    <w:p w14:paraId="404193B2" w14:textId="77777777" w:rsidR="00D06213" w:rsidRDefault="00D06213"/>
    <w:tbl>
      <w:tblPr>
        <w:tblStyle w:val="LightGrid-Accent1"/>
        <w:tblW w:w="0" w:type="auto"/>
        <w:tblLook w:val="04A0" w:firstRow="1" w:lastRow="0" w:firstColumn="1" w:lastColumn="0" w:noHBand="0" w:noVBand="1"/>
      </w:tblPr>
      <w:tblGrid>
        <w:gridCol w:w="5211"/>
        <w:gridCol w:w="1560"/>
        <w:gridCol w:w="1417"/>
        <w:gridCol w:w="1316"/>
      </w:tblGrid>
      <w:tr w:rsidR="00970438" w14:paraId="45C50E9A"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1572426C" w14:textId="77777777" w:rsidR="00970438" w:rsidRDefault="00000000">
            <w:pPr>
              <w:spacing w:after="40"/>
            </w:pPr>
            <w:r>
              <w:rPr>
                <w:sz w:val="18"/>
              </w:rPr>
              <w:t>name</w:t>
            </w:r>
          </w:p>
        </w:tc>
        <w:tc>
          <w:tcPr>
            <w:tcW w:w="1560" w:type="dxa"/>
          </w:tcPr>
          <w:p w14:paraId="5B6ADDFC"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corpus notes</w:t>
            </w:r>
          </w:p>
        </w:tc>
        <w:tc>
          <w:tcPr>
            <w:tcW w:w="1417" w:type="dxa"/>
          </w:tcPr>
          <w:p w14:paraId="2DD2E198"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cited claims</w:t>
            </w:r>
          </w:p>
        </w:tc>
        <w:tc>
          <w:tcPr>
            <w:tcW w:w="1316" w:type="dxa"/>
          </w:tcPr>
          <w:p w14:paraId="0E253DEB"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coverage</w:t>
            </w:r>
          </w:p>
        </w:tc>
      </w:tr>
      <w:tr w:rsidR="00970438" w14:paraId="79EA7C7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33CE068F" w14:textId="77777777" w:rsidR="00970438" w:rsidRDefault="00000000">
            <w:pPr>
              <w:spacing w:after="40"/>
            </w:pPr>
            <w:r>
              <w:rPr>
                <w:sz w:val="18"/>
              </w:rPr>
              <w:t>Business Networks in Syria: The Political Economy of Authoritarian Resilience</w:t>
            </w:r>
          </w:p>
        </w:tc>
        <w:tc>
          <w:tcPr>
            <w:tcW w:w="1560" w:type="dxa"/>
          </w:tcPr>
          <w:p w14:paraId="01DE62E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1417" w:type="dxa"/>
          </w:tcPr>
          <w:p w14:paraId="4B8538A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1316" w:type="dxa"/>
          </w:tcPr>
          <w:p w14:paraId="50DAEE0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1557F01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33B535EC" w14:textId="77777777" w:rsidR="00970438" w:rsidRDefault="00000000">
            <w:pPr>
              <w:spacing w:after="40"/>
            </w:pPr>
            <w:r>
              <w:rPr>
                <w:sz w:val="18"/>
              </w:rPr>
              <w:t>French Mandate</w:t>
            </w:r>
          </w:p>
        </w:tc>
        <w:tc>
          <w:tcPr>
            <w:tcW w:w="1560" w:type="dxa"/>
          </w:tcPr>
          <w:p w14:paraId="49E2792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55</w:t>
            </w:r>
          </w:p>
        </w:tc>
        <w:tc>
          <w:tcPr>
            <w:tcW w:w="1417" w:type="dxa"/>
          </w:tcPr>
          <w:p w14:paraId="104F700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13</w:t>
            </w:r>
          </w:p>
        </w:tc>
        <w:tc>
          <w:tcPr>
            <w:tcW w:w="1316" w:type="dxa"/>
          </w:tcPr>
          <w:p w14:paraId="528A0E6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moderate</w:t>
            </w:r>
          </w:p>
        </w:tc>
      </w:tr>
      <w:tr w:rsidR="00970438" w14:paraId="7636CF41"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69A29EA9" w14:textId="77777777" w:rsidR="00970438" w:rsidRDefault="00000000">
            <w:pPr>
              <w:spacing w:after="40"/>
            </w:pPr>
            <w:r>
              <w:rPr>
                <w:sz w:val="18"/>
              </w:rPr>
              <w:t>French Mandate Syria</w:t>
            </w:r>
          </w:p>
        </w:tc>
        <w:tc>
          <w:tcPr>
            <w:tcW w:w="1560" w:type="dxa"/>
          </w:tcPr>
          <w:p w14:paraId="1EADA05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19</w:t>
            </w:r>
          </w:p>
        </w:tc>
        <w:tc>
          <w:tcPr>
            <w:tcW w:w="1417" w:type="dxa"/>
          </w:tcPr>
          <w:p w14:paraId="05ED3FD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14</w:t>
            </w:r>
          </w:p>
        </w:tc>
        <w:tc>
          <w:tcPr>
            <w:tcW w:w="1316" w:type="dxa"/>
          </w:tcPr>
          <w:p w14:paraId="79B6D5D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52B93B5A"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2FB9E055" w14:textId="77777777" w:rsidR="00970438" w:rsidRDefault="00000000">
            <w:pPr>
              <w:spacing w:after="40"/>
            </w:pPr>
            <w:r>
              <w:rPr>
                <w:sz w:val="18"/>
              </w:rPr>
              <w:t>Hanna Batatu</w:t>
            </w:r>
          </w:p>
        </w:tc>
        <w:tc>
          <w:tcPr>
            <w:tcW w:w="1560" w:type="dxa"/>
          </w:tcPr>
          <w:p w14:paraId="08DFF02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29</w:t>
            </w:r>
          </w:p>
        </w:tc>
        <w:tc>
          <w:tcPr>
            <w:tcW w:w="1417" w:type="dxa"/>
          </w:tcPr>
          <w:p w14:paraId="120BCDE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9</w:t>
            </w:r>
          </w:p>
        </w:tc>
        <w:tc>
          <w:tcPr>
            <w:tcW w:w="1316" w:type="dxa"/>
          </w:tcPr>
          <w:p w14:paraId="69E6B4F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moderate</w:t>
            </w:r>
          </w:p>
        </w:tc>
      </w:tr>
      <w:tr w:rsidR="00970438" w14:paraId="29192FF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2726BA72" w14:textId="77777777" w:rsidR="00970438" w:rsidRDefault="00000000">
            <w:pPr>
              <w:spacing w:after="40"/>
            </w:pPr>
            <w:r>
              <w:rPr>
                <w:sz w:val="18"/>
              </w:rPr>
              <w:t>Idlib</w:t>
            </w:r>
          </w:p>
        </w:tc>
        <w:tc>
          <w:tcPr>
            <w:tcW w:w="1560" w:type="dxa"/>
          </w:tcPr>
          <w:p w14:paraId="13CB7D9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30</w:t>
            </w:r>
          </w:p>
        </w:tc>
        <w:tc>
          <w:tcPr>
            <w:tcW w:w="1417" w:type="dxa"/>
          </w:tcPr>
          <w:p w14:paraId="009D92A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22</w:t>
            </w:r>
          </w:p>
        </w:tc>
        <w:tc>
          <w:tcPr>
            <w:tcW w:w="1316" w:type="dxa"/>
          </w:tcPr>
          <w:p w14:paraId="380EC14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moderate</w:t>
            </w:r>
          </w:p>
        </w:tc>
      </w:tr>
      <w:tr w:rsidR="00970438" w14:paraId="3107A1AB"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4650CE26" w14:textId="77777777" w:rsidR="00970438" w:rsidRDefault="00000000">
            <w:pPr>
              <w:spacing w:after="40"/>
            </w:pPr>
            <w:r>
              <w:rPr>
                <w:sz w:val="18"/>
              </w:rPr>
              <w:t>Infrastructural power</w:t>
            </w:r>
          </w:p>
        </w:tc>
        <w:tc>
          <w:tcPr>
            <w:tcW w:w="1560" w:type="dxa"/>
          </w:tcPr>
          <w:p w14:paraId="250157F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51</w:t>
            </w:r>
          </w:p>
        </w:tc>
        <w:tc>
          <w:tcPr>
            <w:tcW w:w="1417" w:type="dxa"/>
          </w:tcPr>
          <w:p w14:paraId="3F98F94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17</w:t>
            </w:r>
          </w:p>
        </w:tc>
        <w:tc>
          <w:tcPr>
            <w:tcW w:w="1316" w:type="dxa"/>
          </w:tcPr>
          <w:p w14:paraId="6AA0AC8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moderate</w:t>
            </w:r>
          </w:p>
        </w:tc>
      </w:tr>
      <w:tr w:rsidR="00970438" w14:paraId="04D9994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0CD1E2CF" w14:textId="77777777" w:rsidR="00970438" w:rsidRDefault="00000000">
            <w:pPr>
              <w:spacing w:after="40"/>
            </w:pPr>
            <w:r>
              <w:rPr>
                <w:sz w:val="18"/>
              </w:rPr>
              <w:t>Rojava</w:t>
            </w:r>
          </w:p>
        </w:tc>
        <w:tc>
          <w:tcPr>
            <w:tcW w:w="1560" w:type="dxa"/>
          </w:tcPr>
          <w:p w14:paraId="6AF6CFD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w:t>
            </w:r>
          </w:p>
        </w:tc>
        <w:tc>
          <w:tcPr>
            <w:tcW w:w="1417" w:type="dxa"/>
          </w:tcPr>
          <w:p w14:paraId="198FCD7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2</w:t>
            </w:r>
          </w:p>
        </w:tc>
        <w:tc>
          <w:tcPr>
            <w:tcW w:w="1316" w:type="dxa"/>
          </w:tcPr>
          <w:p w14:paraId="3CC8F7D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08621EE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2AD9F0EA" w14:textId="77777777" w:rsidR="00970438" w:rsidRDefault="00000000">
            <w:pPr>
              <w:spacing w:after="40"/>
            </w:pPr>
            <w:r>
              <w:rPr>
                <w:sz w:val="18"/>
              </w:rPr>
              <w:t>Steven Heydemann</w:t>
            </w:r>
          </w:p>
        </w:tc>
        <w:tc>
          <w:tcPr>
            <w:tcW w:w="1560" w:type="dxa"/>
          </w:tcPr>
          <w:p w14:paraId="05FC1CB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45</w:t>
            </w:r>
          </w:p>
        </w:tc>
        <w:tc>
          <w:tcPr>
            <w:tcW w:w="1417" w:type="dxa"/>
          </w:tcPr>
          <w:p w14:paraId="33E6A54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17</w:t>
            </w:r>
          </w:p>
        </w:tc>
        <w:tc>
          <w:tcPr>
            <w:tcW w:w="1316" w:type="dxa"/>
          </w:tcPr>
          <w:p w14:paraId="325F2D8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moderate</w:t>
            </w:r>
          </w:p>
        </w:tc>
      </w:tr>
      <w:tr w:rsidR="00970438" w14:paraId="65C7EFA8"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37489115" w14:textId="77777777" w:rsidR="00970438" w:rsidRDefault="00000000">
            <w:pPr>
              <w:spacing w:after="40"/>
            </w:pPr>
            <w:r>
              <w:rPr>
                <w:sz w:val="18"/>
              </w:rPr>
              <w:t>Syria</w:t>
            </w:r>
          </w:p>
        </w:tc>
        <w:tc>
          <w:tcPr>
            <w:tcW w:w="1560" w:type="dxa"/>
          </w:tcPr>
          <w:p w14:paraId="75F2B48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962</w:t>
            </w:r>
          </w:p>
        </w:tc>
        <w:tc>
          <w:tcPr>
            <w:tcW w:w="1417" w:type="dxa"/>
          </w:tcPr>
          <w:p w14:paraId="7B05BB4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51</w:t>
            </w:r>
          </w:p>
        </w:tc>
        <w:tc>
          <w:tcPr>
            <w:tcW w:w="1316" w:type="dxa"/>
          </w:tcPr>
          <w:p w14:paraId="25EF3B7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dense</w:t>
            </w:r>
          </w:p>
        </w:tc>
      </w:tr>
      <w:tr w:rsidR="00970438" w14:paraId="60A7314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4241F42C" w14:textId="77777777" w:rsidR="00970438" w:rsidRDefault="00000000">
            <w:pPr>
              <w:spacing w:after="40"/>
            </w:pPr>
            <w:r>
              <w:rPr>
                <w:sz w:val="18"/>
              </w:rPr>
              <w:t>Syria's Peasantry, the Descendants of Its Lesser Rural Notables, and Their Politics</w:t>
            </w:r>
          </w:p>
        </w:tc>
        <w:tc>
          <w:tcPr>
            <w:tcW w:w="1560" w:type="dxa"/>
          </w:tcPr>
          <w:p w14:paraId="7741044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5</w:t>
            </w:r>
          </w:p>
        </w:tc>
        <w:tc>
          <w:tcPr>
            <w:tcW w:w="1417" w:type="dxa"/>
          </w:tcPr>
          <w:p w14:paraId="144E6F9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7</w:t>
            </w:r>
          </w:p>
        </w:tc>
        <w:tc>
          <w:tcPr>
            <w:tcW w:w="1316" w:type="dxa"/>
          </w:tcPr>
          <w:p w14:paraId="201BAC2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r w:rsidR="00970438" w14:paraId="36D4796F"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091A289E" w14:textId="77777777" w:rsidR="00970438" w:rsidRDefault="00000000">
            <w:pPr>
              <w:spacing w:after="40"/>
            </w:pPr>
            <w:r>
              <w:rPr>
                <w:sz w:val="18"/>
              </w:rPr>
              <w:lastRenderedPageBreak/>
              <w:t>Syrian regime</w:t>
            </w:r>
          </w:p>
        </w:tc>
        <w:tc>
          <w:tcPr>
            <w:tcW w:w="1560" w:type="dxa"/>
          </w:tcPr>
          <w:p w14:paraId="4B94F53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11</w:t>
            </w:r>
          </w:p>
        </w:tc>
        <w:tc>
          <w:tcPr>
            <w:tcW w:w="1417" w:type="dxa"/>
          </w:tcPr>
          <w:p w14:paraId="2C90F5B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3</w:t>
            </w:r>
          </w:p>
        </w:tc>
        <w:tc>
          <w:tcPr>
            <w:tcW w:w="1316" w:type="dxa"/>
          </w:tcPr>
          <w:p w14:paraId="502F04B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64EE55F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10435D76" w14:textId="77777777" w:rsidR="00970438" w:rsidRDefault="00000000">
            <w:pPr>
              <w:spacing w:after="40"/>
            </w:pPr>
            <w:r>
              <w:rPr>
                <w:sz w:val="18"/>
              </w:rPr>
              <w:t>Waves of War</w:t>
            </w:r>
          </w:p>
        </w:tc>
        <w:tc>
          <w:tcPr>
            <w:tcW w:w="1560" w:type="dxa"/>
          </w:tcPr>
          <w:p w14:paraId="03652BF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3</w:t>
            </w:r>
          </w:p>
        </w:tc>
        <w:tc>
          <w:tcPr>
            <w:tcW w:w="1417" w:type="dxa"/>
          </w:tcPr>
          <w:p w14:paraId="5B539F9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4</w:t>
            </w:r>
          </w:p>
        </w:tc>
        <w:tc>
          <w:tcPr>
            <w:tcW w:w="1316" w:type="dxa"/>
          </w:tcPr>
          <w:p w14:paraId="321EDC1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r w:rsidR="00970438" w14:paraId="69BC752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2663D47F" w14:textId="77777777" w:rsidR="00970438" w:rsidRDefault="00000000">
            <w:pPr>
              <w:spacing w:after="40"/>
            </w:pPr>
            <w:r>
              <w:rPr>
                <w:sz w:val="18"/>
              </w:rPr>
              <w:t>de facto independence</w:t>
            </w:r>
          </w:p>
        </w:tc>
        <w:tc>
          <w:tcPr>
            <w:tcW w:w="1560" w:type="dxa"/>
          </w:tcPr>
          <w:p w14:paraId="5EDBCCB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6</w:t>
            </w:r>
          </w:p>
        </w:tc>
        <w:tc>
          <w:tcPr>
            <w:tcW w:w="1417" w:type="dxa"/>
          </w:tcPr>
          <w:p w14:paraId="3149C51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5</w:t>
            </w:r>
          </w:p>
        </w:tc>
        <w:tc>
          <w:tcPr>
            <w:tcW w:w="1316" w:type="dxa"/>
          </w:tcPr>
          <w:p w14:paraId="761A4B0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2B2E7FEF"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7DE72285" w14:textId="77777777" w:rsidR="00970438" w:rsidRDefault="00000000">
            <w:pPr>
              <w:spacing w:after="40"/>
            </w:pPr>
            <w:r>
              <w:rPr>
                <w:sz w:val="18"/>
              </w:rPr>
              <w:t>despotic power</w:t>
            </w:r>
          </w:p>
        </w:tc>
        <w:tc>
          <w:tcPr>
            <w:tcW w:w="1560" w:type="dxa"/>
          </w:tcPr>
          <w:p w14:paraId="272441D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27</w:t>
            </w:r>
          </w:p>
        </w:tc>
        <w:tc>
          <w:tcPr>
            <w:tcW w:w="1417" w:type="dxa"/>
          </w:tcPr>
          <w:p w14:paraId="34FF13A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14</w:t>
            </w:r>
          </w:p>
        </w:tc>
        <w:tc>
          <w:tcPr>
            <w:tcW w:w="1316" w:type="dxa"/>
          </w:tcPr>
          <w:p w14:paraId="38A19DC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moderate</w:t>
            </w:r>
          </w:p>
        </w:tc>
      </w:tr>
      <w:tr w:rsidR="00970438" w14:paraId="181D0DE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31EEC6D9" w14:textId="77777777" w:rsidR="00970438" w:rsidRDefault="00000000">
            <w:pPr>
              <w:spacing w:after="40"/>
            </w:pPr>
            <w:r>
              <w:rPr>
                <w:sz w:val="18"/>
              </w:rPr>
              <w:t>fierce state</w:t>
            </w:r>
          </w:p>
        </w:tc>
        <w:tc>
          <w:tcPr>
            <w:tcW w:w="1560" w:type="dxa"/>
          </w:tcPr>
          <w:p w14:paraId="304F303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w:t>
            </w:r>
          </w:p>
        </w:tc>
        <w:tc>
          <w:tcPr>
            <w:tcW w:w="1417" w:type="dxa"/>
          </w:tcPr>
          <w:p w14:paraId="68F8E54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13</w:t>
            </w:r>
          </w:p>
        </w:tc>
        <w:tc>
          <w:tcPr>
            <w:tcW w:w="1316" w:type="dxa"/>
          </w:tcPr>
          <w:p w14:paraId="2F818D7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thin</w:t>
            </w:r>
          </w:p>
        </w:tc>
      </w:tr>
      <w:tr w:rsidR="00970438" w14:paraId="0A82016D"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2DAB6AE7" w14:textId="77777777" w:rsidR="00970438" w:rsidRDefault="00000000">
            <w:pPr>
              <w:spacing w:after="40"/>
            </w:pPr>
            <w:r>
              <w:rPr>
                <w:sz w:val="18"/>
              </w:rPr>
              <w:t>minorities</w:t>
            </w:r>
          </w:p>
        </w:tc>
        <w:tc>
          <w:tcPr>
            <w:tcW w:w="1560" w:type="dxa"/>
          </w:tcPr>
          <w:p w14:paraId="2430EFC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12</w:t>
            </w:r>
          </w:p>
        </w:tc>
        <w:tc>
          <w:tcPr>
            <w:tcW w:w="1417" w:type="dxa"/>
          </w:tcPr>
          <w:p w14:paraId="046C0A5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8</w:t>
            </w:r>
          </w:p>
        </w:tc>
        <w:tc>
          <w:tcPr>
            <w:tcW w:w="1316" w:type="dxa"/>
          </w:tcPr>
          <w:p w14:paraId="3FD5DCB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r w:rsidR="00970438" w14:paraId="2DC2245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387D6001" w14:textId="77777777" w:rsidR="00970438" w:rsidRDefault="00000000">
            <w:pPr>
              <w:spacing w:after="40"/>
            </w:pPr>
            <w:r>
              <w:rPr>
                <w:sz w:val="18"/>
              </w:rPr>
              <w:t>negative sovereignty</w:t>
            </w:r>
          </w:p>
        </w:tc>
        <w:tc>
          <w:tcPr>
            <w:tcW w:w="1560" w:type="dxa"/>
          </w:tcPr>
          <w:p w14:paraId="3CD8E30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47</w:t>
            </w:r>
          </w:p>
        </w:tc>
        <w:tc>
          <w:tcPr>
            <w:tcW w:w="1417" w:type="dxa"/>
          </w:tcPr>
          <w:p w14:paraId="678B37A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9</w:t>
            </w:r>
          </w:p>
        </w:tc>
        <w:tc>
          <w:tcPr>
            <w:tcW w:w="1316" w:type="dxa"/>
          </w:tcPr>
          <w:p w14:paraId="62E2B18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moderate</w:t>
            </w:r>
          </w:p>
        </w:tc>
      </w:tr>
      <w:tr w:rsidR="00970438" w14:paraId="0B79C17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tcPr>
          <w:p w14:paraId="0BF83D2D" w14:textId="77777777" w:rsidR="00970438" w:rsidRDefault="00000000">
            <w:pPr>
              <w:spacing w:after="40"/>
            </w:pPr>
            <w:r>
              <w:rPr>
                <w:sz w:val="18"/>
              </w:rPr>
              <w:t>networks of privilege</w:t>
            </w:r>
          </w:p>
        </w:tc>
        <w:tc>
          <w:tcPr>
            <w:tcW w:w="1560" w:type="dxa"/>
          </w:tcPr>
          <w:p w14:paraId="4D4FA39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2</w:t>
            </w:r>
          </w:p>
        </w:tc>
        <w:tc>
          <w:tcPr>
            <w:tcW w:w="1417" w:type="dxa"/>
          </w:tcPr>
          <w:p w14:paraId="0343B33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7</w:t>
            </w:r>
          </w:p>
        </w:tc>
        <w:tc>
          <w:tcPr>
            <w:tcW w:w="1316" w:type="dxa"/>
          </w:tcPr>
          <w:p w14:paraId="573E48C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thin</w:t>
            </w:r>
          </w:p>
        </w:tc>
      </w:tr>
    </w:tbl>
    <w:p w14:paraId="58FF1F22" w14:textId="77777777" w:rsidR="00970438" w:rsidRDefault="00970438"/>
    <w:p w14:paraId="4E5A4AB2" w14:textId="77777777" w:rsidR="00970438" w:rsidRDefault="00000000">
      <w:pPr>
        <w:pStyle w:val="Heading4"/>
      </w:pPr>
      <w:r>
        <w:t>Shape check</w:t>
      </w:r>
    </w:p>
    <w:p w14:paraId="78F0655A" w14:textId="77777777" w:rsidR="00970438" w:rsidRDefault="00000000">
      <w:r>
        <w:rPr>
          <w:b/>
        </w:rPr>
        <w:t>Band:</w:t>
      </w:r>
      <w:r>
        <w:t xml:space="preserve"> strong.</w:t>
      </w:r>
    </w:p>
    <w:p w14:paraId="396D33F8" w14:textId="77777777" w:rsidR="00970438" w:rsidRDefault="00000000">
      <w:pPr>
        <w:pStyle w:val="Heading4"/>
      </w:pPr>
      <w:r>
        <w:t>Citations</w:t>
      </w:r>
    </w:p>
    <w:tbl>
      <w:tblPr>
        <w:tblStyle w:val="LightGrid-Accent1"/>
        <w:tblW w:w="0" w:type="auto"/>
        <w:tblLook w:val="04A0" w:firstRow="1" w:lastRow="0" w:firstColumn="1" w:lastColumn="0" w:noHBand="0" w:noVBand="1"/>
      </w:tblPr>
      <w:tblGrid>
        <w:gridCol w:w="1101"/>
        <w:gridCol w:w="1417"/>
        <w:gridCol w:w="1418"/>
        <w:gridCol w:w="4050"/>
        <w:gridCol w:w="1734"/>
      </w:tblGrid>
      <w:tr w:rsidR="00970438" w14:paraId="0ED63039" w14:textId="77777777" w:rsidTr="00D062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D6F77C1" w14:textId="77777777" w:rsidR="00970438" w:rsidRDefault="00000000">
            <w:pPr>
              <w:spacing w:after="40"/>
            </w:pPr>
            <w:r>
              <w:rPr>
                <w:sz w:val="18"/>
              </w:rPr>
              <w:t>id</w:t>
            </w:r>
          </w:p>
        </w:tc>
        <w:tc>
          <w:tcPr>
            <w:tcW w:w="1417" w:type="dxa"/>
          </w:tcPr>
          <w:p w14:paraId="2851E59B"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kind</w:t>
            </w:r>
          </w:p>
        </w:tc>
        <w:tc>
          <w:tcPr>
            <w:tcW w:w="1418" w:type="dxa"/>
          </w:tcPr>
          <w:p w14:paraId="68E23184"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confidence</w:t>
            </w:r>
          </w:p>
        </w:tc>
        <w:tc>
          <w:tcPr>
            <w:tcW w:w="4050" w:type="dxa"/>
          </w:tcPr>
          <w:p w14:paraId="4892765C"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grounds</w:t>
            </w:r>
          </w:p>
        </w:tc>
        <w:tc>
          <w:tcPr>
            <w:tcW w:w="1734" w:type="dxa"/>
          </w:tcPr>
          <w:p w14:paraId="35D3865B"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source</w:t>
            </w:r>
          </w:p>
        </w:tc>
      </w:tr>
      <w:tr w:rsidR="00970438" w14:paraId="55DD236A"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A04A20B" w14:textId="77777777" w:rsidR="00970438" w:rsidRDefault="00000000">
            <w:pPr>
              <w:spacing w:after="40"/>
            </w:pPr>
            <w:r>
              <w:rPr>
                <w:sz w:val="18"/>
              </w:rPr>
              <w:t>pc-001</w:t>
            </w:r>
          </w:p>
        </w:tc>
        <w:tc>
          <w:tcPr>
            <w:tcW w:w="1417" w:type="dxa"/>
          </w:tcPr>
          <w:p w14:paraId="2EC967B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7F9C007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1ECB99A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white-2011-5f35a47d9657_11_introduction_001</w:t>
            </w:r>
          </w:p>
        </w:tc>
        <w:tc>
          <w:tcPr>
            <w:tcW w:w="1734" w:type="dxa"/>
          </w:tcPr>
          <w:p w14:paraId="03D3227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 Benjamin Thomas. (2011)</w:t>
            </w:r>
          </w:p>
        </w:tc>
      </w:tr>
      <w:tr w:rsidR="00970438" w14:paraId="6C3C69E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FA47599" w14:textId="77777777" w:rsidR="00970438" w:rsidRDefault="00000000">
            <w:pPr>
              <w:spacing w:after="40"/>
            </w:pPr>
            <w:r>
              <w:rPr>
                <w:sz w:val="18"/>
              </w:rPr>
              <w:t>pc-002</w:t>
            </w:r>
          </w:p>
        </w:tc>
        <w:tc>
          <w:tcPr>
            <w:tcW w:w="1417" w:type="dxa"/>
          </w:tcPr>
          <w:p w14:paraId="03402B2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4FC33B7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0FCD6A6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white-2011-5f35a47d9657_11_introduction_002</w:t>
            </w:r>
          </w:p>
        </w:tc>
        <w:tc>
          <w:tcPr>
            <w:tcW w:w="1734" w:type="dxa"/>
          </w:tcPr>
          <w:p w14:paraId="56789D6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 Benjamin Thomas. (2011)</w:t>
            </w:r>
          </w:p>
        </w:tc>
      </w:tr>
      <w:tr w:rsidR="00970438" w14:paraId="1C809FD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4B71D01" w14:textId="77777777" w:rsidR="00970438" w:rsidRDefault="00000000">
            <w:pPr>
              <w:spacing w:after="40"/>
            </w:pPr>
            <w:r>
              <w:rPr>
                <w:sz w:val="18"/>
              </w:rPr>
              <w:t>pc-003</w:t>
            </w:r>
          </w:p>
        </w:tc>
        <w:tc>
          <w:tcPr>
            <w:tcW w:w="1417" w:type="dxa"/>
          </w:tcPr>
          <w:p w14:paraId="5FE08CC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44865B5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716B857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white-2011-5f35a47d9657_26_divide-and-rule-but-on-what-grounds_001</w:t>
            </w:r>
          </w:p>
        </w:tc>
        <w:tc>
          <w:tcPr>
            <w:tcW w:w="1734" w:type="dxa"/>
          </w:tcPr>
          <w:p w14:paraId="44EB935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 Benjamin Thomas. (2011)</w:t>
            </w:r>
          </w:p>
        </w:tc>
      </w:tr>
      <w:tr w:rsidR="00970438" w14:paraId="4E78B47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D81B5A8" w14:textId="77777777" w:rsidR="00970438" w:rsidRDefault="00000000">
            <w:pPr>
              <w:spacing w:after="40"/>
            </w:pPr>
            <w:r>
              <w:rPr>
                <w:sz w:val="18"/>
              </w:rPr>
              <w:t>pc-004</w:t>
            </w:r>
          </w:p>
        </w:tc>
        <w:tc>
          <w:tcPr>
            <w:tcW w:w="1417" w:type="dxa"/>
          </w:tcPr>
          <w:p w14:paraId="4422B5B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02A2E6F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3E84046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white-2011-5f35a47d9657_26_divide-and-rule-but-on-what-grounds_001</w:t>
            </w:r>
          </w:p>
        </w:tc>
        <w:tc>
          <w:tcPr>
            <w:tcW w:w="1734" w:type="dxa"/>
          </w:tcPr>
          <w:p w14:paraId="69AA89E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 Benjamin Thomas. (2011)</w:t>
            </w:r>
          </w:p>
        </w:tc>
      </w:tr>
      <w:tr w:rsidR="00970438" w14:paraId="73603E3B"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7AFFB65" w14:textId="77777777" w:rsidR="00970438" w:rsidRDefault="00000000">
            <w:pPr>
              <w:spacing w:after="40"/>
            </w:pPr>
            <w:r>
              <w:rPr>
                <w:sz w:val="18"/>
              </w:rPr>
              <w:t>pc-005</w:t>
            </w:r>
          </w:p>
        </w:tc>
        <w:tc>
          <w:tcPr>
            <w:tcW w:w="1417" w:type="dxa"/>
          </w:tcPr>
          <w:p w14:paraId="054C141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52AB1A8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0926AAE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white-2011-5f35a47d9657_21_the-emergence-of-minorities_001, batatu-1999-598624067df3_48_section_001, vignal-2021-c7005c2bf8ef_107_conclusion_001</w:t>
            </w:r>
          </w:p>
        </w:tc>
        <w:tc>
          <w:tcPr>
            <w:tcW w:w="1734" w:type="dxa"/>
          </w:tcPr>
          <w:p w14:paraId="2B7645C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Hanna </w:t>
            </w:r>
            <w:proofErr w:type="spellStart"/>
            <w:r>
              <w:rPr>
                <w:sz w:val="18"/>
              </w:rPr>
              <w:t>Batatu</w:t>
            </w:r>
            <w:proofErr w:type="spellEnd"/>
            <w:r>
              <w:rPr>
                <w:sz w:val="18"/>
              </w:rPr>
              <w:t xml:space="preserve"> (1999); Leila </w:t>
            </w:r>
            <w:proofErr w:type="spellStart"/>
            <w:r>
              <w:rPr>
                <w:sz w:val="18"/>
              </w:rPr>
              <w:t>Vignal</w:t>
            </w:r>
            <w:proofErr w:type="spellEnd"/>
            <w:r>
              <w:rPr>
                <w:sz w:val="18"/>
              </w:rPr>
              <w:t xml:space="preserve"> ; (2021); White, Benjamin Thomas. (2011)</w:t>
            </w:r>
          </w:p>
        </w:tc>
      </w:tr>
      <w:tr w:rsidR="00970438" w14:paraId="7FCC421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E405432" w14:textId="77777777" w:rsidR="00970438" w:rsidRDefault="00000000">
            <w:pPr>
              <w:spacing w:after="40"/>
            </w:pPr>
            <w:r>
              <w:rPr>
                <w:sz w:val="18"/>
              </w:rPr>
              <w:t>pc-006</w:t>
            </w:r>
          </w:p>
        </w:tc>
        <w:tc>
          <w:tcPr>
            <w:tcW w:w="1417" w:type="dxa"/>
          </w:tcPr>
          <w:p w14:paraId="14EAD84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10772A8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46A6582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batatu-1999-598624067df3_48_section_001</w:t>
            </w:r>
          </w:p>
        </w:tc>
        <w:tc>
          <w:tcPr>
            <w:tcW w:w="1734" w:type="dxa"/>
          </w:tcPr>
          <w:p w14:paraId="768FA57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Hanna </w:t>
            </w:r>
            <w:proofErr w:type="spellStart"/>
            <w:r>
              <w:rPr>
                <w:sz w:val="18"/>
              </w:rPr>
              <w:t>Batatu</w:t>
            </w:r>
            <w:proofErr w:type="spellEnd"/>
            <w:r>
              <w:rPr>
                <w:sz w:val="18"/>
              </w:rPr>
              <w:t xml:space="preserve"> (1999)</w:t>
            </w:r>
          </w:p>
        </w:tc>
      </w:tr>
      <w:tr w:rsidR="00970438" w14:paraId="5E67121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A0F4CAF" w14:textId="77777777" w:rsidR="00970438" w:rsidRDefault="00000000">
            <w:pPr>
              <w:spacing w:after="40"/>
            </w:pPr>
            <w:r>
              <w:rPr>
                <w:sz w:val="18"/>
              </w:rPr>
              <w:t>pc-007</w:t>
            </w:r>
          </w:p>
        </w:tc>
        <w:tc>
          <w:tcPr>
            <w:tcW w:w="1417" w:type="dxa"/>
          </w:tcPr>
          <w:p w14:paraId="17FDAC9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79D20C1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0A26D14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batatu-1999-598624067df3_48_section_001</w:t>
            </w:r>
          </w:p>
        </w:tc>
        <w:tc>
          <w:tcPr>
            <w:tcW w:w="1734" w:type="dxa"/>
          </w:tcPr>
          <w:p w14:paraId="0E36910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Hanna </w:t>
            </w:r>
            <w:proofErr w:type="spellStart"/>
            <w:r>
              <w:rPr>
                <w:sz w:val="18"/>
              </w:rPr>
              <w:t>Batatu</w:t>
            </w:r>
            <w:proofErr w:type="spellEnd"/>
            <w:r>
              <w:rPr>
                <w:sz w:val="18"/>
              </w:rPr>
              <w:t xml:space="preserve"> (1999)</w:t>
            </w:r>
          </w:p>
        </w:tc>
      </w:tr>
      <w:tr w:rsidR="00970438" w14:paraId="55D8BBE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32DAD96" w14:textId="77777777" w:rsidR="00970438" w:rsidRDefault="00000000">
            <w:pPr>
              <w:spacing w:after="40"/>
            </w:pPr>
            <w:r>
              <w:rPr>
                <w:sz w:val="18"/>
              </w:rPr>
              <w:t>pc-008</w:t>
            </w:r>
          </w:p>
        </w:tc>
        <w:tc>
          <w:tcPr>
            <w:tcW w:w="1417" w:type="dxa"/>
          </w:tcPr>
          <w:p w14:paraId="7A6913E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2C2E736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0D0DACC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ayubi-1995-16fd6a2e503f_41_a-colonial-mode-of-production_004</w:t>
            </w:r>
          </w:p>
        </w:tc>
        <w:tc>
          <w:tcPr>
            <w:tcW w:w="1734" w:type="dxa"/>
          </w:tcPr>
          <w:p w14:paraId="60A9316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w:t>
            </w:r>
          </w:p>
        </w:tc>
      </w:tr>
      <w:tr w:rsidR="00970438" w14:paraId="47F0EAB1"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6AD0F9D" w14:textId="77777777" w:rsidR="00970438" w:rsidRDefault="00000000">
            <w:pPr>
              <w:spacing w:after="40"/>
            </w:pPr>
            <w:r>
              <w:rPr>
                <w:sz w:val="18"/>
              </w:rPr>
              <w:t>pc-009</w:t>
            </w:r>
          </w:p>
        </w:tc>
        <w:tc>
          <w:tcPr>
            <w:tcW w:w="1417" w:type="dxa"/>
          </w:tcPr>
          <w:p w14:paraId="683CE88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03B2666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6E10517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ayubi-1995-16fd6a2e503f_66_a-closer-look-at-social-classes_002</w:t>
            </w:r>
          </w:p>
        </w:tc>
        <w:tc>
          <w:tcPr>
            <w:tcW w:w="1734" w:type="dxa"/>
          </w:tcPr>
          <w:p w14:paraId="031140D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w:t>
            </w:r>
          </w:p>
        </w:tc>
      </w:tr>
      <w:tr w:rsidR="00970438" w14:paraId="51B2056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06874CE" w14:textId="77777777" w:rsidR="00970438" w:rsidRDefault="00000000">
            <w:pPr>
              <w:spacing w:after="40"/>
            </w:pPr>
            <w:r>
              <w:rPr>
                <w:sz w:val="18"/>
              </w:rPr>
              <w:t>pc-010</w:t>
            </w:r>
          </w:p>
        </w:tc>
        <w:tc>
          <w:tcPr>
            <w:tcW w:w="1417" w:type="dxa"/>
          </w:tcPr>
          <w:p w14:paraId="4255A78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6B09A63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050" w:type="dxa"/>
          </w:tcPr>
          <w:p w14:paraId="6C3A539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ayubi-1995-16fd6a2e503f_118_syria_002</w:t>
            </w:r>
          </w:p>
        </w:tc>
        <w:tc>
          <w:tcPr>
            <w:tcW w:w="1734" w:type="dxa"/>
          </w:tcPr>
          <w:p w14:paraId="14A67A6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w:t>
            </w:r>
          </w:p>
        </w:tc>
      </w:tr>
      <w:tr w:rsidR="00970438" w14:paraId="73969CC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586074D" w14:textId="77777777" w:rsidR="00970438" w:rsidRDefault="00000000">
            <w:pPr>
              <w:spacing w:after="40"/>
            </w:pPr>
            <w:r>
              <w:rPr>
                <w:sz w:val="18"/>
              </w:rPr>
              <w:t>pc-011</w:t>
            </w:r>
          </w:p>
        </w:tc>
        <w:tc>
          <w:tcPr>
            <w:tcW w:w="1417" w:type="dxa"/>
          </w:tcPr>
          <w:p w14:paraId="71D2E85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43293E5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204A0B9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batatu-1999-598624067df3_48_section_001, ayubi-1995-16fd6a2e503f_118_syria_002</w:t>
            </w:r>
          </w:p>
        </w:tc>
        <w:tc>
          <w:tcPr>
            <w:tcW w:w="1734" w:type="dxa"/>
          </w:tcPr>
          <w:p w14:paraId="53AB743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Ayubi, Nazih N.; (1995); Hanna </w:t>
            </w:r>
            <w:proofErr w:type="spellStart"/>
            <w:r>
              <w:rPr>
                <w:sz w:val="18"/>
              </w:rPr>
              <w:t>Batatu</w:t>
            </w:r>
            <w:proofErr w:type="spellEnd"/>
            <w:r>
              <w:rPr>
                <w:sz w:val="18"/>
              </w:rPr>
              <w:t xml:space="preserve"> (1999)</w:t>
            </w:r>
          </w:p>
        </w:tc>
      </w:tr>
      <w:tr w:rsidR="00970438" w14:paraId="186317D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409519C" w14:textId="77777777" w:rsidR="00970438" w:rsidRDefault="00000000">
            <w:pPr>
              <w:spacing w:after="40"/>
            </w:pPr>
            <w:r>
              <w:rPr>
                <w:sz w:val="18"/>
              </w:rPr>
              <w:t>pc-012</w:t>
            </w:r>
          </w:p>
        </w:tc>
        <w:tc>
          <w:tcPr>
            <w:tcW w:w="1417" w:type="dxa"/>
          </w:tcPr>
          <w:p w14:paraId="248CCD4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48ABDD2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0450228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batatu-1999-598624067df3_20_the-d-istribution-of-a-gricultural-i-ncome-prior-to-and-since-the-r_005</w:t>
            </w:r>
          </w:p>
        </w:tc>
        <w:tc>
          <w:tcPr>
            <w:tcW w:w="1734" w:type="dxa"/>
          </w:tcPr>
          <w:p w14:paraId="1148293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Hanna </w:t>
            </w:r>
            <w:proofErr w:type="spellStart"/>
            <w:r>
              <w:rPr>
                <w:sz w:val="18"/>
              </w:rPr>
              <w:t>Batatu</w:t>
            </w:r>
            <w:proofErr w:type="spellEnd"/>
            <w:r>
              <w:rPr>
                <w:sz w:val="18"/>
              </w:rPr>
              <w:t xml:space="preserve"> (1999)</w:t>
            </w:r>
          </w:p>
        </w:tc>
      </w:tr>
      <w:tr w:rsidR="00970438" w14:paraId="4910603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C95CD80" w14:textId="77777777" w:rsidR="00970438" w:rsidRDefault="00000000">
            <w:pPr>
              <w:spacing w:after="40"/>
            </w:pPr>
            <w:r>
              <w:rPr>
                <w:sz w:val="18"/>
              </w:rPr>
              <w:t>pc-013</w:t>
            </w:r>
          </w:p>
        </w:tc>
        <w:tc>
          <w:tcPr>
            <w:tcW w:w="1417" w:type="dxa"/>
          </w:tcPr>
          <w:p w14:paraId="09F964C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3F9C898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7355BCD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w:t>
            </w:r>
          </w:p>
        </w:tc>
        <w:tc>
          <w:tcPr>
            <w:tcW w:w="1734" w:type="dxa"/>
          </w:tcPr>
          <w:p w14:paraId="3B3A5D0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w:t>
            </w:r>
          </w:p>
        </w:tc>
      </w:tr>
      <w:tr w:rsidR="00970438" w14:paraId="6A10357B"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447E311" w14:textId="77777777" w:rsidR="00970438" w:rsidRDefault="00000000">
            <w:pPr>
              <w:spacing w:after="40"/>
            </w:pPr>
            <w:r>
              <w:rPr>
                <w:sz w:val="18"/>
              </w:rPr>
              <w:t>pc-014</w:t>
            </w:r>
          </w:p>
        </w:tc>
        <w:tc>
          <w:tcPr>
            <w:tcW w:w="1417" w:type="dxa"/>
          </w:tcPr>
          <w:p w14:paraId="24DEC8C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11C9970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7DB45A8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ayubi-1995-16fd6a2e503f_146_conclusion-the-</w:t>
            </w:r>
            <w:r>
              <w:rPr>
                <w:sz w:val="18"/>
              </w:rPr>
              <w:lastRenderedPageBreak/>
              <w:t>strong-the-hard-and-the-fierce_003</w:t>
            </w:r>
          </w:p>
        </w:tc>
        <w:tc>
          <w:tcPr>
            <w:tcW w:w="1734" w:type="dxa"/>
          </w:tcPr>
          <w:p w14:paraId="0B0215E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 xml:space="preserve">Ayubi, Nazih N.; </w:t>
            </w:r>
            <w:r>
              <w:rPr>
                <w:sz w:val="18"/>
              </w:rPr>
              <w:lastRenderedPageBreak/>
              <w:t>(1995)</w:t>
            </w:r>
          </w:p>
        </w:tc>
      </w:tr>
      <w:tr w:rsidR="00970438" w:rsidRPr="00D06213" w14:paraId="3C385E21"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AE0B0B7" w14:textId="77777777" w:rsidR="00970438" w:rsidRDefault="00000000">
            <w:pPr>
              <w:spacing w:after="40"/>
            </w:pPr>
            <w:r>
              <w:rPr>
                <w:sz w:val="18"/>
              </w:rPr>
              <w:lastRenderedPageBreak/>
              <w:t>pc-015</w:t>
            </w:r>
          </w:p>
        </w:tc>
        <w:tc>
          <w:tcPr>
            <w:tcW w:w="1417" w:type="dxa"/>
          </w:tcPr>
          <w:p w14:paraId="68E807B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287CC9E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565A754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vignal-2021-c7005c2bf8ef_30_fragmenting-space-and-society-to-suppress-the-revolution_001, ayubi-1995-16fd6a2e503f_146_conclusion-the-strong-the-hard-and-the-fierce_003</w:t>
            </w:r>
          </w:p>
        </w:tc>
        <w:tc>
          <w:tcPr>
            <w:tcW w:w="1734" w:type="dxa"/>
          </w:tcPr>
          <w:p w14:paraId="67517D14"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Leila Vignal ; (2021)</w:t>
            </w:r>
          </w:p>
        </w:tc>
      </w:tr>
      <w:tr w:rsidR="00970438" w:rsidRPr="00D06213" w14:paraId="6F5F26A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97FE71D" w14:textId="77777777" w:rsidR="00970438" w:rsidRDefault="00000000">
            <w:pPr>
              <w:spacing w:after="40"/>
            </w:pPr>
            <w:r>
              <w:rPr>
                <w:sz w:val="18"/>
              </w:rPr>
              <w:t>pc-016</w:t>
            </w:r>
          </w:p>
        </w:tc>
        <w:tc>
          <w:tcPr>
            <w:tcW w:w="1417" w:type="dxa"/>
          </w:tcPr>
          <w:p w14:paraId="1AD2162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08A9C9F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74B5C7B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w:t>
            </w:r>
          </w:p>
        </w:tc>
        <w:tc>
          <w:tcPr>
            <w:tcW w:w="1734" w:type="dxa"/>
          </w:tcPr>
          <w:p w14:paraId="7CBCBB02" w14:textId="77777777" w:rsidR="00970438" w:rsidRPr="00D06213" w:rsidRDefault="00000000">
            <w:pPr>
              <w:spacing w:after="40"/>
              <w:cnfStyle w:val="000000010000" w:firstRow="0" w:lastRow="0" w:firstColumn="0" w:lastColumn="0" w:oddVBand="0" w:evenVBand="0" w:oddHBand="0" w:evenHBand="1" w:firstRowFirstColumn="0" w:firstRowLastColumn="0" w:lastRowFirstColumn="0" w:lastRowLastColumn="0"/>
              <w:rPr>
                <w:lang w:val="nl-NL"/>
              </w:rPr>
            </w:pPr>
            <w:r w:rsidRPr="00D06213">
              <w:rPr>
                <w:sz w:val="18"/>
                <w:lang w:val="nl-NL"/>
              </w:rPr>
              <w:t>Ayubi, Nazih N.; (1995); Steven Heydemann (2004)</w:t>
            </w:r>
          </w:p>
        </w:tc>
      </w:tr>
      <w:tr w:rsidR="00970438" w14:paraId="7B7930E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05A8FF0" w14:textId="77777777" w:rsidR="00970438" w:rsidRDefault="00000000">
            <w:pPr>
              <w:spacing w:after="40"/>
            </w:pPr>
            <w:r>
              <w:rPr>
                <w:sz w:val="18"/>
              </w:rPr>
              <w:t>pc-017</w:t>
            </w:r>
          </w:p>
        </w:tc>
        <w:tc>
          <w:tcPr>
            <w:tcW w:w="1417" w:type="dxa"/>
          </w:tcPr>
          <w:p w14:paraId="1D50B7B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3CA5A76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3A14CB4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heydemann-2004-72a4a9a9b3b0_11_6-steven-heydemann_001</w:t>
            </w:r>
          </w:p>
        </w:tc>
        <w:tc>
          <w:tcPr>
            <w:tcW w:w="1734" w:type="dxa"/>
          </w:tcPr>
          <w:p w14:paraId="4AC8267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(2004)</w:t>
            </w:r>
          </w:p>
        </w:tc>
      </w:tr>
      <w:tr w:rsidR="00970438" w14:paraId="65A750A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355B6D3" w14:textId="77777777" w:rsidR="00970438" w:rsidRDefault="00000000">
            <w:pPr>
              <w:spacing w:after="40"/>
            </w:pPr>
            <w:r>
              <w:rPr>
                <w:sz w:val="18"/>
              </w:rPr>
              <w:t>pc-018</w:t>
            </w:r>
          </w:p>
        </w:tc>
        <w:tc>
          <w:tcPr>
            <w:tcW w:w="1417" w:type="dxa"/>
          </w:tcPr>
          <w:p w14:paraId="3A53C3C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3A89636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43B771A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heydemann-2004-72a4a9a9b3b0_16_12-steven-heydemann_001</w:t>
            </w:r>
          </w:p>
        </w:tc>
        <w:tc>
          <w:tcPr>
            <w:tcW w:w="1734" w:type="dxa"/>
          </w:tcPr>
          <w:p w14:paraId="6F8F406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(2004)</w:t>
            </w:r>
          </w:p>
        </w:tc>
      </w:tr>
      <w:tr w:rsidR="00970438" w:rsidRPr="00D06213" w14:paraId="2E976AC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ECD8283" w14:textId="77777777" w:rsidR="00970438" w:rsidRDefault="00000000">
            <w:pPr>
              <w:spacing w:after="40"/>
            </w:pPr>
            <w:r>
              <w:rPr>
                <w:sz w:val="18"/>
              </w:rPr>
              <w:t>pc-019</w:t>
            </w:r>
          </w:p>
        </w:tc>
        <w:tc>
          <w:tcPr>
            <w:tcW w:w="1417" w:type="dxa"/>
          </w:tcPr>
          <w:p w14:paraId="0D14BAC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6F4D257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7DA2947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w="1734" w:type="dxa"/>
          </w:tcPr>
          <w:p w14:paraId="6126F525"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Hanna Batatu (1999); Steven Heydemann (2004)</w:t>
            </w:r>
          </w:p>
        </w:tc>
      </w:tr>
      <w:tr w:rsidR="00970438" w14:paraId="56724AB8"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1E82213" w14:textId="77777777" w:rsidR="00970438" w:rsidRDefault="00000000">
            <w:pPr>
              <w:spacing w:after="40"/>
            </w:pPr>
            <w:r>
              <w:rPr>
                <w:sz w:val="18"/>
              </w:rPr>
              <w:t>pc-020</w:t>
            </w:r>
          </w:p>
        </w:tc>
        <w:tc>
          <w:tcPr>
            <w:tcW w:w="1417" w:type="dxa"/>
          </w:tcPr>
          <w:p w14:paraId="416FD4D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7A45472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4EC8589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heydemann-2004-72a4a9a9b3b0_144_the-genesis-of-a-network-the-rise-of-postindependence-private-elites-in-morocco_001</w:t>
            </w:r>
          </w:p>
        </w:tc>
        <w:tc>
          <w:tcPr>
            <w:tcW w:w="1734" w:type="dxa"/>
          </w:tcPr>
          <w:p w14:paraId="76FCAC7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(2004)</w:t>
            </w:r>
          </w:p>
        </w:tc>
      </w:tr>
      <w:tr w:rsidR="00970438" w14:paraId="0A11FE14"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9A952E0" w14:textId="77777777" w:rsidR="00970438" w:rsidRDefault="00000000">
            <w:pPr>
              <w:spacing w:after="40"/>
            </w:pPr>
            <w:r>
              <w:rPr>
                <w:sz w:val="18"/>
              </w:rPr>
              <w:t>pc-021</w:t>
            </w:r>
          </w:p>
        </w:tc>
        <w:tc>
          <w:tcPr>
            <w:tcW w:w="1417" w:type="dxa"/>
          </w:tcPr>
          <w:p w14:paraId="6FDD5A0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19D2B14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42E8C83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heydemann-2004-72a4a9a9b3b0_58_conclusion_001</w:t>
            </w:r>
          </w:p>
        </w:tc>
        <w:tc>
          <w:tcPr>
            <w:tcW w:w="1734" w:type="dxa"/>
          </w:tcPr>
          <w:p w14:paraId="7754C4E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(2004)</w:t>
            </w:r>
          </w:p>
        </w:tc>
      </w:tr>
      <w:tr w:rsidR="00970438" w14:paraId="67C634F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F4CEF00" w14:textId="77777777" w:rsidR="00970438" w:rsidRDefault="00000000">
            <w:pPr>
              <w:spacing w:after="40"/>
            </w:pPr>
            <w:r>
              <w:rPr>
                <w:sz w:val="18"/>
              </w:rPr>
              <w:t>pc-022</w:t>
            </w:r>
          </w:p>
        </w:tc>
        <w:tc>
          <w:tcPr>
            <w:tcW w:w="1417" w:type="dxa"/>
          </w:tcPr>
          <w:p w14:paraId="7579B38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58E85A4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64DBCD0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bayat-2017-ce6bb0643cfb_101_joel-beinin-editor_001</w:t>
            </w:r>
          </w:p>
        </w:tc>
        <w:tc>
          <w:tcPr>
            <w:tcW w:w="1734" w:type="dxa"/>
          </w:tcPr>
          <w:p w14:paraId="5F5555B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Asef Bayat (2017)</w:t>
            </w:r>
          </w:p>
        </w:tc>
      </w:tr>
      <w:tr w:rsidR="00970438" w14:paraId="7106EF2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9EA6EED" w14:textId="77777777" w:rsidR="00970438" w:rsidRDefault="00000000">
            <w:pPr>
              <w:spacing w:after="40"/>
            </w:pPr>
            <w:r>
              <w:rPr>
                <w:sz w:val="18"/>
              </w:rPr>
              <w:t>pc-023</w:t>
            </w:r>
          </w:p>
        </w:tc>
        <w:tc>
          <w:tcPr>
            <w:tcW w:w="1417" w:type="dxa"/>
          </w:tcPr>
          <w:p w14:paraId="71AE3E5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449B151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0C8583F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hall-2006-449559bfe4dc_68_infrastructural-power-and-globalization_001</w:t>
            </w:r>
          </w:p>
        </w:tc>
        <w:tc>
          <w:tcPr>
            <w:tcW w:w="1734" w:type="dxa"/>
          </w:tcPr>
          <w:p w14:paraId="7923E4A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John A. Hall and Ralph Schroeder (2006)</w:t>
            </w:r>
          </w:p>
        </w:tc>
      </w:tr>
      <w:tr w:rsidR="00970438" w14:paraId="43502C3F"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211459E" w14:textId="77777777" w:rsidR="00970438" w:rsidRDefault="00000000">
            <w:pPr>
              <w:spacing w:after="40"/>
            </w:pPr>
            <w:r>
              <w:rPr>
                <w:sz w:val="18"/>
              </w:rPr>
              <w:t>pc-024</w:t>
            </w:r>
          </w:p>
        </w:tc>
        <w:tc>
          <w:tcPr>
            <w:tcW w:w="1417" w:type="dxa"/>
          </w:tcPr>
          <w:p w14:paraId="5BA89CE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6E9765D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4129C2F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heydemann-2000-66701ffbb36c_38_conclusion_001</w:t>
            </w:r>
          </w:p>
        </w:tc>
        <w:tc>
          <w:tcPr>
            <w:tcW w:w="1734" w:type="dxa"/>
          </w:tcPr>
          <w:p w14:paraId="7A2A496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Steven Heydemann (2000)</w:t>
            </w:r>
          </w:p>
        </w:tc>
      </w:tr>
      <w:tr w:rsidR="00970438" w14:paraId="5D68046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5BE4FB7" w14:textId="77777777" w:rsidR="00970438" w:rsidRDefault="00000000">
            <w:pPr>
              <w:spacing w:after="40"/>
            </w:pPr>
            <w:r>
              <w:rPr>
                <w:sz w:val="18"/>
              </w:rPr>
              <w:t>pc-025</w:t>
            </w:r>
          </w:p>
        </w:tc>
        <w:tc>
          <w:tcPr>
            <w:tcW w:w="1417" w:type="dxa"/>
          </w:tcPr>
          <w:p w14:paraId="21050FB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(carried)</w:t>
            </w:r>
          </w:p>
        </w:tc>
        <w:tc>
          <w:tcPr>
            <w:tcW w:w="1418" w:type="dxa"/>
          </w:tcPr>
          <w:p w14:paraId="5A3909F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593F454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w="1734" w:type="dxa"/>
          </w:tcPr>
          <w:p w14:paraId="6B52AA9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John A. Hall and Ralph Schroeder (2006); Steven Heydemann (2004)</w:t>
            </w:r>
          </w:p>
        </w:tc>
      </w:tr>
      <w:tr w:rsidR="00970438" w:rsidRPr="00D06213" w14:paraId="5E4F91A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A7CD1AE" w14:textId="77777777" w:rsidR="00970438" w:rsidRDefault="00000000">
            <w:pPr>
              <w:spacing w:after="40"/>
            </w:pPr>
            <w:r>
              <w:rPr>
                <w:sz w:val="18"/>
              </w:rPr>
              <w:t>pc-026</w:t>
            </w:r>
          </w:p>
        </w:tc>
        <w:tc>
          <w:tcPr>
            <w:tcW w:w="1417" w:type="dxa"/>
          </w:tcPr>
          <w:p w14:paraId="2184F54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04C1679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0AB0402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ayubi-1995-16fd6a2e503f_146_conclusion-the-strong-the-hard-and-the-fierce_003, heydemann-2004-72a4a9a9b3b0_144_the-genesis-of-a-network-the-rise-of-postindependence-private-elites-in-morocco_001, heydemann-2004-72a4a9a9b3b0_58_conclusion_001</w:t>
            </w:r>
          </w:p>
        </w:tc>
        <w:tc>
          <w:tcPr>
            <w:tcW w:w="1734" w:type="dxa"/>
          </w:tcPr>
          <w:p w14:paraId="2699333E" w14:textId="77777777" w:rsidR="00970438" w:rsidRPr="00D06213" w:rsidRDefault="00000000">
            <w:pPr>
              <w:spacing w:after="40"/>
              <w:cnfStyle w:val="000000010000" w:firstRow="0" w:lastRow="0" w:firstColumn="0" w:lastColumn="0" w:oddVBand="0" w:evenVBand="0" w:oddHBand="0" w:evenHBand="1" w:firstRowFirstColumn="0" w:firstRowLastColumn="0" w:lastRowFirstColumn="0" w:lastRowLastColumn="0"/>
              <w:rPr>
                <w:lang w:val="nl-NL"/>
              </w:rPr>
            </w:pPr>
            <w:r w:rsidRPr="00D06213">
              <w:rPr>
                <w:sz w:val="18"/>
                <w:lang w:val="nl-NL"/>
              </w:rPr>
              <w:t>Ayubi, Nazih N.; (1995); Steven Heydemann (2004)</w:t>
            </w:r>
          </w:p>
        </w:tc>
      </w:tr>
      <w:tr w:rsidR="00970438" w14:paraId="5759DF5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D93ECD1" w14:textId="77777777" w:rsidR="00970438" w:rsidRDefault="00000000">
            <w:pPr>
              <w:spacing w:after="40"/>
            </w:pPr>
            <w:r>
              <w:rPr>
                <w:sz w:val="18"/>
              </w:rPr>
              <w:t>pc-027</w:t>
            </w:r>
          </w:p>
        </w:tc>
        <w:tc>
          <w:tcPr>
            <w:tcW w:w="1417" w:type="dxa"/>
          </w:tcPr>
          <w:p w14:paraId="1EF0E16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1A03C6D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1DF1110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hall-2006-449559bfe4dc_111_frank-</w:t>
            </w:r>
            <w:r>
              <w:rPr>
                <w:sz w:val="18"/>
              </w:rPr>
              <w:lastRenderedPageBreak/>
              <w:t>trentmann_009, hall-2006-449559bfe4dc_48_performance-on-the-hazards-of-analytical-tacking_001</w:t>
            </w:r>
          </w:p>
        </w:tc>
        <w:tc>
          <w:tcPr>
            <w:tcW w:w="1734" w:type="dxa"/>
          </w:tcPr>
          <w:p w14:paraId="4428413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lastRenderedPageBreak/>
              <w:t xml:space="preserve">John A. Hall and </w:t>
            </w:r>
            <w:r>
              <w:rPr>
                <w:sz w:val="18"/>
              </w:rPr>
              <w:lastRenderedPageBreak/>
              <w:t>Ralph Schroeder (2006)</w:t>
            </w:r>
          </w:p>
        </w:tc>
      </w:tr>
      <w:tr w:rsidR="00970438" w14:paraId="6DC4D8B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DDA3E69" w14:textId="77777777" w:rsidR="00970438" w:rsidRDefault="00000000">
            <w:pPr>
              <w:spacing w:after="40"/>
            </w:pPr>
            <w:r>
              <w:rPr>
                <w:sz w:val="18"/>
              </w:rPr>
              <w:lastRenderedPageBreak/>
              <w:t>pc-028</w:t>
            </w:r>
          </w:p>
        </w:tc>
        <w:tc>
          <w:tcPr>
            <w:tcW w:w="1417" w:type="dxa"/>
          </w:tcPr>
          <w:p w14:paraId="28991D4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1504420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5F6599D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vignal-2021-c7005c2bf8ef_107_conclusion_001</w:t>
            </w:r>
          </w:p>
        </w:tc>
        <w:tc>
          <w:tcPr>
            <w:tcW w:w="1734" w:type="dxa"/>
          </w:tcPr>
          <w:p w14:paraId="57CCFAF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Leila </w:t>
            </w:r>
            <w:proofErr w:type="spellStart"/>
            <w:r>
              <w:rPr>
                <w:sz w:val="18"/>
              </w:rPr>
              <w:t>Vignal</w:t>
            </w:r>
            <w:proofErr w:type="spellEnd"/>
            <w:r>
              <w:rPr>
                <w:sz w:val="18"/>
              </w:rPr>
              <w:t xml:space="preserve"> ; (2021)</w:t>
            </w:r>
          </w:p>
        </w:tc>
      </w:tr>
      <w:tr w:rsidR="00970438" w14:paraId="3BA9B9AB"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3BA5EB6" w14:textId="77777777" w:rsidR="00970438" w:rsidRDefault="00000000">
            <w:pPr>
              <w:spacing w:after="40"/>
            </w:pPr>
            <w:r>
              <w:rPr>
                <w:sz w:val="18"/>
              </w:rPr>
              <w:t>pc-029</w:t>
            </w:r>
          </w:p>
        </w:tc>
        <w:tc>
          <w:tcPr>
            <w:tcW w:w="1417" w:type="dxa"/>
          </w:tcPr>
          <w:p w14:paraId="0FD0468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442F98A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70FFAA5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vignal-2021-c7005c2bf8ef_12_argument-of-the-book_001</w:t>
            </w:r>
          </w:p>
        </w:tc>
        <w:tc>
          <w:tcPr>
            <w:tcW w:w="1734" w:type="dxa"/>
          </w:tcPr>
          <w:p w14:paraId="1B37830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Leila </w:t>
            </w:r>
            <w:proofErr w:type="spellStart"/>
            <w:r>
              <w:rPr>
                <w:sz w:val="18"/>
              </w:rPr>
              <w:t>Vignal</w:t>
            </w:r>
            <w:proofErr w:type="spellEnd"/>
            <w:r>
              <w:rPr>
                <w:sz w:val="18"/>
              </w:rPr>
              <w:t xml:space="preserve"> ; (2021)</w:t>
            </w:r>
          </w:p>
        </w:tc>
      </w:tr>
      <w:tr w:rsidR="00970438" w14:paraId="74D6A393"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944BC12" w14:textId="77777777" w:rsidR="00970438" w:rsidRDefault="00000000">
            <w:pPr>
              <w:spacing w:after="40"/>
            </w:pPr>
            <w:r>
              <w:rPr>
                <w:sz w:val="18"/>
              </w:rPr>
              <w:t>pc-030</w:t>
            </w:r>
          </w:p>
        </w:tc>
        <w:tc>
          <w:tcPr>
            <w:tcW w:w="1417" w:type="dxa"/>
          </w:tcPr>
          <w:p w14:paraId="5CEFEE6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7B99ECF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5B2489C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batatu-1999-598624067df3_48_section_001, ayubi-1995-16fd6a2e503f_146_conclusion-the-strong-the-hard-and-the-fierce_003, vignal-2021-c7005c2bf8ef_107_conclusion_001, vignal-2021-c7005c2bf8ef_12_argument-of-the-book_001</w:t>
            </w:r>
          </w:p>
        </w:tc>
        <w:tc>
          <w:tcPr>
            <w:tcW w:w="1734" w:type="dxa"/>
          </w:tcPr>
          <w:p w14:paraId="23C5C30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Ayubi, Nazih N.; (1995); Hanna </w:t>
            </w:r>
            <w:proofErr w:type="spellStart"/>
            <w:r>
              <w:rPr>
                <w:sz w:val="18"/>
              </w:rPr>
              <w:t>Batatu</w:t>
            </w:r>
            <w:proofErr w:type="spellEnd"/>
            <w:r>
              <w:rPr>
                <w:sz w:val="18"/>
              </w:rPr>
              <w:t xml:space="preserve"> (1999); Leila </w:t>
            </w:r>
            <w:proofErr w:type="spellStart"/>
            <w:r>
              <w:rPr>
                <w:sz w:val="18"/>
              </w:rPr>
              <w:t>Vignal</w:t>
            </w:r>
            <w:proofErr w:type="spellEnd"/>
            <w:r>
              <w:rPr>
                <w:sz w:val="18"/>
              </w:rPr>
              <w:t xml:space="preserve"> ; (2021)</w:t>
            </w:r>
          </w:p>
        </w:tc>
      </w:tr>
      <w:tr w:rsidR="00970438" w14:paraId="2573F96C"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94E30AA" w14:textId="77777777" w:rsidR="00970438" w:rsidRDefault="00000000">
            <w:pPr>
              <w:spacing w:after="40"/>
            </w:pPr>
            <w:r>
              <w:rPr>
                <w:sz w:val="18"/>
              </w:rPr>
              <w:t>pc-031</w:t>
            </w:r>
          </w:p>
        </w:tc>
        <w:tc>
          <w:tcPr>
            <w:tcW w:w="1417" w:type="dxa"/>
          </w:tcPr>
          <w:p w14:paraId="77ADEA1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65FB13C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6C32B0C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heydemann-2004-72a4a9a9b3b0_11_6-steven-heydemann_001, heydemann-2004-72a4a9a9b3b0_16_12-steven-heydemann_001, batatu-1999-598624067df3_48_section_001, ayubi-1995-16fd6a2e503f_118_syria_002, vignal-2021-c7005c2bf8ef_107_conclusion_001, ayubi-1995-16fd6a2e503f_146_conclusion-the-strong-the-hard-and-the-fierce_003</w:t>
            </w:r>
          </w:p>
        </w:tc>
        <w:tc>
          <w:tcPr>
            <w:tcW w:w="1734" w:type="dxa"/>
          </w:tcPr>
          <w:p w14:paraId="6FB59DC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Ayubi, Nazih N.; (1995); Hanna </w:t>
            </w:r>
            <w:proofErr w:type="spellStart"/>
            <w:r>
              <w:rPr>
                <w:sz w:val="18"/>
              </w:rPr>
              <w:t>Batatu</w:t>
            </w:r>
            <w:proofErr w:type="spellEnd"/>
            <w:r>
              <w:rPr>
                <w:sz w:val="18"/>
              </w:rPr>
              <w:t xml:space="preserve"> (1999); Leila </w:t>
            </w:r>
            <w:proofErr w:type="spellStart"/>
            <w:r>
              <w:rPr>
                <w:sz w:val="18"/>
              </w:rPr>
              <w:t>Vignal</w:t>
            </w:r>
            <w:proofErr w:type="spellEnd"/>
            <w:r>
              <w:rPr>
                <w:sz w:val="18"/>
              </w:rPr>
              <w:t xml:space="preserve"> ; (2021); Steven Heydemann (2004)</w:t>
            </w:r>
          </w:p>
        </w:tc>
      </w:tr>
      <w:tr w:rsidR="00970438" w14:paraId="5FABD85E"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D347B60" w14:textId="77777777" w:rsidR="00970438" w:rsidRDefault="00000000">
            <w:pPr>
              <w:spacing w:after="40"/>
            </w:pPr>
            <w:r>
              <w:rPr>
                <w:sz w:val="18"/>
              </w:rPr>
              <w:t>pc-032</w:t>
            </w:r>
          </w:p>
        </w:tc>
        <w:tc>
          <w:tcPr>
            <w:tcW w:w="1417" w:type="dxa"/>
          </w:tcPr>
          <w:p w14:paraId="116DF53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4265ACE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51A6026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white-2011-5f35a47d9657_11_introduction_001, white-2011-5f35a47d9657_11_introduction_002, batatu-1999-598624067df3_48_section_001, wimmer-2013-a67941b77943_1_waves-of-war_001</w:t>
            </w:r>
          </w:p>
        </w:tc>
        <w:tc>
          <w:tcPr>
            <w:tcW w:w="1734" w:type="dxa"/>
          </w:tcPr>
          <w:p w14:paraId="68B76BB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Hanna </w:t>
            </w:r>
            <w:proofErr w:type="spellStart"/>
            <w:r>
              <w:rPr>
                <w:sz w:val="18"/>
              </w:rPr>
              <w:t>Batatu</w:t>
            </w:r>
            <w:proofErr w:type="spellEnd"/>
            <w:r>
              <w:rPr>
                <w:sz w:val="18"/>
              </w:rPr>
              <w:t xml:space="preserve"> (1999); White, Benjamin Thomas. (2011); Wimmer, Andreas (2013)</w:t>
            </w:r>
          </w:p>
        </w:tc>
      </w:tr>
      <w:tr w:rsidR="00970438" w:rsidRPr="00D06213" w14:paraId="59506EB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E987147" w14:textId="77777777" w:rsidR="00970438" w:rsidRDefault="00000000">
            <w:pPr>
              <w:spacing w:after="40"/>
            </w:pPr>
            <w:r>
              <w:rPr>
                <w:sz w:val="18"/>
              </w:rPr>
              <w:t>pc-033</w:t>
            </w:r>
          </w:p>
        </w:tc>
        <w:tc>
          <w:tcPr>
            <w:tcW w:w="1417" w:type="dxa"/>
          </w:tcPr>
          <w:p w14:paraId="193E968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112245F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6AE2C4A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heydemann-2004-72a4a9a9b3b0_11_6-steven-heydemann_001, ayubi-1995-16fd6a2e503f_118_syria_002, vignal-2021-c7005c2bf8ef_107_conclusion_001</w:t>
            </w:r>
          </w:p>
        </w:tc>
        <w:tc>
          <w:tcPr>
            <w:tcW w:w="1734" w:type="dxa"/>
          </w:tcPr>
          <w:p w14:paraId="18A05102"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Leila Vignal ; (2021); Steven Heydemann (2004)</w:t>
            </w:r>
          </w:p>
        </w:tc>
      </w:tr>
      <w:tr w:rsidR="00970438" w14:paraId="789DAF81"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DB3B2F9" w14:textId="77777777" w:rsidR="00970438" w:rsidRDefault="00000000">
            <w:pPr>
              <w:spacing w:after="40"/>
            </w:pPr>
            <w:r>
              <w:rPr>
                <w:sz w:val="18"/>
              </w:rPr>
              <w:t>pc-034</w:t>
            </w:r>
          </w:p>
        </w:tc>
        <w:tc>
          <w:tcPr>
            <w:tcW w:w="1417" w:type="dxa"/>
          </w:tcPr>
          <w:p w14:paraId="71E5F48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1DE241C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050" w:type="dxa"/>
          </w:tcPr>
          <w:p w14:paraId="0C01157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ungor-2020-ae5701dcc706_36_dual-state-deep-state-hybrid-state-parastate_002, ungor-2020-ae5701dcc706_10_4-paramilitarism_001</w:t>
            </w:r>
          </w:p>
        </w:tc>
        <w:tc>
          <w:tcPr>
            <w:tcW w:w="1734" w:type="dxa"/>
          </w:tcPr>
          <w:p w14:paraId="20A1C20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Uğur Ümit Üngör (2020)</w:t>
            </w:r>
          </w:p>
        </w:tc>
      </w:tr>
      <w:tr w:rsidR="00970438" w14:paraId="1BD2377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462D8B4" w14:textId="77777777" w:rsidR="00970438" w:rsidRDefault="00000000">
            <w:pPr>
              <w:spacing w:after="40"/>
            </w:pPr>
            <w:r>
              <w:rPr>
                <w:sz w:val="18"/>
              </w:rPr>
              <w:t>pc-035</w:t>
            </w:r>
          </w:p>
        </w:tc>
        <w:tc>
          <w:tcPr>
            <w:tcW w:w="1417" w:type="dxa"/>
          </w:tcPr>
          <w:p w14:paraId="6F20608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4823436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0BDCA64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kao-2025-ab19e646ab7d_59_6-the-architecture-of-local-governance_001</w:t>
            </w:r>
          </w:p>
        </w:tc>
        <w:tc>
          <w:tcPr>
            <w:tcW w:w="1734" w:type="dxa"/>
          </w:tcPr>
          <w:p w14:paraId="2AE4851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Kristen Kao (Editor) (2025)</w:t>
            </w:r>
          </w:p>
        </w:tc>
      </w:tr>
      <w:tr w:rsidR="00970438" w14:paraId="7A908427"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AA5C875" w14:textId="77777777" w:rsidR="00970438" w:rsidRDefault="00000000">
            <w:pPr>
              <w:spacing w:after="40"/>
            </w:pPr>
            <w:r>
              <w:rPr>
                <w:sz w:val="18"/>
              </w:rPr>
              <w:t>pc-036</w:t>
            </w:r>
          </w:p>
        </w:tc>
        <w:tc>
          <w:tcPr>
            <w:tcW w:w="1417" w:type="dxa"/>
          </w:tcPr>
          <w:p w14:paraId="75082B9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557DEA3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5A8F4B9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jackson-1990-7eb3f39a639f_12_introduction_001, jackson-1990-7eb3f39a639f_12_introduction_004</w:t>
            </w:r>
          </w:p>
        </w:tc>
        <w:tc>
          <w:tcPr>
            <w:tcW w:w="1734" w:type="dxa"/>
          </w:tcPr>
          <w:p w14:paraId="4653091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Robert H. Jackson (1990)</w:t>
            </w:r>
          </w:p>
        </w:tc>
      </w:tr>
      <w:tr w:rsidR="00970438" w14:paraId="38CC1B2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52AD357" w14:textId="77777777" w:rsidR="00970438" w:rsidRDefault="00000000">
            <w:pPr>
              <w:spacing w:after="40"/>
            </w:pPr>
            <w:r>
              <w:rPr>
                <w:sz w:val="18"/>
              </w:rPr>
              <w:t>pc-037</w:t>
            </w:r>
          </w:p>
        </w:tc>
        <w:tc>
          <w:tcPr>
            <w:tcW w:w="1417" w:type="dxa"/>
          </w:tcPr>
          <w:p w14:paraId="26FA7E2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72C69E4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48B3945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jackson-1990-7eb3f39a639f_12_introduction_007</w:t>
            </w:r>
          </w:p>
        </w:tc>
        <w:tc>
          <w:tcPr>
            <w:tcW w:w="1734" w:type="dxa"/>
          </w:tcPr>
          <w:p w14:paraId="2C4D9EA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Robert H. Jackson (1990)</w:t>
            </w:r>
          </w:p>
        </w:tc>
      </w:tr>
      <w:tr w:rsidR="00970438" w14:paraId="78F15B6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93965C8" w14:textId="77777777" w:rsidR="00970438" w:rsidRDefault="00000000">
            <w:pPr>
              <w:spacing w:after="40"/>
            </w:pPr>
            <w:r>
              <w:rPr>
                <w:sz w:val="18"/>
              </w:rPr>
              <w:t>pc-038</w:t>
            </w:r>
          </w:p>
        </w:tc>
        <w:tc>
          <w:tcPr>
            <w:tcW w:w="1417" w:type="dxa"/>
          </w:tcPr>
          <w:p w14:paraId="7A02643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48CCC6B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72F1124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jackson-1990-7eb3f39a639f_12_introduction_001, kandiah-2018-454c87b22e16_14_approaching-the-syrian-conflict-legitimacy-and-geopolitics-in-a-contested_001, kandiah-2018-454c87b22e16_20_interference-of-geopolitical-considerations-in-mediation-attempts_001</w:t>
            </w:r>
          </w:p>
        </w:tc>
        <w:tc>
          <w:tcPr>
            <w:tcW w:w="1734" w:type="dxa"/>
          </w:tcPr>
          <w:p w14:paraId="2556406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Lavan Kandiah (2018); Robert H. Jackson (1990)</w:t>
            </w:r>
          </w:p>
        </w:tc>
      </w:tr>
      <w:tr w:rsidR="00970438" w14:paraId="71DF5FE6"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E4C49CB" w14:textId="77777777" w:rsidR="00970438" w:rsidRDefault="00000000">
            <w:pPr>
              <w:spacing w:after="40"/>
            </w:pPr>
            <w:r>
              <w:rPr>
                <w:sz w:val="18"/>
              </w:rPr>
              <w:t>pc-039</w:t>
            </w:r>
          </w:p>
        </w:tc>
        <w:tc>
          <w:tcPr>
            <w:tcW w:w="1417" w:type="dxa"/>
          </w:tcPr>
          <w:p w14:paraId="2FB7E6C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3D1C7D8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0908E18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kandiah-2018-454c87b22e16_20_interference-of-geopolitical-considerations-in-mediation-attempts_001</w:t>
            </w:r>
          </w:p>
        </w:tc>
        <w:tc>
          <w:tcPr>
            <w:tcW w:w="1734" w:type="dxa"/>
          </w:tcPr>
          <w:p w14:paraId="34C12CC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Lavan Kandiah (2018)</w:t>
            </w:r>
          </w:p>
        </w:tc>
      </w:tr>
      <w:tr w:rsidR="00970438" w14:paraId="080E2D6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16EEEB2" w14:textId="77777777" w:rsidR="00970438" w:rsidRDefault="00000000">
            <w:pPr>
              <w:spacing w:after="40"/>
            </w:pPr>
            <w:r>
              <w:rPr>
                <w:sz w:val="18"/>
              </w:rPr>
              <w:t>pc-040</w:t>
            </w:r>
          </w:p>
        </w:tc>
        <w:tc>
          <w:tcPr>
            <w:tcW w:w="1417" w:type="dxa"/>
          </w:tcPr>
          <w:p w14:paraId="37C7EB1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0B93D08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40B4148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heydemann-2000-66701ffbb36c_110_summary-and-conclusions-the-palestinians-beyond-war_001, </w:t>
            </w:r>
            <w:r>
              <w:rPr>
                <w:sz w:val="18"/>
              </w:rPr>
              <w:lastRenderedPageBreak/>
              <w:t>jackson-1990-7eb3f39a639f_12_introduction_001, kandiah-2018-454c87b22e16_20_interference-of-geopolitical-considerations-in-mediation-attempts_001</w:t>
            </w:r>
          </w:p>
        </w:tc>
        <w:tc>
          <w:tcPr>
            <w:tcW w:w="1734" w:type="dxa"/>
          </w:tcPr>
          <w:p w14:paraId="5784431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 xml:space="preserve">Lavan Kandiah (2018); Robert H. </w:t>
            </w:r>
            <w:r>
              <w:rPr>
                <w:sz w:val="18"/>
              </w:rPr>
              <w:lastRenderedPageBreak/>
              <w:t>Jackson (1990); Steven Heydemann (2000)</w:t>
            </w:r>
          </w:p>
        </w:tc>
      </w:tr>
      <w:tr w:rsidR="00970438" w14:paraId="2F67A55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2F0D223" w14:textId="77777777" w:rsidR="00970438" w:rsidRDefault="00000000">
            <w:pPr>
              <w:spacing w:after="40"/>
            </w:pPr>
            <w:r>
              <w:rPr>
                <w:sz w:val="18"/>
              </w:rPr>
              <w:lastRenderedPageBreak/>
              <w:t>pc-041</w:t>
            </w:r>
          </w:p>
        </w:tc>
        <w:tc>
          <w:tcPr>
            <w:tcW w:w="1417" w:type="dxa"/>
          </w:tcPr>
          <w:p w14:paraId="0BBA5D0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078EFCD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medium</w:t>
            </w:r>
          </w:p>
        </w:tc>
        <w:tc>
          <w:tcPr>
            <w:tcW w:w="4050" w:type="dxa"/>
          </w:tcPr>
          <w:p w14:paraId="1386287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heydemann-2000-66701ffbb36c_110_summary-and-conclusions-the-palestinians-beyond-war_001</w:t>
            </w:r>
          </w:p>
        </w:tc>
        <w:tc>
          <w:tcPr>
            <w:tcW w:w="1734" w:type="dxa"/>
          </w:tcPr>
          <w:p w14:paraId="1CCAE95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Steven Heydemann (2000)</w:t>
            </w:r>
          </w:p>
        </w:tc>
      </w:tr>
      <w:tr w:rsidR="00970438" w14:paraId="491AC6A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63E2364" w14:textId="77777777" w:rsidR="00970438" w:rsidRDefault="00000000">
            <w:pPr>
              <w:spacing w:after="40"/>
            </w:pPr>
            <w:r>
              <w:rPr>
                <w:sz w:val="18"/>
              </w:rPr>
              <w:t>pc-042</w:t>
            </w:r>
          </w:p>
        </w:tc>
        <w:tc>
          <w:tcPr>
            <w:tcW w:w="1417" w:type="dxa"/>
          </w:tcPr>
          <w:p w14:paraId="08E07CB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271C18B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medium</w:t>
            </w:r>
          </w:p>
        </w:tc>
        <w:tc>
          <w:tcPr>
            <w:tcW w:w="4050" w:type="dxa"/>
          </w:tcPr>
          <w:p w14:paraId="7BEE22B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vignal-2021-c7005c2bf8ef_100_the-loss-of-property-titles_001</w:t>
            </w:r>
          </w:p>
        </w:tc>
        <w:tc>
          <w:tcPr>
            <w:tcW w:w="1734" w:type="dxa"/>
          </w:tcPr>
          <w:p w14:paraId="79B5A8D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Leila Vignal ; (2021)</w:t>
            </w:r>
          </w:p>
        </w:tc>
      </w:tr>
      <w:tr w:rsidR="00970438" w14:paraId="4D8AC807"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342BA79" w14:textId="77777777" w:rsidR="00970438" w:rsidRDefault="00000000">
            <w:pPr>
              <w:spacing w:after="40"/>
            </w:pPr>
            <w:r>
              <w:rPr>
                <w:sz w:val="18"/>
              </w:rPr>
              <w:t>pc-043</w:t>
            </w:r>
          </w:p>
        </w:tc>
        <w:tc>
          <w:tcPr>
            <w:tcW w:w="1417" w:type="dxa"/>
          </w:tcPr>
          <w:p w14:paraId="51F87F5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4539D5B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050" w:type="dxa"/>
          </w:tcPr>
          <w:p w14:paraId="56C9A92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kandiah-2018-454c87b22e16_14_approaching-the-syrian-conflict-legitimacy-and-geopolitics-in-a-contested_001</w:t>
            </w:r>
          </w:p>
        </w:tc>
        <w:tc>
          <w:tcPr>
            <w:tcW w:w="1734" w:type="dxa"/>
          </w:tcPr>
          <w:p w14:paraId="116AE97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Lavan Kandiah (2018)</w:t>
            </w:r>
          </w:p>
        </w:tc>
      </w:tr>
      <w:tr w:rsidR="00970438" w14:paraId="6197FD52"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02899EB" w14:textId="77777777" w:rsidR="00970438" w:rsidRDefault="00000000">
            <w:pPr>
              <w:spacing w:after="40"/>
            </w:pPr>
            <w:r>
              <w:rPr>
                <w:sz w:val="18"/>
              </w:rPr>
              <w:t>pc-044</w:t>
            </w:r>
          </w:p>
        </w:tc>
        <w:tc>
          <w:tcPr>
            <w:tcW w:w="1417" w:type="dxa"/>
          </w:tcPr>
          <w:p w14:paraId="10A5C35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424464F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high</w:t>
            </w:r>
          </w:p>
        </w:tc>
        <w:tc>
          <w:tcPr>
            <w:tcW w:w="4050" w:type="dxa"/>
          </w:tcPr>
          <w:p w14:paraId="54E2D2B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kandiah-2018-454c87b22e16_13_the-influence-of-international-geopolitical-forces-on-domestic-state-legitimacy_003</w:t>
            </w:r>
          </w:p>
        </w:tc>
        <w:tc>
          <w:tcPr>
            <w:tcW w:w="1734" w:type="dxa"/>
          </w:tcPr>
          <w:p w14:paraId="1CBB898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Lavan Kandiah (2018)</w:t>
            </w:r>
          </w:p>
        </w:tc>
      </w:tr>
      <w:tr w:rsidR="00970438" w14:paraId="486FF86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EDE279B" w14:textId="77777777" w:rsidR="00970438" w:rsidRDefault="00000000">
            <w:pPr>
              <w:spacing w:after="40"/>
            </w:pPr>
            <w:r>
              <w:rPr>
                <w:sz w:val="18"/>
              </w:rPr>
              <w:t>pc-045</w:t>
            </w:r>
          </w:p>
        </w:tc>
        <w:tc>
          <w:tcPr>
            <w:tcW w:w="1417" w:type="dxa"/>
          </w:tcPr>
          <w:p w14:paraId="4BA21F9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25A33CE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02650BB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wimmer-2013-a67941b77943_1_waves-of-war_001, white-2011-5f35a47d9657_11_introduction_001, batatu-1999-598624067df3_48_section_001, ayubi-1995-16fd6a2e503f_118_syria_002, heydemann-2004-72a4a9a9b3b0_11_6-steven-heydemann_001</w:t>
            </w:r>
          </w:p>
        </w:tc>
        <w:tc>
          <w:tcPr>
            <w:tcW w:w="1734" w:type="dxa"/>
          </w:tcPr>
          <w:p w14:paraId="798041F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Hanna Batatu (1999); Steven Heydemann (2004); White, Benjamin Thomas. (2011); Wimmer, Andreas (2013)</w:t>
            </w:r>
          </w:p>
        </w:tc>
      </w:tr>
      <w:tr w:rsidR="00970438" w14:paraId="3047630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A9862A7" w14:textId="77777777" w:rsidR="00970438" w:rsidRDefault="00000000">
            <w:pPr>
              <w:spacing w:after="40"/>
            </w:pPr>
            <w:r>
              <w:rPr>
                <w:sz w:val="18"/>
              </w:rPr>
              <w:t>pc-046</w:t>
            </w:r>
          </w:p>
        </w:tc>
        <w:tc>
          <w:tcPr>
            <w:tcW w:w="1417" w:type="dxa"/>
          </w:tcPr>
          <w:p w14:paraId="130D6A1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418" w:type="dxa"/>
          </w:tcPr>
          <w:p w14:paraId="04AC1B3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599D20E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white-2011-5f35a47d9657_11_introduction_001, batatu-1999-598624067df3_48_section_001, wimmer-2013-a67941b77943_1_waves-of-war_001</w:t>
            </w:r>
          </w:p>
        </w:tc>
        <w:tc>
          <w:tcPr>
            <w:tcW w:w="1734" w:type="dxa"/>
          </w:tcPr>
          <w:p w14:paraId="7C0393BB"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Hanna Batatu (1999); White, Benjamin Thomas. (2011); Wimmer, Andreas (2013)</w:t>
            </w:r>
          </w:p>
        </w:tc>
      </w:tr>
      <w:tr w:rsidR="00970438" w14:paraId="09001594"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DAE9AD9" w14:textId="77777777" w:rsidR="00970438" w:rsidRDefault="00000000">
            <w:pPr>
              <w:spacing w:after="40"/>
            </w:pPr>
            <w:r>
              <w:rPr>
                <w:sz w:val="18"/>
              </w:rPr>
              <w:t>pc-047</w:t>
            </w:r>
          </w:p>
        </w:tc>
        <w:tc>
          <w:tcPr>
            <w:tcW w:w="1417" w:type="dxa"/>
          </w:tcPr>
          <w:p w14:paraId="6E773D1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(carried)</w:t>
            </w:r>
          </w:p>
        </w:tc>
        <w:tc>
          <w:tcPr>
            <w:tcW w:w="1418" w:type="dxa"/>
          </w:tcPr>
          <w:p w14:paraId="6F7069E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469BEA8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jackson-1990-7eb3f39a639f_12_introduction_001, caspersen-2012-fbc0efe4fffc_13_insurgent-states-black-spots-states-within-states_001, vignal-2021-c7005c2bf8ef_100_the-loss-of-property-titles_001, kandiah-2018-454c87b22e16_20_interference-of-geopolitical-considerations-in-mediation-attempts_001, vignal-2021-c7005c2bf8ef_102_wartime-reconstruction_001</w:t>
            </w:r>
          </w:p>
        </w:tc>
        <w:tc>
          <w:tcPr>
            <w:tcW w:w="1734" w:type="dxa"/>
          </w:tcPr>
          <w:p w14:paraId="668149F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Caspersen, Nina (2012); Lavan Kandiah (2018); Leila Vignal ; (2021); Robert H. Jackson (1990)</w:t>
            </w:r>
          </w:p>
        </w:tc>
      </w:tr>
      <w:tr w:rsidR="00970438" w14:paraId="219FE365"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34877C0" w14:textId="77777777" w:rsidR="00970438" w:rsidRDefault="00000000">
            <w:pPr>
              <w:spacing w:after="40"/>
            </w:pPr>
            <w:r>
              <w:rPr>
                <w:sz w:val="18"/>
              </w:rPr>
              <w:t>pc-048</w:t>
            </w:r>
          </w:p>
        </w:tc>
        <w:tc>
          <w:tcPr>
            <w:tcW w:w="1417" w:type="dxa"/>
          </w:tcPr>
          <w:p w14:paraId="6E26E84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418" w:type="dxa"/>
          </w:tcPr>
          <w:p w14:paraId="65AAACD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5FB65A7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vignal-2021-c7005c2bf8ef_30_fragmenting-space-and-society-to-suppress-the-revolution_001, vignal-2021-c7005c2bf8ef_22_the-shabab-revolution_001</w:t>
            </w:r>
          </w:p>
        </w:tc>
        <w:tc>
          <w:tcPr>
            <w:tcW w:w="1734" w:type="dxa"/>
          </w:tcPr>
          <w:p w14:paraId="71BAAD8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Leila Vignal ; (2021)</w:t>
            </w:r>
          </w:p>
        </w:tc>
      </w:tr>
      <w:tr w:rsidR="00970438" w14:paraId="0D30109A"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DE35AF5" w14:textId="77777777" w:rsidR="00970438" w:rsidRDefault="00000000">
            <w:pPr>
              <w:spacing w:after="40"/>
            </w:pPr>
            <w:r>
              <w:rPr>
                <w:sz w:val="18"/>
              </w:rPr>
              <w:t>pc-049</w:t>
            </w:r>
          </w:p>
        </w:tc>
        <w:tc>
          <w:tcPr>
            <w:tcW w:w="1417" w:type="dxa"/>
          </w:tcPr>
          <w:p w14:paraId="6625247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39F5FE8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2D31FAC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kao-2025-ab19e646ab7d_54_1-introduction_001, kao-2025-ab19e646ab7d_58_5-local-governance-and-the-return-of-the-regime-mid-2018-to-the-present_002</w:t>
            </w:r>
          </w:p>
        </w:tc>
        <w:tc>
          <w:tcPr>
            <w:tcW w:w="1734" w:type="dxa"/>
          </w:tcPr>
          <w:p w14:paraId="716D67B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Kristen Kao (Editor) (2025)</w:t>
            </w:r>
          </w:p>
        </w:tc>
      </w:tr>
      <w:tr w:rsidR="00970438" w14:paraId="452F73D5"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7F99E05" w14:textId="77777777" w:rsidR="00970438" w:rsidRDefault="00000000">
            <w:pPr>
              <w:spacing w:after="40"/>
            </w:pPr>
            <w:r>
              <w:rPr>
                <w:sz w:val="18"/>
              </w:rPr>
              <w:t>pc-050</w:t>
            </w:r>
          </w:p>
        </w:tc>
        <w:tc>
          <w:tcPr>
            <w:tcW w:w="1417" w:type="dxa"/>
          </w:tcPr>
          <w:p w14:paraId="0E2FD08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(carried)</w:t>
            </w:r>
          </w:p>
        </w:tc>
        <w:tc>
          <w:tcPr>
            <w:tcW w:w="1418" w:type="dxa"/>
          </w:tcPr>
          <w:p w14:paraId="5B5F930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7C99228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kandiah-2018-454c87b22e16_14_approaching-the-syrian-conflict-legitimacy-and-geopolitics-in-a-contested_001, vignal-2021-c7005c2bf8ef_100_the-loss-of-property-titles_001, ungor-2020-ae5701dcc706_36_dual-state-deep-state-hybrid-state-parastate_002, kao-2025-ab19e646ab7d_59_6-the-architecture-of-local-</w:t>
            </w:r>
            <w:r>
              <w:rPr>
                <w:sz w:val="18"/>
              </w:rPr>
              <w:lastRenderedPageBreak/>
              <w:t>governance_001, vignal-2021-c7005c2bf8ef_114_2-borders-and-the-fragmentation-of-the-nation-state_001</w:t>
            </w:r>
          </w:p>
        </w:tc>
        <w:tc>
          <w:tcPr>
            <w:tcW w:w="1734" w:type="dxa"/>
          </w:tcPr>
          <w:p w14:paraId="19CF6A5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Kristen Kao (Editor) (2025); Lavan Kandiah (2018); Leila Vignal ; (2021); Uğur Ümit Üngör (2020)</w:t>
            </w:r>
          </w:p>
        </w:tc>
      </w:tr>
      <w:tr w:rsidR="00970438" w14:paraId="4BAAAE0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87B7F41" w14:textId="77777777" w:rsidR="00970438" w:rsidRDefault="00000000">
            <w:pPr>
              <w:spacing w:after="40"/>
            </w:pPr>
            <w:r>
              <w:rPr>
                <w:sz w:val="18"/>
              </w:rPr>
              <w:t>pc-051</w:t>
            </w:r>
          </w:p>
        </w:tc>
        <w:tc>
          <w:tcPr>
            <w:tcW w:w="1417" w:type="dxa"/>
          </w:tcPr>
          <w:p w14:paraId="44CDC86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258D6DC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high</w:t>
            </w:r>
          </w:p>
        </w:tc>
        <w:tc>
          <w:tcPr>
            <w:tcW w:w="4050" w:type="dxa"/>
          </w:tcPr>
          <w:p w14:paraId="3DB8859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malesevic-2026-4faeb528594d_10_forging-statehood-through-inter-and-intra-state-wars_001</w:t>
            </w:r>
          </w:p>
        </w:tc>
        <w:tc>
          <w:tcPr>
            <w:tcW w:w="1734" w:type="dxa"/>
          </w:tcPr>
          <w:p w14:paraId="6AEAC59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Siniša Malešević (2026)</w:t>
            </w:r>
          </w:p>
        </w:tc>
      </w:tr>
      <w:tr w:rsidR="00970438" w14:paraId="4195CE77"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DE35F11" w14:textId="77777777" w:rsidR="00970438" w:rsidRDefault="00000000">
            <w:pPr>
              <w:spacing w:after="40"/>
            </w:pPr>
            <w:r>
              <w:rPr>
                <w:sz w:val="18"/>
              </w:rPr>
              <w:t>pc-052</w:t>
            </w:r>
          </w:p>
        </w:tc>
        <w:tc>
          <w:tcPr>
            <w:tcW w:w="1417" w:type="dxa"/>
          </w:tcPr>
          <w:p w14:paraId="46C2FA2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4104528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5DDE2DF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caspersen-2012-fbc0efe4fffc_13_insurgent-states-black-spots-states-within-states_001</w:t>
            </w:r>
          </w:p>
        </w:tc>
        <w:tc>
          <w:tcPr>
            <w:tcW w:w="1734" w:type="dxa"/>
          </w:tcPr>
          <w:p w14:paraId="2F96A71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Caspersen, Nina (2012)</w:t>
            </w:r>
          </w:p>
        </w:tc>
      </w:tr>
      <w:tr w:rsidR="00970438" w14:paraId="2D1247E3"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B1E7749" w14:textId="77777777" w:rsidR="00970438" w:rsidRDefault="00000000">
            <w:pPr>
              <w:spacing w:after="40"/>
            </w:pPr>
            <w:r>
              <w:rPr>
                <w:sz w:val="18"/>
              </w:rPr>
              <w:t>pc-053</w:t>
            </w:r>
          </w:p>
        </w:tc>
        <w:tc>
          <w:tcPr>
            <w:tcW w:w="1417" w:type="dxa"/>
          </w:tcPr>
          <w:p w14:paraId="4AD2ED0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(carried)</w:t>
            </w:r>
          </w:p>
        </w:tc>
        <w:tc>
          <w:tcPr>
            <w:tcW w:w="1418" w:type="dxa"/>
          </w:tcPr>
          <w:p w14:paraId="18DB362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2CB83FA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caspersen-2012-fbc0efe4fffc_13_insurgent-states-black-spots-states-within-states_001</w:t>
            </w:r>
          </w:p>
        </w:tc>
        <w:tc>
          <w:tcPr>
            <w:tcW w:w="1734" w:type="dxa"/>
          </w:tcPr>
          <w:p w14:paraId="336E648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Caspersen, Nina (2012)</w:t>
            </w:r>
          </w:p>
        </w:tc>
      </w:tr>
      <w:tr w:rsidR="00970438" w14:paraId="09B6D29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15C8A96" w14:textId="77777777" w:rsidR="00970438" w:rsidRDefault="00000000">
            <w:pPr>
              <w:spacing w:after="40"/>
            </w:pPr>
            <w:r>
              <w:rPr>
                <w:sz w:val="18"/>
              </w:rPr>
              <w:t>pc-056</w:t>
            </w:r>
          </w:p>
        </w:tc>
        <w:tc>
          <w:tcPr>
            <w:tcW w:w="1417" w:type="dxa"/>
          </w:tcPr>
          <w:p w14:paraId="463D5C0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(carried)</w:t>
            </w:r>
          </w:p>
        </w:tc>
        <w:tc>
          <w:tcPr>
            <w:tcW w:w="1418" w:type="dxa"/>
          </w:tcPr>
          <w:p w14:paraId="3B0079F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1C5306F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caspersen-2012-fbc0efe4fffc_13_insurgent-states-black-spots-states-within-states_001, vignal-2021-c7005c2bf8ef_114_2-borders-and-the-fragmentation-of-the-nation-state_001, kandiah-2018-454c87b22e16_13_the-influence-of-international-geopolitical-forces-on-domestic-state-legitimacy_003</w:t>
            </w:r>
          </w:p>
        </w:tc>
        <w:tc>
          <w:tcPr>
            <w:tcW w:w="1734" w:type="dxa"/>
          </w:tcPr>
          <w:p w14:paraId="383FFC1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Caspersen, Nina (2012); Lavan Kandiah (2018); Leila Vignal ; (2021)</w:t>
            </w:r>
          </w:p>
        </w:tc>
      </w:tr>
      <w:tr w:rsidR="00970438" w14:paraId="3785C362"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5B93189" w14:textId="77777777" w:rsidR="00970438" w:rsidRDefault="00000000">
            <w:pPr>
              <w:spacing w:after="40"/>
            </w:pPr>
            <w:r>
              <w:rPr>
                <w:sz w:val="18"/>
              </w:rPr>
              <w:t>pc-057</w:t>
            </w:r>
          </w:p>
        </w:tc>
        <w:tc>
          <w:tcPr>
            <w:tcW w:w="1417" w:type="dxa"/>
          </w:tcPr>
          <w:p w14:paraId="6CAE305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(carried)</w:t>
            </w:r>
          </w:p>
        </w:tc>
        <w:tc>
          <w:tcPr>
            <w:tcW w:w="1418" w:type="dxa"/>
          </w:tcPr>
          <w:p w14:paraId="7181055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7DB7D4E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jackson-1990-7eb3f39a639f_12_introduction_001, caspersen-2012-fbc0efe4fffc_13_insurgent-states-black-spots-states-within-states_001, kandiah-2018-454c87b22e16_20_interference-of-geopolitical-considerations-in-mediation-attempts_001</w:t>
            </w:r>
          </w:p>
        </w:tc>
        <w:tc>
          <w:tcPr>
            <w:tcW w:w="1734" w:type="dxa"/>
          </w:tcPr>
          <w:p w14:paraId="1070194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Caspersen, Nina (2012); Lavan Kandiah (2018); Robert H. Jackson (1990)</w:t>
            </w:r>
          </w:p>
        </w:tc>
      </w:tr>
      <w:tr w:rsidR="00970438" w14:paraId="5B10CED6"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1A5483E" w14:textId="77777777" w:rsidR="00970438" w:rsidRDefault="00000000">
            <w:pPr>
              <w:spacing w:after="40"/>
            </w:pPr>
            <w:r>
              <w:rPr>
                <w:sz w:val="18"/>
              </w:rPr>
              <w:t>pc-058</w:t>
            </w:r>
          </w:p>
        </w:tc>
        <w:tc>
          <w:tcPr>
            <w:tcW w:w="1417" w:type="dxa"/>
          </w:tcPr>
          <w:p w14:paraId="5CD12A7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 (carried)</w:t>
            </w:r>
          </w:p>
        </w:tc>
        <w:tc>
          <w:tcPr>
            <w:tcW w:w="1418" w:type="dxa"/>
          </w:tcPr>
          <w:p w14:paraId="5F5817E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519A345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wimmer-2013-a67941b77943_1_waves-of-war_001</w:t>
            </w:r>
          </w:p>
        </w:tc>
        <w:tc>
          <w:tcPr>
            <w:tcW w:w="1734" w:type="dxa"/>
          </w:tcPr>
          <w:p w14:paraId="23D5C5C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Wimmer, Andreas (2013)</w:t>
            </w:r>
          </w:p>
        </w:tc>
      </w:tr>
      <w:tr w:rsidR="00970438" w14:paraId="3586BD35"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EDBD164" w14:textId="77777777" w:rsidR="00970438" w:rsidRDefault="00000000">
            <w:pPr>
              <w:spacing w:after="40"/>
            </w:pPr>
            <w:r>
              <w:rPr>
                <w:sz w:val="18"/>
              </w:rPr>
              <w:t>pc-059</w:t>
            </w:r>
          </w:p>
        </w:tc>
        <w:tc>
          <w:tcPr>
            <w:tcW w:w="1417" w:type="dxa"/>
          </w:tcPr>
          <w:p w14:paraId="41FCC78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(this paper's verdict)</w:t>
            </w:r>
          </w:p>
        </w:tc>
        <w:tc>
          <w:tcPr>
            <w:tcW w:w="1418" w:type="dxa"/>
          </w:tcPr>
          <w:p w14:paraId="197ED2C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3169864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white-2011-5f35a47d9657_11_introduction_001, white-2011-5f35a47d9657_11_introduction_002, white-2011-5f35a47d9657_26_divide-and-rule-but-on-what-grounds_001</w:t>
            </w:r>
          </w:p>
        </w:tc>
        <w:tc>
          <w:tcPr>
            <w:tcW w:w="1734" w:type="dxa"/>
          </w:tcPr>
          <w:p w14:paraId="3851CF3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 Benjamin Thomas. (2011)</w:t>
            </w:r>
          </w:p>
        </w:tc>
      </w:tr>
      <w:tr w:rsidR="00970438" w14:paraId="5ABB52D4"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D156064" w14:textId="77777777" w:rsidR="00970438" w:rsidRDefault="00000000">
            <w:pPr>
              <w:spacing w:after="40"/>
            </w:pPr>
            <w:r>
              <w:rPr>
                <w:sz w:val="18"/>
              </w:rPr>
              <w:t>pc-060</w:t>
            </w:r>
          </w:p>
        </w:tc>
        <w:tc>
          <w:tcPr>
            <w:tcW w:w="1417" w:type="dxa"/>
          </w:tcPr>
          <w:p w14:paraId="081F906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(this paper's verdict)</w:t>
            </w:r>
          </w:p>
        </w:tc>
        <w:tc>
          <w:tcPr>
            <w:tcW w:w="1418" w:type="dxa"/>
          </w:tcPr>
          <w:p w14:paraId="3DF3A27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46ACDAB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white-2011-5f35a47d9657_26_divide-and-rule-but-on-what-grounds_001</w:t>
            </w:r>
          </w:p>
        </w:tc>
        <w:tc>
          <w:tcPr>
            <w:tcW w:w="1734" w:type="dxa"/>
          </w:tcPr>
          <w:p w14:paraId="70507C3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 Benjamin Thomas. (2011)</w:t>
            </w:r>
          </w:p>
        </w:tc>
      </w:tr>
      <w:tr w:rsidR="00970438" w14:paraId="4D66DB49"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F65760A" w14:textId="77777777" w:rsidR="00970438" w:rsidRDefault="00000000">
            <w:pPr>
              <w:spacing w:after="40"/>
            </w:pPr>
            <w:r>
              <w:rPr>
                <w:sz w:val="18"/>
              </w:rPr>
              <w:t>pc-061</w:t>
            </w:r>
          </w:p>
        </w:tc>
        <w:tc>
          <w:tcPr>
            <w:tcW w:w="1417" w:type="dxa"/>
          </w:tcPr>
          <w:p w14:paraId="526E547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(this paper's verdict)</w:t>
            </w:r>
          </w:p>
        </w:tc>
        <w:tc>
          <w:tcPr>
            <w:tcW w:w="1418" w:type="dxa"/>
          </w:tcPr>
          <w:p w14:paraId="6DAB5C9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620B839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white-2011-5f35a47d9657_26_divide-and-rule-but-on-what-grounds_001, white-2011-5f35a47d9657_21_the-emergence-of-minorities_001, batatu-1999-598624067df3_48_section_001, vignal-2021-c7005c2bf8ef_107_conclusion_001</w:t>
            </w:r>
          </w:p>
        </w:tc>
        <w:tc>
          <w:tcPr>
            <w:tcW w:w="1734" w:type="dxa"/>
          </w:tcPr>
          <w:p w14:paraId="6EC3176E"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Hanna Batatu (1999); Leila Vignal ; (2021); White, Benjamin Thomas. (2011)</w:t>
            </w:r>
          </w:p>
        </w:tc>
      </w:tr>
      <w:tr w:rsidR="00970438" w14:paraId="135C9A10"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7DF750F7" w14:textId="77777777" w:rsidR="00970438" w:rsidRDefault="00000000">
            <w:pPr>
              <w:spacing w:after="40"/>
            </w:pPr>
            <w:r>
              <w:rPr>
                <w:sz w:val="18"/>
              </w:rPr>
              <w:t>pc-062</w:t>
            </w:r>
          </w:p>
        </w:tc>
        <w:tc>
          <w:tcPr>
            <w:tcW w:w="1417" w:type="dxa"/>
          </w:tcPr>
          <w:p w14:paraId="13E9FE9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(this paper's verdict)</w:t>
            </w:r>
          </w:p>
        </w:tc>
        <w:tc>
          <w:tcPr>
            <w:tcW w:w="1418" w:type="dxa"/>
          </w:tcPr>
          <w:p w14:paraId="12D84E8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0F48836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ayubi-1995-16fd6a2e503f_66_a-closer-look-at-social-classes_002, batatu-1999-598624067df3_20_the-d-istribution-of-a-gricultural-i-ncome-prior-to-and-since-the-r_005, ayubi-1995-16fd6a2e503f_118_syria_002</w:t>
            </w:r>
          </w:p>
        </w:tc>
        <w:tc>
          <w:tcPr>
            <w:tcW w:w="1734" w:type="dxa"/>
          </w:tcPr>
          <w:p w14:paraId="6BE6E14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 Hanna Batatu (1999)</w:t>
            </w:r>
          </w:p>
        </w:tc>
      </w:tr>
      <w:tr w:rsidR="00970438" w14:paraId="0B06D711"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28F1FAB" w14:textId="77777777" w:rsidR="00970438" w:rsidRDefault="00000000">
            <w:pPr>
              <w:spacing w:after="40"/>
            </w:pPr>
            <w:r>
              <w:rPr>
                <w:sz w:val="18"/>
              </w:rPr>
              <w:t>pc-063</w:t>
            </w:r>
          </w:p>
        </w:tc>
        <w:tc>
          <w:tcPr>
            <w:tcW w:w="1417" w:type="dxa"/>
          </w:tcPr>
          <w:p w14:paraId="27BEC46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(this paper's inference)</w:t>
            </w:r>
          </w:p>
        </w:tc>
        <w:tc>
          <w:tcPr>
            <w:tcW w:w="1418" w:type="dxa"/>
          </w:tcPr>
          <w:p w14:paraId="5C808E3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4ADD7B3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w="1734" w:type="dxa"/>
          </w:tcPr>
          <w:p w14:paraId="2DCC207B"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Hanna Batatu (1999); Leila Vignal ; (2021); White, Benjamin Thomas. (2011)</w:t>
            </w:r>
          </w:p>
        </w:tc>
      </w:tr>
      <w:tr w:rsidR="00970438" w:rsidRPr="00D06213" w14:paraId="6C27B957"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0756C7D" w14:textId="77777777" w:rsidR="00970438" w:rsidRDefault="00000000">
            <w:pPr>
              <w:spacing w:after="40"/>
            </w:pPr>
            <w:r>
              <w:rPr>
                <w:sz w:val="18"/>
              </w:rPr>
              <w:t>pc-064</w:t>
            </w:r>
          </w:p>
        </w:tc>
        <w:tc>
          <w:tcPr>
            <w:tcW w:w="1417" w:type="dxa"/>
          </w:tcPr>
          <w:p w14:paraId="53CFAB8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(this paper's verdict)</w:t>
            </w:r>
          </w:p>
        </w:tc>
        <w:tc>
          <w:tcPr>
            <w:tcW w:w="1418" w:type="dxa"/>
          </w:tcPr>
          <w:p w14:paraId="60F576F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43E2091F"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ayubi-1995-16fd6a2e503f_146_conclusion-the-strong-the-hard-and-the-fierce_003, heydemann-</w:t>
            </w:r>
            <w:r>
              <w:rPr>
                <w:sz w:val="18"/>
              </w:rPr>
              <w:lastRenderedPageBreak/>
              <w:t>2004-72a4a9a9b3b0_144_the-genesis-of-a-network-the-rise-of-postindependence-private-elites-in-morocco_001, heydemann-2004-72a4a9a9b3b0_58_conclusion_001, ayubi-1995-16fd6a2e503f_66_a-closer-look-at-social-classes_002, batatu-1999-598624067df3_20_the-d-istribution-of-a-gricultural-i-ncome-prior-to-and-since-the-r_005, ayubi-1995-16fd6a2e503f_118_syria_002</w:t>
            </w:r>
          </w:p>
        </w:tc>
        <w:tc>
          <w:tcPr>
            <w:tcW w:w="1734" w:type="dxa"/>
          </w:tcPr>
          <w:p w14:paraId="5184BBDC" w14:textId="77777777" w:rsidR="00970438" w:rsidRPr="00D06213" w:rsidRDefault="00000000">
            <w:pPr>
              <w:spacing w:after="40"/>
              <w:cnfStyle w:val="000000010000" w:firstRow="0" w:lastRow="0" w:firstColumn="0" w:lastColumn="0" w:oddVBand="0" w:evenVBand="0" w:oddHBand="0" w:evenHBand="1" w:firstRowFirstColumn="0" w:firstRowLastColumn="0" w:lastRowFirstColumn="0" w:lastRowLastColumn="0"/>
              <w:rPr>
                <w:lang w:val="nl-NL"/>
              </w:rPr>
            </w:pPr>
            <w:r w:rsidRPr="00D06213">
              <w:rPr>
                <w:sz w:val="18"/>
                <w:lang w:val="nl-NL"/>
              </w:rPr>
              <w:lastRenderedPageBreak/>
              <w:t xml:space="preserve">Ayubi, Nazih N.; (1995); Hanna </w:t>
            </w:r>
            <w:r w:rsidRPr="00D06213">
              <w:rPr>
                <w:sz w:val="18"/>
                <w:lang w:val="nl-NL"/>
              </w:rPr>
              <w:lastRenderedPageBreak/>
              <w:t>Batatu (1999); Steven Heydemann (2004)</w:t>
            </w:r>
          </w:p>
        </w:tc>
      </w:tr>
      <w:tr w:rsidR="00970438" w:rsidRPr="00D06213" w14:paraId="7F3CD35D"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AFE3751" w14:textId="77777777" w:rsidR="00970438" w:rsidRDefault="00000000">
            <w:pPr>
              <w:spacing w:after="40"/>
            </w:pPr>
            <w:r>
              <w:rPr>
                <w:sz w:val="18"/>
              </w:rPr>
              <w:lastRenderedPageBreak/>
              <w:t>pc-065</w:t>
            </w:r>
          </w:p>
        </w:tc>
        <w:tc>
          <w:tcPr>
            <w:tcW w:w="1417" w:type="dxa"/>
          </w:tcPr>
          <w:p w14:paraId="159CE9E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b (this paper's inference)</w:t>
            </w:r>
          </w:p>
        </w:tc>
        <w:tc>
          <w:tcPr>
            <w:tcW w:w="1418" w:type="dxa"/>
          </w:tcPr>
          <w:p w14:paraId="3FC5333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0B4A434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w="1734" w:type="dxa"/>
          </w:tcPr>
          <w:p w14:paraId="3B030DFF" w14:textId="77777777" w:rsidR="00970438" w:rsidRPr="00D06213" w:rsidRDefault="00000000">
            <w:pPr>
              <w:spacing w:after="40"/>
              <w:cnfStyle w:val="000000100000" w:firstRow="0" w:lastRow="0" w:firstColumn="0" w:lastColumn="0" w:oddVBand="0" w:evenVBand="0" w:oddHBand="1" w:evenHBand="0" w:firstRowFirstColumn="0" w:firstRowLastColumn="0" w:lastRowFirstColumn="0" w:lastRowLastColumn="0"/>
              <w:rPr>
                <w:lang w:val="nl-NL"/>
              </w:rPr>
            </w:pPr>
            <w:r w:rsidRPr="00D06213">
              <w:rPr>
                <w:sz w:val="18"/>
                <w:lang w:val="nl-NL"/>
              </w:rPr>
              <w:t>Ayubi, Nazih N.; (1995); Hanna Batatu (1999); Steven Heydemann (2000); Steven Heydemann (2004)</w:t>
            </w:r>
          </w:p>
        </w:tc>
      </w:tr>
      <w:tr w:rsidR="00970438" w14:paraId="64CC984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5B858DEB" w14:textId="77777777" w:rsidR="00970438" w:rsidRDefault="00000000">
            <w:pPr>
              <w:spacing w:after="40"/>
            </w:pPr>
            <w:r>
              <w:rPr>
                <w:sz w:val="18"/>
              </w:rPr>
              <w:t>pc-066</w:t>
            </w:r>
          </w:p>
        </w:tc>
        <w:tc>
          <w:tcPr>
            <w:tcW w:w="1417" w:type="dxa"/>
          </w:tcPr>
          <w:p w14:paraId="2DA2696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b (this paper's inference)</w:t>
            </w:r>
          </w:p>
        </w:tc>
        <w:tc>
          <w:tcPr>
            <w:tcW w:w="1418" w:type="dxa"/>
          </w:tcPr>
          <w:p w14:paraId="4AB1957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19C0C1CA"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jackson-1990-7eb3f39a639f_12_introduction_001, jackson-1990-7eb3f39a639f_12_introduction_004, jackson-1990-7eb3f39a639f_12_introduction_007, heydemann-2000-66701ffbb36c_110_summary-and-conclusions-the-palestinians-beyond-war_001, kandiah-2018-454c87b22e16_20_interference-of-geopolitical-considerations-in-mediation-attempts_001, 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w="1734" w:type="dxa"/>
          </w:tcPr>
          <w:p w14:paraId="12D7330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Ayubi, Nazih N.; (1995); Hanna Batatu (1999); Lavan Kandiah (2018); Leila Vignal ; (2021); Robert H. Jackson (1990); Steven Heydemann (2000); White, Benjamin Thomas. (2011)</w:t>
            </w:r>
          </w:p>
        </w:tc>
      </w:tr>
      <w:tr w:rsidR="00970438" w14:paraId="7E259FB0" w14:textId="77777777" w:rsidTr="00D062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17FB0A14" w14:textId="77777777" w:rsidR="00970438" w:rsidRDefault="00000000">
            <w:pPr>
              <w:spacing w:after="40"/>
            </w:pPr>
            <w:r>
              <w:rPr>
                <w:sz w:val="18"/>
              </w:rPr>
              <w:t>pc-067</w:t>
            </w:r>
          </w:p>
        </w:tc>
        <w:tc>
          <w:tcPr>
            <w:tcW w:w="1417" w:type="dxa"/>
          </w:tcPr>
          <w:p w14:paraId="14BE67C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c (this paper's verdict)</w:t>
            </w:r>
          </w:p>
        </w:tc>
        <w:tc>
          <w:tcPr>
            <w:tcW w:w="1418" w:type="dxa"/>
          </w:tcPr>
          <w:p w14:paraId="679FEDD8"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low</w:t>
            </w:r>
          </w:p>
        </w:tc>
        <w:tc>
          <w:tcPr>
            <w:tcW w:w="4050" w:type="dxa"/>
          </w:tcPr>
          <w:p w14:paraId="7D746C4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jackson-1990-7eb3f39a639f_12_introduction_001, kandiah-2018-454c87b22e16_14_approaching-the-syrian-conflict-legitimacy-and-geopolitics-in-a-contested_001, kandiah-2018-454c87b22e16_20_interference-of-geopolitical-considerations-in-mediation-attempts_001, vignal-2021-c7005c2bf8ef_100_the-loss-of-property-titles_001, 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w="1734" w:type="dxa"/>
          </w:tcPr>
          <w:p w14:paraId="766AE6D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Ayubi, Nazih N.; (1995); Hanna Batatu (1999); Lavan Kandiah (2018); Leila Vignal ; (2021); Robert H. Jackson (1990); Steven Heydemann (2000); Steven Heydemann (2004)</w:t>
            </w:r>
          </w:p>
        </w:tc>
      </w:tr>
      <w:tr w:rsidR="00970438" w14:paraId="561750E9" w14:textId="77777777" w:rsidTr="00D062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46C12F6" w14:textId="77777777" w:rsidR="00970438" w:rsidRDefault="00000000">
            <w:pPr>
              <w:spacing w:after="40"/>
            </w:pPr>
            <w:r>
              <w:rPr>
                <w:sz w:val="18"/>
              </w:rPr>
              <w:t>pc-068</w:t>
            </w:r>
          </w:p>
        </w:tc>
        <w:tc>
          <w:tcPr>
            <w:tcW w:w="1417" w:type="dxa"/>
          </w:tcPr>
          <w:p w14:paraId="412009C2"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c (this paper's verdict)</w:t>
            </w:r>
          </w:p>
        </w:tc>
        <w:tc>
          <w:tcPr>
            <w:tcW w:w="1418" w:type="dxa"/>
          </w:tcPr>
          <w:p w14:paraId="05233FA1"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low</w:t>
            </w:r>
          </w:p>
        </w:tc>
        <w:tc>
          <w:tcPr>
            <w:tcW w:w="4050" w:type="dxa"/>
          </w:tcPr>
          <w:p w14:paraId="344CC96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white-2011-5f35a47d9657_26_divide-and-rule-but-on-what-grounds_001, white-2011-</w:t>
            </w:r>
            <w:r>
              <w:rPr>
                <w:sz w:val="18"/>
              </w:rPr>
              <w:lastRenderedPageBreak/>
              <w:t>5f35a47d9657_21_the-emergence-of-minorities_001, batatu-1999-598624067df3_48_section_001, vignal-2021-c7005c2bf8ef_107_conclusion_001, heydemann-2004-72a4a9a9b3b0_11_6-steven-heydemann_001, heydemann-2004-72a4a9a9b3b0_16_12-steven-heydemann_001, ayubi-1995-16fd6a2e503f_118_syria_002, ayubi-1995-16fd6a2e503f_146_conclusion-the-strong-the-hard-and-the-fierce_003, ayubi-1995-16fd6a2e503f_66_a-closer-look-at-social-classes_002, batatu-1999-598624067df3_20_the-d-istribution-of-a-gricultural-i-ncome-prior-to-and-since-the-r_005, heydemann-2000-66701ffbb36c_38_conclusion_001, heydemann-2004-72a4a9a9b3b0_127_conclusion-fiscal-reforms-and-historical-trajectories_001, heydemann-2004-72a4a9a9b3b0_144_the-genesis-of-a-network-the-rise-of-postindependence-private-elites-in-morocco_001</w:t>
            </w:r>
          </w:p>
        </w:tc>
        <w:tc>
          <w:tcPr>
            <w:tcW w:w="1734" w:type="dxa"/>
          </w:tcPr>
          <w:p w14:paraId="00D7139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 xml:space="preserve">Ayubi, Nazih N.; (1995); Hanna </w:t>
            </w:r>
            <w:r>
              <w:rPr>
                <w:sz w:val="18"/>
              </w:rPr>
              <w:lastRenderedPageBreak/>
              <w:t>Batatu (1999); Leila Vignal ; (2021); Steven Heydemann (2000); Steven Heydemann (2004); White, Benjamin Thomas. (2011)</w:t>
            </w:r>
          </w:p>
        </w:tc>
      </w:tr>
    </w:tbl>
    <w:p w14:paraId="5787D84E" w14:textId="77777777" w:rsidR="00970438" w:rsidRDefault="00970438"/>
    <w:p w14:paraId="11820F97" w14:textId="77777777" w:rsidR="00970438" w:rsidRDefault="00000000" w:rsidP="009C625C">
      <w:pPr>
        <w:pStyle w:val="Heading4"/>
        <w:jc w:val="both"/>
      </w:pPr>
      <w:r>
        <w:t>Bibliography</w:t>
      </w:r>
    </w:p>
    <w:p w14:paraId="459CD2DF" w14:textId="77777777" w:rsidR="00970438" w:rsidRDefault="00000000" w:rsidP="009C625C">
      <w:pPr>
        <w:pStyle w:val="ListBullet"/>
        <w:spacing w:after="60"/>
        <w:jc w:val="both"/>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14:paraId="2C5285A3" w14:textId="77777777" w:rsidR="00970438" w:rsidRDefault="00000000" w:rsidP="009C625C">
      <w:pPr>
        <w:pStyle w:val="ListBullet"/>
        <w:spacing w:after="60"/>
        <w:jc w:val="both"/>
      </w:pPr>
      <w:r>
        <w:rPr>
          <w:b/>
        </w:rPr>
        <w:t>vignal-2021-c7005c2bf8ef</w:t>
      </w:r>
      <w:r>
        <w:t xml:space="preserve"> — author: Leila Vignal ; (from embedded metadata); title: War-Torn (from embedded metadata); date: 2021 (from title page); publisher: C. Hurst and Company (Publishers) Limited (from open_library)</w:t>
      </w:r>
    </w:p>
    <w:p w14:paraId="74DD82C5" w14:textId="77777777" w:rsidR="00970438" w:rsidRDefault="00000000" w:rsidP="009C625C">
      <w:pPr>
        <w:pStyle w:val="ListBullet"/>
        <w:spacing w:after="60"/>
        <w:jc w:val="both"/>
      </w:pPr>
      <w:r>
        <w:rPr>
          <w:b/>
        </w:rPr>
        <w:t>ayubi-1995-16fd6a2e503f</w:t>
      </w:r>
      <w:r>
        <w:t xml:space="preserve"> — author: Ayubi, Nazih N.; (from embedded metadata); title: Over-stating the Arab State (from open_library); date: 1995 (from title page); publisher: I. B. Tauris (from open_library)</w:t>
      </w:r>
    </w:p>
    <w:p w14:paraId="70EEC77C" w14:textId="77777777" w:rsidR="00970438" w:rsidRDefault="00000000" w:rsidP="009C625C">
      <w:pPr>
        <w:pStyle w:val="ListBullet"/>
        <w:spacing w:after="60"/>
        <w:jc w:val="both"/>
      </w:pPr>
      <w:r>
        <w:rPr>
          <w:b/>
        </w:rPr>
        <w:t>batatu-1999-598624067df3</w:t>
      </w:r>
      <w:r>
        <w:t xml:space="preserve"> — author: Hanna Batatu (from title page); title: Syria’s Peasantry, the Descendants of Its Lesser Rural Notables, and Their Politics (from title page); date: 1999 (from title page); publisher: Princeton University Press (from open_library)</w:t>
      </w:r>
    </w:p>
    <w:p w14:paraId="1367CD12" w14:textId="77777777" w:rsidR="00970438" w:rsidRDefault="00000000" w:rsidP="009C625C">
      <w:pPr>
        <w:pStyle w:val="ListBullet"/>
        <w:spacing w:after="60"/>
        <w:jc w:val="both"/>
      </w:pPr>
      <w:r>
        <w:rPr>
          <w:b/>
        </w:rPr>
        <w:t>bayat-2017-ce6bb0643cfb</w:t>
      </w:r>
      <w:r>
        <w:t xml:space="preserve"> — author: Asef Bayat (from embedded metadata); title: Revolution Without Revolutionaries (from embedded metadata); date: 2017 (from title page); publisher: Stanford University Press (from open_library)</w:t>
      </w:r>
    </w:p>
    <w:p w14:paraId="1032EA1C" w14:textId="77777777" w:rsidR="00970438" w:rsidRDefault="00000000" w:rsidP="009C625C">
      <w:pPr>
        <w:pStyle w:val="ListBullet"/>
        <w:spacing w:after="60"/>
        <w:jc w:val="both"/>
      </w:pPr>
      <w:r>
        <w:rPr>
          <w:b/>
        </w:rPr>
        <w:t>caspersen-2012-fbc0efe4fffc</w:t>
      </w:r>
      <w:r>
        <w:t xml:space="preserve"> — author: Caspersen, Nina (from embedded metadata); title: Unrecognized States (from embedded metadata); date: 2012 (from title page); publisher: [unavailable - a read was attempted and found nothing]</w:t>
      </w:r>
    </w:p>
    <w:p w14:paraId="0C4BDAFD" w14:textId="77777777" w:rsidR="00970438" w:rsidRDefault="00000000" w:rsidP="009C625C">
      <w:pPr>
        <w:pStyle w:val="ListBullet"/>
        <w:spacing w:after="60"/>
        <w:jc w:val="both"/>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14:paraId="551CD2D5" w14:textId="77777777" w:rsidR="00970438" w:rsidRDefault="00000000" w:rsidP="009C625C">
      <w:pPr>
        <w:pStyle w:val="ListBullet"/>
        <w:spacing w:after="60"/>
        <w:jc w:val="both"/>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14:paraId="4DD114B0" w14:textId="77777777" w:rsidR="00970438" w:rsidRDefault="00000000" w:rsidP="009C625C">
      <w:pPr>
        <w:pStyle w:val="ListBullet"/>
        <w:spacing w:after="60"/>
        <w:jc w:val="both"/>
      </w:pPr>
      <w:r>
        <w:rPr>
          <w:b/>
        </w:rPr>
        <w:lastRenderedPageBreak/>
        <w:t>heydemann-2000-66701ffbb36c</w:t>
      </w:r>
      <w:r>
        <w:t xml:space="preserve"> — author: Steven Heydemann (from title page); title: War, Institutions, and Social Change in the Middle East (from title page); date: 2000 (from title page); publisher: University of California Press (from title page)</w:t>
      </w:r>
    </w:p>
    <w:p w14:paraId="69137F93" w14:textId="77777777" w:rsidR="00970438" w:rsidRDefault="00000000" w:rsidP="009C625C">
      <w:pPr>
        <w:pStyle w:val="ListBullet"/>
        <w:spacing w:after="60"/>
        <w:jc w:val="both"/>
      </w:pPr>
      <w:r>
        <w:rPr>
          <w:b/>
        </w:rPr>
        <w:t>jackson-1990-7eb3f39a639f</w:t>
      </w:r>
      <w:r>
        <w:t xml:space="preserve"> — author: Robert H. Jackson (from title page); title: Quasi-states: sovereignty, international relations, and the third world (from title page); date: 1990 (from title page); publisher: Cambridge University Press (from open_library)</w:t>
      </w:r>
    </w:p>
    <w:p w14:paraId="2C1209DD" w14:textId="77777777" w:rsidR="00970438" w:rsidRDefault="00000000" w:rsidP="009C625C">
      <w:pPr>
        <w:pStyle w:val="ListBullet"/>
        <w:spacing w:after="60"/>
        <w:jc w:val="both"/>
      </w:pPr>
      <w:r>
        <w:rPr>
          <w:b/>
        </w:rPr>
        <w:t>kandiah-2018-454c87b22e16</w:t>
      </w:r>
      <w:r>
        <w:t xml:space="preserve"> — author: Lavan Kandiah (from embedded metadata); title: EXAMINING THE CENTRALITY OF STATE LEGITIMACY AND CAPACITY TO STABLE GOVERNANCE IN THE SYRIAN CONFLICT: THE DETRIMENTAL EFFECTS OF INTERNATIONAL GEOPOLITICAL INFLUENCES ON LONG-TERM STATE STABILITY (from title page); date: 2018 (from title page); publisher: [unavailable - a read was attempted and found nothing]</w:t>
      </w:r>
    </w:p>
    <w:p w14:paraId="4B11267F" w14:textId="77777777" w:rsidR="00970438" w:rsidRDefault="00000000" w:rsidP="009C625C">
      <w:pPr>
        <w:pStyle w:val="ListBullet"/>
        <w:spacing w:after="60"/>
        <w:jc w:val="both"/>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14:paraId="6BFEAD5A" w14:textId="77777777" w:rsidR="00970438" w:rsidRDefault="00000000" w:rsidP="009C625C">
      <w:pPr>
        <w:pStyle w:val="ListBullet"/>
        <w:spacing w:after="60"/>
        <w:jc w:val="both"/>
      </w:pPr>
      <w:r>
        <w:rPr>
          <w:b/>
        </w:rPr>
        <w:t>white-2011-5f35a47d9657</w:t>
      </w:r>
      <w:r>
        <w:t xml:space="preserve"> — author: White, Benjamin Thomas. (from embedded metadata); title: Emergence of Minorities in the Middle East (from embedded metadata); date: 2011 (from title page); publisher: Edinburgh University Press (from open_library)</w:t>
      </w:r>
    </w:p>
    <w:p w14:paraId="244D4005" w14:textId="77777777" w:rsidR="00970438" w:rsidRDefault="00000000" w:rsidP="009C625C">
      <w:pPr>
        <w:pStyle w:val="ListBullet"/>
        <w:spacing w:after="60"/>
        <w:jc w:val="both"/>
      </w:pPr>
      <w:r>
        <w:rPr>
          <w:b/>
        </w:rPr>
        <w:t>wimmer-2013-a67941b77943</w:t>
      </w:r>
      <w:r>
        <w:t xml:space="preserve"> — author: Wimmer, Andreas (from embedded metadata); title: Waves of War (from embedded metadata); date: 2013 (from title page); publisher: Cambridge University Press (from open_library)</w:t>
      </w:r>
    </w:p>
    <w:p w14:paraId="429DD011" w14:textId="77777777" w:rsidR="00970438" w:rsidRDefault="00000000" w:rsidP="009C625C">
      <w:pPr>
        <w:pStyle w:val="ListBullet"/>
        <w:spacing w:after="60"/>
        <w:jc w:val="both"/>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14:paraId="32EF7B37" w14:textId="77777777" w:rsidR="00D06213" w:rsidRPr="00D06213" w:rsidRDefault="00D06213" w:rsidP="00D06213">
      <w:pPr>
        <w:rPr>
          <w:rFonts w:cs="Calibri"/>
          <w:color w:val="000000"/>
        </w:rPr>
      </w:pPr>
      <w:r w:rsidRPr="00D06213">
        <w:rPr>
          <w:rFonts w:cs="Calibri"/>
          <w:color w:val="000000"/>
        </w:rPr>
        <w:br w:type="page"/>
      </w:r>
    </w:p>
    <w:p w14:paraId="3B43E442" w14:textId="2ECE145A" w:rsidR="00970438" w:rsidRDefault="00000000" w:rsidP="009C625C">
      <w:pPr>
        <w:pStyle w:val="Heading2"/>
        <w:jc w:val="both"/>
      </w:pPr>
      <w:bookmarkStart w:id="61" w:name="_Toc236945286"/>
      <w:bookmarkStart w:id="62" w:name="appF"/>
      <w:bookmarkEnd w:id="62"/>
      <w:r>
        <w:lastRenderedPageBreak/>
        <w:t>Appendix F — Every question Axial asks</w:t>
      </w:r>
      <w:bookmarkEnd w:id="61"/>
    </w:p>
    <w:p w14:paraId="369887C7" w14:textId="77777777" w:rsidR="00970438" w:rsidRDefault="00000000" w:rsidP="009C625C">
      <w:pPr>
        <w:jc w:val="both"/>
      </w:pPr>
      <w:r>
        <w:t>Inside the pipeline, a model is consulted in sixteen places, plus a set of judges that sit outside it. Nowhere is it asked to pick from a list. Every one of the sixteen is an open question with an explicit right to answer "I cannot tell from this", and in every one code assembles what the model sees and reads what comes back.</w:t>
      </w:r>
    </w:p>
    <w:p w14:paraId="149DA1EE" w14:textId="77777777" w:rsidR="00970438" w:rsidRDefault="00000000" w:rsidP="009C625C">
      <w:pPr>
        <w:jc w:val="both"/>
      </w:pPr>
      <w:r>
        <w:t>The inventory below is complete. The questions are quoted from the working system, lightly trimmed for length.</w:t>
      </w:r>
    </w:p>
    <w:p w14:paraId="7E59E99F" w14:textId="77777777" w:rsidR="00970438" w:rsidRDefault="00000000">
      <w:pPr>
        <w:pStyle w:val="Heading3"/>
      </w:pPr>
      <w:bookmarkStart w:id="63" w:name="_Toc236945287"/>
      <w:r>
        <w:t>F.1 Reading the corpus</w:t>
      </w:r>
      <w:bookmarkEnd w:id="63"/>
    </w:p>
    <w:tbl>
      <w:tblPr>
        <w:tblStyle w:val="LightGrid-Accent1"/>
        <w:tblW w:w="0" w:type="auto"/>
        <w:tblLook w:val="04A0" w:firstRow="1" w:lastRow="0" w:firstColumn="1" w:lastColumn="0" w:noHBand="0" w:noVBand="1"/>
      </w:tblPr>
      <w:tblGrid>
        <w:gridCol w:w="2376"/>
        <w:gridCol w:w="2376"/>
        <w:gridCol w:w="2376"/>
        <w:gridCol w:w="2376"/>
      </w:tblGrid>
      <w:tr w:rsidR="00970438" w14:paraId="0757BF4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5A646183" w14:textId="77777777" w:rsidR="00970438" w:rsidRDefault="00970438">
            <w:pPr>
              <w:spacing w:after="40"/>
            </w:pPr>
          </w:p>
        </w:tc>
        <w:tc>
          <w:tcPr>
            <w:tcW w:w="2376" w:type="dxa"/>
          </w:tcPr>
          <w:p w14:paraId="57FDB608"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Asked of</w:t>
            </w:r>
          </w:p>
        </w:tc>
        <w:tc>
          <w:tcPr>
            <w:tcW w:w="2376" w:type="dxa"/>
          </w:tcPr>
          <w:p w14:paraId="3B3D29C6"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How often</w:t>
            </w:r>
          </w:p>
        </w:tc>
        <w:tc>
          <w:tcPr>
            <w:tcW w:w="2376" w:type="dxa"/>
          </w:tcPr>
          <w:p w14:paraId="347854BE"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question</w:t>
            </w:r>
          </w:p>
        </w:tc>
      </w:tr>
      <w:tr w:rsidR="00970438" w14:paraId="3CD9D813"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C5136B2" w14:textId="77777777" w:rsidR="00970438" w:rsidRDefault="00000000">
            <w:pPr>
              <w:spacing w:after="40"/>
            </w:pPr>
            <w:r>
              <w:rPr>
                <w:sz w:val="18"/>
              </w:rPr>
              <w:t>1. Envelope</w:t>
            </w:r>
          </w:p>
        </w:tc>
        <w:tc>
          <w:tcPr>
            <w:tcW w:w="2376" w:type="dxa"/>
          </w:tcPr>
          <w:p w14:paraId="62AC1DD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Each book's own opening and closing prose</w:t>
            </w:r>
          </w:p>
        </w:tc>
        <w:tc>
          <w:tcPr>
            <w:tcW w:w="2376" w:type="dxa"/>
          </w:tcPr>
          <w:p w14:paraId="0001660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 per book</w:t>
            </w:r>
          </w:p>
        </w:tc>
        <w:tc>
          <w:tcPr>
            <w:tcW w:w="2376" w:type="dxa"/>
          </w:tcPr>
          <w:p w14:paraId="50B4A2E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What is the author's stated thesis, the scope of the argument, the argument as restated, and the table of contents? </w:t>
            </w:r>
            <w:r>
              <w:rPr>
                <w:i/>
                <w:sz w:val="18"/>
              </w:rPr>
              <w:t>Based only on the supplied text. Do not infer from the title, the filename, or any outside knowledge.</w:t>
            </w:r>
          </w:p>
        </w:tc>
      </w:tr>
      <w:tr w:rsidR="00970438" w14:paraId="5CE350CF"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C43310A" w14:textId="77777777" w:rsidR="00970438" w:rsidRDefault="00000000">
            <w:pPr>
              <w:spacing w:after="40"/>
            </w:pPr>
            <w:r>
              <w:rPr>
                <w:sz w:val="18"/>
              </w:rPr>
              <w:t>2. Interrogation</w:t>
            </w:r>
          </w:p>
        </w:tc>
        <w:tc>
          <w:tcPr>
            <w:tcW w:w="2376" w:type="dxa"/>
          </w:tcPr>
          <w:p w14:paraId="08BD01D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One passage</w:t>
            </w:r>
          </w:p>
        </w:tc>
        <w:tc>
          <w:tcPr>
            <w:tcW w:w="2376" w:type="dxa"/>
          </w:tcPr>
          <w:p w14:paraId="55FC20D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 per passage</w:t>
            </w:r>
          </w:p>
        </w:tc>
        <w:tc>
          <w:tcPr>
            <w:tcW w:w="2376" w:type="dxa"/>
          </w:tcPr>
          <w:p w14:paraId="4485D25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The fourteen questions in section 3. </w:t>
            </w:r>
            <w:r>
              <w:rPr>
                <w:i/>
                <w:sz w:val="18"/>
              </w:rPr>
              <w:t>Answer only from the passage. If it does not support an answer, say so. A guessed answer is worse than an abstention, because a reader cannot tell it from one you actually read.</w:t>
            </w:r>
          </w:p>
        </w:tc>
      </w:tr>
      <w:tr w:rsidR="00970438" w14:paraId="03141B63"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7A0030C" w14:textId="77777777" w:rsidR="00970438" w:rsidRDefault="00000000">
            <w:pPr>
              <w:spacing w:after="40"/>
            </w:pPr>
            <w:r>
              <w:rPr>
                <w:sz w:val="18"/>
              </w:rPr>
              <w:t>3. Name merging</w:t>
            </w:r>
          </w:p>
        </w:tc>
        <w:tc>
          <w:tcPr>
            <w:tcW w:w="2376" w:type="dxa"/>
          </w:tcPr>
          <w:p w14:paraId="70A1A1C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A cluster of similar-looking name forms</w:t>
            </w:r>
          </w:p>
        </w:tc>
        <w:tc>
          <w:tcPr>
            <w:tcW w:w="2376" w:type="dxa"/>
          </w:tcPr>
          <w:p w14:paraId="03C80E89"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 per cluster</w:t>
            </w:r>
          </w:p>
        </w:tc>
        <w:tc>
          <w:tcPr>
            <w:tcW w:w="2376" w:type="dxa"/>
          </w:tcPr>
          <w:p w14:paraId="2CE25CF0"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"They were grouped together by a clustering algorithm because their wordings are similar. </w:t>
            </w:r>
            <w:r>
              <w:rPr>
                <w:b/>
                <w:sz w:val="18"/>
              </w:rPr>
              <w:t>That grouping is a hint, and it is often wrong.</w:t>
            </w:r>
            <w:r>
              <w:rPr>
                <w:sz w:val="18"/>
              </w:rPr>
              <w:t xml:space="preserve"> Decide which of them name the same thing… Where what is shown does not let you tell, say so instead of guessing."</w:t>
            </w:r>
          </w:p>
        </w:tc>
      </w:tr>
      <w:tr w:rsidR="00970438" w14:paraId="18C6FBAC"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56B6148" w14:textId="77777777" w:rsidR="00970438" w:rsidRDefault="00000000">
            <w:pPr>
              <w:spacing w:after="40"/>
            </w:pPr>
            <w:r>
              <w:rPr>
                <w:sz w:val="18"/>
              </w:rPr>
              <w:t>4. Gather</w:t>
            </w:r>
          </w:p>
        </w:tc>
        <w:tc>
          <w:tcPr>
            <w:tcW w:w="2376" w:type="dxa"/>
          </w:tcPr>
          <w:p w14:paraId="737FE97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Every passage that names one thing</w:t>
            </w:r>
          </w:p>
        </w:tc>
        <w:tc>
          <w:tcPr>
            <w:tcW w:w="2376" w:type="dxa"/>
          </w:tcPr>
          <w:p w14:paraId="0D2C50B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 per name</w:t>
            </w:r>
          </w:p>
        </w:tc>
        <w:tc>
          <w:tcPr>
            <w:tcW w:w="2376" w:type="dxa"/>
          </w:tcPr>
          <w:p w14:paraId="7820AE2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"Say what the disagreement actually is, in a few sentences, naming who holds which side… </w:t>
            </w:r>
            <w:r>
              <w:rPr>
                <w:b/>
                <w:sz w:val="18"/>
              </w:rPr>
              <w:t>null is a last resort, not the default answer.</w:t>
            </w:r>
            <w:r>
              <w:rPr>
                <w:sz w:val="18"/>
              </w:rPr>
              <w:t>"</w:t>
            </w:r>
          </w:p>
        </w:tc>
      </w:tr>
      <w:tr w:rsidR="00970438" w14:paraId="592E6A64"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4B1AAC3" w14:textId="77777777" w:rsidR="00970438" w:rsidRDefault="00000000">
            <w:pPr>
              <w:spacing w:after="40"/>
            </w:pPr>
            <w:r>
              <w:rPr>
                <w:sz w:val="18"/>
              </w:rPr>
              <w:t>5. Gather merge</w:t>
            </w:r>
          </w:p>
        </w:tc>
        <w:tc>
          <w:tcPr>
            <w:tcW w:w="2376" w:type="dxa"/>
          </w:tcPr>
          <w:p w14:paraId="4EF0B3EF"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The partial findings for one very large name</w:t>
            </w:r>
          </w:p>
        </w:tc>
        <w:tc>
          <w:tcPr>
            <w:tcW w:w="2376" w:type="dxa"/>
          </w:tcPr>
          <w:p w14:paraId="0333C16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Only when one call could not hold the name</w:t>
            </w:r>
          </w:p>
        </w:tc>
        <w:tc>
          <w:tcPr>
            <w:tcW w:w="2376" w:type="dxa"/>
          </w:tcPr>
          <w:p w14:paraId="738F3D4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"Treat them as partial evidence about one name, never as competing claims to weigh against each other."</w:t>
            </w:r>
          </w:p>
        </w:tc>
      </w:tr>
      <w:tr w:rsidR="00970438" w14:paraId="25C2365B"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4B46581" w14:textId="77777777" w:rsidR="00970438" w:rsidRDefault="00000000">
            <w:pPr>
              <w:spacing w:after="40"/>
            </w:pPr>
            <w:r>
              <w:rPr>
                <w:sz w:val="18"/>
              </w:rPr>
              <w:t>6. Position extraction</w:t>
            </w:r>
          </w:p>
        </w:tc>
        <w:tc>
          <w:tcPr>
            <w:tcW w:w="2376" w:type="dxa"/>
          </w:tcPr>
          <w:p w14:paraId="77A6E445"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A group of passages with similar claims, shown </w:t>
            </w:r>
            <w:r>
              <w:rPr>
                <w:b/>
                <w:sz w:val="18"/>
              </w:rPr>
              <w:lastRenderedPageBreak/>
              <w:t>without their authors</w:t>
            </w:r>
          </w:p>
        </w:tc>
        <w:tc>
          <w:tcPr>
            <w:tcW w:w="2376" w:type="dxa"/>
          </w:tcPr>
          <w:p w14:paraId="5890262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lastRenderedPageBreak/>
              <w:t>Once per group</w:t>
            </w:r>
          </w:p>
        </w:tc>
        <w:tc>
          <w:tcPr>
            <w:tcW w:w="2376" w:type="dxa"/>
          </w:tcPr>
          <w:p w14:paraId="2D15509C"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"Find the arguments running through these passages. Your </w:t>
            </w:r>
            <w:r>
              <w:rPr>
                <w:sz w:val="18"/>
              </w:rPr>
              <w:lastRenderedPageBreak/>
              <w:t xml:space="preserve">job is to find </w:t>
            </w:r>
            <w:r>
              <w:rPr>
                <w:b/>
                <w:sz w:val="18"/>
              </w:rPr>
              <w:t>what RECURS</w:t>
            </w:r>
            <w:r>
              <w:rPr>
                <w:sz w:val="18"/>
              </w:rPr>
              <w:t xml:space="preserve">… If you are producing roughly as many arguments as there are passages, you are restating the passages rather than finding the arguments in them, and </w:t>
            </w:r>
            <w:r>
              <w:rPr>
                <w:b/>
                <w:sz w:val="18"/>
              </w:rPr>
              <w:t>you have not done the task</w:t>
            </w:r>
            <w:r>
              <w:rPr>
                <w:sz w:val="18"/>
              </w:rPr>
              <w:t>."</w:t>
            </w:r>
          </w:p>
        </w:tc>
      </w:tr>
      <w:tr w:rsidR="00970438" w14:paraId="5588D69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6AC180D" w14:textId="77777777" w:rsidR="00970438" w:rsidRDefault="00000000">
            <w:pPr>
              <w:spacing w:after="40"/>
            </w:pPr>
            <w:r>
              <w:rPr>
                <w:sz w:val="18"/>
              </w:rPr>
              <w:lastRenderedPageBreak/>
              <w:t>7. Relating positions</w:t>
            </w:r>
          </w:p>
        </w:tc>
        <w:tc>
          <w:tcPr>
            <w:tcW w:w="2376" w:type="dxa"/>
          </w:tcPr>
          <w:p w14:paraId="3323802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A neighbourhood of arguments, again </w:t>
            </w:r>
            <w:r>
              <w:rPr>
                <w:b/>
                <w:sz w:val="18"/>
              </w:rPr>
              <w:t>without authors</w:t>
            </w:r>
          </w:p>
        </w:tc>
        <w:tc>
          <w:tcPr>
            <w:tcW w:w="2376" w:type="dxa"/>
          </w:tcPr>
          <w:p w14:paraId="73F7C19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 per neighbourhood</w:t>
            </w:r>
          </w:p>
        </w:tc>
        <w:tc>
          <w:tcPr>
            <w:tcW w:w="2376" w:type="dxa"/>
          </w:tcPr>
          <w:p w14:paraId="02CB8A6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"Say how these arguments actually stand to one another… </w:t>
            </w:r>
            <w:r>
              <w:rPr>
                <w:b/>
                <w:sz w:val="18"/>
              </w:rPr>
              <w:t>There is no list of allowed relations.</w:t>
            </w:r>
            <w:r>
              <w:rPr>
                <w:sz w:val="18"/>
              </w:rPr>
              <w:t xml:space="preserve"> Do not pick from a menu and do not reach for opposition by default… </w:t>
            </w:r>
            <w:r>
              <w:rPr>
                <w:b/>
                <w:sz w:val="18"/>
              </w:rPr>
              <w:t>Most pairs have no relationship, and saying so costs nothing.</w:t>
            </w:r>
            <w:r>
              <w:rPr>
                <w:sz w:val="18"/>
              </w:rPr>
              <w:t>"</w:t>
            </w:r>
          </w:p>
        </w:tc>
      </w:tr>
    </w:tbl>
    <w:p w14:paraId="7D9D953B" w14:textId="77777777" w:rsidR="00970438" w:rsidRDefault="00970438"/>
    <w:p w14:paraId="2172EDA0" w14:textId="77777777" w:rsidR="00970438" w:rsidRDefault="00000000" w:rsidP="009C625C">
      <w:pPr>
        <w:jc w:val="both"/>
      </w:pPr>
      <w:r>
        <w:rPr>
          <w:b/>
        </w:rPr>
        <w:t>Questions 6 and 7 are asked blind.</w:t>
      </w:r>
      <w:r>
        <w:t xml:space="preserve"> The model is shown the claims and never the authors. If it could see who wrote what, it could decide that Mann and Tilly meet because they are Mann and Tilly. The count of how often the map joins different books would then be measuring the model's sense of who </w:t>
      </w:r>
      <w:r>
        <w:rPr>
          <w:i/>
        </w:rPr>
        <w:t>ought</w:t>
      </w:r>
      <w:r>
        <w:t xml:space="preserve"> to argue, not the corpus. Hiding the authors costs nothing and makes that count mean something.</w:t>
      </w:r>
    </w:p>
    <w:p w14:paraId="5112C9E6" w14:textId="77777777" w:rsidR="00970438" w:rsidRDefault="00000000" w:rsidP="009C625C">
      <w:pPr>
        <w:jc w:val="both"/>
      </w:pPr>
      <w:r>
        <w:rPr>
          <w:b/>
        </w:rPr>
        <w:t>Question 7 is asked with no vocabulary at all.</w:t>
      </w:r>
      <w:r>
        <w:t xml:space="preserve"> Not "is this support or opposition?" but "what is actually there?" The consequence is measurable: because nothing asked for opposition, opposition came back at 6.6% rather than at whatever rate a leading question would have produced. The model invented 504 labels of its own.</w:t>
      </w:r>
    </w:p>
    <w:p w14:paraId="58D84DED" w14:textId="77777777" w:rsidR="00970438" w:rsidRDefault="00000000">
      <w:pPr>
        <w:pStyle w:val="Heading3"/>
      </w:pPr>
      <w:bookmarkStart w:id="64" w:name="_Toc236945288"/>
      <w:r>
        <w:t>F.2 Answering a question</w:t>
      </w:r>
      <w:bookmarkEnd w:id="64"/>
    </w:p>
    <w:tbl>
      <w:tblPr>
        <w:tblStyle w:val="LightGrid-Accent1"/>
        <w:tblW w:w="0" w:type="auto"/>
        <w:tblLook w:val="04A0" w:firstRow="1" w:lastRow="0" w:firstColumn="1" w:lastColumn="0" w:noHBand="0" w:noVBand="1"/>
      </w:tblPr>
      <w:tblGrid>
        <w:gridCol w:w="2376"/>
        <w:gridCol w:w="2376"/>
        <w:gridCol w:w="2376"/>
        <w:gridCol w:w="2376"/>
      </w:tblGrid>
      <w:tr w:rsidR="00970438" w14:paraId="6598941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D3260F9" w14:textId="77777777" w:rsidR="00970438" w:rsidRDefault="00970438">
            <w:pPr>
              <w:spacing w:after="40"/>
            </w:pPr>
          </w:p>
        </w:tc>
        <w:tc>
          <w:tcPr>
            <w:tcW w:w="2376" w:type="dxa"/>
          </w:tcPr>
          <w:p w14:paraId="10BF3588"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Asked of</w:t>
            </w:r>
          </w:p>
        </w:tc>
        <w:tc>
          <w:tcPr>
            <w:tcW w:w="2376" w:type="dxa"/>
          </w:tcPr>
          <w:p w14:paraId="12756CAA"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How often</w:t>
            </w:r>
          </w:p>
        </w:tc>
        <w:tc>
          <w:tcPr>
            <w:tcW w:w="2376" w:type="dxa"/>
          </w:tcPr>
          <w:p w14:paraId="3DD66975"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question</w:t>
            </w:r>
          </w:p>
        </w:tc>
      </w:tr>
      <w:tr w:rsidR="00970438" w14:paraId="58AE4F91"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975B6A8" w14:textId="77777777" w:rsidR="00970438" w:rsidRDefault="00000000">
            <w:pPr>
              <w:spacing w:after="40"/>
            </w:pPr>
            <w:r>
              <w:rPr>
                <w:sz w:val="18"/>
              </w:rPr>
              <w:t>8. Brief interrogation</w:t>
            </w:r>
          </w:p>
        </w:tc>
        <w:tc>
          <w:tcPr>
            <w:tcW w:w="2376" w:type="dxa"/>
          </w:tcPr>
          <w:p w14:paraId="23ED1A6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Your question, against the library's measured coverage</w:t>
            </w:r>
          </w:p>
        </w:tc>
        <w:tc>
          <w:tcPr>
            <w:tcW w:w="2376" w:type="dxa"/>
          </w:tcPr>
          <w:p w14:paraId="5A19E2C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w:t>
            </w:r>
          </w:p>
        </w:tc>
        <w:tc>
          <w:tcPr>
            <w:tcW w:w="2376" w:type="dxa"/>
          </w:tcPr>
          <w:p w14:paraId="2E1E3A46"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"Find every premise smuggled into this brief's case and request, and test each one against the corpus coverage stated below — </w:t>
            </w:r>
            <w:r>
              <w:rPr>
                <w:b/>
                <w:sz w:val="18"/>
              </w:rPr>
              <w:t>never against what you recall or assume about the world</w:t>
            </w:r>
            <w:r>
              <w:rPr>
                <w:sz w:val="18"/>
              </w:rPr>
              <w:t>." Each premise comes back supported, contradicted, or the corpus is silent. Refusal is available.</w:t>
            </w:r>
          </w:p>
        </w:tc>
      </w:tr>
      <w:tr w:rsidR="00970438" w14:paraId="1D0470FA"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22F5A19" w14:textId="77777777" w:rsidR="00970438" w:rsidRDefault="00000000">
            <w:pPr>
              <w:spacing w:after="40"/>
            </w:pPr>
            <w:r>
              <w:rPr>
                <w:sz w:val="18"/>
              </w:rPr>
              <w:t>9. Fork check</w:t>
            </w:r>
          </w:p>
        </w:tc>
        <w:tc>
          <w:tcPr>
            <w:tcW w:w="2376" w:type="dxa"/>
          </w:tcPr>
          <w:p w14:paraId="5DA0448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Your question, against a measured imbalance</w:t>
            </w:r>
          </w:p>
        </w:tc>
        <w:tc>
          <w:tcPr>
            <w:tcW w:w="2376" w:type="dxa"/>
          </w:tcPr>
          <w:p w14:paraId="6872BC66"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 and usually finds nothing</w:t>
            </w:r>
          </w:p>
        </w:tc>
        <w:tc>
          <w:tcPr>
            <w:tcW w:w="2376" w:type="dxa"/>
          </w:tcPr>
          <w:p w14:paraId="14B27378"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Is there a real fork here — a source imbalance, or a mismatch between the period you asked about and the years the books were published — that would change what evidence gets assembled? If so, ask the </w:t>
            </w:r>
            <w:r>
              <w:rPr>
                <w:sz w:val="18"/>
              </w:rPr>
              <w:lastRenderedPageBreak/>
              <w:t>analyst. If not, do not.</w:t>
            </w:r>
          </w:p>
        </w:tc>
      </w:tr>
      <w:tr w:rsidR="00970438" w14:paraId="1844B60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E6EEB01" w14:textId="77777777" w:rsidR="00970438" w:rsidRDefault="00000000">
            <w:pPr>
              <w:spacing w:after="40"/>
            </w:pPr>
            <w:r>
              <w:rPr>
                <w:sz w:val="18"/>
              </w:rPr>
              <w:lastRenderedPageBreak/>
              <w:t>10. Retrieval</w:t>
            </w:r>
          </w:p>
        </w:tc>
        <w:tc>
          <w:tcPr>
            <w:tcW w:w="2376" w:type="dxa"/>
          </w:tcPr>
          <w:p w14:paraId="103A6A72"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The library, through ten deterministic tools</w:t>
            </w:r>
          </w:p>
        </w:tc>
        <w:tc>
          <w:tcPr>
            <w:tcW w:w="2376" w:type="dxa"/>
          </w:tcPr>
          <w:p w14:paraId="2C124C2A"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Many turns, bounded</w:t>
            </w:r>
          </w:p>
        </w:tc>
        <w:tc>
          <w:tcPr>
            <w:tcW w:w="2376" w:type="dxa"/>
          </w:tcPr>
          <w:p w14:paraId="5500BC4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Which passages bear on this? The model proposes one query at a time and is told back only what the evidence set now holds and which books it spans.</w:t>
            </w:r>
          </w:p>
        </w:tc>
      </w:tr>
      <w:tr w:rsidR="00970438" w14:paraId="0E9729CE"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F082581" w14:textId="77777777" w:rsidR="00970438" w:rsidRDefault="00000000">
            <w:pPr>
              <w:spacing w:after="40"/>
            </w:pPr>
            <w:r>
              <w:rPr>
                <w:sz w:val="18"/>
              </w:rPr>
              <w:t xml:space="preserve">11. The door </w:t>
            </w:r>
            <w:r>
              <w:rPr>
                <w:i/>
                <w:sz w:val="18"/>
              </w:rPr>
              <w:t>(optional map path)</w:t>
            </w:r>
          </w:p>
        </w:tc>
        <w:tc>
          <w:tcPr>
            <w:tcW w:w="2376" w:type="dxa"/>
          </w:tcPr>
          <w:p w14:paraId="16937C1D"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Your question alone, </w:t>
            </w:r>
            <w:r>
              <w:rPr>
                <w:b/>
                <w:sz w:val="18"/>
              </w:rPr>
              <w:t>before anything shows it the corpus</w:t>
            </w:r>
          </w:p>
        </w:tc>
        <w:tc>
          <w:tcPr>
            <w:tcW w:w="2376" w:type="dxa"/>
          </w:tcPr>
          <w:p w14:paraId="330D2B7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w:t>
            </w:r>
          </w:p>
        </w:tc>
        <w:tc>
          <w:tcPr>
            <w:tcW w:w="2376" w:type="dxa"/>
          </w:tcPr>
          <w:p w14:paraId="1B4A5B2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"Say what arguments this question is actually about. Write each one as a standalone sentence that a scholar could assert and another could deny… </w:t>
            </w:r>
            <w:r>
              <w:rPr>
                <w:b/>
                <w:sz w:val="18"/>
              </w:rPr>
              <w:t>Name no authors and no books.</w:t>
            </w:r>
            <w:r>
              <w:rPr>
                <w:sz w:val="18"/>
              </w:rPr>
              <w:t xml:space="preserve"> Do not hedge and do not balance. Each account gets its strongest statement, </w:t>
            </w:r>
            <w:r>
              <w:rPr>
                <w:b/>
                <w:sz w:val="18"/>
              </w:rPr>
              <w:t>including the one the question may end up rejecting</w:t>
            </w:r>
            <w:r>
              <w:rPr>
                <w:sz w:val="18"/>
              </w:rPr>
              <w:t>."</w:t>
            </w:r>
          </w:p>
        </w:tc>
      </w:tr>
      <w:tr w:rsidR="00970438" w14:paraId="4CD7B2A9"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582B8060" w14:textId="77777777" w:rsidR="00970438" w:rsidRDefault="00000000">
            <w:pPr>
              <w:spacing w:after="40"/>
            </w:pPr>
            <w:r>
              <w:rPr>
                <w:sz w:val="18"/>
              </w:rPr>
              <w:t>12. Synthesis</w:t>
            </w:r>
          </w:p>
        </w:tc>
        <w:tc>
          <w:tcPr>
            <w:tcW w:w="2376" w:type="dxa"/>
          </w:tcPr>
          <w:p w14:paraId="17E8DA1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The assembled evidence</w:t>
            </w:r>
          </w:p>
        </w:tc>
        <w:tc>
          <w:tcPr>
            <w:tcW w:w="2376" w:type="dxa"/>
          </w:tcPr>
          <w:p w14:paraId="5B035775"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w:t>
            </w:r>
          </w:p>
        </w:tc>
        <w:tc>
          <w:tcPr>
            <w:tcW w:w="2376" w:type="dxa"/>
          </w:tcPr>
          <w:p w14:paraId="2A3EF8B3"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"Answer this question, using the evidence below as your grounds… Where this question asks you to choose between positions, </w:t>
            </w:r>
            <w:r>
              <w:rPr>
                <w:b/>
                <w:sz w:val="18"/>
              </w:rPr>
              <w:t>your answer must commit to one of them and defend it</w:t>
            </w:r>
            <w:r>
              <w:rPr>
                <w:sz w:val="18"/>
              </w:rPr>
              <w:t xml:space="preserve">, rather than surveying the positions without settling anything. </w:t>
            </w:r>
            <w:r>
              <w:rPr>
                <w:b/>
                <w:sz w:val="18"/>
              </w:rPr>
              <w:t>At least one claim must also state plainly where the account you commit to is weak or fails.</w:t>
            </w:r>
            <w:r>
              <w:rPr>
                <w:sz w:val="18"/>
              </w:rPr>
              <w:t>" Every claim is marked (a), (b) or (c) and carries its grounds.</w:t>
            </w:r>
          </w:p>
        </w:tc>
      </w:tr>
      <w:tr w:rsidR="00970438" w14:paraId="6982D357"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9EDC9C0" w14:textId="77777777" w:rsidR="00970438" w:rsidRDefault="00000000">
            <w:pPr>
              <w:spacing w:after="40"/>
            </w:pPr>
            <w:r>
              <w:rPr>
                <w:sz w:val="18"/>
              </w:rPr>
              <w:t>13. Counter-position</w:t>
            </w:r>
          </w:p>
        </w:tc>
        <w:tc>
          <w:tcPr>
            <w:tcW w:w="2376" w:type="dxa"/>
          </w:tcPr>
          <w:p w14:paraId="026181C0"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The same evidence, when the question is contested</w:t>
            </w:r>
          </w:p>
        </w:tc>
        <w:tc>
          <w:tcPr>
            <w:tcW w:w="2376" w:type="dxa"/>
          </w:tcPr>
          <w:p w14:paraId="71BB62A9"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w:t>
            </w:r>
          </w:p>
        </w:tc>
        <w:tc>
          <w:tcPr>
            <w:tcW w:w="2376" w:type="dxa"/>
          </w:tcPr>
          <w:p w14:paraId="3CC4EB47"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"State the </w:t>
            </w:r>
            <w:r>
              <w:rPr>
                <w:b/>
                <w:sz w:val="18"/>
              </w:rPr>
              <w:t>strongest</w:t>
            </w:r>
            <w:r>
              <w:rPr>
                <w:sz w:val="18"/>
              </w:rPr>
              <w:t xml:space="preserve"> opposing position the corpus itself supports, or say plainly that it does not — </w:t>
            </w:r>
            <w:r>
              <w:rPr>
                <w:b/>
                <w:sz w:val="18"/>
              </w:rPr>
              <w:t>never to invent one</w:t>
            </w:r>
            <w:r>
              <w:rPr>
                <w:sz w:val="18"/>
              </w:rPr>
              <w:t>."</w:t>
            </w:r>
          </w:p>
        </w:tc>
      </w:tr>
    </w:tbl>
    <w:p w14:paraId="5AF2948F" w14:textId="77777777" w:rsidR="00970438" w:rsidRDefault="00970438"/>
    <w:p w14:paraId="273A17A1" w14:textId="77777777" w:rsidR="00970438" w:rsidRDefault="00000000" w:rsidP="009C625C">
      <w:pPr>
        <w:jc w:val="both"/>
      </w:pPr>
      <w:r>
        <w:t>The synthesis instruction forbids the failure mode a careful assistant defaults to. A model asked to weigh two accounts will usually produce a balanced summary in which both have a point, because that is the safest-sounding output. Axial requires a verdict, and then requires the verdict's own weakness to be stated as a claim in its own right.</w:t>
      </w:r>
    </w:p>
    <w:p w14:paraId="46DF7F90" w14:textId="77777777" w:rsidR="009C625C" w:rsidRDefault="009C625C" w:rsidP="009C625C">
      <w:pPr>
        <w:jc w:val="both"/>
      </w:pPr>
    </w:p>
    <w:p w14:paraId="7AA9419E" w14:textId="77777777" w:rsidR="00970438" w:rsidRDefault="00000000">
      <w:pPr>
        <w:pStyle w:val="Heading3"/>
      </w:pPr>
      <w:bookmarkStart w:id="65" w:name="_Toc236945289"/>
      <w:r>
        <w:lastRenderedPageBreak/>
        <w:t>F.3 Writing the paper</w:t>
      </w:r>
      <w:bookmarkEnd w:id="65"/>
    </w:p>
    <w:tbl>
      <w:tblPr>
        <w:tblStyle w:val="LightGrid-Accent1"/>
        <w:tblW w:w="0" w:type="auto"/>
        <w:tblLook w:val="04A0" w:firstRow="1" w:lastRow="0" w:firstColumn="1" w:lastColumn="0" w:noHBand="0" w:noVBand="1"/>
      </w:tblPr>
      <w:tblGrid>
        <w:gridCol w:w="2376"/>
        <w:gridCol w:w="2376"/>
        <w:gridCol w:w="2376"/>
        <w:gridCol w:w="2376"/>
      </w:tblGrid>
      <w:tr w:rsidR="00970438" w14:paraId="3C1F3794" w14:textId="77777777" w:rsidTr="009704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A474B33" w14:textId="77777777" w:rsidR="00970438" w:rsidRDefault="00970438">
            <w:pPr>
              <w:spacing w:after="40"/>
            </w:pPr>
          </w:p>
        </w:tc>
        <w:tc>
          <w:tcPr>
            <w:tcW w:w="2376" w:type="dxa"/>
          </w:tcPr>
          <w:p w14:paraId="2C1CC6A9"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Asked of</w:t>
            </w:r>
          </w:p>
        </w:tc>
        <w:tc>
          <w:tcPr>
            <w:tcW w:w="2376" w:type="dxa"/>
          </w:tcPr>
          <w:p w14:paraId="66FE00C8"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How often</w:t>
            </w:r>
          </w:p>
        </w:tc>
        <w:tc>
          <w:tcPr>
            <w:tcW w:w="2376" w:type="dxa"/>
          </w:tcPr>
          <w:p w14:paraId="3970EC1F" w14:textId="77777777" w:rsidR="00970438" w:rsidRDefault="00000000">
            <w:pPr>
              <w:spacing w:after="40"/>
              <w:cnfStyle w:val="100000000000" w:firstRow="1" w:lastRow="0" w:firstColumn="0" w:lastColumn="0" w:oddVBand="0" w:evenVBand="0" w:oddHBand="0" w:evenHBand="0" w:firstRowFirstColumn="0" w:firstRowLastColumn="0" w:lastRowFirstColumn="0" w:lastRowLastColumn="0"/>
            </w:pPr>
            <w:r>
              <w:rPr>
                <w:sz w:val="18"/>
              </w:rPr>
              <w:t>The question</w:t>
            </w:r>
          </w:p>
        </w:tc>
      </w:tr>
      <w:tr w:rsidR="00970438" w14:paraId="70955B57"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4A40C33" w14:textId="77777777" w:rsidR="00970438" w:rsidRDefault="00000000">
            <w:pPr>
              <w:spacing w:after="40"/>
            </w:pPr>
            <w:r>
              <w:rPr>
                <w:sz w:val="18"/>
              </w:rPr>
              <w:t>14. Arc plan</w:t>
            </w:r>
          </w:p>
        </w:tc>
        <w:tc>
          <w:tcPr>
            <w:tcW w:w="2376" w:type="dxa"/>
          </w:tcPr>
          <w:p w14:paraId="7474B56D"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The inventory of claims that survived</w:t>
            </w:r>
          </w:p>
        </w:tc>
        <w:tc>
          <w:tcPr>
            <w:tcW w:w="2376" w:type="dxa"/>
          </w:tcPr>
          <w:p w14:paraId="3C60F994"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w:t>
            </w:r>
          </w:p>
        </w:tc>
        <w:tc>
          <w:tcPr>
            <w:tcW w:w="2376" w:type="dxa"/>
          </w:tcPr>
          <w:p w14:paraId="6F537AA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 xml:space="preserve">"Plan an arc. Order the sections so each earns the next, and assign each claim to the section that uses it… </w:t>
            </w:r>
            <w:r>
              <w:rPr>
                <w:b/>
                <w:sz w:val="18"/>
              </w:rPr>
              <w:t>At least one section must state the opposing position at its strongest</w:t>
            </w:r>
            <w:r>
              <w:rPr>
                <w:sz w:val="18"/>
              </w:rPr>
              <w:t>, unless the records themselves report the corpus is one-sided. A paper that quietly drops the side it disagrees with is the failure this pass most needs to avoid."</w:t>
            </w:r>
          </w:p>
        </w:tc>
      </w:tr>
      <w:tr w:rsidR="00970438" w14:paraId="23EFEF92" w14:textId="77777777" w:rsidTr="009704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CDE106B" w14:textId="77777777" w:rsidR="00970438" w:rsidRDefault="00000000">
            <w:pPr>
              <w:spacing w:after="40"/>
            </w:pPr>
            <w:r>
              <w:rPr>
                <w:sz w:val="18"/>
              </w:rPr>
              <w:t>15. Drafting</w:t>
            </w:r>
          </w:p>
        </w:tc>
        <w:tc>
          <w:tcPr>
            <w:tcW w:w="2376" w:type="dxa"/>
          </w:tcPr>
          <w:p w14:paraId="5E289D6E"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One section's assigned claims</w:t>
            </w:r>
          </w:p>
        </w:tc>
        <w:tc>
          <w:tcPr>
            <w:tcW w:w="2376" w:type="dxa"/>
          </w:tcPr>
          <w:p w14:paraId="572C6684"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Once per section</w:t>
            </w:r>
          </w:p>
        </w:tc>
        <w:tc>
          <w:tcPr>
            <w:tcW w:w="2376" w:type="dxa"/>
          </w:tcPr>
          <w:p w14:paraId="5D65C2D3" w14:textId="77777777" w:rsidR="00970438" w:rsidRDefault="00000000">
            <w:pPr>
              <w:spacing w:after="40"/>
              <w:cnfStyle w:val="000000010000" w:firstRow="0" w:lastRow="0" w:firstColumn="0" w:lastColumn="0" w:oddVBand="0" w:evenVBand="0" w:oddHBand="0" w:evenHBand="1" w:firstRowFirstColumn="0" w:firstRowLastColumn="0" w:lastRowFirstColumn="0" w:lastRowLastColumn="0"/>
            </w:pPr>
            <w:r>
              <w:rPr>
                <w:sz w:val="18"/>
              </w:rPr>
              <w:t xml:space="preserve">"Write ONE section of a paper. </w:t>
            </w:r>
            <w:r>
              <w:rPr>
                <w:b/>
                <w:sz w:val="18"/>
              </w:rPr>
              <w:t>You have no tools, no retrieval, and no access to any source: the claims below are the whole world</w:t>
            </w:r>
            <w:r>
              <w:rPr>
                <w:sz w:val="18"/>
              </w:rPr>
              <w:t>, and you may not assert anything that is not traceable to one of them."</w:t>
            </w:r>
          </w:p>
        </w:tc>
      </w:tr>
      <w:tr w:rsidR="00970438" w14:paraId="20A3CA4E" w14:textId="77777777" w:rsidTr="009704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6C6827D" w14:textId="77777777" w:rsidR="00970438" w:rsidRDefault="00000000">
            <w:pPr>
              <w:spacing w:after="40"/>
            </w:pPr>
            <w:r>
              <w:rPr>
                <w:sz w:val="18"/>
              </w:rPr>
              <w:t>16. Shape check</w:t>
            </w:r>
          </w:p>
        </w:tc>
        <w:tc>
          <w:tcPr>
            <w:tcW w:w="2376" w:type="dxa"/>
          </w:tcPr>
          <w:p w14:paraId="4888D611"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The finished paper</w:t>
            </w:r>
          </w:p>
        </w:tc>
        <w:tc>
          <w:tcPr>
            <w:tcW w:w="2376" w:type="dxa"/>
          </w:tcPr>
          <w:p w14:paraId="44893027"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Once</w:t>
            </w:r>
          </w:p>
        </w:tc>
        <w:tc>
          <w:tcPr>
            <w:tcW w:w="2376" w:type="dxa"/>
          </w:tcPr>
          <w:p w14:paraId="5E092A2C" w14:textId="77777777" w:rsidR="00970438" w:rsidRDefault="00000000">
            <w:pPr>
              <w:spacing w:after="40"/>
              <w:cnfStyle w:val="000000100000" w:firstRow="0" w:lastRow="0" w:firstColumn="0" w:lastColumn="0" w:oddVBand="0" w:evenVBand="0" w:oddHBand="1" w:evenHBand="0" w:firstRowFirstColumn="0" w:firstRowLastColumn="0" w:lastRowFirstColumn="0" w:lastRowLastColumn="0"/>
            </w:pPr>
            <w:r>
              <w:rPr>
                <w:sz w:val="18"/>
              </w:rPr>
              <w:t>Does this read as an argument or as a list? Reported, never blocking.</w:t>
            </w:r>
          </w:p>
        </w:tc>
      </w:tr>
    </w:tbl>
    <w:p w14:paraId="4694D087" w14:textId="77777777" w:rsidR="00970438" w:rsidRDefault="00970438"/>
    <w:p w14:paraId="56109BBD" w14:textId="77777777" w:rsidR="00970438" w:rsidRDefault="00000000">
      <w:pPr>
        <w:pStyle w:val="Heading3"/>
      </w:pPr>
      <w:bookmarkStart w:id="66" w:name="_Toc236945290"/>
      <w:r>
        <w:t>F.4 The judges, which sit outside the pipeline</w:t>
      </w:r>
      <w:bookmarkEnd w:id="66"/>
    </w:p>
    <w:p w14:paraId="5633938D" w14:textId="77777777" w:rsidR="00970438" w:rsidRDefault="00000000" w:rsidP="009C625C">
      <w:pPr>
        <w:jc w:val="both"/>
      </w:pPr>
      <w:r>
        <w:t xml:space="preserve">Five bounded checks — does a cited passage support its claim, is an inference contradicted by its own evidence, is the opposing case stated at its strongest (a </w:t>
      </w:r>
      <w:r>
        <w:rPr>
          <w:i/>
        </w:rPr>
        <w:t>steelman</w:t>
      </w:r>
      <w:r>
        <w:t xml:space="preserve">) or knocked down in a weakened form nobody actually holds (a </w:t>
      </w:r>
      <w:r>
        <w:rPr>
          <w:i/>
        </w:rPr>
        <w:t>strawman</w:t>
      </w:r>
      <w:r>
        <w:t>), did the pre-pass catch the planted premise, did the answer do something the case declares disqualifying — plus the sealed review panel.</w:t>
      </w:r>
    </w:p>
    <w:p w14:paraId="13B065A9" w14:textId="77777777" w:rsidR="00970438" w:rsidRDefault="00000000" w:rsidP="009C625C">
      <w:pPr>
        <w:jc w:val="both"/>
      </w:pPr>
      <w:r>
        <w:rPr>
          <w:b/>
        </w:rPr>
        <w:t>None of them may be run by the model that produced the thing being judged.</w:t>
      </w:r>
      <w:r>
        <w:t xml:space="preserve"> The guard raises before the call is made, not after. The panel goes further and requires a different training lab, because a family-mate's agreement is weak evidence.</w:t>
      </w:r>
    </w:p>
    <w:p w14:paraId="0D7B3DB1" w14:textId="77777777" w:rsidR="00D06213" w:rsidRPr="00D06213" w:rsidRDefault="00D06213" w:rsidP="009C625C">
      <w:pPr>
        <w:jc w:val="both"/>
        <w:rPr>
          <w:rFonts w:cs="Calibri"/>
          <w:color w:val="000000"/>
        </w:rPr>
      </w:pPr>
      <w:r w:rsidRPr="00D06213">
        <w:rPr>
          <w:rFonts w:cs="Calibri"/>
          <w:color w:val="000000"/>
        </w:rPr>
        <w:br w:type="page"/>
      </w:r>
    </w:p>
    <w:p w14:paraId="7138CB46" w14:textId="2780A65E" w:rsidR="00970438" w:rsidRDefault="00000000" w:rsidP="009C625C">
      <w:pPr>
        <w:pStyle w:val="Heading2"/>
        <w:jc w:val="both"/>
      </w:pPr>
      <w:bookmarkStart w:id="67" w:name="_Toc236945291"/>
      <w:r>
        <w:lastRenderedPageBreak/>
        <w:t>Appendix G — Glossary</w:t>
      </w:r>
      <w:bookmarkEnd w:id="67"/>
    </w:p>
    <w:p w14:paraId="2ADB3631" w14:textId="77777777" w:rsidR="00970438" w:rsidRDefault="00000000" w:rsidP="009C625C">
      <w:pPr>
        <w:jc w:val="both"/>
      </w:pPr>
      <w:r>
        <w:rPr>
          <w:b/>
        </w:rPr>
        <w:t>Passage.</w:t>
      </w:r>
      <w:r>
        <w:t xml:space="preserve"> The unit Axial reads: a few paragraphs cut along the author's own boundaries, 3,500 to 9,000 characters. One to four printed pages.</w:t>
      </w:r>
    </w:p>
    <w:p w14:paraId="36BAAFB9" w14:textId="77777777" w:rsidR="00970438" w:rsidRDefault="00000000" w:rsidP="009C625C">
      <w:pPr>
        <w:jc w:val="both"/>
      </w:pPr>
      <w:r>
        <w:rPr>
          <w:b/>
        </w:rPr>
        <w:t>Name page.</w:t>
      </w:r>
      <w:r>
        <w:t xml:space="preserve"> A page for every named thing any passage mentions, listing the passages that mention it. 47,584 of them in the current library.</w:t>
      </w:r>
    </w:p>
    <w:p w14:paraId="32F40F58" w14:textId="77777777" w:rsidR="00970438" w:rsidRDefault="00000000" w:rsidP="009C625C">
      <w:pPr>
        <w:jc w:val="both"/>
      </w:pPr>
      <w:r>
        <w:rPr>
          <w:b/>
        </w:rPr>
        <w:t>Position.</w:t>
      </w:r>
      <w:r>
        <w:t xml:space="preserve"> A group of passages that make the same argument, found once and offline by reading each group in full. 1,937 in the current library.</w:t>
      </w:r>
    </w:p>
    <w:p w14:paraId="57FD7337" w14:textId="77777777" w:rsidR="00970438" w:rsidRDefault="00000000" w:rsidP="009C625C">
      <w:pPr>
        <w:jc w:val="both"/>
      </w:pPr>
      <w:r>
        <w:rPr>
          <w:b/>
        </w:rPr>
        <w:t>Relation.</w:t>
      </w:r>
      <w:r>
        <w:t xml:space="preserve"> A stated link between two positions — supports, qualifies, contradicts, and 501 other labels the model coined itself. 1,472 in the current library, 328 of them connecting positions with no author in common.</w:t>
      </w:r>
    </w:p>
    <w:p w14:paraId="3139F36D" w14:textId="77777777" w:rsidR="00970438" w:rsidRDefault="00000000" w:rsidP="009C625C">
      <w:pPr>
        <w:jc w:val="both"/>
      </w:pPr>
      <w:r>
        <w:rPr>
          <w:b/>
        </w:rPr>
        <w:t>Brief.</w:t>
      </w:r>
      <w:r>
        <w:t xml:space="preserve"> A question put to Axial: a case and a request. Optionally a lens and source weights.</w:t>
      </w:r>
    </w:p>
    <w:p w14:paraId="173C6C66" w14:textId="77777777" w:rsidR="00970438" w:rsidRDefault="00000000" w:rsidP="009C625C">
      <w:pPr>
        <w:jc w:val="both"/>
      </w:pPr>
      <w:r>
        <w:rPr>
          <w:b/>
        </w:rPr>
        <w:t>Disposition.</w:t>
      </w:r>
      <w:r>
        <w:t xml:space="preserve"> What Axial decided to do with a brief: proceed, proceed with stated bounds, or refuse. A refusal is a completed run.</w:t>
      </w:r>
    </w:p>
    <w:p w14:paraId="041749B1" w14:textId="77777777" w:rsidR="00970438" w:rsidRDefault="00000000" w:rsidP="009C625C">
      <w:pPr>
        <w:jc w:val="both"/>
      </w:pPr>
      <w:r>
        <w:rPr>
          <w:b/>
        </w:rPr>
        <w:t>The three kinds.</w:t>
      </w:r>
      <w:r>
        <w:t xml:space="preserve"> Every assertion is marked as exactly one: </w:t>
      </w:r>
      <w:r>
        <w:rPr>
          <w:b/>
        </w:rPr>
        <w:t>(a)</w:t>
      </w:r>
      <w:r>
        <w:t xml:space="preserve"> a source says it, </w:t>
      </w:r>
      <w:r>
        <w:rPr>
          <w:b/>
        </w:rPr>
        <w:t>(b)</w:t>
      </w:r>
      <w:r>
        <w:t xml:space="preserve"> Axial inferred it across sources, </w:t>
      </w:r>
      <w:r>
        <w:rPr>
          <w:b/>
        </w:rPr>
        <w:t>(c)</w:t>
      </w:r>
      <w:r>
        <w:t xml:space="preserve"> the analyst's judgment running past what the corpus grounds.</w:t>
      </w:r>
    </w:p>
    <w:p w14:paraId="0C72CD77" w14:textId="77777777" w:rsidR="00970438" w:rsidRDefault="00000000" w:rsidP="009C625C">
      <w:pPr>
        <w:jc w:val="both"/>
      </w:pPr>
      <w:r>
        <w:rPr>
          <w:b/>
        </w:rPr>
        <w:t>Grounds.</w:t>
      </w:r>
      <w:r>
        <w:t xml:space="preserve"> The passages behind a claim. Every (a) and (b) claim carries them, and every one must resolve or the claim fails a hard gate.</w:t>
      </w:r>
    </w:p>
    <w:p w14:paraId="2B41109E" w14:textId="77777777" w:rsidR="00970438" w:rsidRDefault="00000000" w:rsidP="009C625C">
      <w:pPr>
        <w:jc w:val="both"/>
      </w:pPr>
      <w:r>
        <w:rPr>
          <w:b/>
        </w:rPr>
        <w:t>Counter-position.</w:t>
      </w:r>
      <w:r>
        <w:t xml:space="preserve"> The opposing case, stated at its strongest from corpus grounds. Mandatory on a contested question, or the one-sidedness must be explicitly disclosed and attributed to the library.</w:t>
      </w:r>
    </w:p>
    <w:p w14:paraId="7A2754B0" w14:textId="77777777" w:rsidR="00970438" w:rsidRDefault="00000000" w:rsidP="009C625C">
      <w:pPr>
        <w:jc w:val="both"/>
      </w:pPr>
      <w:r>
        <w:rPr>
          <w:b/>
        </w:rPr>
        <w:t>Coverage map.</w:t>
      </w:r>
      <w:r>
        <w:t xml:space="preserve"> Per name, how many passages the library actually holds and how many claims the answer hung on it. The input to the confidence cap.</w:t>
      </w:r>
    </w:p>
    <w:p w14:paraId="51E8D53A" w14:textId="77777777" w:rsidR="00970438" w:rsidRDefault="00000000" w:rsidP="009C625C">
      <w:pPr>
        <w:jc w:val="both"/>
      </w:pPr>
      <w:r>
        <w:rPr>
          <w:b/>
        </w:rPr>
        <w:t>Confidence band.</w:t>
      </w:r>
      <w:r>
        <w:t xml:space="preserve"> High, medium or low. Capped by the least-covered name the output relies on, and never raisable by the writing model.</w:t>
      </w:r>
    </w:p>
    <w:p w14:paraId="6C49047C" w14:textId="1BC035BD" w:rsidR="00970438" w:rsidRDefault="00000000" w:rsidP="009C625C">
      <w:pPr>
        <w:jc w:val="both"/>
      </w:pPr>
      <w:r>
        <w:rPr>
          <w:b/>
        </w:rPr>
        <w:t>Tag (retired).</w:t>
      </w:r>
      <w:r>
        <w:t xml:space="preserve"> A label from a closed list, attached to a passage. Axial's first version used five such lists and they were measured and abandoned (</w:t>
      </w:r>
      <w:hyperlink w:anchor="sec4" w:history="1">
        <w:r w:rsidRPr="00D06213">
          <w:rPr>
            <w:rStyle w:val="Hyperlink"/>
          </w:rPr>
          <w:t>section 4</w:t>
        </w:r>
      </w:hyperlink>
      <w:r>
        <w:t xml:space="preserve">). They survive only as </w:t>
      </w:r>
      <w:r>
        <w:rPr>
          <w:i/>
        </w:rPr>
        <w:t>examples</w:t>
      </w:r>
      <w:r>
        <w:t>, shown after the free answer and never checked against it.</w:t>
      </w:r>
    </w:p>
    <w:p w14:paraId="483DF0E6" w14:textId="77777777" w:rsidR="00970438" w:rsidRDefault="00000000" w:rsidP="009C625C">
      <w:pPr>
        <w:jc w:val="both"/>
      </w:pPr>
      <w:r>
        <w:rPr>
          <w:b/>
        </w:rPr>
        <w:t>Blind pass.</w:t>
      </w:r>
      <w:r>
        <w:t xml:space="preserve"> A model call deliberately denied information it would otherwise use. Position extraction and relation-finding never see the author of a passage, so a count of how often the map joins different books measures the corpus rather than the model's sense of who ought to argue.</w:t>
      </w:r>
    </w:p>
    <w:p w14:paraId="0B4F781B" w14:textId="77777777" w:rsidR="00970438" w:rsidRDefault="00000000" w:rsidP="009C625C">
      <w:pPr>
        <w:jc w:val="both"/>
      </w:pPr>
      <w:r>
        <w:rPr>
          <w:b/>
        </w:rPr>
        <w:t>Corpus pin.</w:t>
      </w:r>
      <w:r>
        <w:t xml:space="preserve"> A content hash of the raw sources. Two outputs are comparable only if they were produced at the same pin.</w:t>
      </w:r>
    </w:p>
    <w:p w14:paraId="02BF6167" w14:textId="77777777" w:rsidR="00970438" w:rsidRDefault="00000000" w:rsidP="009C625C">
      <w:pPr>
        <w:jc w:val="both"/>
      </w:pPr>
      <w:r>
        <w:rPr>
          <w:b/>
        </w:rPr>
        <w:t>Gate.</w:t>
      </w:r>
      <w:r>
        <w:t xml:space="preserve"> A blocking check the model cannot reach. Distinct from a </w:t>
      </w:r>
      <w:r>
        <w:rPr>
          <w:i/>
        </w:rPr>
        <w:t>measurement</w:t>
      </w:r>
      <w:r>
        <w:t>, which is reported and blocks nothing.</w:t>
      </w:r>
    </w:p>
    <w:p w14:paraId="03086BBD" w14:textId="77777777" w:rsidR="00970438" w:rsidRDefault="00000000" w:rsidP="009C625C">
      <w:pPr>
        <w:jc w:val="both"/>
      </w:pPr>
      <w:r>
        <w:rPr>
          <w:b/>
        </w:rPr>
        <w:t>Sealed packet.</w:t>
      </w:r>
      <w:r>
        <w:t xml:space="preserve"> What a reviewer sees: the paper, the resolved text of every passage it cites, the bibliography, and nothing else.</w:t>
      </w:r>
    </w:p>
    <w:p w14:paraId="7519D16E" w14:textId="77777777" w:rsidR="00970438" w:rsidRDefault="00000000" w:rsidP="009C625C">
      <w:pPr>
        <w:jc w:val="both"/>
      </w:pPr>
      <w:r>
        <w:rPr>
          <w:b/>
        </w:rPr>
        <w:t>Positive control.</w:t>
      </w:r>
      <w:r>
        <w:t xml:space="preserve"> A copy of a real paper with three known defects planted in it, used to prove the reviewers are still reading before any of their verdicts are trusted.</w:t>
      </w:r>
    </w:p>
    <w:sectPr w:rsidR="00970438" w:rsidSect="00D06213">
      <w:headerReference w:type="even" r:id="rId10"/>
      <w:headerReference w:type="default" r:id="rId11"/>
      <w:footerReference w:type="even" r:id="rId12"/>
      <w:footerReference w:type="default" r:id="rId13"/>
      <w:headerReference w:type="first" r:id="rId14"/>
      <w:footerReference w:type="first" r:id="rId15"/>
      <w:pgSz w:w="12240" w:h="15840"/>
      <w:pgMar w:top="1296" w:right="1368" w:bottom="1296" w:left="13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7B95" w14:textId="77777777" w:rsidR="00543238" w:rsidRDefault="00543238" w:rsidP="00D06213">
      <w:pPr>
        <w:spacing w:after="0" w:line="240" w:lineRule="auto"/>
      </w:pPr>
      <w:r>
        <w:separator/>
      </w:r>
    </w:p>
  </w:endnote>
  <w:endnote w:type="continuationSeparator" w:id="0">
    <w:p w14:paraId="2D6F71C9" w14:textId="77777777" w:rsidR="00543238" w:rsidRDefault="00543238" w:rsidP="00D06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04836" w14:textId="77777777" w:rsidR="00D06213" w:rsidRDefault="00D062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79746" w14:textId="14A6066E" w:rsidR="00D06213" w:rsidRPr="00D06213" w:rsidRDefault="00D06213" w:rsidP="00D06213">
    <w:pPr>
      <w:pStyle w:val="Footer"/>
      <w:jc w:val="center"/>
      <w:rPr>
        <w:rFonts w:cs="Calibri"/>
        <w:color w:val="6B7280"/>
        <w:sz w:val="18"/>
      </w:rPr>
    </w:pPr>
    <w:r w:rsidRPr="00D06213">
      <w:rPr>
        <w:rFonts w:cs="Calibri"/>
        <w:color w:val="6B7280"/>
        <w:sz w:val="18"/>
      </w:rPr>
      <w:t xml:space="preserve">Page </w:t>
    </w:r>
    <w:r>
      <w:rPr>
        <w:rFonts w:cs="Calibri"/>
        <w:color w:val="6B7280"/>
        <w:sz w:val="18"/>
      </w:rPr>
      <w:fldChar w:fldCharType="begin"/>
    </w:r>
    <w:r>
      <w:rPr>
        <w:rFonts w:cs="Calibri"/>
        <w:color w:val="6B7280"/>
        <w:sz w:val="18"/>
      </w:rPr>
      <w:instrText xml:space="preserve"> PAGE  \* MERGEFORMAT </w:instrText>
    </w:r>
    <w:r>
      <w:rPr>
        <w:rFonts w:cs="Calibri"/>
        <w:color w:val="6B7280"/>
        <w:sz w:val="18"/>
      </w:rPr>
      <w:fldChar w:fldCharType="separate"/>
    </w:r>
    <w:r>
      <w:rPr>
        <w:rFonts w:cs="Calibri"/>
        <w:noProof/>
        <w:color w:val="6B7280"/>
        <w:sz w:val="18"/>
      </w:rPr>
      <w:t>61</w:t>
    </w:r>
    <w:r>
      <w:rPr>
        <w:rFonts w:cs="Calibri"/>
        <w:color w:val="6B7280"/>
        <w:sz w:val="18"/>
      </w:rPr>
      <w:fldChar w:fldCharType="end"/>
    </w:r>
  </w:p>
  <w:p w14:paraId="47100E0D" w14:textId="2C09669E" w:rsidR="00D06213" w:rsidRDefault="00D06213">
    <w:pPr>
      <w:pStyle w:val="Footer"/>
    </w:pPr>
    <w:r w:rsidRPr="00D06213">
      <w:rPr>
        <w:rFonts w:cs="Calibri"/>
        <w:color w:val="6B7280"/>
        <w:sz w:val="18"/>
      </w:rPr>
      <w:t xml:space="preserve"> of </w:t>
    </w:r>
    <w:r>
      <w:rPr>
        <w:rFonts w:cs="Calibri"/>
        <w:color w:val="6B7280"/>
        <w:sz w:val="18"/>
      </w:rPr>
      <w:fldChar w:fldCharType="begin"/>
    </w:r>
    <w:r>
      <w:rPr>
        <w:rFonts w:cs="Calibri"/>
        <w:color w:val="6B7280"/>
        <w:sz w:val="18"/>
      </w:rPr>
      <w:instrText xml:space="preserve"> NUMPAGES  \* MERGEFORMAT </w:instrText>
    </w:r>
    <w:r>
      <w:rPr>
        <w:rFonts w:cs="Calibri"/>
        <w:color w:val="6B7280"/>
        <w:sz w:val="18"/>
      </w:rPr>
      <w:fldChar w:fldCharType="separate"/>
    </w:r>
    <w:r>
      <w:rPr>
        <w:rFonts w:cs="Calibri"/>
        <w:noProof/>
        <w:color w:val="6B7280"/>
        <w:sz w:val="18"/>
      </w:rPr>
      <w:t>61</w:t>
    </w:r>
    <w:r>
      <w:rPr>
        <w:rFonts w:cs="Calibri"/>
        <w:color w:val="6B72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A7633" w14:textId="77777777" w:rsidR="00D06213" w:rsidRDefault="00D062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E8161" w14:textId="77777777" w:rsidR="00543238" w:rsidRDefault="00543238" w:rsidP="00D06213">
      <w:pPr>
        <w:spacing w:after="0" w:line="240" w:lineRule="auto"/>
      </w:pPr>
      <w:r>
        <w:separator/>
      </w:r>
    </w:p>
  </w:footnote>
  <w:footnote w:type="continuationSeparator" w:id="0">
    <w:p w14:paraId="123F5133" w14:textId="77777777" w:rsidR="00543238" w:rsidRDefault="00543238" w:rsidP="00D062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23956" w14:textId="77777777" w:rsidR="00D06213" w:rsidRDefault="00D062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4C6E8" w14:textId="77777777" w:rsidR="00D06213" w:rsidRPr="00D06213" w:rsidRDefault="00D06213" w:rsidP="00D06213">
    <w:pPr>
      <w:pStyle w:val="Header"/>
      <w:jc w:val="right"/>
      <w:rPr>
        <w:rFonts w:cs="Calibri"/>
        <w:color w:val="6B7280"/>
        <w:sz w:val="18"/>
      </w:rPr>
    </w:pPr>
    <w:r w:rsidRPr="00D06213">
      <w:rPr>
        <w:rFonts w:cs="Calibri"/>
        <w:color w:val="6B7280"/>
        <w:sz w:val="18"/>
      </w:rPr>
      <w:t>Axial — a research report</w:t>
    </w:r>
  </w:p>
  <w:p w14:paraId="33774CAF" w14:textId="6210ADB4" w:rsidR="00D06213" w:rsidRDefault="00D062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EF731" w14:textId="77777777" w:rsidR="00D06213" w:rsidRDefault="00D062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6400459">
    <w:abstractNumId w:val="8"/>
  </w:num>
  <w:num w:numId="2" w16cid:durableId="651712302">
    <w:abstractNumId w:val="6"/>
  </w:num>
  <w:num w:numId="3" w16cid:durableId="220675891">
    <w:abstractNumId w:val="5"/>
  </w:num>
  <w:num w:numId="4" w16cid:durableId="1143542548">
    <w:abstractNumId w:val="4"/>
  </w:num>
  <w:num w:numId="5" w16cid:durableId="936139177">
    <w:abstractNumId w:val="7"/>
  </w:num>
  <w:num w:numId="6" w16cid:durableId="1048339908">
    <w:abstractNumId w:val="3"/>
  </w:num>
  <w:num w:numId="7" w16cid:durableId="79328965">
    <w:abstractNumId w:val="2"/>
  </w:num>
  <w:num w:numId="8" w16cid:durableId="1264798223">
    <w:abstractNumId w:val="1"/>
  </w:num>
  <w:num w:numId="9" w16cid:durableId="181359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3238"/>
    <w:rsid w:val="00970438"/>
    <w:rsid w:val="00973B0A"/>
    <w:rsid w:val="00981408"/>
    <w:rsid w:val="009C625C"/>
    <w:rsid w:val="00AA1D8D"/>
    <w:rsid w:val="00B47730"/>
    <w:rsid w:val="00CB0664"/>
    <w:rsid w:val="00D062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1EB3"/>
  <w14:defaultImageDpi w14:val="300"/>
  <w15:docId w15:val="{8DA3CFE1-A8AD-4A04-A4A9-F32E069DC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Calibri" w:hAnsi="Calibri"/>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C8553D"/>
      <w:sz w:val="4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F2933"/>
      <w:sz w:val="3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F2933"/>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D06213"/>
    <w:pPr>
      <w:spacing w:after="100"/>
      <w:ind w:left="210"/>
    </w:pPr>
  </w:style>
  <w:style w:type="paragraph" w:styleId="TOC3">
    <w:name w:val="toc 3"/>
    <w:basedOn w:val="Normal"/>
    <w:next w:val="Normal"/>
    <w:autoRedefine/>
    <w:uiPriority w:val="39"/>
    <w:unhideWhenUsed/>
    <w:rsid w:val="00D06213"/>
    <w:pPr>
      <w:spacing w:after="100"/>
      <w:ind w:left="420"/>
    </w:pPr>
  </w:style>
  <w:style w:type="character" w:styleId="Hyperlink">
    <w:name w:val="Hyperlink"/>
    <w:basedOn w:val="DefaultParagraphFont"/>
    <w:uiPriority w:val="99"/>
    <w:unhideWhenUsed/>
    <w:rsid w:val="00D06213"/>
    <w:rPr>
      <w:color w:val="0000FF" w:themeColor="hyperlink"/>
      <w:u w:val="single"/>
    </w:rPr>
  </w:style>
  <w:style w:type="character" w:styleId="UnresolvedMention">
    <w:name w:val="Unresolved Mention"/>
    <w:basedOn w:val="DefaultParagraphFont"/>
    <w:uiPriority w:val="99"/>
    <w:semiHidden/>
    <w:unhideWhenUsed/>
    <w:rsid w:val="00D06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uhanad-husn/axial"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856CF-644E-4263-9F6D-AE34106D9BEB}">
  <we:reference id="wa200010453" version="1.0.0.1" store="en-US" storeType="OMEX"/>
  <we:alternateReferences>
    <we:reference id="WA200010453" version="1.0.0.1" store="" storeType="OMEX"/>
  </we:alternateReferences>
  <we:properties>
    <we:property name="claude.fileId" value="&quot;9c0c5fef-c1ab-4dc3-9c18-aa45f66fa63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65</Pages>
  <Words>27661</Words>
  <Characters>167906</Characters>
  <Application>Microsoft Office Word</Application>
  <DocSecurity>0</DocSecurity>
  <Lines>3731</Lines>
  <Paragraphs>1862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193705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Muhanad Abulhusn</cp:lastModifiedBy>
  <cp:revision>4</cp:revision>
  <cp:lastPrinted>2026-08-06T20:06:00Z</cp:lastPrinted>
  <dcterms:created xsi:type="dcterms:W3CDTF">2013-12-23T23:15:00Z</dcterms:created>
  <dcterms:modified xsi:type="dcterms:W3CDTF">2026-08-06T20:13:00Z</dcterms:modified>
  <cp:category/>
</cp:coreProperties>
</file>