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axial-logo.png"/>
                    <pic:cNvPicPr/>
                  </pic:nvPicPr>
                  <pic:blipFill>
                    <a:blip r:embed="rId9"/>
                    <a:stretch>
                      <a:fillRect/>
                    </a:stretch>
                  </pic:blipFill>
                  <pic:spPr>
                    <a:xfrm>
                      <a:off x="0" y="0"/>
                      <a:ext cx="1005840" cy="1005840"/>
                    </a:xfrm>
                    <a:prstGeom prst="rect"/>
                  </pic:spPr>
                </pic:pic>
              </a:graphicData>
            </a:graphic>
          </wp:inline>
        </w:drawing>
      </w:r>
    </w:p>
    <w:p>
      <w:pPr>
        <w:pStyle w:val="Heading1"/>
      </w:pPr>
      <w:r>
        <w:t>Axial — a report for the general reader</w:t>
      </w:r>
    </w:p>
    <w:p>
      <w:r>
        <w:rPr>
          <w:b/>
        </w:rPr>
        <w:t>What it is, how it was tested, and what the tests showed</w:t>
      </w:r>
    </w:p>
    <w:p>
      <w:r>
        <w:t>Version 1.0 · 1 August 2026 · Muhanad Abulhusn</w:t>
      </w:r>
    </w:p>
    <w:p>
      <w:pPr>
        <w:pStyle w:val="Heading2"/>
      </w:pPr>
      <w:r>
        <w:t>Contents</w:t>
      </w:r>
    </w:p>
    <w:p>
      <w:pPr>
        <w:pStyle w:val="ListBullet"/>
        <w:spacing w:after="60"/>
      </w:pPr>
      <w:r>
        <w:rPr>
          <w:color w:val="C8553D"/>
        </w:rPr>
        <w:t>Introduction</w:t>
      </w:r>
    </w:p>
    <w:p>
      <w:pPr>
        <w:pStyle w:val="ListBullet"/>
        <w:spacing w:after="60"/>
      </w:pPr>
      <w:r>
        <w:rPr>
          <w:color w:val="C8553D"/>
        </w:rPr>
        <w:t>Test Design and Evaluation Methodology</w:t>
      </w:r>
    </w:p>
    <w:p>
      <w:pPr>
        <w:pStyle w:val="ListBullet"/>
        <w:spacing w:after="60"/>
      </w:pPr>
      <w:r>
        <w:rPr>
          <w:color w:val="C8553D"/>
        </w:rPr>
        <w:t>Sources</w:t>
      </w:r>
    </w:p>
    <w:p>
      <w:pPr>
        <w:pStyle w:val="ListBullet"/>
        <w:spacing w:after="60"/>
      </w:pPr>
      <w:r>
        <w:rPr>
          <w:color w:val="C8553D"/>
        </w:rPr>
        <w:t>Coverage of the Library</w:t>
      </w:r>
    </w:p>
    <w:p>
      <w:pPr>
        <w:pStyle w:val="ListBullet"/>
        <w:spacing w:after="60"/>
      </w:pPr>
      <w:r>
        <w:rPr>
          <w:color w:val="C8553D"/>
        </w:rPr>
        <w:t>Test Cases – Short Briefs</w:t>
      </w:r>
    </w:p>
    <w:p>
      <w:pPr>
        <w:pStyle w:val="ListBullet"/>
        <w:spacing w:after="60"/>
      </w:pPr>
      <w:r>
        <w:rPr>
          <w:color w:val="C8553D"/>
        </w:rPr>
        <w:t>Test Cases – Hard Briefs</w:t>
      </w:r>
    </w:p>
    <w:p>
      <w:pPr>
        <w:pStyle w:val="ListBullet"/>
        <w:spacing w:after="60"/>
      </w:pPr>
      <w:r>
        <w:rPr>
          <w:color w:val="C8553D"/>
        </w:rPr>
        <w:t>Final Note</w:t>
      </w:r>
    </w:p>
    <w:p>
      <w:pPr>
        <w:pStyle w:val="Heading2"/>
      </w:pPr>
      <w:r>
        <w:t>Introduction</w:t>
      </w:r>
    </w:p>
    <w:p>
      <w:r>
        <w:t>Axial reads a shelf of academic books and writes an encyclopaedia about them.</w:t>
      </w:r>
    </w:p>
    <w:p>
      <w:r>
        <w:t xml:space="preserve">Not a summary of each book. An encyclopaedia of what the books say to each other. The unit is not the volume and not the chapter but the </w:t>
      </w:r>
      <w:r>
        <w:rPr>
          <w:b/>
        </w:rPr>
        <w:t>passage</w:t>
      </w:r>
      <w:r>
        <w:t xml:space="preserve"> — a few paragraphs long, about the size of one complete move in an argument. Axial reads every passage in the library, one at a time, and writes down what that passage says. Then it builds a page for every name any passage mentions: every scholar, every country, every institution, every concept. A name's page lists the passages that mention it, and says what the authors gathered there disagree about.</w:t>
      </w:r>
    </w:p>
    <w:p>
      <w:r>
        <w:t>The result reads like a short book split into entries, each entry a little Wikipedia article — except that no human wrote them, and every sentence traces back to a passage in a real book.</w:t>
      </w:r>
    </w:p>
    <w:p>
      <w:pPr>
        <w:pStyle w:val="Heading3"/>
      </w:pPr>
      <w:r>
        <w:t>Why read passage by passage</w:t>
      </w:r>
    </w:p>
    <w:p>
      <w:r>
        <w:t xml:space="preserve">The obvious way to make a machine useful over a library is to let it search for keywords and then summarise whatever it finds. That approach has a known failure: the machine finds text that </w:t>
      </w:r>
      <w:r>
        <w:rPr>
          <w:i/>
        </w:rPr>
        <w:t>sounds</w:t>
      </w:r>
      <w:r>
        <w:t xml:space="preserve"> relevant and writes something plausible on top of it. Nobody can check it, because nothing links the sentence to the page it came from.</w:t>
      </w:r>
    </w:p>
    <w:p>
      <w:r>
        <w:t>Axial inverts the order. Nothing is retrieved until everything has been read. Each passage is interrogated once, in isolation, before anyone asks a question. The interrogation is deliberately open-ended — the model is not given a list of boxes to tick. It is asked what the passage says, and it answers in its own words.</w:t>
      </w:r>
    </w:p>
    <w:p>
      <w:r>
        <w:t xml:space="preserve">The rule that governs the whole reading is short: </w:t>
      </w:r>
      <w:r>
        <w:rPr>
          <w:b/>
        </w:rPr>
        <w:t>answer only from the passage in front of you.</w:t>
      </w:r>
      <w:r>
        <w:t xml:space="preserve"> The model is told not to use anything it knows about the book, the author or the subject from anywhere else, and not to look anything up. Where the passage does not support an answer, it must say so explicitly. An abstention is a normal, expected answer. A guessed answer is treated as worse than no answer at all, because a reader cannot tell a guess from a reading.</w:t>
      </w:r>
    </w:p>
    <w:p>
      <w:pPr>
        <w:pStyle w:val="Heading3"/>
      </w:pPr>
      <w:r>
        <w:t>The questions every passage is asked</w:t>
      </w:r>
    </w:p>
    <w:p>
      <w:r>
        <w:t>Sixteen questions, the same sixteen for every passage in every book:</w:t>
      </w:r>
    </w:p>
    <w:p>
      <w:r>
        <w:t xml:space="preserve">1. </w:t>
      </w:r>
      <w:r>
        <w:rPr>
          <w:b/>
        </w:rPr>
        <w:t>About</w:t>
      </w:r>
      <w:r>
        <w:t xml:space="preserve"> — what is this passage about? Short phrases, in your own words.</w:t>
      </w:r>
    </w:p>
    <w:p>
      <w:r>
        <w:t xml:space="preserve">2. </w:t>
      </w:r>
      <w:r>
        <w:rPr>
          <w:b/>
        </w:rPr>
        <w:t>Claim</w:t>
      </w:r>
      <w:r>
        <w:t xml:space="preserve"> — what is being claimed, in one sentence.</w:t>
      </w:r>
    </w:p>
    <w:p>
      <w:r>
        <w:t xml:space="preserve">3. </w:t>
      </w:r>
      <w:r>
        <w:rPr>
          <w:b/>
        </w:rPr>
        <w:t>Move</w:t>
      </w:r>
      <w:r>
        <w:t xml:space="preserve"> — what is this passage </w:t>
      </w:r>
      <w:r>
        <w:rPr>
          <w:i/>
        </w:rPr>
        <w:t>doing</w:t>
      </w:r>
      <w:r>
        <w:t xml:space="preserve"> in the argument? Not a label like "evidence" but the move itself, for example "conceding a point in order to narrow it".</w:t>
      </w:r>
    </w:p>
    <w:p>
      <w:r>
        <w:t xml:space="preserve">4. </w:t>
      </w:r>
      <w:r>
        <w:rPr>
          <w:b/>
        </w:rPr>
        <w:t>Ranges over</w:t>
      </w:r>
      <w:r>
        <w:t xml:space="preserve"> — what does the claim cover?</w:t>
      </w:r>
    </w:p>
    <w:p>
      <w:r>
        <w:t xml:space="preserve">5. </w:t>
      </w:r>
      <w:r>
        <w:rPr>
          <w:b/>
        </w:rPr>
        <w:t>Stops holding</w:t>
      </w:r>
      <w:r>
        <w:t xml:space="preserve"> — where does the author say it stops being true?</w:t>
      </w:r>
    </w:p>
    <w:p>
      <w:r>
        <w:t xml:space="preserve">6. </w:t>
      </w:r>
      <w:r>
        <w:rPr>
          <w:b/>
        </w:rPr>
        <w:t>Position of</w:t>
      </w:r>
      <w:r>
        <w:t xml:space="preserve"> — whose position is this? Name the holder and nothing else: the author's own, a named scholar, a named school, a group the passage describes.</w:t>
      </w:r>
    </w:p>
    <w:p>
      <w:r>
        <w:t xml:space="preserve">7. </w:t>
      </w:r>
      <w:r>
        <w:rPr>
          <w:b/>
        </w:rPr>
        <w:t>Position</w:t>
      </w:r>
      <w:r>
        <w:t xml:space="preserve"> — what </w:t>
      </w:r>
      <w:r>
        <w:rPr>
          <w:i/>
        </w:rPr>
        <w:t>is</w:t>
      </w:r>
      <w:r>
        <w:t xml:space="preserve"> that position, in the passage's own terms? One sentence stating the stance itself.</w:t>
      </w:r>
    </w:p>
    <w:p>
      <w:r>
        <w:t xml:space="preserve">8. </w:t>
      </w:r>
      <w:r>
        <w:rPr>
          <w:b/>
        </w:rPr>
        <w:t>Arguing against</w:t>
      </w:r>
      <w:r>
        <w:t xml:space="preserve"> — who or what is it arguing against?</w:t>
      </w:r>
    </w:p>
    <w:p>
      <w:r>
        <w:t xml:space="preserve">9. </w:t>
      </w:r>
      <w:r>
        <w:rPr>
          <w:b/>
        </w:rPr>
        <w:t>Names</w:t>
      </w:r>
      <w:r>
        <w:t xml:space="preserve"> — every named thing: people, places, institutions, events, movements, periods, and any figure or table the passage names, each with what kind of thing it is.</w:t>
      </w:r>
    </w:p>
    <w:p>
      <w:r>
        <w:t xml:space="preserve">10. </w:t>
      </w:r>
      <w:r>
        <w:rPr>
          <w:b/>
        </w:rPr>
        <w:t>Citations</w:t>
      </w:r>
      <w:r>
        <w:t xml:space="preserve"> — who does it cite, and is each citation used as support, as a foil, or as an authority?</w:t>
      </w:r>
    </w:p>
    <w:p>
      <w:r>
        <w:t xml:space="preserve">11. </w:t>
      </w:r>
      <w:r>
        <w:rPr>
          <w:b/>
        </w:rPr>
        <w:t>Mechanism</w:t>
      </w:r>
      <w:r>
        <w:t xml:space="preserve"> — what causes what, in what order.</w:t>
      </w:r>
    </w:p>
    <w:p>
      <w:r>
        <w:t xml:space="preserve">12. </w:t>
      </w:r>
      <w:r>
        <w:rPr>
          <w:b/>
        </w:rPr>
        <w:t>Evidence</w:t>
      </w:r>
      <w:r>
        <w:t xml:space="preserve"> — what evidence is offered.</w:t>
      </w:r>
    </w:p>
    <w:p>
      <w:r>
        <w:t xml:space="preserve">13. </w:t>
      </w:r>
      <w:r>
        <w:rPr>
          <w:b/>
        </w:rPr>
        <w:t>Comparison</w:t>
      </w:r>
      <w:r>
        <w:t xml:space="preserve"> — what comparison is made, stated or implied.</w:t>
      </w:r>
    </w:p>
    <w:p>
      <w:r>
        <w:t xml:space="preserve">14. </w:t>
      </w:r>
      <w:r>
        <w:rPr>
          <w:b/>
        </w:rPr>
        <w:t>Defines / uses</w:t>
      </w:r>
      <w:r>
        <w:t xml:space="preserve"> — what is defined here, and separately, what is merely used without being defined.</w:t>
      </w:r>
    </w:p>
    <w:p>
      <w:r>
        <w:t xml:space="preserve">15. </w:t>
      </w:r>
      <w:r>
        <w:rPr>
          <w:b/>
        </w:rPr>
        <w:t>Concedes</w:t>
      </w:r>
      <w:r>
        <w:t xml:space="preserve"> — what the author concedes or hedges.</w:t>
      </w:r>
    </w:p>
    <w:p>
      <w:r>
        <w:t xml:space="preserve">16. </w:t>
      </w:r>
      <w:r>
        <w:rPr>
          <w:b/>
        </w:rPr>
        <w:t>Assumes</w:t>
      </w:r>
      <w:r>
        <w:t xml:space="preserve"> — what it assumes without saying.</w:t>
      </w:r>
    </w:p>
    <w:p>
      <w:r>
        <w:t>Three of those questions do double duty: what a claim covers and where it stops; whose position it is and who it argues against; what is defined and what is only used. Together they produce a record of seventeen fields per passage.</w:t>
      </w:r>
    </w:p>
    <w:p>
      <w:r>
        <w:t xml:space="preserve">Two answers carry most of the weight. </w:t>
      </w:r>
      <w:r>
        <w:rPr>
          <w:b/>
        </w:rPr>
        <w:t>Names</w:t>
      </w:r>
      <w:r>
        <w:t xml:space="preserve"> is how passages find each other: two passages that both mention Charles Tilly end up on the same page, whether or not their authors ever met. </w:t>
      </w:r>
      <w:r>
        <w:rPr>
          <w:b/>
        </w:rPr>
        <w:t>Arguing against</w:t>
      </w:r>
      <w:r>
        <w:t xml:space="preserve"> is how disagreement becomes visible: an author who names an opponent has done the work of locating the dispute, and Axial simply records it rather than inferring it.</w:t>
      </w:r>
    </w:p>
    <w:p>
      <w:pPr>
        <w:pStyle w:val="Heading3"/>
      </w:pPr>
      <w:r>
        <w:t>How a book is split, and what travels with each piece</w:t>
      </w:r>
    </w:p>
    <w:p>
      <w:r>
        <w:t>A book arrives as a PDF or a Word file. Before anything is read, its structure is recovered — chapters, sections, headings, tables, figures, footnotes, the index, the bibliography. Front and back matter that carries no argument is set aside and recorded as set aside, not silently dropped. Tables and figures go to their own pool. Only the running prose goes forward.</w:t>
      </w:r>
    </w:p>
    <w:p>
      <w:r>
        <w:t>That prose is then cut into passages. The cut follows the author's own paragraph and sentence boundaries, never a fixed word count, and every passage is kept inside a size band — roughly 3,500 to 9,000 characters, or one to four pages of a printed book. The size is chosen for the questions above, not for storage. A claim and the evidence for it usually sit several paragraphs apart; a smaller window would catch half an argument and produce abstentions for want of text rather than for want of an answer. The cutting involves no AI at all. It is mechanical, repeatable, and inspectable before a single penny of model spend.</w:t>
      </w:r>
    </w:p>
    <w:p>
      <w:r>
        <w:t>Nothing is read out of context. Before the interrogation begins, one pass over each book extracts what the book itself says it is doing: the author's stated thesis, the scope, the argument as stated, and a reconstructed table of contents — grounded in the book's own prose, never in what a model might know about the title. That context travels with every passage. So does the source's author, title and date, read from the file itself, and the chapter and section heading the passage sits under. A model reading one paragraph of a book it has never seen otherwise has no idea what the book is arguing. Here it always does.</w:t>
      </w:r>
    </w:p>
    <w:p>
      <w:pPr>
        <w:pStyle w:val="Heading3"/>
      </w:pPr>
      <w:r>
        <w:t>The pipeline, step by step</w:t>
      </w:r>
    </w:p>
    <w:p>
      <w:r>
        <w:rPr>
          <w:b/>
        </w:rPr>
        <w:t>Intake.</w:t>
      </w:r>
      <w:r>
        <w:t xml:space="preserve"> Accept the file. Check it has real text and is not a scan. Read the author, title and date. Check whether the file contains the whole work it claims to be, and flag it if not.</w:t>
      </w:r>
    </w:p>
    <w:p>
      <w:r>
        <w:rPr>
          <w:b/>
        </w:rPr>
        <w:t>Structure.</w:t>
      </w:r>
      <w:r>
        <w:t xml:space="preserve"> Rebuild the book's hierarchy. Repair the damage that PDFs do to text — broken hyphens, mangled spacing, stray glyph names. Sort every block into prose, artifact, or apparatus.</w:t>
      </w:r>
    </w:p>
    <w:p>
      <w:r>
        <w:rPr>
          <w:b/>
        </w:rPr>
        <w:t>Envelope.</w:t>
      </w:r>
      <w:r>
        <w:t xml:space="preserve"> One pass per book to capture its thesis, scope, stated argument and contents.</w:t>
      </w:r>
    </w:p>
    <w:p>
      <w:r>
        <w:rPr>
          <w:b/>
        </w:rPr>
        <w:t>Chunking.</w:t>
      </w:r>
      <w:r>
        <w:t xml:space="preserve"> Cut the prose into passages, mechanically, inside the size band.</w:t>
      </w:r>
    </w:p>
    <w:p>
      <w:r>
        <w:rPr>
          <w:b/>
        </w:rPr>
        <w:t>Artifacts.</w:t>
      </w:r>
      <w:r>
        <w:t xml:space="preserve"> Route tables and figures to their own pool with their captions and provenance.</w:t>
      </w:r>
    </w:p>
    <w:p>
      <w:r>
        <w:rPr>
          <w:b/>
        </w:rPr>
        <w:t>Interrogation.</w:t>
      </w:r>
      <w:r>
        <w:t xml:space="preserve"> One pass per passage: the sixteen questions above. This is where the library is actually read.</w:t>
      </w:r>
    </w:p>
    <w:p>
      <w:r>
        <w:rPr>
          <w:b/>
        </w:rPr>
        <w:t>Reconciliation.</w:t>
      </w:r>
      <w:r>
        <w:t xml:space="preserve"> The same person, place or idea appears under many names — "Charles Tilly", "Tilly", "C. Tilly 1975". These are gathered, compared, and merged where they are genuinely the same thing. Merging is reversible, and the merge decisions are recorded.</w:t>
      </w:r>
    </w:p>
    <w:p>
      <w:r>
        <w:rPr>
          <w:b/>
        </w:rPr>
        <w:t>Materialisation.</w:t>
      </w:r>
      <w:r>
        <w:t xml:space="preserve"> The encyclopaedia is written. Every passage becomes a page carrying its own answers. Every surviving name becomes a page listing the passages that mention it. This step involves no AI: it is a rendering of what the previous steps produced.</w:t>
      </w:r>
    </w:p>
    <w:p>
      <w:r>
        <w:rPr>
          <w:b/>
        </w:rPr>
        <w:t>Gathering.</w:t>
      </w:r>
      <w:r>
        <w:t xml:space="preserve"> For each name, the claims made at that name are put side by side and the question is asked: what do these authors disagree about? The answer is written onto the name's page. This is the step that turns a library into a conversation.</w:t>
      </w:r>
    </w:p>
    <w:p>
      <w:r>
        <w:t>Then, and only then, can a question be asked.</w:t>
      </w:r>
    </w:p>
    <w:p>
      <w:r>
        <w:rPr>
          <w:b/>
        </w:rPr>
        <w:t>Asking a question.</w:t>
      </w:r>
      <w:r>
        <w:t xml:space="preserve"> A question arrives as a short brief: a case and a request. It is first interrogated in its own right — does the library actually cover this, are there hidden assumptions in the way it is phrased, should the answer be bounded, or should the question be refused outright? Refusing is a legitimate outcome, not an error.</w:t>
      </w:r>
    </w:p>
    <w:p>
      <w:r>
        <w:rPr>
          <w:b/>
        </w:rPr>
        <w:t>Searching.</w:t>
      </w:r>
      <w:r>
        <w:t xml:space="preserve"> If the question proceeds, the engine walks the name pages: it resolves the phrases in the question to names the library holds, reads who is gathered at each, follows who cites whom and who argues against whom, and re-queries when a result comes back thin. Every step is logged with the exact pages it touched.</w:t>
      </w:r>
    </w:p>
    <w:p>
      <w:r>
        <w:rPr>
          <w:b/>
        </w:rPr>
        <w:t>Answering.</w:t>
      </w:r>
      <w:r>
        <w:t xml:space="preserve"> The evidence gathered is assembled and shown before the expensive step runs. Then the answer is written as a list of numbered claims, and every claim is marked for what kind of claim it is:</w:t>
      </w:r>
    </w:p>
    <w:p>
      <w:pPr>
        <w:pStyle w:val="ListBullet"/>
        <w:spacing w:after="60"/>
      </w:pPr>
      <w:r>
        <w:rPr>
          <w:b/>
        </w:rPr>
        <w:t>(a)</w:t>
      </w:r>
      <w:r>
        <w:t xml:space="preserve"> something a source says, cited to the passage that says it;</w:t>
      </w:r>
    </w:p>
    <w:p>
      <w:pPr>
        <w:pStyle w:val="ListBullet"/>
        <w:spacing w:after="60"/>
      </w:pPr>
      <w:r>
        <w:rPr>
          <w:b/>
        </w:rPr>
        <w:t>(b)</w:t>
      </w:r>
      <w:r>
        <w:t xml:space="preserve"> an inference Axial itself has drawn across sources, marked as its own;</w:t>
      </w:r>
    </w:p>
    <w:p>
      <w:pPr>
        <w:pStyle w:val="ListBullet"/>
        <w:spacing w:after="60"/>
      </w:pPr>
      <w:r>
        <w:rPr>
          <w:b/>
        </w:rPr>
        <w:t>(c)</w:t>
      </w:r>
      <w:r>
        <w:t xml:space="preserve"> speculation, marked as speculation.</w:t>
      </w:r>
    </w:p>
    <w:p>
      <w:r>
        <w:t>Every (a) and (b) claim points at the passages behind it. Nothing is written first and cited afterwards.</w:t>
      </w:r>
    </w:p>
    <w:p>
      <w:r>
        <w:rPr>
          <w:b/>
        </w:rPr>
        <w:t>Checking.</w:t>
      </w:r>
      <w:r>
        <w:t xml:space="preserve"> Mechanical checks then run outside the model's control. Does every claim carry a kind? Do all its cited passages actually resolve? Is there a counter-position — the strongest version of the argument against the answer's own conclusion — or an explicit statement that the library is one-sided on this question? Is there a coverage map saying how much evidence each name in the answer actually rests on, and a confidence band that cannot exceed what that coverage supports? A failed check blocks the answer.</w:t>
      </w:r>
    </w:p>
    <w:p>
      <w:r>
        <w:t>That last mechanism is worth naming plainly. If an answer leans on a name the library holds only three passages about, the answer's stated confidence is pulled down to match, whatever the writing model thought of itself. Confidence is capped by evidence, not by tone.</w:t>
      </w:r>
    </w:p>
    <w:p>
      <w:pPr>
        <w:pStyle w:val="Heading3"/>
      </w:pPr>
      <w:r>
        <w:t>How it was tested</w:t>
      </w:r>
    </w:p>
    <w:p>
      <w:r>
        <w:t xml:space="preserve">Axial was smoke-tested on </w:t>
      </w:r>
      <w:r>
        <w:rPr>
          <w:b/>
        </w:rPr>
        <w:t>six short briefs</w:t>
      </w:r>
      <w:r>
        <w:t xml:space="preserve">, then run on </w:t>
      </w:r>
      <w:r>
        <w:rPr>
          <w:b/>
        </w:rPr>
        <w:t>three much harder cases</w:t>
      </w:r>
      <w:r>
        <w:t>. On one of those three, a combination of open-source models was set head-to-head against a combination of proprietary ones, on the same question and the same library at the same moment.</w:t>
      </w:r>
    </w:p>
    <w:p>
      <w:r>
        <w:t>The six short briefs were each chosen to stress a different shape of search:</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Brief</w:t>
            </w:r>
          </w:p>
        </w:tc>
        <w:tc>
          <w:tcPr>
            <w:tcW w:type="dxa" w:w="4752"/>
          </w:tcPr>
          <w:p>
            <w:pPr>
              <w:spacing w:after="40"/>
            </w:pPr>
            <w:r>
              <w:rPr>
                <w:b/>
                <w:sz w:val="18"/>
              </w:rPr>
            </w:r>
            <w:r>
              <w:rPr>
                <w:b/>
                <w:sz w:val="18"/>
              </w:rPr>
              <w:t>Why it was chosen</w:t>
            </w:r>
          </w:p>
        </w:tc>
      </w:tr>
      <w:tr>
        <w:tc>
          <w:tcPr>
            <w:tcW w:type="dxa" w:w="4752"/>
          </w:tcPr>
          <w:p>
            <w:pPr>
              <w:spacing w:after="40"/>
            </w:pPr>
            <w:r>
              <w:rPr>
                <w:sz w:val="18"/>
              </w:rPr>
            </w:r>
            <w:r>
              <w:rPr>
                <w:b/>
                <w:sz w:val="18"/>
              </w:rPr>
              <w:t>P3-04</w:t>
            </w:r>
          </w:p>
        </w:tc>
        <w:tc>
          <w:tcPr>
            <w:tcW w:type="dxa" w:w="4752"/>
          </w:tcPr>
          <w:p>
            <w:pPr>
              <w:spacing w:after="40"/>
            </w:pPr>
            <w:r>
              <w:rPr>
                <w:sz w:val="18"/>
              </w:rPr>
            </w:r>
            <w:r>
              <w:rPr>
                <w:sz w:val="18"/>
              </w:rPr>
              <w:t xml:space="preserve">The library's centre of gravity. Its anchor, </w:t>
            </w:r>
            <w:r>
              <w:rPr>
                <w:rFonts w:ascii="Consolas" w:hAnsi="Consolas"/>
                <w:sz w:val="18"/>
              </w:rPr>
              <w:t>Syria</w:t>
            </w:r>
            <w:r>
              <w:rPr>
                <w:sz w:val="18"/>
              </w:rPr>
              <w:t>, carries 962 passages across 22 books — the case where one huge name can swamp everything else.</w:t>
            </w:r>
          </w:p>
        </w:tc>
      </w:tr>
      <w:tr>
        <w:tc>
          <w:tcPr>
            <w:tcW w:type="dxa" w:w="4752"/>
          </w:tcPr>
          <w:p>
            <w:pPr>
              <w:spacing w:after="40"/>
            </w:pPr>
            <w:r>
              <w:rPr>
                <w:sz w:val="18"/>
              </w:rPr>
            </w:r>
            <w:r>
              <w:rPr>
                <w:b/>
                <w:sz w:val="18"/>
              </w:rPr>
              <w:t>S-01</w:t>
            </w:r>
          </w:p>
        </w:tc>
        <w:tc>
          <w:tcPr>
            <w:tcW w:type="dxa" w:w="4752"/>
          </w:tcPr>
          <w:p>
            <w:pPr>
              <w:spacing w:after="40"/>
            </w:pPr>
            <w:r>
              <w:rPr>
                <w:sz w:val="18"/>
              </w:rPr>
            </w:r>
            <w:r>
              <w:rPr>
                <w:sz w:val="18"/>
              </w:rPr>
              <w:t>Scholar against scholar over a densely covered question: Tilly (154 passages, 20 books) against Mann (377 passages, 15 books).</w:t>
            </w:r>
          </w:p>
        </w:tc>
      </w:tr>
      <w:tr>
        <w:tc>
          <w:tcPr>
            <w:tcW w:type="dxa" w:w="4752"/>
          </w:tcPr>
          <w:p>
            <w:pPr>
              <w:spacing w:after="40"/>
            </w:pPr>
            <w:r>
              <w:rPr>
                <w:sz w:val="18"/>
              </w:rPr>
            </w:r>
            <w:r>
              <w:rPr>
                <w:b/>
                <w:sz w:val="18"/>
              </w:rPr>
              <w:t>S-02</w:t>
            </w:r>
          </w:p>
        </w:tc>
        <w:tc>
          <w:tcPr>
            <w:tcW w:type="dxa" w:w="4752"/>
          </w:tcPr>
          <w:p>
            <w:pPr>
              <w:spacing w:after="40"/>
            </w:pPr>
            <w:r>
              <w:rPr>
                <w:sz w:val="18"/>
              </w:rPr>
            </w:r>
            <w:r>
              <w:rPr>
                <w:sz w:val="18"/>
              </w:rPr>
              <w:t xml:space="preserve">A concept several books use in incompatible ways: </w:t>
            </w:r>
            <w:r>
              <w:rPr>
                <w:rFonts w:ascii="Consolas" w:hAnsi="Consolas"/>
                <w:sz w:val="18"/>
              </w:rPr>
              <w:t>nationalism</w:t>
            </w:r>
            <w:r>
              <w:rPr>
                <w:sz w:val="18"/>
              </w:rPr>
              <w:t>, 158 passages across 18 books.</w:t>
            </w:r>
          </w:p>
        </w:tc>
      </w:tr>
      <w:tr>
        <w:tc>
          <w:tcPr>
            <w:tcW w:type="dxa" w:w="4752"/>
          </w:tcPr>
          <w:p>
            <w:pPr>
              <w:spacing w:after="40"/>
            </w:pPr>
            <w:r>
              <w:rPr>
                <w:sz w:val="18"/>
              </w:rPr>
            </w:r>
            <w:r>
              <w:rPr>
                <w:b/>
                <w:sz w:val="18"/>
              </w:rPr>
              <w:t>S-03</w:t>
            </w:r>
          </w:p>
        </w:tc>
        <w:tc>
          <w:tcPr>
            <w:tcW w:type="dxa" w:w="4752"/>
          </w:tcPr>
          <w:p>
            <w:pPr>
              <w:spacing w:after="40"/>
            </w:pPr>
            <w:r>
              <w:rPr>
                <w:sz w:val="18"/>
              </w:rPr>
            </w:r>
            <w:r>
              <w:rPr>
                <w:sz w:val="18"/>
              </w:rPr>
              <w:t xml:space="preserve">A concept whose own founding book is on the shelf: </w:t>
            </w:r>
            <w:r>
              <w:rPr>
                <w:rFonts w:ascii="Consolas" w:hAnsi="Consolas"/>
                <w:sz w:val="18"/>
              </w:rPr>
              <w:t>quasi-states</w:t>
            </w:r>
            <w:r>
              <w:rPr>
                <w:sz w:val="18"/>
              </w:rPr>
              <w:t>, 51 passages but only 5 books.</w:t>
            </w:r>
          </w:p>
        </w:tc>
      </w:tr>
      <w:tr>
        <w:tc>
          <w:tcPr>
            <w:tcW w:type="dxa" w:w="4752"/>
          </w:tcPr>
          <w:p>
            <w:pPr>
              <w:spacing w:after="40"/>
            </w:pPr>
            <w:r>
              <w:rPr>
                <w:sz w:val="18"/>
              </w:rPr>
            </w:r>
            <w:r>
              <w:rPr>
                <w:b/>
                <w:sz w:val="18"/>
              </w:rPr>
              <w:t>S-04</w:t>
            </w:r>
          </w:p>
        </w:tc>
        <w:tc>
          <w:tcPr>
            <w:tcW w:type="dxa" w:w="4752"/>
          </w:tcPr>
          <w:p>
            <w:pPr>
              <w:spacing w:after="40"/>
            </w:pPr>
            <w:r>
              <w:rPr>
                <w:sz w:val="18"/>
              </w:rPr>
            </w:r>
            <w:r>
              <w:rPr>
                <w:sz w:val="18"/>
              </w:rPr>
              <w:t xml:space="preserve">Thin coverage. </w:t>
            </w:r>
            <w:r>
              <w:rPr>
                <w:rFonts w:ascii="Consolas" w:hAnsi="Consolas"/>
                <w:sz w:val="18"/>
              </w:rPr>
              <w:t>Transnistria</w:t>
            </w:r>
            <w:r>
              <w:rPr>
                <w:sz w:val="18"/>
              </w:rPr>
              <w:t>: 36 passages, 2 books. Does the engine notice it is thin without being told?</w:t>
            </w:r>
          </w:p>
        </w:tc>
      </w:tr>
      <w:tr>
        <w:tc>
          <w:tcPr>
            <w:tcW w:type="dxa" w:w="4752"/>
          </w:tcPr>
          <w:p>
            <w:pPr>
              <w:spacing w:after="40"/>
            </w:pPr>
            <w:r>
              <w:rPr>
                <w:sz w:val="18"/>
              </w:rPr>
            </w:r>
            <w:r>
              <w:rPr>
                <w:b/>
                <w:sz w:val="18"/>
              </w:rPr>
              <w:t>S-05</w:t>
            </w:r>
          </w:p>
        </w:tc>
        <w:tc>
          <w:tcPr>
            <w:tcW w:type="dxa" w:w="4752"/>
          </w:tcPr>
          <w:p>
            <w:pPr>
              <w:spacing w:after="40"/>
            </w:pPr>
            <w:r>
              <w:rPr>
                <w:sz w:val="18"/>
              </w:rPr>
            </w:r>
            <w:r>
              <w:rPr>
                <w:sz w:val="18"/>
              </w:rPr>
              <w:t xml:space="preserve">Single-source concentration. </w:t>
            </w:r>
            <w:r>
              <w:rPr>
                <w:rFonts w:ascii="Consolas" w:hAnsi="Consolas"/>
                <w:sz w:val="18"/>
              </w:rPr>
              <w:t>Somaliland</w:t>
            </w:r>
            <w:r>
              <w:rPr>
                <w:sz w:val="18"/>
              </w:rPr>
              <w:t>: 52 passages, all from one book. Does the engine say so?</w:t>
            </w:r>
          </w:p>
        </w:tc>
      </w:tr>
    </w:tbl>
    <w:p/>
    <w:p>
      <w:r>
        <w:t xml:space="preserve">S-04 and S-05 deliberately do </w:t>
      </w:r>
      <w:r>
        <w:rPr>
          <w:b/>
        </w:rPr>
        <w:t>not</w:t>
      </w:r>
      <w:r>
        <w:t xml:space="preserve"> tell the engine what they are testing. An earlier draft asked about "the library's thin evidence on Transnistria". Naming the finding in the question would have made a pass prove only that the model follows instructions.</w:t>
      </w:r>
    </w:p>
    <w:p>
      <w:r>
        <w:t>The three hard cases are long, compound questions of the kind a doctoral examiner would set: they require weighing four or more competing explanations, testing a preferred account against a second historical setting, and engaging the critics of the major theorists rather than only the theorists themselves.</w:t>
      </w:r>
    </w:p>
    <w:p>
      <w:r>
        <w:t xml:space="preserve">Every question and every answer is reproduced in full below, in </w:t>
      </w:r>
      <w:r>
        <w:rPr>
          <w:color w:val="C8553D"/>
        </w:rPr>
        <w:t>Test Cases – Short Briefs</w:t>
      </w:r>
      <w:r>
        <w:t xml:space="preserve"> and </w:t>
      </w:r>
      <w:r>
        <w:rPr>
          <w:color w:val="C8553D"/>
        </w:rPr>
        <w:t>Test Cases – Hard Briefs</w:t>
      </w:r>
      <w:r>
        <w:t xml:space="preserve">. The measurement method is in </w:t>
      </w:r>
      <w:r>
        <w:rPr>
          <w:color w:val="C8553D"/>
        </w:rPr>
        <w:t>Test Design and Evaluation Methodology</w:t>
      </w:r>
      <w:r>
        <w:t xml:space="preserve">, and the library itself is listed in </w:t>
      </w:r>
      <w:r>
        <w:rPr>
          <w:color w:val="C8553D"/>
        </w:rPr>
        <w:t>Sources</w:t>
      </w:r>
      <w:r>
        <w:t>.</w:t>
      </w:r>
    </w:p>
    <w:p>
      <w:pPr>
        <w:pStyle w:val="Heading2"/>
      </w:pPr>
      <w:r>
        <w:t>Test Design and Evaluation Methodology</w:t>
      </w:r>
    </w:p>
    <w:p>
      <w:pPr>
        <w:pStyle w:val="Heading3"/>
      </w:pPr>
      <w:r>
        <w:t>How quality was judged</w:t>
      </w:r>
    </w:p>
    <w:p>
      <w:r>
        <w:t>There is no single accuracy score, and none was invented. Quality was measured two ways.</w:t>
      </w:r>
    </w:p>
    <w:p>
      <w:r>
        <w:rPr>
          <w:b/>
        </w:rPr>
        <w:t>Mechanically</w:t>
      </w:r>
      <w:r>
        <w:t>, by counting things that can be counted without an opinion: does every claim carry a kind and resolvable sources; how many of the books a question demands did the answer actually reach; how much evidence was gathered, how much reached the writing model, how much was cited; how many of Axial's own cross-source inferences rest on more than one book.</w:t>
      </w:r>
    </w:p>
    <w:p>
      <w:r>
        <w:rPr>
          <w:b/>
        </w:rPr>
        <w:t>By peer review.</w:t>
      </w:r>
      <w:r>
        <w:t xml:space="preserve"> Each answer was packaged into a sealed packet — the answer plus the full text of every passage it cites, and nothing else — and handed to an independent reviewer with no access to the code, the repository, or any other answer. The reviewer graded three dimensions (factual correctness, citation grounding, completeness) and listed every defect it could find, by kind: misattributed, unsupported, overconfident, contradicted, evasive, strawman.</w:t>
      </w:r>
    </w:p>
    <w:p>
      <w:r>
        <w:t>The reviewer is a different vendor's model from the ones that wrote the answers, and it never grades its own work.</w:t>
      </w:r>
    </w:p>
    <w:p>
      <w:pPr>
        <w:pStyle w:val="Heading3"/>
      </w:pPr>
      <w:r>
        <w:t>Short briefs: the peer-reviewed result</w:t>
      </w:r>
    </w:p>
    <w:p>
      <w:r>
        <w:t>The six short briefs were reviewed twice — once before a round of fixes, once after. The second round is the one that counts, and it is the most recent set of runs, each capped at 14 search steps.</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p>
        </w:tc>
        <w:tc>
          <w:tcPr>
            <w:tcW w:type="dxa" w:w="3168"/>
          </w:tcPr>
          <w:p>
            <w:pPr>
              <w:spacing w:after="40"/>
            </w:pPr>
            <w:r>
              <w:rPr>
                <w:b/>
                <w:sz w:val="18"/>
              </w:rPr>
            </w:r>
            <w:r>
              <w:rPr>
                <w:b/>
                <w:sz w:val="18"/>
              </w:rPr>
              <w:t>Before fixes</w:t>
            </w:r>
          </w:p>
        </w:tc>
        <w:tc>
          <w:tcPr>
            <w:tcW w:type="dxa" w:w="3168"/>
          </w:tcPr>
          <w:p>
            <w:pPr>
              <w:spacing w:after="40"/>
            </w:pPr>
            <w:r>
              <w:rPr>
                <w:b/>
                <w:sz w:val="18"/>
              </w:rPr>
            </w:r>
            <w:r>
              <w:rPr>
                <w:b/>
                <w:sz w:val="18"/>
              </w:rPr>
              <w:t>After fixes</w:t>
            </w:r>
          </w:p>
        </w:tc>
      </w:tr>
      <w:tr>
        <w:tc>
          <w:tcPr>
            <w:tcW w:type="dxa" w:w="3168"/>
          </w:tcPr>
          <w:p>
            <w:pPr>
              <w:spacing w:after="40"/>
            </w:pPr>
            <w:r>
              <w:rPr>
                <w:sz w:val="18"/>
              </w:rPr>
            </w:r>
            <w:r>
              <w:rPr>
                <w:sz w:val="18"/>
              </w:rPr>
              <w:t>Factual correctness</w:t>
            </w:r>
          </w:p>
        </w:tc>
        <w:tc>
          <w:tcPr>
            <w:tcW w:type="dxa" w:w="3168"/>
          </w:tcPr>
          <w:p>
            <w:pPr>
              <w:spacing w:after="40"/>
            </w:pPr>
            <w:r>
              <w:rPr>
                <w:sz w:val="18"/>
              </w:rPr>
            </w:r>
            <w:r>
              <w:rPr>
                <w:sz w:val="18"/>
              </w:rPr>
              <w:t>6 answers "adequate"</w:t>
            </w:r>
          </w:p>
        </w:tc>
        <w:tc>
          <w:tcPr>
            <w:tcW w:type="dxa" w:w="3168"/>
          </w:tcPr>
          <w:p>
            <w:pPr>
              <w:spacing w:after="40"/>
            </w:pPr>
            <w:r>
              <w:rPr>
                <w:sz w:val="18"/>
              </w:rPr>
            </w:r>
            <w:r>
              <w:rPr>
                <w:b/>
                <w:sz w:val="18"/>
              </w:rPr>
              <w:t>5 "strong"</w:t>
            </w:r>
            <w:r>
              <w:rPr>
                <w:sz w:val="18"/>
              </w:rPr>
              <w:t>, 1 adequate</w:t>
            </w:r>
          </w:p>
        </w:tc>
      </w:tr>
      <w:tr>
        <w:tc>
          <w:tcPr>
            <w:tcW w:type="dxa" w:w="3168"/>
          </w:tcPr>
          <w:p>
            <w:pPr>
              <w:spacing w:after="40"/>
            </w:pPr>
            <w:r>
              <w:rPr>
                <w:sz w:val="18"/>
              </w:rPr>
            </w:r>
            <w:r>
              <w:rPr>
                <w:sz w:val="18"/>
              </w:rPr>
              <w:t>Citation grounding</w:t>
            </w:r>
          </w:p>
        </w:tc>
        <w:tc>
          <w:tcPr>
            <w:tcW w:type="dxa" w:w="3168"/>
          </w:tcPr>
          <w:p>
            <w:pPr>
              <w:spacing w:after="40"/>
            </w:pPr>
            <w:r>
              <w:rPr>
                <w:sz w:val="18"/>
              </w:rPr>
            </w:r>
            <w:r>
              <w:rPr>
                <w:sz w:val="18"/>
              </w:rPr>
              <w:t>5 adequate, 1 strong</w:t>
            </w:r>
          </w:p>
        </w:tc>
        <w:tc>
          <w:tcPr>
            <w:tcW w:type="dxa" w:w="3168"/>
          </w:tcPr>
          <w:p>
            <w:pPr>
              <w:spacing w:after="40"/>
            </w:pPr>
            <w:r>
              <w:rPr>
                <w:sz w:val="18"/>
              </w:rPr>
            </w:r>
            <w:r>
              <w:rPr>
                <w:b/>
                <w:sz w:val="18"/>
              </w:rPr>
              <w:t>4 strong</w:t>
            </w:r>
            <w:r>
              <w:rPr>
                <w:sz w:val="18"/>
              </w:rPr>
              <w:t>, 2 adequate</w:t>
            </w:r>
          </w:p>
        </w:tc>
      </w:tr>
      <w:tr>
        <w:tc>
          <w:tcPr>
            <w:tcW w:type="dxa" w:w="3168"/>
          </w:tcPr>
          <w:p>
            <w:pPr>
              <w:spacing w:after="40"/>
            </w:pPr>
            <w:r>
              <w:rPr>
                <w:sz w:val="18"/>
              </w:rPr>
            </w:r>
            <w:r>
              <w:rPr>
                <w:sz w:val="18"/>
              </w:rPr>
              <w:t>Completeness</w:t>
            </w:r>
          </w:p>
        </w:tc>
        <w:tc>
          <w:tcPr>
            <w:tcW w:type="dxa" w:w="3168"/>
          </w:tcPr>
          <w:p>
            <w:pPr>
              <w:spacing w:after="40"/>
            </w:pPr>
            <w:r>
              <w:rPr>
                <w:sz w:val="18"/>
              </w:rPr>
            </w:r>
            <w:r>
              <w:rPr>
                <w:b/>
                <w:sz w:val="18"/>
              </w:rPr>
              <w:t>4 "weak"</w:t>
            </w:r>
            <w:r>
              <w:rPr>
                <w:sz w:val="18"/>
              </w:rPr>
              <w:t>, 2 strong</w:t>
            </w:r>
          </w:p>
        </w:tc>
        <w:tc>
          <w:tcPr>
            <w:tcW w:type="dxa" w:w="3168"/>
          </w:tcPr>
          <w:p>
            <w:pPr>
              <w:spacing w:after="40"/>
            </w:pPr>
            <w:r>
              <w:rPr>
                <w:sz w:val="18"/>
              </w:rPr>
            </w:r>
            <w:r>
              <w:rPr>
                <w:b/>
                <w:sz w:val="18"/>
              </w:rPr>
              <w:t>5 strong</w:t>
            </w:r>
            <w:r>
              <w:rPr>
                <w:sz w:val="18"/>
              </w:rPr>
              <w:t xml:space="preserve">, 1 adequate, </w:t>
            </w:r>
            <w:r>
              <w:rPr>
                <w:b/>
                <w:sz w:val="18"/>
              </w:rPr>
              <w:t>0 weak</w:t>
            </w:r>
          </w:p>
        </w:tc>
      </w:tr>
      <w:tr>
        <w:tc>
          <w:tcPr>
            <w:tcW w:type="dxa" w:w="3168"/>
          </w:tcPr>
          <w:p>
            <w:pPr>
              <w:spacing w:after="40"/>
            </w:pPr>
            <w:r>
              <w:rPr>
                <w:sz w:val="18"/>
              </w:rPr>
            </w:r>
            <w:r>
              <w:rPr>
                <w:sz w:val="18"/>
              </w:rPr>
              <w:t>Total defects found</w:t>
            </w:r>
          </w:p>
        </w:tc>
        <w:tc>
          <w:tcPr>
            <w:tcW w:type="dxa" w:w="3168"/>
          </w:tcPr>
          <w:p>
            <w:pPr>
              <w:spacing w:after="40"/>
            </w:pPr>
            <w:r>
              <w:rPr>
                <w:sz w:val="18"/>
              </w:rPr>
            </w:r>
            <w:r>
              <w:rPr>
                <w:sz w:val="18"/>
              </w:rPr>
              <w:t>40</w:t>
            </w:r>
          </w:p>
        </w:tc>
        <w:tc>
          <w:tcPr>
            <w:tcW w:type="dxa" w:w="3168"/>
          </w:tcPr>
          <w:p>
            <w:pPr>
              <w:spacing w:after="40"/>
            </w:pPr>
            <w:r>
              <w:rPr>
                <w:sz w:val="18"/>
              </w:rPr>
            </w:r>
            <w:r>
              <w:rPr>
                <w:b/>
                <w:sz w:val="18"/>
              </w:rPr>
              <w:t>15</w:t>
            </w:r>
          </w:p>
        </w:tc>
      </w:tr>
    </w:tbl>
    <w:p/>
    <w:p>
      <w:r>
        <w:t xml:space="preserve">Four whole classes of defect went to zero: </w:t>
      </w:r>
      <w:r>
        <w:rPr>
          <w:b/>
        </w:rPr>
        <w:t>misattributed</w:t>
      </w:r>
      <w:r>
        <w:t xml:space="preserve"> (crediting a position to the wrong person), </w:t>
      </w:r>
      <w:r>
        <w:rPr>
          <w:b/>
        </w:rPr>
        <w:t>contradicted</w:t>
      </w:r>
      <w:r>
        <w:t xml:space="preserve"> (a claim its own cited passage argues against), </w:t>
      </w:r>
      <w:r>
        <w:rPr>
          <w:b/>
        </w:rPr>
        <w:t>evasive</w:t>
      </w:r>
      <w:r>
        <w:t xml:space="preserve"> (dodging the hard half of the question), and </w:t>
      </w:r>
      <w:r>
        <w:rPr>
          <w:b/>
        </w:rPr>
        <w:t>strawman</w:t>
      </w:r>
      <w:r>
        <w:t xml:space="preserve"> (arguing against a caricature nobody holds). What survives is the two softest classes — an inference reaching slightly past the passage it cites, and an emphasis the passage does not quite carry. Those are the defects a careful human editor argues about. The ones that disappeared are the ones that made an answer wrong.</w:t>
      </w:r>
    </w:p>
    <w:p>
      <w:r>
        <w:t xml:space="preserve">Total cost for all six answers: </w:t>
      </w:r>
      <w:r>
        <w:rPr>
          <w:b/>
        </w:rPr>
        <w:t>$0.77</w:t>
      </w:r>
      <w:r>
        <w:t>.</w:t>
      </w:r>
    </w:p>
    <w:p>
      <w:pPr>
        <w:pStyle w:val="Heading3"/>
      </w:pPr>
      <w:r>
        <w:t>A check on the judge</w:t>
      </w:r>
    </w:p>
    <w:p>
      <w:r>
        <w:t xml:space="preserve">Before any of those grades were trusted, the reviewer was tested. A copy of one answer was doctored with three planted defects — a claim's sources repointed to an unrelated passage, the counter-position replaced with a caricature, the confidence band raised against its own thin evidence — and handed to a fresh reviewer that was not told a control was running. It caught </w:t>
      </w:r>
      <w:r>
        <w:rPr>
          <w:b/>
        </w:rPr>
        <w:t>all three</w:t>
      </w:r>
      <w:r>
        <w:t>, named each correctly, and quoted the evidence contradicting each one. It also re-found the answer's genuine defects underneath the plants.</w:t>
      </w:r>
    </w:p>
    <w:p>
      <w:r>
        <w:t>That test has a known asymmetry, and it is stated rather than glossed: it proves the reviewer catches defects that are there. Nothing tests whether it invents defects that are not. Its false-positive rate is unmeasured.</w:t>
      </w:r>
    </w:p>
    <w:p>
      <w:pPr>
        <w:pStyle w:val="Heading3"/>
      </w:pPr>
      <w:r>
        <w:t>Hard briefs: the model comparison</w:t>
      </w:r>
    </w:p>
    <w:p>
      <w:r>
        <w:t>On the hardest of the three questions — the one requiring a committed judgment between two rival explanations of violence in the Syrian civil war — the same question was run twice against the same library, at the same moment, in two sealed processes that could not see each other's configuration. One process used only open-source models. The other used only proprietary ones.</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p>
        </w:tc>
        <w:tc>
          <w:tcPr>
            <w:tcW w:type="dxa" w:w="3168"/>
          </w:tcPr>
          <w:p>
            <w:pPr>
              <w:spacing w:after="40"/>
            </w:pPr>
            <w:r>
              <w:rPr>
                <w:b/>
                <w:sz w:val="18"/>
              </w:rPr>
            </w:r>
            <w:r>
              <w:rPr>
                <w:b/>
                <w:sz w:val="18"/>
              </w:rPr>
              <w:t>Open-source arm</w:t>
            </w:r>
          </w:p>
        </w:tc>
        <w:tc>
          <w:tcPr>
            <w:tcW w:type="dxa" w:w="3168"/>
          </w:tcPr>
          <w:p>
            <w:pPr>
              <w:spacing w:after="40"/>
            </w:pPr>
            <w:r>
              <w:rPr>
                <w:b/>
                <w:sz w:val="18"/>
              </w:rPr>
            </w:r>
            <w:r>
              <w:rPr>
                <w:b/>
                <w:sz w:val="18"/>
              </w:rPr>
              <w:t>Proprietary arm</w:t>
            </w:r>
          </w:p>
        </w:tc>
      </w:tr>
      <w:tr>
        <w:tc>
          <w:tcPr>
            <w:tcW w:type="dxa" w:w="3168"/>
          </w:tcPr>
          <w:p>
            <w:pPr>
              <w:spacing w:after="40"/>
            </w:pPr>
            <w:r>
              <w:rPr>
                <w:sz w:val="18"/>
              </w:rPr>
            </w:r>
            <w:r>
              <w:rPr>
                <w:sz w:val="18"/>
              </w:rPr>
              <w:t>Reading the question</w:t>
            </w:r>
          </w:p>
        </w:tc>
        <w:tc>
          <w:tcPr>
            <w:tcW w:type="dxa" w:w="3168"/>
          </w:tcPr>
          <w:p>
            <w:pPr>
              <w:spacing w:after="40"/>
            </w:pPr>
            <w:r>
              <w:rPr>
                <w:sz w:val="18"/>
              </w:rPr>
            </w:r>
            <w:r>
              <w:rPr>
                <w:rFonts w:ascii="Consolas" w:hAnsi="Consolas"/>
                <w:sz w:val="18"/>
              </w:rPr>
              <w:t>z-ai/glm-5.2</w:t>
            </w:r>
          </w:p>
        </w:tc>
        <w:tc>
          <w:tcPr>
            <w:tcW w:type="dxa" w:w="3168"/>
          </w:tcPr>
          <w:p>
            <w:pPr>
              <w:spacing w:after="40"/>
            </w:pPr>
            <w:r>
              <w:rPr>
                <w:sz w:val="18"/>
              </w:rPr>
            </w:r>
            <w:r>
              <w:rPr>
                <w:rFonts w:ascii="Consolas" w:hAnsi="Consolas"/>
                <w:sz w:val="18"/>
              </w:rPr>
              <w:t>openai/gpt-5.4</w:t>
            </w:r>
          </w:p>
        </w:tc>
      </w:tr>
      <w:tr>
        <w:tc>
          <w:tcPr>
            <w:tcW w:type="dxa" w:w="3168"/>
          </w:tcPr>
          <w:p>
            <w:pPr>
              <w:spacing w:after="40"/>
            </w:pPr>
            <w:r>
              <w:rPr>
                <w:sz w:val="18"/>
              </w:rPr>
            </w:r>
            <w:r>
              <w:rPr>
                <w:sz w:val="18"/>
              </w:rPr>
              <w:t>Searching the library</w:t>
            </w:r>
          </w:p>
        </w:tc>
        <w:tc>
          <w:tcPr>
            <w:tcW w:type="dxa" w:w="3168"/>
          </w:tcPr>
          <w:p>
            <w:pPr>
              <w:spacing w:after="40"/>
            </w:pPr>
            <w:r>
              <w:rPr>
                <w:sz w:val="18"/>
              </w:rPr>
            </w:r>
            <w:r>
              <w:rPr>
                <w:rFonts w:ascii="Consolas" w:hAnsi="Consolas"/>
                <w:sz w:val="18"/>
              </w:rPr>
              <w:t>deepseek/deepseek-v4-pro</w:t>
            </w:r>
          </w:p>
        </w:tc>
        <w:tc>
          <w:tcPr>
            <w:tcW w:type="dxa" w:w="3168"/>
          </w:tcPr>
          <w:p>
            <w:pPr>
              <w:spacing w:after="40"/>
            </w:pPr>
            <w:r>
              <w:rPr>
                <w:sz w:val="18"/>
              </w:rPr>
            </w:r>
            <w:r>
              <w:rPr>
                <w:rFonts w:ascii="Consolas" w:hAnsi="Consolas"/>
                <w:sz w:val="18"/>
              </w:rPr>
              <w:t>openai/gpt-5.4</w:t>
            </w:r>
          </w:p>
        </w:tc>
      </w:tr>
      <w:tr>
        <w:tc>
          <w:tcPr>
            <w:tcW w:type="dxa" w:w="3168"/>
          </w:tcPr>
          <w:p>
            <w:pPr>
              <w:spacing w:after="40"/>
            </w:pPr>
            <w:r>
              <w:rPr>
                <w:sz w:val="18"/>
              </w:rPr>
            </w:r>
            <w:r>
              <w:rPr>
                <w:sz w:val="18"/>
              </w:rPr>
              <w:t>Writing the answer</w:t>
            </w:r>
          </w:p>
        </w:tc>
        <w:tc>
          <w:tcPr>
            <w:tcW w:type="dxa" w:w="3168"/>
          </w:tcPr>
          <w:p>
            <w:pPr>
              <w:spacing w:after="40"/>
            </w:pPr>
            <w:r>
              <w:rPr>
                <w:sz w:val="18"/>
              </w:rPr>
            </w:r>
            <w:r>
              <w:rPr>
                <w:rFonts w:ascii="Consolas" w:hAnsi="Consolas"/>
                <w:sz w:val="18"/>
              </w:rPr>
              <w:t>moonshotai/kimi-k3</w:t>
            </w:r>
          </w:p>
        </w:tc>
        <w:tc>
          <w:tcPr>
            <w:tcW w:type="dxa" w:w="3168"/>
          </w:tcPr>
          <w:p>
            <w:pPr>
              <w:spacing w:after="40"/>
            </w:pPr>
            <w:r>
              <w:rPr>
                <w:sz w:val="18"/>
              </w:rPr>
            </w:r>
            <w:r>
              <w:rPr>
                <w:rFonts w:ascii="Consolas" w:hAnsi="Consolas"/>
                <w:sz w:val="18"/>
              </w:rPr>
              <w:t>openai/gpt-5.6-sol</w:t>
            </w:r>
          </w:p>
        </w:tc>
      </w:tr>
      <w:tr>
        <w:tc>
          <w:tcPr>
            <w:tcW w:type="dxa" w:w="3168"/>
          </w:tcPr>
          <w:p>
            <w:pPr>
              <w:spacing w:after="40"/>
            </w:pPr>
            <w:r>
              <w:rPr>
                <w:sz w:val="18"/>
              </w:rPr>
            </w:r>
            <w:r>
              <w:rPr>
                <w:sz w:val="18"/>
              </w:rPr>
              <w:t>Writing the counter-position</w:t>
            </w:r>
          </w:p>
        </w:tc>
        <w:tc>
          <w:tcPr>
            <w:tcW w:type="dxa" w:w="3168"/>
          </w:tcPr>
          <w:p>
            <w:pPr>
              <w:spacing w:after="40"/>
            </w:pPr>
            <w:r>
              <w:rPr>
                <w:sz w:val="18"/>
              </w:rPr>
            </w:r>
            <w:r>
              <w:rPr>
                <w:rFonts w:ascii="Consolas" w:hAnsi="Consolas"/>
                <w:sz w:val="18"/>
              </w:rPr>
              <w:t>moonshotai/kimi-k3</w:t>
            </w:r>
          </w:p>
        </w:tc>
        <w:tc>
          <w:tcPr>
            <w:tcW w:type="dxa" w:w="3168"/>
          </w:tcPr>
          <w:p>
            <w:pPr>
              <w:spacing w:after="40"/>
            </w:pPr>
            <w:r>
              <w:rPr>
                <w:sz w:val="18"/>
              </w:rPr>
            </w:r>
            <w:r>
              <w:rPr>
                <w:rFonts w:ascii="Consolas" w:hAnsi="Consolas"/>
                <w:sz w:val="18"/>
              </w:rPr>
              <w:t>openai/gpt-5.4</w:t>
            </w:r>
          </w:p>
        </w:tc>
      </w:tr>
      <w:tr>
        <w:tc>
          <w:tcPr>
            <w:tcW w:type="dxa" w:w="3168"/>
          </w:tcPr>
          <w:p>
            <w:pPr>
              <w:spacing w:after="40"/>
            </w:pPr>
            <w:r>
              <w:rPr>
                <w:sz w:val="18"/>
              </w:rPr>
            </w:r>
            <w:r>
              <w:rPr>
                <w:b/>
                <w:sz w:val="18"/>
              </w:rPr>
              <w:t>Cost</w:t>
            </w:r>
          </w:p>
        </w:tc>
        <w:tc>
          <w:tcPr>
            <w:tcW w:type="dxa" w:w="3168"/>
          </w:tcPr>
          <w:p>
            <w:pPr>
              <w:spacing w:after="40"/>
            </w:pPr>
            <w:r>
              <w:rPr>
                <w:sz w:val="18"/>
              </w:rPr>
            </w:r>
            <w:r>
              <w:rPr>
                <w:b/>
                <w:sz w:val="18"/>
              </w:rPr>
              <w:t>$0.39</w:t>
            </w:r>
          </w:p>
        </w:tc>
        <w:tc>
          <w:tcPr>
            <w:tcW w:type="dxa" w:w="3168"/>
          </w:tcPr>
          <w:p>
            <w:pPr>
              <w:spacing w:after="40"/>
            </w:pPr>
            <w:r>
              <w:rPr>
                <w:sz w:val="18"/>
              </w:rPr>
            </w:r>
            <w:r>
              <w:rPr>
                <w:b/>
                <w:sz w:val="18"/>
              </w:rPr>
              <w:t>$0.89</w:t>
            </w:r>
          </w:p>
        </w:tc>
      </w:tr>
      <w:tr>
        <w:tc>
          <w:tcPr>
            <w:tcW w:type="dxa" w:w="3168"/>
          </w:tcPr>
          <w:p>
            <w:pPr>
              <w:spacing w:after="40"/>
            </w:pPr>
            <w:r>
              <w:rPr>
                <w:sz w:val="18"/>
              </w:rPr>
            </w:r>
            <w:r>
              <w:rPr>
                <w:sz w:val="18"/>
              </w:rPr>
              <w:t>Books reached</w:t>
            </w:r>
          </w:p>
        </w:tc>
        <w:tc>
          <w:tcPr>
            <w:tcW w:type="dxa" w:w="3168"/>
          </w:tcPr>
          <w:p>
            <w:pPr>
              <w:spacing w:after="40"/>
            </w:pPr>
            <w:r>
              <w:rPr>
                <w:sz w:val="18"/>
              </w:rPr>
            </w:r>
            <w:r>
              <w:rPr>
                <w:sz w:val="18"/>
              </w:rPr>
              <w:t>7</w:t>
            </w:r>
          </w:p>
        </w:tc>
        <w:tc>
          <w:tcPr>
            <w:tcW w:type="dxa" w:w="3168"/>
          </w:tcPr>
          <w:p>
            <w:pPr>
              <w:spacing w:after="40"/>
            </w:pPr>
            <w:r>
              <w:rPr>
                <w:sz w:val="18"/>
              </w:rPr>
            </w:r>
            <w:r>
              <w:rPr>
                <w:sz w:val="18"/>
              </w:rPr>
              <w:t>5</w:t>
            </w:r>
          </w:p>
        </w:tc>
      </w:tr>
      <w:tr>
        <w:tc>
          <w:tcPr>
            <w:tcW w:type="dxa" w:w="3168"/>
          </w:tcPr>
          <w:p>
            <w:pPr>
              <w:spacing w:after="40"/>
            </w:pPr>
            <w:r>
              <w:rPr>
                <w:sz w:val="18"/>
              </w:rPr>
            </w:r>
            <w:r>
              <w:rPr>
                <w:sz w:val="18"/>
              </w:rPr>
              <w:t>Required books reached</w:t>
            </w:r>
          </w:p>
        </w:tc>
        <w:tc>
          <w:tcPr>
            <w:tcW w:type="dxa" w:w="3168"/>
          </w:tcPr>
          <w:p>
            <w:pPr>
              <w:spacing w:after="40"/>
            </w:pPr>
            <w:r>
              <w:rPr>
                <w:sz w:val="18"/>
              </w:rPr>
            </w:r>
            <w:r>
              <w:rPr>
                <w:b/>
                <w:sz w:val="18"/>
              </w:rPr>
              <w:t>4 of 5</w:t>
            </w:r>
          </w:p>
        </w:tc>
        <w:tc>
          <w:tcPr>
            <w:tcW w:type="dxa" w:w="3168"/>
          </w:tcPr>
          <w:p>
            <w:pPr>
              <w:spacing w:after="40"/>
            </w:pPr>
            <w:r>
              <w:rPr>
                <w:sz w:val="18"/>
              </w:rPr>
            </w:r>
            <w:r>
              <w:rPr>
                <w:sz w:val="18"/>
              </w:rPr>
              <w:t>3 of 5</w:t>
            </w:r>
          </w:p>
        </w:tc>
      </w:tr>
      <w:tr>
        <w:tc>
          <w:tcPr>
            <w:tcW w:type="dxa" w:w="3168"/>
          </w:tcPr>
          <w:p>
            <w:pPr>
              <w:spacing w:after="40"/>
            </w:pPr>
            <w:r>
              <w:rPr>
                <w:sz w:val="18"/>
              </w:rPr>
            </w:r>
            <w:r>
              <w:rPr>
                <w:sz w:val="18"/>
              </w:rPr>
              <w:t>Claims in the answer</w:t>
            </w:r>
          </w:p>
        </w:tc>
        <w:tc>
          <w:tcPr>
            <w:tcW w:type="dxa" w:w="3168"/>
          </w:tcPr>
          <w:p>
            <w:pPr>
              <w:spacing w:after="40"/>
            </w:pPr>
            <w:r>
              <w:rPr>
                <w:sz w:val="18"/>
              </w:rPr>
            </w:r>
            <w:r>
              <w:rPr>
                <w:sz w:val="18"/>
              </w:rPr>
              <w:t>16, of which 5 are Axial's own inferences</w:t>
            </w:r>
          </w:p>
        </w:tc>
        <w:tc>
          <w:tcPr>
            <w:tcW w:type="dxa" w:w="3168"/>
          </w:tcPr>
          <w:p>
            <w:pPr>
              <w:spacing w:after="40"/>
            </w:pPr>
            <w:r>
              <w:rPr>
                <w:sz w:val="18"/>
              </w:rPr>
            </w:r>
            <w:r>
              <w:rPr>
                <w:sz w:val="18"/>
              </w:rPr>
              <w:t>17, of which 9 are</w:t>
            </w:r>
          </w:p>
        </w:tc>
      </w:tr>
      <w:tr>
        <w:tc>
          <w:tcPr>
            <w:tcW w:type="dxa" w:w="3168"/>
          </w:tcPr>
          <w:p>
            <w:pPr>
              <w:spacing w:after="40"/>
            </w:pPr>
            <w:r>
              <w:rPr>
                <w:sz w:val="18"/>
              </w:rPr>
            </w:r>
            <w:r>
              <w:rPr>
                <w:sz w:val="18"/>
              </w:rPr>
              <w:t>Inferences resting on two or more books</w:t>
            </w:r>
          </w:p>
        </w:tc>
        <w:tc>
          <w:tcPr>
            <w:tcW w:type="dxa" w:w="3168"/>
          </w:tcPr>
          <w:p>
            <w:pPr>
              <w:spacing w:after="40"/>
            </w:pPr>
            <w:r>
              <w:rPr>
                <w:sz w:val="18"/>
              </w:rPr>
            </w:r>
            <w:r>
              <w:rPr>
                <w:sz w:val="18"/>
              </w:rPr>
              <w:t>4 of 5</w:t>
            </w:r>
          </w:p>
        </w:tc>
        <w:tc>
          <w:tcPr>
            <w:tcW w:type="dxa" w:w="3168"/>
          </w:tcPr>
          <w:p>
            <w:pPr>
              <w:spacing w:after="40"/>
            </w:pPr>
            <w:r>
              <w:rPr>
                <w:sz w:val="18"/>
              </w:rPr>
            </w:r>
            <w:r>
              <w:rPr>
                <w:sz w:val="18"/>
              </w:rPr>
              <w:t>9 of 9</w:t>
            </w:r>
          </w:p>
        </w:tc>
      </w:tr>
    </w:tbl>
    <w:p/>
    <w:p>
      <w:r>
        <w:rPr>
          <w:b/>
        </w:rPr>
        <w:t>The sealed reviewer, working blind, chose the open-source answer — and called the margin narrow.</w:t>
      </w:r>
      <w:r>
        <w:t xml:space="preserve"> Both scored "strong" on factual correctness and on citation grounding. They split on completeness: open-source "strong", proprietary "adequate".</w:t>
      </w:r>
    </w:p>
    <w:p>
      <w:r>
        <w:t xml:space="preserve">The reason the reviewer gave is specific and worth repeating, because it is the kind of error that is easy to miss. Both answers cite the same passage from Üngör on paramilitary violence, which argues that paramilitaries emerge where states cannot monopolise violence and where outside powers quietly sponsor armed groups — </w:t>
      </w:r>
      <w:r>
        <w:rPr>
          <w:i/>
        </w:rPr>
        <w:t>rather than from cultural divisions alone</w:t>
      </w:r>
      <w:r>
        <w:t xml:space="preserve">. The open-source answer read that as written: a structural argument, and an argument against culture-first explanations. It then used the passage to test its own conclusion. The proprietary answer used the same passage </w:t>
      </w:r>
      <w:r>
        <w:rPr>
          <w:b/>
        </w:rPr>
        <w:t>against its own thrust</w:t>
      </w:r>
      <w:r>
        <w:t>, to prop up an account built on the production of sectarian identity. The reviewer also credited the open-source answer for anchoring its judgment in the Daraa case — the most granular ground-level evidence in its packet — and for stating the position it rejected in that position's strongest form.</w:t>
      </w:r>
    </w:p>
    <w:p>
      <w:r>
        <w:t>So the proprietary arm cost 2.3 times as much, reached fewer books, and read one of its key passages backwards.</w:t>
      </w:r>
    </w:p>
    <w:p>
      <w:r>
        <w:rPr>
          <w:b/>
        </w:rPr>
        <w:t>This is not decisive, and it should not be read as decisive.</w:t>
      </w:r>
      <w:r>
        <w:t xml:space="preserve"> Three reasons, all of them structural:</w:t>
      </w:r>
    </w:p>
    <w:p>
      <w:r>
        <w:t xml:space="preserve">1. </w:t>
      </w:r>
      <w:r>
        <w:rPr>
          <w:b/>
        </w:rPr>
        <w:t>The test cases are AI-simulated.</w:t>
      </w:r>
      <w:r>
        <w:t xml:space="preserve"> All nine questions in this report were written by a model, not by a working academic. Every figure here measures the engine, never answer quality against a real scholarly question.</w:t>
      </w:r>
    </w:p>
    <w:p>
      <w:r>
        <w:t xml:space="preserve">2. </w:t>
      </w:r>
      <w:r>
        <w:rPr>
          <w:b/>
        </w:rPr>
        <w:t>One reading, one judge.</w:t>
      </w:r>
      <w:r>
        <w:t xml:space="preserve"> N = 1 per cell. There is no spread, so no grade is a measurement — each is one reviewer's opinion on one reading, and the reviewer's own false-positive rate is unmeasured. One of the short briefs has been measured moving 39% between two runs of identical code on the identical question, so single-run differences smaller than that are not signal.</w:t>
      </w:r>
    </w:p>
    <w:p>
      <w:r>
        <w:t xml:space="preserve">3. </w:t>
      </w:r>
      <w:r>
        <w:rPr>
          <w:b/>
        </w:rPr>
        <w:t>Four models moved at once.</w:t>
      </w:r>
      <w:r>
        <w:t xml:space="preserve"> The two arms differ in every one of their four roles. The comparison measures two complete wirings. It cannot say which of the four swaps produced the result.</w:t>
      </w:r>
    </w:p>
    <w:p>
      <w:r>
        <w:t xml:space="preserve">What it does support is narrower and still worth saying: </w:t>
      </w:r>
      <w:r>
        <w:rPr>
          <w:b/>
        </w:rPr>
        <w:t>open-source models are competitive in production for this kind of work, at a fraction of the cost.</w:t>
      </w:r>
    </w:p>
    <w:p>
      <w:pPr>
        <w:pStyle w:val="Heading3"/>
      </w:pPr>
      <w:r>
        <w:t>The other two hard questions</w:t>
      </w:r>
    </w:p>
    <w:p>
      <w:r>
        <w:t>The two long comparative questions (A and C below) were run on the open-source stack only, at two different search budgets — 14 steps and 20 steps — to settle whether searching harder produces better answers.</w:t>
      </w:r>
    </w:p>
    <w:p>
      <w:r>
        <w:t xml:space="preserve">It does not. Across four paid runs, the amount of evidence that actually reached the writing model never moved — 17, 21, 18, 20 passages — while the amount </w:t>
      </w:r>
      <w:r>
        <w:rPr>
          <w:i/>
        </w:rPr>
        <w:t>gathered</w:t>
      </w:r>
      <w:r>
        <w:t xml:space="preserve"> ranged from 56 to 181. Question C at the higher budget gathered 181 passages across 15 books, nearly double its own run at the lower budget, and put </w:t>
      </w:r>
      <w:r>
        <w:rPr>
          <w:b/>
        </w:rPr>
        <w:t>one fewer passage</w:t>
      </w:r>
      <w:r>
        <w:t xml:space="preserve"> in front of the model. Question A's six extra steps cost 65% more and delivered one extra passage.</w:t>
      </w:r>
    </w:p>
    <w:p>
      <w:r>
        <w:t>The wall was never the constraint. The constraint is that the writing step reads about twenty passages however much is gathered. The budget stays at 14.</w:t>
      </w:r>
    </w:p>
    <w:p>
      <w:pPr>
        <w:pStyle w:val="Heading3"/>
      </w:pPr>
      <w:r>
        <w:t>What the engine does badly, stated plainly</w:t>
      </w:r>
    </w:p>
    <w:p>
      <w:pPr>
        <w:pStyle w:val="ListBullet"/>
        <w:spacing w:after="60"/>
      </w:pPr>
      <w:r>
        <w:rPr>
          <w:b/>
        </w:rPr>
        <w:t>Reaching every required book is the weak spot.</w:t>
      </w:r>
      <w:r>
        <w:t xml:space="preserve"> Each hard question names the books a good answer must reach. Question A decomposed the claim that war made the modern state without ever citing Tilly. Question C reached two of six required books at the lower budget, three of six at the higher. Both runs of question B missed the book carrying one of the two explanations the question asks them to weigh.</w:t>
      </w:r>
    </w:p>
    <w:p>
      <w:pPr>
        <w:pStyle w:val="ListBullet"/>
        <w:spacing w:after="60"/>
      </w:pPr>
      <w:r>
        <w:rPr>
          <w:b/>
        </w:rPr>
        <w:t>The bottleneck is the writing step, not the search.</w:t>
      </w:r>
      <w:r>
        <w:t xml:space="preserve"> About twenty passages reach the model no matter how many are gathered. No retrieval change made in this phase has moved it.</w:t>
      </w:r>
    </w:p>
    <w:p>
      <w:pPr>
        <w:pStyle w:val="ListBullet"/>
        <w:spacing w:after="60"/>
      </w:pPr>
      <w:r>
        <w:rPr>
          <w:b/>
        </w:rPr>
        <w:t>A judged number drawn once is indistinguishable from noise.</w:t>
      </w:r>
      <w:r>
        <w:t xml:space="preserve"> One quality metric was re-scored three times on identical input and returned 0.571, 1.000 and 0.000 before the cause was found and fixed. Metrics drawn once are reported as one draw, not as measurements.</w:t>
      </w:r>
    </w:p>
    <w:p>
      <w:pPr>
        <w:pStyle w:val="ListBullet"/>
        <w:spacing w:after="60"/>
      </w:pPr>
      <w:r>
        <w:rPr>
          <w:b/>
        </w:rPr>
        <w:t>A shared judgment call is unresolved.</w:t>
      </w:r>
      <w:r>
        <w:t xml:space="preserve"> When a chapter sits inside a book edited by someone else, the passage is credited to the volume's editor rather than the chapter's author. This was found by the reviewer, deferred deliberately, and produced no defects in the second round — but it will recur.</w:t>
      </w:r>
    </w:p>
    <w:p>
      <w:pPr>
        <w:pStyle w:val="Heading3"/>
      </w:pPr>
      <w:r>
        <w:t>A note on how the answers are presented here</w:t>
      </w:r>
    </w:p>
    <w:p>
      <w:r>
        <w:t>Each answer below is reproduced as the engine produced it. One presentational change was made for readability: each claim's citations are stored internally as exact passage identifiers, and are rendered here as the book they came from, with a count where a claim rests on more than one passage from the same book. Nothing was added, removed, or reworded. Every claim in the underlying record still points at the exact passage behind it, down to the section heading and the position within it.</w:t>
      </w:r>
    </w:p>
    <w:p>
      <w:pPr>
        <w:pStyle w:val="Heading2"/>
      </w:pPr>
      <w:r>
        <w:t>Sources</w:t>
      </w:r>
    </w:p>
    <w:p>
      <w:r>
        <w:t>Thirty-one books and papers, 10,321 printed pages. Publisher and page count are read from library records; author, title and date are read from the file itself.</w:t>
      </w:r>
    </w:p>
    <w:tbl>
      <w:tblPr>
        <w:tblStyle w:val="LightGrid-Accent1"/>
        <w:tblW w:type="auto" w:w="0"/>
        <w:tblLayout w:type="autofit"/>
        <w:tblLook w:firstColumn="1" w:firstRow="1" w:lastColumn="0" w:lastRow="0" w:noHBand="0" w:noVBand="1" w:val="04A0"/>
      </w:tblPr>
      <w:tblGrid>
        <w:gridCol w:w="1584"/>
        <w:gridCol w:w="1584"/>
        <w:gridCol w:w="1584"/>
        <w:gridCol w:w="1584"/>
        <w:gridCol w:w="1584"/>
        <w:gridCol w:w="1584"/>
      </w:tblGrid>
      <w:tr>
        <w:tc>
          <w:tcPr>
            <w:tcW w:type="dxa" w:w="1584"/>
          </w:tcPr>
          <w:p>
            <w:pPr>
              <w:spacing w:after="40"/>
            </w:pPr>
            <w:r>
              <w:rPr>
                <w:b/>
                <w:sz w:val="18"/>
              </w:rPr>
            </w:r>
            <w:r>
              <w:rPr>
                <w:b/>
                <w:sz w:val="18"/>
              </w:rPr>
              <w:t>Author</w:t>
            </w:r>
          </w:p>
        </w:tc>
        <w:tc>
          <w:tcPr>
            <w:tcW w:type="dxa" w:w="1584"/>
          </w:tcPr>
          <w:p>
            <w:pPr>
              <w:spacing w:after="40"/>
            </w:pPr>
            <w:r>
              <w:rPr>
                <w:b/>
                <w:sz w:val="18"/>
              </w:rPr>
            </w:r>
            <w:r>
              <w:rPr>
                <w:b/>
                <w:sz w:val="18"/>
              </w:rPr>
              <w:t>Title</w:t>
            </w:r>
          </w:p>
        </w:tc>
        <w:tc>
          <w:tcPr>
            <w:tcW w:type="dxa" w:w="1584"/>
          </w:tcPr>
          <w:p>
            <w:pPr>
              <w:spacing w:after="40"/>
            </w:pPr>
            <w:r>
              <w:rPr>
                <w:b/>
                <w:sz w:val="18"/>
              </w:rPr>
            </w:r>
            <w:r>
              <w:rPr>
                <w:b/>
                <w:sz w:val="18"/>
              </w:rPr>
              <w:t>Publisher</w:t>
            </w:r>
          </w:p>
        </w:tc>
        <w:tc>
          <w:tcPr>
            <w:tcW w:type="dxa" w:w="1584"/>
          </w:tcPr>
          <w:p>
            <w:pPr>
              <w:spacing w:after="40"/>
            </w:pPr>
            <w:r>
              <w:rPr>
                <w:b/>
                <w:sz w:val="18"/>
              </w:rPr>
            </w:r>
            <w:r>
              <w:rPr>
                <w:b/>
                <w:sz w:val="18"/>
              </w:rPr>
              <w:t>Year</w:t>
            </w:r>
          </w:p>
        </w:tc>
        <w:tc>
          <w:tcPr>
            <w:tcW w:type="dxa" w:w="1584"/>
          </w:tcPr>
          <w:p>
            <w:pPr>
              <w:spacing w:after="40"/>
            </w:pPr>
            <w:r>
              <w:rPr>
                <w:b/>
                <w:sz w:val="18"/>
              </w:rPr>
            </w:r>
            <w:r>
              <w:rPr>
                <w:b/>
                <w:sz w:val="18"/>
              </w:rPr>
              <w:t>Pages</w:t>
            </w:r>
          </w:p>
        </w:tc>
        <w:tc>
          <w:tcPr>
            <w:tcW w:type="dxa" w:w="1584"/>
          </w:tcPr>
          <w:p>
            <w:pPr>
              <w:spacing w:after="40"/>
            </w:pPr>
            <w:r>
              <w:rPr>
                <w:b/>
                <w:sz w:val="18"/>
              </w:rPr>
            </w:r>
            <w:r>
              <w:rPr>
                <w:b/>
                <w:sz w:val="18"/>
              </w:rPr>
              <w:t>What it is about</w:t>
            </w:r>
          </w:p>
        </w:tc>
      </w:tr>
      <w:tr>
        <w:tc>
          <w:tcPr>
            <w:tcW w:type="dxa" w:w="1584"/>
          </w:tcPr>
          <w:p>
            <w:pPr>
              <w:spacing w:after="40"/>
            </w:pPr>
            <w:r>
              <w:rPr>
                <w:sz w:val="18"/>
              </w:rPr>
            </w:r>
            <w:r>
              <w:rPr>
                <w:sz w:val="18"/>
              </w:rPr>
              <w:t>Giorgio Agamben</w:t>
            </w:r>
          </w:p>
        </w:tc>
        <w:tc>
          <w:tcPr>
            <w:tcW w:type="dxa" w:w="1584"/>
          </w:tcPr>
          <w:p>
            <w:pPr>
              <w:spacing w:after="40"/>
            </w:pPr>
            <w:r>
              <w:rPr>
                <w:sz w:val="18"/>
              </w:rPr>
            </w:r>
            <w:r>
              <w:rPr>
                <w:i/>
                <w:sz w:val="18"/>
              </w:rPr>
              <w:t>State of Exception</w:t>
            </w:r>
          </w:p>
        </w:tc>
        <w:tc>
          <w:tcPr>
            <w:tcW w:type="dxa" w:w="1584"/>
          </w:tcPr>
          <w:p>
            <w:pPr>
              <w:spacing w:after="40"/>
            </w:pPr>
            <w:r>
              <w:rPr>
                <w:sz w:val="18"/>
              </w:rPr>
            </w:r>
            <w:r>
              <w:rPr>
                <w:sz w:val="18"/>
              </w:rPr>
              <w:t>University of Chicago Press</w:t>
            </w:r>
          </w:p>
        </w:tc>
        <w:tc>
          <w:tcPr>
            <w:tcW w:type="dxa" w:w="1584"/>
          </w:tcPr>
          <w:p>
            <w:pPr>
              <w:spacing w:after="40"/>
            </w:pPr>
            <w:r>
              <w:rPr>
                <w:sz w:val="18"/>
              </w:rPr>
            </w:r>
            <w:r>
              <w:rPr>
                <w:sz w:val="18"/>
              </w:rPr>
              <w:t>2005</w:t>
            </w:r>
          </w:p>
        </w:tc>
        <w:tc>
          <w:tcPr>
            <w:tcW w:type="dxa" w:w="1584"/>
          </w:tcPr>
          <w:p>
            <w:pPr>
              <w:spacing w:after="40"/>
            </w:pPr>
            <w:r>
              <w:rPr>
                <w:sz w:val="18"/>
              </w:rPr>
            </w:r>
            <w:r>
              <w:rPr>
                <w:sz w:val="18"/>
              </w:rPr>
              <w:t>106</w:t>
            </w:r>
          </w:p>
        </w:tc>
        <w:tc>
          <w:tcPr>
            <w:tcW w:type="dxa" w:w="1584"/>
          </w:tcPr>
          <w:p>
            <w:pPr>
              <w:spacing w:after="40"/>
            </w:pPr>
            <w:r>
              <w:rPr>
                <w:sz w:val="18"/>
              </w:rPr>
            </w:r>
            <w:r>
              <w:rPr>
                <w:sz w:val="18"/>
              </w:rPr>
              <w:t>How governments suspend the law in the name of emergency, and how the exception became an ordinary technique of rule.</w:t>
            </w:r>
          </w:p>
        </w:tc>
      </w:tr>
      <w:tr>
        <w:tc>
          <w:tcPr>
            <w:tcW w:type="dxa" w:w="1584"/>
          </w:tcPr>
          <w:p>
            <w:pPr>
              <w:spacing w:after="40"/>
            </w:pPr>
            <w:r>
              <w:rPr>
                <w:sz w:val="18"/>
              </w:rPr>
            </w:r>
            <w:r>
              <w:rPr>
                <w:sz w:val="18"/>
              </w:rPr>
              <w:t>Nazih N. Ayubi</w:t>
            </w:r>
          </w:p>
        </w:tc>
        <w:tc>
          <w:tcPr>
            <w:tcW w:type="dxa" w:w="1584"/>
          </w:tcPr>
          <w:p>
            <w:pPr>
              <w:spacing w:after="40"/>
            </w:pPr>
            <w:r>
              <w:rPr>
                <w:sz w:val="18"/>
              </w:rPr>
            </w:r>
            <w:r>
              <w:rPr>
                <w:i/>
                <w:sz w:val="18"/>
              </w:rPr>
              <w:t>Over-stating the Arab State</w:t>
            </w:r>
          </w:p>
        </w:tc>
        <w:tc>
          <w:tcPr>
            <w:tcW w:type="dxa" w:w="1584"/>
          </w:tcPr>
          <w:p>
            <w:pPr>
              <w:spacing w:after="40"/>
            </w:pPr>
            <w:r>
              <w:rPr>
                <w:sz w:val="18"/>
              </w:rPr>
            </w:r>
            <w:r>
              <w:rPr>
                <w:sz w:val="18"/>
              </w:rPr>
              <w:t>I. B. Tauris</w:t>
            </w:r>
          </w:p>
        </w:tc>
        <w:tc>
          <w:tcPr>
            <w:tcW w:type="dxa" w:w="1584"/>
          </w:tcPr>
          <w:p>
            <w:pPr>
              <w:spacing w:after="40"/>
            </w:pPr>
            <w:r>
              <w:rPr>
                <w:sz w:val="18"/>
              </w:rPr>
            </w:r>
            <w:r>
              <w:rPr>
                <w:sz w:val="18"/>
              </w:rPr>
              <w:t>1995</w:t>
            </w:r>
          </w:p>
        </w:tc>
        <w:tc>
          <w:tcPr>
            <w:tcW w:type="dxa" w:w="1584"/>
          </w:tcPr>
          <w:p>
            <w:pPr>
              <w:spacing w:after="40"/>
            </w:pPr>
            <w:r>
              <w:rPr>
                <w:sz w:val="18"/>
              </w:rPr>
            </w:r>
            <w:r>
              <w:rPr>
                <w:sz w:val="18"/>
              </w:rPr>
              <w:t>529</w:t>
            </w:r>
          </w:p>
        </w:tc>
        <w:tc>
          <w:tcPr>
            <w:tcW w:type="dxa" w:w="1584"/>
          </w:tcPr>
          <w:p>
            <w:pPr>
              <w:spacing w:after="40"/>
            </w:pPr>
            <w:r>
              <w:rPr>
                <w:sz w:val="18"/>
              </w:rPr>
            </w:r>
            <w:r>
              <w:rPr>
                <w:sz w:val="18"/>
              </w:rPr>
              <w:t>Argues the Arab state is fierce rather than strong: heavy on coercion, thin on the capacity to organise society.</w:t>
            </w:r>
          </w:p>
        </w:tc>
      </w:tr>
      <w:tr>
        <w:tc>
          <w:tcPr>
            <w:tcW w:type="dxa" w:w="1584"/>
          </w:tcPr>
          <w:p>
            <w:pPr>
              <w:spacing w:after="40"/>
            </w:pPr>
            <w:r>
              <w:rPr>
                <w:sz w:val="18"/>
              </w:rPr>
            </w:r>
            <w:r>
              <w:rPr>
                <w:sz w:val="18"/>
              </w:rPr>
              <w:t>Hanna Batatu</w:t>
            </w:r>
          </w:p>
        </w:tc>
        <w:tc>
          <w:tcPr>
            <w:tcW w:type="dxa" w:w="1584"/>
          </w:tcPr>
          <w:p>
            <w:pPr>
              <w:spacing w:after="40"/>
            </w:pPr>
            <w:r>
              <w:rPr>
                <w:sz w:val="18"/>
              </w:rPr>
            </w:r>
            <w:r>
              <w:rPr>
                <w:i/>
                <w:sz w:val="18"/>
              </w:rPr>
              <w:t>Syria's Peasantry, the Descendants of Its Lesser Rural Notables, and Their Politics</w:t>
            </w:r>
          </w:p>
        </w:tc>
        <w:tc>
          <w:tcPr>
            <w:tcW w:type="dxa" w:w="1584"/>
          </w:tcPr>
          <w:p>
            <w:pPr>
              <w:spacing w:after="40"/>
            </w:pPr>
            <w:r>
              <w:rPr>
                <w:sz w:val="18"/>
              </w:rPr>
            </w:r>
            <w:r>
              <w:rPr>
                <w:sz w:val="18"/>
              </w:rPr>
              <w:t>Princeton University Press</w:t>
            </w:r>
          </w:p>
        </w:tc>
        <w:tc>
          <w:tcPr>
            <w:tcW w:type="dxa" w:w="1584"/>
          </w:tcPr>
          <w:p>
            <w:pPr>
              <w:spacing w:after="40"/>
            </w:pPr>
            <w:r>
              <w:rPr>
                <w:sz w:val="18"/>
              </w:rPr>
            </w:r>
            <w:r>
              <w:rPr>
                <w:sz w:val="18"/>
              </w:rPr>
              <w:t>1999</w:t>
            </w:r>
          </w:p>
        </w:tc>
        <w:tc>
          <w:tcPr>
            <w:tcW w:type="dxa" w:w="1584"/>
          </w:tcPr>
          <w:p>
            <w:pPr>
              <w:spacing w:after="40"/>
            </w:pPr>
            <w:r>
              <w:rPr>
                <w:sz w:val="18"/>
              </w:rPr>
            </w:r>
            <w:r>
              <w:rPr>
                <w:sz w:val="18"/>
              </w:rPr>
              <w:t>432</w:t>
            </w:r>
          </w:p>
        </w:tc>
        <w:tc>
          <w:tcPr>
            <w:tcW w:type="dxa" w:w="1584"/>
          </w:tcPr>
          <w:p>
            <w:pPr>
              <w:spacing w:after="40"/>
            </w:pPr>
            <w:r>
              <w:rPr>
                <w:sz w:val="18"/>
              </w:rPr>
            </w:r>
            <w:r>
              <w:rPr>
                <w:sz w:val="18"/>
              </w:rPr>
              <w:t>Syria's rural classes and their route into political power; the social foundations of the Ba'athist state.</w:t>
            </w:r>
          </w:p>
        </w:tc>
      </w:tr>
      <w:tr>
        <w:tc>
          <w:tcPr>
            <w:tcW w:type="dxa" w:w="1584"/>
          </w:tcPr>
          <w:p>
            <w:pPr>
              <w:spacing w:after="40"/>
            </w:pPr>
            <w:r>
              <w:rPr>
                <w:sz w:val="18"/>
              </w:rPr>
            </w:r>
            <w:r>
              <w:rPr>
                <w:sz w:val="18"/>
              </w:rPr>
              <w:t>Asef Bayat</w:t>
            </w:r>
          </w:p>
        </w:tc>
        <w:tc>
          <w:tcPr>
            <w:tcW w:type="dxa" w:w="1584"/>
          </w:tcPr>
          <w:p>
            <w:pPr>
              <w:spacing w:after="40"/>
            </w:pPr>
            <w:r>
              <w:rPr>
                <w:sz w:val="18"/>
              </w:rPr>
            </w:r>
            <w:r>
              <w:rPr>
                <w:i/>
                <w:sz w:val="18"/>
              </w:rPr>
              <w:t>Revolution Without Revolutionaries</w:t>
            </w:r>
          </w:p>
        </w:tc>
        <w:tc>
          <w:tcPr>
            <w:tcW w:type="dxa" w:w="1584"/>
          </w:tcPr>
          <w:p>
            <w:pPr>
              <w:spacing w:after="40"/>
            </w:pPr>
            <w:r>
              <w:rPr>
                <w:sz w:val="18"/>
              </w:rPr>
            </w:r>
            <w:r>
              <w:rPr>
                <w:sz w:val="18"/>
              </w:rPr>
              <w:t>Stanford University Press</w:t>
            </w:r>
          </w:p>
        </w:tc>
        <w:tc>
          <w:tcPr>
            <w:tcW w:type="dxa" w:w="1584"/>
          </w:tcPr>
          <w:p>
            <w:pPr>
              <w:spacing w:after="40"/>
            </w:pPr>
            <w:r>
              <w:rPr>
                <w:sz w:val="18"/>
              </w:rPr>
            </w:r>
            <w:r>
              <w:rPr>
                <w:sz w:val="18"/>
              </w:rPr>
              <w:t>2017</w:t>
            </w:r>
          </w:p>
        </w:tc>
        <w:tc>
          <w:tcPr>
            <w:tcW w:type="dxa" w:w="1584"/>
          </w:tcPr>
          <w:p>
            <w:pPr>
              <w:spacing w:after="40"/>
            </w:pPr>
            <w:r>
              <w:rPr>
                <w:sz w:val="18"/>
              </w:rPr>
            </w:r>
            <w:r>
              <w:rPr>
                <w:sz w:val="18"/>
              </w:rPr>
              <w:t>359</w:t>
            </w:r>
          </w:p>
        </w:tc>
        <w:tc>
          <w:tcPr>
            <w:tcW w:type="dxa" w:w="1584"/>
          </w:tcPr>
          <w:p>
            <w:pPr>
              <w:spacing w:after="40"/>
            </w:pPr>
            <w:r>
              <w:rPr>
                <w:sz w:val="18"/>
              </w:rPr>
            </w:r>
            <w:r>
              <w:rPr>
                <w:sz w:val="18"/>
              </w:rPr>
              <w:t>Why the Arab Spring produced mass mobilisation without the organisation and ideas that turn an uprising into a revolution.</w:t>
            </w:r>
          </w:p>
        </w:tc>
      </w:tr>
      <w:tr>
        <w:tc>
          <w:tcPr>
            <w:tcW w:type="dxa" w:w="1584"/>
          </w:tcPr>
          <w:p>
            <w:pPr>
              <w:spacing w:after="40"/>
            </w:pPr>
            <w:r>
              <w:rPr>
                <w:sz w:val="18"/>
              </w:rPr>
            </w:r>
            <w:r>
              <w:rPr>
                <w:sz w:val="18"/>
              </w:rPr>
              <w:t>Adel Beshara</w:t>
            </w:r>
          </w:p>
        </w:tc>
        <w:tc>
          <w:tcPr>
            <w:tcW w:type="dxa" w:w="1584"/>
          </w:tcPr>
          <w:p>
            <w:pPr>
              <w:spacing w:after="40"/>
            </w:pPr>
            <w:r>
              <w:rPr>
                <w:sz w:val="18"/>
              </w:rPr>
            </w:r>
            <w:r>
              <w:rPr>
                <w:i/>
                <w:sz w:val="18"/>
              </w:rPr>
              <w:t>The Origins of Syrian Nationhood</w:t>
            </w:r>
          </w:p>
        </w:tc>
        <w:tc>
          <w:tcPr>
            <w:tcW w:type="dxa" w:w="1584"/>
          </w:tcPr>
          <w:p>
            <w:pPr>
              <w:spacing w:after="40"/>
            </w:pPr>
            <w:r>
              <w:rPr>
                <w:sz w:val="18"/>
              </w:rPr>
            </w:r>
            <w:r>
              <w:rPr>
                <w:sz w:val="18"/>
              </w:rPr>
              <w:t>Routledge</w:t>
            </w:r>
          </w:p>
        </w:tc>
        <w:tc>
          <w:tcPr>
            <w:tcW w:type="dxa" w:w="1584"/>
          </w:tcPr>
          <w:p>
            <w:pPr>
              <w:spacing w:after="40"/>
            </w:pPr>
            <w:r>
              <w:rPr>
                <w:sz w:val="18"/>
              </w:rPr>
            </w:r>
            <w:r>
              <w:rPr>
                <w:sz w:val="18"/>
              </w:rPr>
              <w:t>2011</w:t>
            </w:r>
          </w:p>
        </w:tc>
        <w:tc>
          <w:tcPr>
            <w:tcW w:type="dxa" w:w="1584"/>
          </w:tcPr>
          <w:p>
            <w:pPr>
              <w:spacing w:after="40"/>
            </w:pPr>
            <w:r>
              <w:rPr>
                <w:sz w:val="18"/>
              </w:rPr>
            </w:r>
            <w:r>
              <w:rPr>
                <w:sz w:val="18"/>
              </w:rPr>
              <w:t>398</w:t>
            </w:r>
          </w:p>
        </w:tc>
        <w:tc>
          <w:tcPr>
            <w:tcW w:type="dxa" w:w="1584"/>
          </w:tcPr>
          <w:p>
            <w:pPr>
              <w:spacing w:after="40"/>
            </w:pPr>
            <w:r>
              <w:rPr>
                <w:sz w:val="18"/>
              </w:rPr>
            </w:r>
            <w:r>
              <w:rPr>
                <w:sz w:val="18"/>
              </w:rPr>
              <w:t>When and how a distinctly Syrian national identity first appeared, and what it had to compete with.</w:t>
            </w:r>
          </w:p>
        </w:tc>
      </w:tr>
      <w:tr>
        <w:tc>
          <w:tcPr>
            <w:tcW w:type="dxa" w:w="1584"/>
          </w:tcPr>
          <w:p>
            <w:pPr>
              <w:spacing w:after="40"/>
            </w:pPr>
            <w:r>
              <w:rPr>
                <w:sz w:val="18"/>
              </w:rPr>
            </w:r>
            <w:r>
              <w:rPr>
                <w:sz w:val="18"/>
              </w:rPr>
              <w:t>Nina Caspersen</w:t>
            </w:r>
          </w:p>
        </w:tc>
        <w:tc>
          <w:tcPr>
            <w:tcW w:type="dxa" w:w="1584"/>
          </w:tcPr>
          <w:p>
            <w:pPr>
              <w:spacing w:after="40"/>
            </w:pPr>
            <w:r>
              <w:rPr>
                <w:sz w:val="18"/>
              </w:rPr>
            </w:r>
            <w:r>
              <w:rPr>
                <w:i/>
                <w:sz w:val="18"/>
              </w:rPr>
              <w:t>Unrecognized States</w:t>
            </w:r>
          </w:p>
        </w:tc>
        <w:tc>
          <w:tcPr>
            <w:tcW w:type="dxa" w:w="1584"/>
          </w:tcPr>
          <w:p>
            <w:pPr>
              <w:spacing w:after="40"/>
            </w:pPr>
            <w:r>
              <w:rPr>
                <w:sz w:val="18"/>
              </w:rPr>
            </w:r>
            <w:r>
              <w:rPr>
                <w:sz w:val="18"/>
              </w:rPr>
              <w:t>not recorded</w:t>
            </w:r>
          </w:p>
        </w:tc>
        <w:tc>
          <w:tcPr>
            <w:tcW w:type="dxa" w:w="1584"/>
          </w:tcPr>
          <w:p>
            <w:pPr>
              <w:spacing w:after="40"/>
            </w:pPr>
            <w:r>
              <w:rPr>
                <w:sz w:val="18"/>
              </w:rPr>
            </w:r>
            <w:r>
              <w:rPr>
                <w:sz w:val="18"/>
              </w:rPr>
              <w:t>2012</w:t>
            </w:r>
          </w:p>
        </w:tc>
        <w:tc>
          <w:tcPr>
            <w:tcW w:type="dxa" w:w="1584"/>
          </w:tcPr>
          <w:p>
            <w:pPr>
              <w:spacing w:after="40"/>
            </w:pPr>
            <w:r>
              <w:rPr>
                <w:sz w:val="18"/>
              </w:rPr>
            </w:r>
            <w:r>
              <w:rPr>
                <w:sz w:val="18"/>
              </w:rPr>
              <w:t>220</w:t>
            </w:r>
          </w:p>
        </w:tc>
        <w:tc>
          <w:tcPr>
            <w:tcW w:type="dxa" w:w="1584"/>
          </w:tcPr>
          <w:p>
            <w:pPr>
              <w:spacing w:after="40"/>
            </w:pPr>
            <w:r>
              <w:rPr>
                <w:sz w:val="18"/>
              </w:rPr>
            </w:r>
            <w:r>
              <w:rPr>
                <w:sz w:val="18"/>
              </w:rPr>
              <w:t>How territories no state recognises manage to survive and build working institutions anyway.</w:t>
            </w:r>
          </w:p>
        </w:tc>
      </w:tr>
      <w:tr>
        <w:tc>
          <w:tcPr>
            <w:tcW w:type="dxa" w:w="1584"/>
          </w:tcPr>
          <w:p>
            <w:pPr>
              <w:spacing w:after="40"/>
            </w:pPr>
            <w:r>
              <w:rPr>
                <w:sz w:val="18"/>
              </w:rPr>
            </w:r>
            <w:r>
              <w:rPr>
                <w:sz w:val="18"/>
              </w:rPr>
              <w:t>Lilie Chouliaraki</w:t>
            </w:r>
          </w:p>
        </w:tc>
        <w:tc>
          <w:tcPr>
            <w:tcW w:type="dxa" w:w="1584"/>
          </w:tcPr>
          <w:p>
            <w:pPr>
              <w:spacing w:after="40"/>
            </w:pPr>
            <w:r>
              <w:rPr>
                <w:sz w:val="18"/>
              </w:rPr>
            </w:r>
            <w:r>
              <w:rPr>
                <w:i/>
                <w:sz w:val="18"/>
              </w:rPr>
              <w:t>Wronged</w:t>
            </w:r>
          </w:p>
        </w:tc>
        <w:tc>
          <w:tcPr>
            <w:tcW w:type="dxa" w:w="1584"/>
          </w:tcPr>
          <w:p>
            <w:pPr>
              <w:spacing w:after="40"/>
            </w:pPr>
            <w:r>
              <w:rPr>
                <w:sz w:val="18"/>
              </w:rPr>
            </w:r>
            <w:r>
              <w:rPr>
                <w:sz w:val="18"/>
              </w:rPr>
              <w:t>Columbia University Press</w:t>
            </w:r>
          </w:p>
        </w:tc>
        <w:tc>
          <w:tcPr>
            <w:tcW w:type="dxa" w:w="1584"/>
          </w:tcPr>
          <w:p>
            <w:pPr>
              <w:spacing w:after="40"/>
            </w:pPr>
            <w:r>
              <w:rPr>
                <w:sz w:val="18"/>
              </w:rPr>
            </w:r>
            <w:r>
              <w:rPr>
                <w:sz w:val="18"/>
              </w:rPr>
              <w:t>2024</w:t>
            </w:r>
          </w:p>
        </w:tc>
        <w:tc>
          <w:tcPr>
            <w:tcW w:type="dxa" w:w="1584"/>
          </w:tcPr>
          <w:p>
            <w:pPr>
              <w:spacing w:after="40"/>
            </w:pPr>
            <w:r>
              <w:rPr>
                <w:sz w:val="18"/>
              </w:rPr>
            </w:r>
            <w:r>
              <w:rPr>
                <w:sz w:val="18"/>
              </w:rPr>
              <w:t>262</w:t>
            </w:r>
          </w:p>
        </w:tc>
        <w:tc>
          <w:tcPr>
            <w:tcW w:type="dxa" w:w="1584"/>
          </w:tcPr>
          <w:p>
            <w:pPr>
              <w:spacing w:after="40"/>
            </w:pPr>
            <w:r>
              <w:rPr>
                <w:sz w:val="18"/>
              </w:rPr>
            </w:r>
            <w:r>
              <w:rPr>
                <w:sz w:val="18"/>
              </w:rPr>
              <w:t>How the language of victimhood is claimed, contested and weaponised in Western public debate.</w:t>
            </w:r>
          </w:p>
        </w:tc>
      </w:tr>
      <w:tr>
        <w:tc>
          <w:tcPr>
            <w:tcW w:type="dxa" w:w="1584"/>
          </w:tcPr>
          <w:p>
            <w:pPr>
              <w:spacing w:after="40"/>
            </w:pPr>
            <w:r>
              <w:rPr>
                <w:sz w:val="18"/>
              </w:rPr>
            </w:r>
            <w:r>
              <w:rPr>
                <w:sz w:val="18"/>
              </w:rPr>
              <w:t>Guy Elcheroth and Stephen Reicher</w:t>
            </w:r>
          </w:p>
        </w:tc>
        <w:tc>
          <w:tcPr>
            <w:tcW w:type="dxa" w:w="1584"/>
          </w:tcPr>
          <w:p>
            <w:pPr>
              <w:spacing w:after="40"/>
            </w:pPr>
            <w:r>
              <w:rPr>
                <w:sz w:val="18"/>
              </w:rPr>
            </w:r>
            <w:r>
              <w:rPr>
                <w:i/>
                <w:sz w:val="18"/>
              </w:rPr>
              <w:t>Identity, Violence and Power: Mobilising Hatred, Demobilising Dissent</w:t>
            </w:r>
          </w:p>
        </w:tc>
        <w:tc>
          <w:tcPr>
            <w:tcW w:type="dxa" w:w="1584"/>
          </w:tcPr>
          <w:p>
            <w:pPr>
              <w:spacing w:after="40"/>
            </w:pPr>
            <w:r>
              <w:rPr>
                <w:sz w:val="18"/>
              </w:rPr>
            </w:r>
            <w:r>
              <w:rPr>
                <w:sz w:val="18"/>
              </w:rPr>
              <w:t>Palgrave Macmillan</w:t>
            </w:r>
          </w:p>
        </w:tc>
        <w:tc>
          <w:tcPr>
            <w:tcW w:type="dxa" w:w="1584"/>
          </w:tcPr>
          <w:p>
            <w:pPr>
              <w:spacing w:after="40"/>
            </w:pPr>
            <w:r>
              <w:rPr>
                <w:sz w:val="18"/>
              </w:rPr>
            </w:r>
            <w:r>
              <w:rPr>
                <w:sz w:val="18"/>
              </w:rPr>
              <w:t>2017</w:t>
            </w:r>
          </w:p>
        </w:tc>
        <w:tc>
          <w:tcPr>
            <w:tcW w:type="dxa" w:w="1584"/>
          </w:tcPr>
          <w:p>
            <w:pPr>
              <w:spacing w:after="40"/>
            </w:pPr>
            <w:r>
              <w:rPr>
                <w:sz w:val="18"/>
              </w:rPr>
            </w:r>
            <w:r>
              <w:rPr>
                <w:sz w:val="18"/>
              </w:rPr>
              <w:t>281</w:t>
            </w:r>
          </w:p>
        </w:tc>
        <w:tc>
          <w:tcPr>
            <w:tcW w:type="dxa" w:w="1584"/>
          </w:tcPr>
          <w:p>
            <w:pPr>
              <w:spacing w:after="40"/>
            </w:pPr>
            <w:r>
              <w:rPr>
                <w:sz w:val="18"/>
              </w:rPr>
            </w:r>
            <w:r>
              <w:rPr>
                <w:sz w:val="18"/>
              </w:rPr>
              <w:t>Argues leaders choose violence because violence freezes fluid populations into hardened identities.</w:t>
            </w:r>
          </w:p>
        </w:tc>
      </w:tr>
      <w:tr>
        <w:tc>
          <w:tcPr>
            <w:tcW w:type="dxa" w:w="1584"/>
          </w:tcPr>
          <w:p>
            <w:pPr>
              <w:spacing w:after="40"/>
            </w:pPr>
            <w:r>
              <w:rPr>
                <w:sz w:val="18"/>
              </w:rPr>
            </w:r>
            <w:r>
              <w:rPr>
                <w:sz w:val="18"/>
              </w:rPr>
              <w:t>Ernest Gellner</w:t>
            </w:r>
          </w:p>
        </w:tc>
        <w:tc>
          <w:tcPr>
            <w:tcW w:type="dxa" w:w="1584"/>
          </w:tcPr>
          <w:p>
            <w:pPr>
              <w:spacing w:after="40"/>
            </w:pPr>
            <w:r>
              <w:rPr>
                <w:sz w:val="18"/>
              </w:rPr>
            </w:r>
            <w:r>
              <w:rPr>
                <w:i/>
                <w:sz w:val="18"/>
              </w:rPr>
              <w:t>Muslim Society</w:t>
            </w:r>
          </w:p>
        </w:tc>
        <w:tc>
          <w:tcPr>
            <w:tcW w:type="dxa" w:w="1584"/>
          </w:tcPr>
          <w:p>
            <w:pPr>
              <w:spacing w:after="40"/>
            </w:pPr>
            <w:r>
              <w:rPr>
                <w:sz w:val="18"/>
              </w:rPr>
            </w:r>
            <w:r>
              <w:rPr>
                <w:sz w:val="18"/>
              </w:rPr>
              <w:t>not recorded</w:t>
            </w:r>
          </w:p>
        </w:tc>
        <w:tc>
          <w:tcPr>
            <w:tcW w:type="dxa" w:w="1584"/>
          </w:tcPr>
          <w:p>
            <w:pPr>
              <w:spacing w:after="40"/>
            </w:pPr>
            <w:r>
              <w:rPr>
                <w:sz w:val="18"/>
              </w:rPr>
            </w:r>
            <w:r>
              <w:rPr>
                <w:sz w:val="18"/>
              </w:rPr>
              <w:t>1981</w:t>
            </w:r>
          </w:p>
        </w:tc>
        <w:tc>
          <w:tcPr>
            <w:tcW w:type="dxa" w:w="1584"/>
          </w:tcPr>
          <w:p>
            <w:pPr>
              <w:spacing w:after="40"/>
            </w:pPr>
            <w:r>
              <w:rPr>
                <w:sz w:val="18"/>
              </w:rPr>
            </w:r>
            <w:r>
              <w:rPr>
                <w:sz w:val="18"/>
              </w:rPr>
              <w:t>276</w:t>
            </w:r>
          </w:p>
        </w:tc>
        <w:tc>
          <w:tcPr>
            <w:tcW w:type="dxa" w:w="1584"/>
          </w:tcPr>
          <w:p>
            <w:pPr>
              <w:spacing w:after="40"/>
            </w:pPr>
            <w:r>
              <w:rPr>
                <w:sz w:val="18"/>
              </w:rPr>
            </w:r>
            <w:r>
              <w:rPr>
                <w:sz w:val="18"/>
              </w:rPr>
              <w:t>Islam as a blueprint for social order, used to re-examine classic questions about religion and the fate of civilisations.</w:t>
            </w:r>
          </w:p>
        </w:tc>
      </w:tr>
      <w:tr>
        <w:tc>
          <w:tcPr>
            <w:tcW w:type="dxa" w:w="1584"/>
          </w:tcPr>
          <w:p>
            <w:pPr>
              <w:spacing w:after="40"/>
            </w:pPr>
            <w:r>
              <w:rPr>
                <w:sz w:val="18"/>
              </w:rPr>
            </w:r>
            <w:r>
              <w:rPr>
                <w:sz w:val="18"/>
              </w:rPr>
              <w:t>John A. Hall and Ralph Schroeder (eds)</w:t>
            </w:r>
          </w:p>
        </w:tc>
        <w:tc>
          <w:tcPr>
            <w:tcW w:type="dxa" w:w="1584"/>
          </w:tcPr>
          <w:p>
            <w:pPr>
              <w:spacing w:after="40"/>
            </w:pPr>
            <w:r>
              <w:rPr>
                <w:sz w:val="18"/>
              </w:rPr>
            </w:r>
            <w:r>
              <w:rPr>
                <w:i/>
                <w:sz w:val="18"/>
              </w:rPr>
              <w:t>An Anatomy of Power: The Social Theory of Michael Mann</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2006</w:t>
            </w:r>
          </w:p>
        </w:tc>
        <w:tc>
          <w:tcPr>
            <w:tcW w:type="dxa" w:w="1584"/>
          </w:tcPr>
          <w:p>
            <w:pPr>
              <w:spacing w:after="40"/>
            </w:pPr>
            <w:r>
              <w:rPr>
                <w:sz w:val="18"/>
              </w:rPr>
            </w:r>
            <w:r>
              <w:rPr>
                <w:sz w:val="18"/>
              </w:rPr>
              <w:t>432</w:t>
            </w:r>
          </w:p>
        </w:tc>
        <w:tc>
          <w:tcPr>
            <w:tcW w:type="dxa" w:w="1584"/>
          </w:tcPr>
          <w:p>
            <w:pPr>
              <w:spacing w:after="40"/>
            </w:pPr>
            <w:r>
              <w:rPr>
                <w:sz w:val="18"/>
              </w:rPr>
            </w:r>
            <w:r>
              <w:rPr>
                <w:sz w:val="18"/>
              </w:rPr>
              <w:t>Leading scholars assess Michael Mann's theory of power, sympathetically and critically. An edited collection.</w:t>
            </w:r>
          </w:p>
        </w:tc>
      </w:tr>
      <w:tr>
        <w:tc>
          <w:tcPr>
            <w:tcW w:type="dxa" w:w="1584"/>
          </w:tcPr>
          <w:p>
            <w:pPr>
              <w:spacing w:after="40"/>
            </w:pPr>
            <w:r>
              <w:rPr>
                <w:sz w:val="18"/>
              </w:rPr>
            </w:r>
            <w:r>
              <w:rPr>
                <w:sz w:val="18"/>
              </w:rPr>
              <w:t>Steven Heydemann (ed.)</w:t>
            </w:r>
          </w:p>
        </w:tc>
        <w:tc>
          <w:tcPr>
            <w:tcW w:type="dxa" w:w="1584"/>
          </w:tcPr>
          <w:p>
            <w:pPr>
              <w:spacing w:after="40"/>
            </w:pPr>
            <w:r>
              <w:rPr>
                <w:sz w:val="18"/>
              </w:rPr>
            </w:r>
            <w:r>
              <w:rPr>
                <w:i/>
                <w:sz w:val="18"/>
              </w:rPr>
              <w:t>War, Institutions, and Social Change in the Middle East</w:t>
            </w:r>
          </w:p>
        </w:tc>
        <w:tc>
          <w:tcPr>
            <w:tcW w:type="dxa" w:w="1584"/>
          </w:tcPr>
          <w:p>
            <w:pPr>
              <w:spacing w:after="40"/>
            </w:pPr>
            <w:r>
              <w:rPr>
                <w:sz w:val="18"/>
              </w:rPr>
            </w:r>
            <w:r>
              <w:rPr>
                <w:sz w:val="18"/>
              </w:rPr>
              <w:t>University of California Press</w:t>
            </w:r>
          </w:p>
        </w:tc>
        <w:tc>
          <w:tcPr>
            <w:tcW w:type="dxa" w:w="1584"/>
          </w:tcPr>
          <w:p>
            <w:pPr>
              <w:spacing w:after="40"/>
            </w:pPr>
            <w:r>
              <w:rPr>
                <w:sz w:val="18"/>
              </w:rPr>
            </w:r>
            <w:r>
              <w:rPr>
                <w:sz w:val="18"/>
              </w:rPr>
              <w:t>2000</w:t>
            </w:r>
          </w:p>
        </w:tc>
        <w:tc>
          <w:tcPr>
            <w:tcW w:type="dxa" w:w="1584"/>
          </w:tcPr>
          <w:p>
            <w:pPr>
              <w:spacing w:after="40"/>
            </w:pPr>
            <w:r>
              <w:rPr>
                <w:sz w:val="18"/>
              </w:rPr>
            </w:r>
            <w:r>
              <w:rPr>
                <w:sz w:val="18"/>
              </w:rPr>
              <w:t>203</w:t>
            </w:r>
          </w:p>
        </w:tc>
        <w:tc>
          <w:tcPr>
            <w:tcW w:type="dxa" w:w="1584"/>
          </w:tcPr>
          <w:p>
            <w:pPr>
              <w:spacing w:after="40"/>
            </w:pPr>
            <w:r>
              <w:rPr>
                <w:sz w:val="18"/>
              </w:rPr>
            </w:r>
            <w:r>
              <w:rPr>
                <w:sz w:val="18"/>
              </w:rPr>
              <w:t>Tests European theories of war-driven state formation against Middle Eastern cases, and finds where they break. An edited collection.</w:t>
            </w:r>
          </w:p>
        </w:tc>
      </w:tr>
      <w:tr>
        <w:tc>
          <w:tcPr>
            <w:tcW w:type="dxa" w:w="1584"/>
          </w:tcPr>
          <w:p>
            <w:pPr>
              <w:spacing w:after="40"/>
            </w:pPr>
            <w:r>
              <w:rPr>
                <w:sz w:val="18"/>
              </w:rPr>
            </w:r>
            <w:r>
              <w:rPr>
                <w:sz w:val="18"/>
              </w:rPr>
              <w:t>Steven Heydemann (ed.)</w:t>
            </w:r>
          </w:p>
        </w:tc>
        <w:tc>
          <w:tcPr>
            <w:tcW w:type="dxa" w:w="1584"/>
          </w:tcPr>
          <w:p>
            <w:pPr>
              <w:spacing w:after="40"/>
            </w:pPr>
            <w:r>
              <w:rPr>
                <w:sz w:val="18"/>
              </w:rPr>
            </w:r>
            <w:r>
              <w:rPr>
                <w:i/>
                <w:sz w:val="18"/>
              </w:rPr>
              <w:t>Networks of Privilege in the Middle East</w:t>
            </w:r>
          </w:p>
        </w:tc>
        <w:tc>
          <w:tcPr>
            <w:tcW w:type="dxa" w:w="1584"/>
          </w:tcPr>
          <w:p>
            <w:pPr>
              <w:spacing w:after="40"/>
            </w:pPr>
            <w:r>
              <w:rPr>
                <w:sz w:val="18"/>
              </w:rPr>
            </w:r>
            <w:r>
              <w:rPr>
                <w:sz w:val="18"/>
              </w:rPr>
              <w:t>Palgrave Macmillan</w:t>
            </w:r>
          </w:p>
        </w:tc>
        <w:tc>
          <w:tcPr>
            <w:tcW w:type="dxa" w:w="1584"/>
          </w:tcPr>
          <w:p>
            <w:pPr>
              <w:spacing w:after="40"/>
            </w:pPr>
            <w:r>
              <w:rPr>
                <w:sz w:val="18"/>
              </w:rPr>
            </w:r>
            <w:r>
              <w:rPr>
                <w:sz w:val="18"/>
              </w:rPr>
              <w:t>2004</w:t>
            </w:r>
          </w:p>
        </w:tc>
        <w:tc>
          <w:tcPr>
            <w:tcW w:type="dxa" w:w="1584"/>
          </w:tcPr>
          <w:p>
            <w:pPr>
              <w:spacing w:after="40"/>
            </w:pPr>
            <w:r>
              <w:rPr>
                <w:sz w:val="18"/>
              </w:rPr>
            </w:r>
            <w:r>
              <w:rPr>
                <w:sz w:val="18"/>
              </w:rPr>
              <w:t>343</w:t>
            </w:r>
          </w:p>
        </w:tc>
        <w:tc>
          <w:tcPr>
            <w:tcW w:type="dxa" w:w="1584"/>
          </w:tcPr>
          <w:p>
            <w:pPr>
              <w:spacing w:after="40"/>
            </w:pPr>
            <w:r>
              <w:rPr>
                <w:sz w:val="18"/>
              </w:rPr>
            </w:r>
            <w:r>
              <w:rPr>
                <w:sz w:val="18"/>
              </w:rPr>
              <w:t>How economic networks shape, and are shaped by, attempts at fiscal reform. An edited collection.</w:t>
            </w:r>
          </w:p>
        </w:tc>
      </w:tr>
      <w:tr>
        <w:tc>
          <w:tcPr>
            <w:tcW w:type="dxa" w:w="1584"/>
          </w:tcPr>
          <w:p>
            <w:pPr>
              <w:spacing w:after="40"/>
            </w:pPr>
            <w:r>
              <w:rPr>
                <w:sz w:val="18"/>
              </w:rPr>
            </w:r>
            <w:r>
              <w:rPr>
                <w:sz w:val="18"/>
              </w:rPr>
              <w:t>Robert H. Jackson</w:t>
            </w:r>
          </w:p>
        </w:tc>
        <w:tc>
          <w:tcPr>
            <w:tcW w:type="dxa" w:w="1584"/>
          </w:tcPr>
          <w:p>
            <w:pPr>
              <w:spacing w:after="40"/>
            </w:pPr>
            <w:r>
              <w:rPr>
                <w:sz w:val="18"/>
              </w:rPr>
            </w:r>
            <w:r>
              <w:rPr>
                <w:i/>
                <w:sz w:val="18"/>
              </w:rPr>
              <w:t>Quasi-States: Sovereignty, International Relations, and the Third World</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1990</w:t>
            </w:r>
          </w:p>
        </w:tc>
        <w:tc>
          <w:tcPr>
            <w:tcW w:type="dxa" w:w="1584"/>
          </w:tcPr>
          <w:p>
            <w:pPr>
              <w:spacing w:after="40"/>
            </w:pPr>
            <w:r>
              <w:rPr>
                <w:sz w:val="18"/>
              </w:rPr>
            </w:r>
            <w:r>
              <w:rPr>
                <w:sz w:val="18"/>
              </w:rPr>
              <w:t>237</w:t>
            </w:r>
          </w:p>
        </w:tc>
        <w:tc>
          <w:tcPr>
            <w:tcW w:type="dxa" w:w="1584"/>
          </w:tcPr>
          <w:p>
            <w:pPr>
              <w:spacing w:after="40"/>
            </w:pPr>
            <w:r>
              <w:rPr>
                <w:sz w:val="18"/>
              </w:rPr>
            </w:r>
            <w:r>
              <w:rPr>
                <w:sz w:val="18"/>
              </w:rPr>
              <w:t>States that hold legal sovereignty without the capacity of a state, and the international rules that keep them alive.</w:t>
            </w:r>
          </w:p>
        </w:tc>
      </w:tr>
      <w:tr>
        <w:tc>
          <w:tcPr>
            <w:tcW w:type="dxa" w:w="1584"/>
          </w:tcPr>
          <w:p>
            <w:pPr>
              <w:spacing w:after="40"/>
            </w:pPr>
            <w:r>
              <w:rPr>
                <w:sz w:val="18"/>
              </w:rPr>
            </w:r>
            <w:r>
              <w:rPr>
                <w:sz w:val="18"/>
              </w:rPr>
              <w:t>Stathis N. Kalyvas</w:t>
            </w:r>
          </w:p>
        </w:tc>
        <w:tc>
          <w:tcPr>
            <w:tcW w:type="dxa" w:w="1584"/>
          </w:tcPr>
          <w:p>
            <w:pPr>
              <w:spacing w:after="40"/>
            </w:pPr>
            <w:r>
              <w:rPr>
                <w:sz w:val="18"/>
              </w:rPr>
            </w:r>
            <w:r>
              <w:rPr>
                <w:i/>
                <w:sz w:val="18"/>
              </w:rPr>
              <w:t>The Logic of Violence in Civil War</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2006</w:t>
            </w:r>
          </w:p>
        </w:tc>
        <w:tc>
          <w:tcPr>
            <w:tcW w:type="dxa" w:w="1584"/>
          </w:tcPr>
          <w:p>
            <w:pPr>
              <w:spacing w:after="40"/>
            </w:pPr>
            <w:r>
              <w:rPr>
                <w:sz w:val="18"/>
              </w:rPr>
            </w:r>
            <w:r>
              <w:rPr>
                <w:sz w:val="18"/>
              </w:rPr>
              <w:t>510</w:t>
            </w:r>
          </w:p>
        </w:tc>
        <w:tc>
          <w:tcPr>
            <w:tcW w:type="dxa" w:w="1584"/>
          </w:tcPr>
          <w:p>
            <w:pPr>
              <w:spacing w:after="40"/>
            </w:pPr>
            <w:r>
              <w:rPr>
                <w:sz w:val="18"/>
              </w:rPr>
            </w:r>
            <w:r>
              <w:rPr>
                <w:sz w:val="18"/>
              </w:rPr>
              <w:t>Argues violence against civilians follows a logic of territorial control and information, not opaque hatred.</w:t>
            </w:r>
          </w:p>
        </w:tc>
      </w:tr>
      <w:tr>
        <w:tc>
          <w:tcPr>
            <w:tcW w:type="dxa" w:w="1584"/>
          </w:tcPr>
          <w:p>
            <w:pPr>
              <w:spacing w:after="40"/>
            </w:pPr>
            <w:r>
              <w:rPr>
                <w:sz w:val="18"/>
              </w:rPr>
            </w:r>
            <w:r>
              <w:rPr>
                <w:sz w:val="18"/>
              </w:rPr>
              <w:t>Lavan Kandiah</w:t>
            </w:r>
          </w:p>
        </w:tc>
        <w:tc>
          <w:tcPr>
            <w:tcW w:type="dxa" w:w="1584"/>
          </w:tcPr>
          <w:p>
            <w:pPr>
              <w:spacing w:after="40"/>
            </w:pPr>
            <w:r>
              <w:rPr>
                <w:sz w:val="18"/>
              </w:rPr>
            </w:r>
            <w:r>
              <w:rPr>
                <w:i/>
                <w:sz w:val="18"/>
              </w:rPr>
              <w:t>Examining the Centrality of State Legitimacy and Capacity to Stable Governance in the Syrian Conflict</w:t>
            </w:r>
          </w:p>
        </w:tc>
        <w:tc>
          <w:tcPr>
            <w:tcW w:type="dxa" w:w="1584"/>
          </w:tcPr>
          <w:p>
            <w:pPr>
              <w:spacing w:after="40"/>
            </w:pPr>
            <w:r>
              <w:rPr>
                <w:sz w:val="18"/>
              </w:rPr>
            </w:r>
            <w:r>
              <w:rPr>
                <w:sz w:val="18"/>
              </w:rPr>
              <w:t>not recorded</w:t>
            </w:r>
          </w:p>
        </w:tc>
        <w:tc>
          <w:tcPr>
            <w:tcW w:type="dxa" w:w="1584"/>
          </w:tcPr>
          <w:p>
            <w:pPr>
              <w:spacing w:after="40"/>
            </w:pPr>
            <w:r>
              <w:rPr>
                <w:sz w:val="18"/>
              </w:rPr>
            </w:r>
            <w:r>
              <w:rPr>
                <w:sz w:val="18"/>
              </w:rPr>
              <w:t>2018</w:t>
            </w:r>
          </w:p>
        </w:tc>
        <w:tc>
          <w:tcPr>
            <w:tcW w:type="dxa" w:w="1584"/>
          </w:tcPr>
          <w:p>
            <w:pPr>
              <w:spacing w:after="40"/>
            </w:pPr>
            <w:r>
              <w:rPr>
                <w:sz w:val="18"/>
              </w:rPr>
            </w:r>
            <w:r>
              <w:rPr>
                <w:sz w:val="18"/>
              </w:rPr>
              <w:t>58</w:t>
            </w:r>
          </w:p>
        </w:tc>
        <w:tc>
          <w:tcPr>
            <w:tcW w:type="dxa" w:w="1584"/>
          </w:tcPr>
          <w:p>
            <w:pPr>
              <w:spacing w:after="40"/>
            </w:pPr>
            <w:r>
              <w:rPr>
                <w:sz w:val="18"/>
              </w:rPr>
            </w:r>
            <w:r>
              <w:rPr>
                <w:sz w:val="18"/>
              </w:rPr>
              <w:t>A research paper on how outside powers make domestic legitimacy conditional in Syria, and what that does to stability.</w:t>
            </w:r>
          </w:p>
        </w:tc>
      </w:tr>
      <w:tr>
        <w:tc>
          <w:tcPr>
            <w:tcW w:type="dxa" w:w="1584"/>
          </w:tcPr>
          <w:p>
            <w:pPr>
              <w:spacing w:after="40"/>
            </w:pPr>
            <w:r>
              <w:rPr>
                <w:sz w:val="18"/>
              </w:rPr>
            </w:r>
            <w:r>
              <w:rPr>
                <w:sz w:val="18"/>
              </w:rPr>
              <w:t>Kristen Kao et al. (eds)</w:t>
            </w:r>
          </w:p>
        </w:tc>
        <w:tc>
          <w:tcPr>
            <w:tcW w:type="dxa" w:w="1584"/>
          </w:tcPr>
          <w:p>
            <w:pPr>
              <w:spacing w:after="40"/>
            </w:pPr>
            <w:r>
              <w:rPr>
                <w:sz w:val="18"/>
              </w:rPr>
            </w:r>
            <w:r>
              <w:rPr>
                <w:i/>
                <w:sz w:val="18"/>
              </w:rPr>
              <w:t>Decentralization, Local Governance, and Inequality in the Middle East and North Africa</w:t>
            </w:r>
          </w:p>
        </w:tc>
        <w:tc>
          <w:tcPr>
            <w:tcW w:type="dxa" w:w="1584"/>
          </w:tcPr>
          <w:p>
            <w:pPr>
              <w:spacing w:after="40"/>
            </w:pPr>
            <w:r>
              <w:rPr>
                <w:sz w:val="18"/>
              </w:rPr>
            </w:r>
            <w:r>
              <w:rPr>
                <w:sz w:val="18"/>
              </w:rPr>
              <w:t>University of Michigan Press</w:t>
            </w:r>
          </w:p>
        </w:tc>
        <w:tc>
          <w:tcPr>
            <w:tcW w:type="dxa" w:w="1584"/>
          </w:tcPr>
          <w:p>
            <w:pPr>
              <w:spacing w:after="40"/>
            </w:pPr>
            <w:r>
              <w:rPr>
                <w:sz w:val="18"/>
              </w:rPr>
            </w:r>
            <w:r>
              <w:rPr>
                <w:sz w:val="18"/>
              </w:rPr>
              <w:t>2025</w:t>
            </w:r>
          </w:p>
        </w:tc>
        <w:tc>
          <w:tcPr>
            <w:tcW w:type="dxa" w:w="1584"/>
          </w:tcPr>
          <w:p>
            <w:pPr>
              <w:spacing w:after="40"/>
            </w:pPr>
            <w:r>
              <w:rPr>
                <w:sz w:val="18"/>
              </w:rPr>
            </w:r>
            <w:r>
              <w:rPr>
                <w:sz w:val="18"/>
              </w:rPr>
              <w:t>347</w:t>
            </w:r>
          </w:p>
        </w:tc>
        <w:tc>
          <w:tcPr>
            <w:tcW w:type="dxa" w:w="1584"/>
          </w:tcPr>
          <w:p>
            <w:pPr>
              <w:spacing w:after="40"/>
            </w:pPr>
            <w:r>
              <w:rPr>
                <w:sz w:val="18"/>
              </w:rPr>
            </w:r>
            <w:r>
              <w:rPr>
                <w:sz w:val="18"/>
              </w:rPr>
              <w:t>How decentralisation is actually lived locally across Lebanon, Morocco, Syria and Tunisia. An edited collection.</w:t>
            </w:r>
          </w:p>
        </w:tc>
      </w:tr>
      <w:tr>
        <w:tc>
          <w:tcPr>
            <w:tcW w:type="dxa" w:w="1584"/>
          </w:tcPr>
          <w:p>
            <w:pPr>
              <w:spacing w:after="40"/>
            </w:pPr>
            <w:r>
              <w:rPr>
                <w:sz w:val="18"/>
              </w:rPr>
            </w:r>
            <w:r>
              <w:rPr>
                <w:sz w:val="18"/>
              </w:rPr>
              <w:t>Siniša Malešević and Mark Haugaard (eds)</w:t>
            </w:r>
          </w:p>
        </w:tc>
        <w:tc>
          <w:tcPr>
            <w:tcW w:type="dxa" w:w="1584"/>
          </w:tcPr>
          <w:p>
            <w:pPr>
              <w:spacing w:after="40"/>
            </w:pPr>
            <w:r>
              <w:rPr>
                <w:sz w:val="18"/>
              </w:rPr>
            </w:r>
            <w:r>
              <w:rPr>
                <w:i/>
                <w:sz w:val="18"/>
              </w:rPr>
              <w:t>Ernest Gellner and Contemporary Social Thought</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2007</w:t>
            </w:r>
          </w:p>
        </w:tc>
        <w:tc>
          <w:tcPr>
            <w:tcW w:type="dxa" w:w="1584"/>
          </w:tcPr>
          <w:p>
            <w:pPr>
              <w:spacing w:after="40"/>
            </w:pPr>
            <w:r>
              <w:rPr>
                <w:sz w:val="18"/>
              </w:rPr>
            </w:r>
            <w:r>
              <w:rPr>
                <w:sz w:val="18"/>
              </w:rPr>
              <w:t>290</w:t>
            </w:r>
          </w:p>
        </w:tc>
        <w:tc>
          <w:tcPr>
            <w:tcW w:type="dxa" w:w="1584"/>
          </w:tcPr>
          <w:p>
            <w:pPr>
              <w:spacing w:after="40"/>
            </w:pPr>
            <w:r>
              <w:rPr>
                <w:sz w:val="18"/>
              </w:rPr>
            </w:r>
            <w:r>
              <w:rPr>
                <w:sz w:val="18"/>
              </w:rPr>
              <w:t>Ernest Gellner's legacy reassessed by leading social theorists. An edited collection.</w:t>
            </w:r>
          </w:p>
        </w:tc>
      </w:tr>
      <w:tr>
        <w:tc>
          <w:tcPr>
            <w:tcW w:type="dxa" w:w="1584"/>
          </w:tcPr>
          <w:p>
            <w:pPr>
              <w:spacing w:after="40"/>
            </w:pPr>
            <w:r>
              <w:rPr>
                <w:sz w:val="18"/>
              </w:rPr>
            </w:r>
            <w:r>
              <w:rPr>
                <w:sz w:val="18"/>
              </w:rPr>
              <w:t>Siniša Malešević</w:t>
            </w:r>
          </w:p>
        </w:tc>
        <w:tc>
          <w:tcPr>
            <w:tcW w:type="dxa" w:w="1584"/>
          </w:tcPr>
          <w:p>
            <w:pPr>
              <w:spacing w:after="40"/>
            </w:pPr>
            <w:r>
              <w:rPr>
                <w:sz w:val="18"/>
              </w:rPr>
            </w:r>
            <w:r>
              <w:rPr>
                <w:i/>
                <w:sz w:val="18"/>
              </w:rPr>
              <w:t>The Sociology of War and Violence</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2010</w:t>
            </w:r>
          </w:p>
        </w:tc>
        <w:tc>
          <w:tcPr>
            <w:tcW w:type="dxa" w:w="1584"/>
          </w:tcPr>
          <w:p>
            <w:pPr>
              <w:spacing w:after="40"/>
            </w:pPr>
            <w:r>
              <w:rPr>
                <w:sz w:val="18"/>
              </w:rPr>
            </w:r>
            <w:r>
              <w:rPr>
                <w:sz w:val="18"/>
              </w:rPr>
              <w:t>380</w:t>
            </w:r>
          </w:p>
        </w:tc>
        <w:tc>
          <w:tcPr>
            <w:tcW w:type="dxa" w:w="1584"/>
          </w:tcPr>
          <w:p>
            <w:pPr>
              <w:spacing w:after="40"/>
            </w:pPr>
            <w:r>
              <w:rPr>
                <w:sz w:val="18"/>
              </w:rPr>
            </w:r>
            <w:r>
              <w:rPr>
                <w:sz w:val="18"/>
              </w:rPr>
              <w:t>Argues organisation and ideology, not human nature, are what make mass violence possible.</w:t>
            </w:r>
          </w:p>
        </w:tc>
      </w:tr>
      <w:tr>
        <w:tc>
          <w:tcPr>
            <w:tcW w:type="dxa" w:w="1584"/>
          </w:tcPr>
          <w:p>
            <w:pPr>
              <w:spacing w:after="40"/>
            </w:pPr>
            <w:r>
              <w:rPr>
                <w:sz w:val="18"/>
              </w:rPr>
            </w:r>
            <w:r>
              <w:rPr>
                <w:sz w:val="18"/>
              </w:rPr>
              <w:t>Siniša Malešević</w:t>
            </w:r>
          </w:p>
        </w:tc>
        <w:tc>
          <w:tcPr>
            <w:tcW w:type="dxa" w:w="1584"/>
          </w:tcPr>
          <w:p>
            <w:pPr>
              <w:spacing w:after="40"/>
            </w:pPr>
            <w:r>
              <w:rPr>
                <w:sz w:val="18"/>
              </w:rPr>
            </w:r>
            <w:r>
              <w:rPr>
                <w:i/>
                <w:sz w:val="18"/>
              </w:rPr>
              <w:t>Nation-States and Nationalisms: Organization, Ideology and Solidarity</w:t>
            </w:r>
          </w:p>
        </w:tc>
        <w:tc>
          <w:tcPr>
            <w:tcW w:type="dxa" w:w="1584"/>
          </w:tcPr>
          <w:p>
            <w:pPr>
              <w:spacing w:after="40"/>
            </w:pPr>
            <w:r>
              <w:rPr>
                <w:sz w:val="18"/>
              </w:rPr>
            </w:r>
            <w:r>
              <w:rPr>
                <w:sz w:val="18"/>
              </w:rPr>
              <w:t>Polity</w:t>
            </w:r>
          </w:p>
        </w:tc>
        <w:tc>
          <w:tcPr>
            <w:tcW w:type="dxa" w:w="1584"/>
          </w:tcPr>
          <w:p>
            <w:pPr>
              <w:spacing w:after="40"/>
            </w:pPr>
            <w:r>
              <w:rPr>
                <w:sz w:val="18"/>
              </w:rPr>
            </w:r>
            <w:r>
              <w:rPr>
                <w:sz w:val="18"/>
              </w:rPr>
              <w:t>2013</w:t>
            </w:r>
          </w:p>
        </w:tc>
        <w:tc>
          <w:tcPr>
            <w:tcW w:type="dxa" w:w="1584"/>
          </w:tcPr>
          <w:p>
            <w:pPr>
              <w:spacing w:after="40"/>
            </w:pPr>
            <w:r>
              <w:rPr>
                <w:sz w:val="18"/>
              </w:rPr>
            </w:r>
            <w:r>
              <w:rPr>
                <w:sz w:val="18"/>
              </w:rPr>
              <w:t>248</w:t>
            </w:r>
          </w:p>
        </w:tc>
        <w:tc>
          <w:tcPr>
            <w:tcW w:type="dxa" w:w="1584"/>
          </w:tcPr>
          <w:p>
            <w:pPr>
              <w:spacing w:after="40"/>
            </w:pPr>
            <w:r>
              <w:rPr>
                <w:sz w:val="18"/>
              </w:rPr>
            </w:r>
            <w:r>
              <w:rPr>
                <w:sz w:val="18"/>
              </w:rPr>
              <w:t>Treats the nation-state as a product of organisation, ideology and small-group loyalty rather than a natural identity.</w:t>
            </w:r>
          </w:p>
        </w:tc>
      </w:tr>
      <w:tr>
        <w:tc>
          <w:tcPr>
            <w:tcW w:type="dxa" w:w="1584"/>
          </w:tcPr>
          <w:p>
            <w:pPr>
              <w:spacing w:after="40"/>
            </w:pPr>
            <w:r>
              <w:rPr>
                <w:sz w:val="18"/>
              </w:rPr>
            </w:r>
            <w:r>
              <w:rPr>
                <w:sz w:val="18"/>
              </w:rPr>
              <w:t>Siniša Malešević</w:t>
            </w:r>
          </w:p>
        </w:tc>
        <w:tc>
          <w:tcPr>
            <w:tcW w:type="dxa" w:w="1584"/>
          </w:tcPr>
          <w:p>
            <w:pPr>
              <w:spacing w:after="40"/>
            </w:pPr>
            <w:r>
              <w:rPr>
                <w:sz w:val="18"/>
              </w:rPr>
            </w:r>
            <w:r>
              <w:rPr>
                <w:i/>
                <w:sz w:val="18"/>
              </w:rPr>
              <w:t>Do civil wars make or break states? Towards a historical sociology of intra-state conflicts</w:t>
            </w:r>
          </w:p>
        </w:tc>
        <w:tc>
          <w:tcPr>
            <w:tcW w:type="dxa" w:w="1584"/>
          </w:tcPr>
          <w:p>
            <w:pPr>
              <w:spacing w:after="40"/>
            </w:pPr>
            <w:r>
              <w:rPr>
                <w:sz w:val="18"/>
              </w:rPr>
            </w:r>
            <w:r>
              <w:rPr>
                <w:sz w:val="18"/>
              </w:rPr>
              <w:t>Springer</w:t>
            </w:r>
          </w:p>
        </w:tc>
        <w:tc>
          <w:tcPr>
            <w:tcW w:type="dxa" w:w="1584"/>
          </w:tcPr>
          <w:p>
            <w:pPr>
              <w:spacing w:after="40"/>
            </w:pPr>
            <w:r>
              <w:rPr>
                <w:sz w:val="18"/>
              </w:rPr>
            </w:r>
            <w:r>
              <w:rPr>
                <w:sz w:val="18"/>
              </w:rPr>
              <w:t>2026</w:t>
            </w:r>
          </w:p>
        </w:tc>
        <w:tc>
          <w:tcPr>
            <w:tcW w:type="dxa" w:w="1584"/>
          </w:tcPr>
          <w:p>
            <w:pPr>
              <w:spacing w:after="40"/>
            </w:pPr>
            <w:r>
              <w:rPr>
                <w:sz w:val="18"/>
              </w:rPr>
            </w:r>
            <w:r>
              <w:rPr>
                <w:sz w:val="18"/>
              </w:rPr>
              <w:t>24</w:t>
            </w:r>
          </w:p>
        </w:tc>
        <w:tc>
          <w:tcPr>
            <w:tcW w:type="dxa" w:w="1584"/>
          </w:tcPr>
          <w:p>
            <w:pPr>
              <w:spacing w:after="40"/>
            </w:pPr>
            <w:r>
              <w:rPr>
                <w:sz w:val="18"/>
              </w:rPr>
            </w:r>
            <w:r>
              <w:rPr>
                <w:sz w:val="18"/>
              </w:rPr>
              <w:t>A journal article on when civil war builds a state and when it destroys one.</w:t>
            </w:r>
          </w:p>
        </w:tc>
      </w:tr>
      <w:tr>
        <w:tc>
          <w:tcPr>
            <w:tcW w:type="dxa" w:w="1584"/>
          </w:tcPr>
          <w:p>
            <w:pPr>
              <w:spacing w:after="40"/>
            </w:pPr>
            <w:r>
              <w:rPr>
                <w:sz w:val="18"/>
              </w:rPr>
            </w:r>
            <w:r>
              <w:rPr>
                <w:sz w:val="18"/>
              </w:rPr>
              <w:t>Michael Mann</w:t>
            </w:r>
          </w:p>
        </w:tc>
        <w:tc>
          <w:tcPr>
            <w:tcW w:type="dxa" w:w="1584"/>
          </w:tcPr>
          <w:p>
            <w:pPr>
              <w:spacing w:after="40"/>
            </w:pPr>
            <w:r>
              <w:rPr>
                <w:sz w:val="18"/>
              </w:rPr>
            </w:r>
            <w:r>
              <w:rPr>
                <w:i/>
                <w:sz w:val="18"/>
              </w:rPr>
              <w:t>The Sources of Social Power, Volume 1</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2012</w:t>
            </w:r>
          </w:p>
        </w:tc>
        <w:tc>
          <w:tcPr>
            <w:tcW w:type="dxa" w:w="1584"/>
          </w:tcPr>
          <w:p>
            <w:pPr>
              <w:spacing w:after="40"/>
            </w:pPr>
            <w:r>
              <w:rPr>
                <w:sz w:val="18"/>
              </w:rPr>
            </w:r>
            <w:r>
              <w:rPr>
                <w:sz w:val="18"/>
              </w:rPr>
              <w:t>574</w:t>
            </w:r>
          </w:p>
        </w:tc>
        <w:tc>
          <w:tcPr>
            <w:tcW w:type="dxa" w:w="1584"/>
          </w:tcPr>
          <w:p>
            <w:pPr>
              <w:spacing w:after="40"/>
            </w:pPr>
            <w:r>
              <w:rPr>
                <w:sz w:val="18"/>
              </w:rPr>
            </w:r>
            <w:r>
              <w:rPr>
                <w:sz w:val="18"/>
              </w:rPr>
              <w:t>From prehistory to the eve of industrialisation: the four-sources-of-power model and its first application.</w:t>
            </w:r>
          </w:p>
        </w:tc>
      </w:tr>
      <w:tr>
        <w:tc>
          <w:tcPr>
            <w:tcW w:type="dxa" w:w="1584"/>
          </w:tcPr>
          <w:p>
            <w:pPr>
              <w:spacing w:after="40"/>
            </w:pPr>
            <w:r>
              <w:rPr>
                <w:sz w:val="18"/>
              </w:rPr>
            </w:r>
            <w:r>
              <w:rPr>
                <w:sz w:val="18"/>
              </w:rPr>
              <w:t>Michael Mann</w:t>
            </w:r>
          </w:p>
        </w:tc>
        <w:tc>
          <w:tcPr>
            <w:tcW w:type="dxa" w:w="1584"/>
          </w:tcPr>
          <w:p>
            <w:pPr>
              <w:spacing w:after="40"/>
            </w:pPr>
            <w:r>
              <w:rPr>
                <w:sz w:val="18"/>
              </w:rPr>
            </w:r>
            <w:r>
              <w:rPr>
                <w:i/>
                <w:sz w:val="18"/>
              </w:rPr>
              <w:t>The Sources of Social Power, Volume 2</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1993</w:t>
            </w:r>
          </w:p>
        </w:tc>
        <w:tc>
          <w:tcPr>
            <w:tcW w:type="dxa" w:w="1584"/>
          </w:tcPr>
          <w:p>
            <w:pPr>
              <w:spacing w:after="40"/>
            </w:pPr>
            <w:r>
              <w:rPr>
                <w:sz w:val="18"/>
              </w:rPr>
            </w:r>
            <w:r>
              <w:rPr>
                <w:sz w:val="18"/>
              </w:rPr>
              <w:t>824</w:t>
            </w:r>
          </w:p>
        </w:tc>
        <w:tc>
          <w:tcPr>
            <w:tcW w:type="dxa" w:w="1584"/>
          </w:tcPr>
          <w:p>
            <w:pPr>
              <w:spacing w:after="40"/>
            </w:pPr>
            <w:r>
              <w:rPr>
                <w:sz w:val="18"/>
              </w:rPr>
            </w:r>
            <w:r>
              <w:rPr>
                <w:sz w:val="18"/>
              </w:rPr>
              <w:t>Classes and nation-states, 1760-1914, across the five Western powers at the leading edge of power.</w:t>
            </w:r>
          </w:p>
        </w:tc>
      </w:tr>
      <w:tr>
        <w:tc>
          <w:tcPr>
            <w:tcW w:type="dxa" w:w="1584"/>
          </w:tcPr>
          <w:p>
            <w:pPr>
              <w:spacing w:after="40"/>
            </w:pPr>
            <w:r>
              <w:rPr>
                <w:sz w:val="18"/>
              </w:rPr>
            </w:r>
            <w:r>
              <w:rPr>
                <w:sz w:val="18"/>
              </w:rPr>
              <w:t>Michael Mann</w:t>
            </w:r>
          </w:p>
        </w:tc>
        <w:tc>
          <w:tcPr>
            <w:tcW w:type="dxa" w:w="1584"/>
          </w:tcPr>
          <w:p>
            <w:pPr>
              <w:spacing w:after="40"/>
            </w:pPr>
            <w:r>
              <w:rPr>
                <w:sz w:val="18"/>
              </w:rPr>
            </w:r>
            <w:r>
              <w:rPr>
                <w:i/>
                <w:sz w:val="18"/>
              </w:rPr>
              <w:t>The Sources of Social Power, Volume 3</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2012</w:t>
            </w:r>
          </w:p>
        </w:tc>
        <w:tc>
          <w:tcPr>
            <w:tcW w:type="dxa" w:w="1584"/>
          </w:tcPr>
          <w:p>
            <w:pPr>
              <w:spacing w:after="40"/>
            </w:pPr>
            <w:r>
              <w:rPr>
                <w:sz w:val="18"/>
              </w:rPr>
            </w:r>
            <w:r>
              <w:rPr>
                <w:sz w:val="18"/>
              </w:rPr>
              <w:t>520</w:t>
            </w:r>
          </w:p>
        </w:tc>
        <w:tc>
          <w:tcPr>
            <w:tcW w:type="dxa" w:w="1584"/>
          </w:tcPr>
          <w:p>
            <w:pPr>
              <w:spacing w:after="40"/>
            </w:pPr>
            <w:r>
              <w:rPr>
                <w:sz w:val="18"/>
              </w:rPr>
            </w:r>
            <w:r>
              <w:rPr>
                <w:sz w:val="18"/>
              </w:rPr>
              <w:t>Global empires, ideologies and revolution up to 1945.</w:t>
            </w:r>
          </w:p>
        </w:tc>
      </w:tr>
      <w:tr>
        <w:tc>
          <w:tcPr>
            <w:tcW w:type="dxa" w:w="1584"/>
          </w:tcPr>
          <w:p>
            <w:pPr>
              <w:spacing w:after="40"/>
            </w:pPr>
            <w:r>
              <w:rPr>
                <w:sz w:val="18"/>
              </w:rPr>
            </w:r>
            <w:r>
              <w:rPr>
                <w:sz w:val="18"/>
              </w:rPr>
              <w:t>Michael Mann</w:t>
            </w:r>
          </w:p>
        </w:tc>
        <w:tc>
          <w:tcPr>
            <w:tcW w:type="dxa" w:w="1584"/>
          </w:tcPr>
          <w:p>
            <w:pPr>
              <w:spacing w:after="40"/>
            </w:pPr>
            <w:r>
              <w:rPr>
                <w:sz w:val="18"/>
              </w:rPr>
            </w:r>
            <w:r>
              <w:rPr>
                <w:i/>
                <w:sz w:val="18"/>
              </w:rPr>
              <w:t>The Sources of Social Power, Volume 4</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2013</w:t>
            </w:r>
          </w:p>
        </w:tc>
        <w:tc>
          <w:tcPr>
            <w:tcW w:type="dxa" w:w="1584"/>
          </w:tcPr>
          <w:p>
            <w:pPr>
              <w:spacing w:after="40"/>
            </w:pPr>
            <w:r>
              <w:rPr>
                <w:sz w:val="18"/>
              </w:rPr>
            </w:r>
            <w:r>
              <w:rPr>
                <w:sz w:val="18"/>
              </w:rPr>
              <w:t>500</w:t>
            </w:r>
          </w:p>
        </w:tc>
        <w:tc>
          <w:tcPr>
            <w:tcW w:type="dxa" w:w="1584"/>
          </w:tcPr>
          <w:p>
            <w:pPr>
              <w:spacing w:after="40"/>
            </w:pPr>
            <w:r>
              <w:rPr>
                <w:sz w:val="18"/>
              </w:rPr>
            </w:r>
            <w:r>
              <w:rPr>
                <w:sz w:val="18"/>
              </w:rPr>
              <w:t>Globalisations since 1945: capitalism, the nation-state system, and the American empire.</w:t>
            </w:r>
          </w:p>
        </w:tc>
      </w:tr>
      <w:tr>
        <w:tc>
          <w:tcPr>
            <w:tcW w:type="dxa" w:w="1584"/>
          </w:tcPr>
          <w:p>
            <w:pPr>
              <w:spacing w:after="40"/>
            </w:pPr>
            <w:r>
              <w:rPr>
                <w:sz w:val="18"/>
              </w:rPr>
            </w:r>
            <w:r>
              <w:rPr>
                <w:sz w:val="18"/>
              </w:rPr>
              <w:t>Anthony D. Smith</w:t>
            </w:r>
          </w:p>
        </w:tc>
        <w:tc>
          <w:tcPr>
            <w:tcW w:type="dxa" w:w="1584"/>
          </w:tcPr>
          <w:p>
            <w:pPr>
              <w:spacing w:after="40"/>
            </w:pPr>
            <w:r>
              <w:rPr>
                <w:sz w:val="18"/>
              </w:rPr>
            </w:r>
            <w:r>
              <w:rPr>
                <w:i/>
                <w:sz w:val="18"/>
              </w:rPr>
              <w:t>Ethno-Symbolism and Nationalism: A Cultural Approach</w:t>
            </w:r>
          </w:p>
        </w:tc>
        <w:tc>
          <w:tcPr>
            <w:tcW w:type="dxa" w:w="1584"/>
          </w:tcPr>
          <w:p>
            <w:pPr>
              <w:spacing w:after="40"/>
            </w:pPr>
            <w:r>
              <w:rPr>
                <w:sz w:val="18"/>
              </w:rPr>
            </w:r>
            <w:r>
              <w:rPr>
                <w:sz w:val="18"/>
              </w:rPr>
              <w:t>Routledge</w:t>
            </w:r>
          </w:p>
        </w:tc>
        <w:tc>
          <w:tcPr>
            <w:tcW w:type="dxa" w:w="1584"/>
          </w:tcPr>
          <w:p>
            <w:pPr>
              <w:spacing w:after="40"/>
            </w:pPr>
            <w:r>
              <w:rPr>
                <w:sz w:val="18"/>
              </w:rPr>
            </w:r>
            <w:r>
              <w:rPr>
                <w:sz w:val="18"/>
              </w:rPr>
              <w:t>2009</w:t>
            </w:r>
          </w:p>
        </w:tc>
        <w:tc>
          <w:tcPr>
            <w:tcW w:type="dxa" w:w="1584"/>
          </w:tcPr>
          <w:p>
            <w:pPr>
              <w:spacing w:after="40"/>
            </w:pPr>
            <w:r>
              <w:rPr>
                <w:sz w:val="18"/>
              </w:rPr>
            </w:r>
            <w:r>
              <w:rPr>
                <w:sz w:val="18"/>
              </w:rPr>
              <w:t>193</w:t>
            </w:r>
          </w:p>
        </w:tc>
        <w:tc>
          <w:tcPr>
            <w:tcW w:type="dxa" w:w="1584"/>
          </w:tcPr>
          <w:p>
            <w:pPr>
              <w:spacing w:after="40"/>
            </w:pPr>
            <w:r>
              <w:rPr>
                <w:sz w:val="18"/>
              </w:rPr>
            </w:r>
            <w:r>
              <w:rPr>
                <w:sz w:val="18"/>
              </w:rPr>
              <w:t>The case that modern nations are built from older ethnic memories and symbols rather than invented from nothing.</w:t>
            </w:r>
          </w:p>
        </w:tc>
      </w:tr>
      <w:tr>
        <w:tc>
          <w:tcPr>
            <w:tcW w:type="dxa" w:w="1584"/>
          </w:tcPr>
          <w:p>
            <w:pPr>
              <w:spacing w:after="40"/>
            </w:pPr>
            <w:r>
              <w:rPr>
                <w:sz w:val="18"/>
              </w:rPr>
            </w:r>
            <w:r>
              <w:rPr>
                <w:sz w:val="18"/>
              </w:rPr>
              <w:t>Charles Tilly</w:t>
            </w:r>
          </w:p>
        </w:tc>
        <w:tc>
          <w:tcPr>
            <w:tcW w:type="dxa" w:w="1584"/>
          </w:tcPr>
          <w:p>
            <w:pPr>
              <w:spacing w:after="40"/>
            </w:pPr>
            <w:r>
              <w:rPr>
                <w:sz w:val="18"/>
              </w:rPr>
            </w:r>
            <w:r>
              <w:rPr>
                <w:i/>
                <w:sz w:val="18"/>
              </w:rPr>
              <w:t>From Mobilization to Revolution</w:t>
            </w:r>
          </w:p>
        </w:tc>
        <w:tc>
          <w:tcPr>
            <w:tcW w:type="dxa" w:w="1584"/>
          </w:tcPr>
          <w:p>
            <w:pPr>
              <w:spacing w:after="40"/>
            </w:pPr>
            <w:r>
              <w:rPr>
                <w:sz w:val="18"/>
              </w:rPr>
            </w:r>
            <w:r>
              <w:rPr>
                <w:sz w:val="18"/>
              </w:rPr>
              <w:t>Random House</w:t>
            </w:r>
          </w:p>
        </w:tc>
        <w:tc>
          <w:tcPr>
            <w:tcW w:type="dxa" w:w="1584"/>
          </w:tcPr>
          <w:p>
            <w:pPr>
              <w:spacing w:after="40"/>
            </w:pPr>
            <w:r>
              <w:rPr>
                <w:sz w:val="18"/>
              </w:rPr>
            </w:r>
            <w:r>
              <w:rPr>
                <w:sz w:val="18"/>
              </w:rPr>
              <w:t>1978</w:t>
            </w:r>
          </w:p>
        </w:tc>
        <w:tc>
          <w:tcPr>
            <w:tcW w:type="dxa" w:w="1584"/>
          </w:tcPr>
          <w:p>
            <w:pPr>
              <w:spacing w:after="40"/>
            </w:pPr>
            <w:r>
              <w:rPr>
                <w:sz w:val="18"/>
              </w:rPr>
            </w:r>
            <w:r>
              <w:rPr>
                <w:sz w:val="18"/>
              </w:rPr>
              <w:t>364</w:t>
            </w:r>
          </w:p>
        </w:tc>
        <w:tc>
          <w:tcPr>
            <w:tcW w:type="dxa" w:w="1584"/>
          </w:tcPr>
          <w:p>
            <w:pPr>
              <w:spacing w:after="40"/>
            </w:pPr>
            <w:r>
              <w:rPr>
                <w:sz w:val="18"/>
              </w:rPr>
            </w:r>
            <w:r>
              <w:rPr>
                <w:sz w:val="18"/>
              </w:rPr>
              <w:t>How groups organise, make claims, and occasionally convert conflict into revolution.</w:t>
            </w:r>
          </w:p>
        </w:tc>
      </w:tr>
      <w:tr>
        <w:tc>
          <w:tcPr>
            <w:tcW w:type="dxa" w:w="1584"/>
          </w:tcPr>
          <w:p>
            <w:pPr>
              <w:spacing w:after="40"/>
            </w:pPr>
            <w:r>
              <w:rPr>
                <w:sz w:val="18"/>
              </w:rPr>
            </w:r>
            <w:r>
              <w:rPr>
                <w:sz w:val="18"/>
              </w:rPr>
              <w:t>Uğur Ümit Üngör</w:t>
            </w:r>
          </w:p>
        </w:tc>
        <w:tc>
          <w:tcPr>
            <w:tcW w:type="dxa" w:w="1584"/>
          </w:tcPr>
          <w:p>
            <w:pPr>
              <w:spacing w:after="40"/>
            </w:pPr>
            <w:r>
              <w:rPr>
                <w:sz w:val="18"/>
              </w:rPr>
            </w:r>
            <w:r>
              <w:rPr>
                <w:i/>
                <w:sz w:val="18"/>
              </w:rPr>
              <w:t>Paramilitarism: Mass Violence in the Shadow of the State</w:t>
            </w:r>
          </w:p>
        </w:tc>
        <w:tc>
          <w:tcPr>
            <w:tcW w:type="dxa" w:w="1584"/>
          </w:tcPr>
          <w:p>
            <w:pPr>
              <w:spacing w:after="40"/>
            </w:pPr>
            <w:r>
              <w:rPr>
                <w:sz w:val="18"/>
              </w:rPr>
            </w:r>
            <w:r>
              <w:rPr>
                <w:sz w:val="18"/>
              </w:rPr>
              <w:t>Oxford University Press</w:t>
            </w:r>
          </w:p>
        </w:tc>
        <w:tc>
          <w:tcPr>
            <w:tcW w:type="dxa" w:w="1584"/>
          </w:tcPr>
          <w:p>
            <w:pPr>
              <w:spacing w:after="40"/>
            </w:pPr>
            <w:r>
              <w:rPr>
                <w:sz w:val="18"/>
              </w:rPr>
            </w:r>
            <w:r>
              <w:rPr>
                <w:sz w:val="18"/>
              </w:rPr>
              <w:t>2020</w:t>
            </w:r>
          </w:p>
        </w:tc>
        <w:tc>
          <w:tcPr>
            <w:tcW w:type="dxa" w:w="1584"/>
          </w:tcPr>
          <w:p>
            <w:pPr>
              <w:spacing w:after="40"/>
            </w:pPr>
            <w:r>
              <w:rPr>
                <w:sz w:val="18"/>
              </w:rPr>
            </w:r>
            <w:r>
              <w:rPr>
                <w:sz w:val="18"/>
              </w:rPr>
              <w:t>216</w:t>
            </w:r>
          </w:p>
        </w:tc>
        <w:tc>
          <w:tcPr>
            <w:tcW w:type="dxa" w:w="1584"/>
          </w:tcPr>
          <w:p>
            <w:pPr>
              <w:spacing w:after="40"/>
            </w:pPr>
            <w:r>
              <w:rPr>
                <w:sz w:val="18"/>
              </w:rPr>
            </w:r>
            <w:r>
              <w:rPr>
                <w:sz w:val="18"/>
              </w:rPr>
              <w:t>Why states outsource mass violence to militias, and what those militias then become.</w:t>
            </w:r>
          </w:p>
        </w:tc>
      </w:tr>
      <w:tr>
        <w:tc>
          <w:tcPr>
            <w:tcW w:type="dxa" w:w="1584"/>
          </w:tcPr>
          <w:p>
            <w:pPr>
              <w:spacing w:after="40"/>
            </w:pPr>
            <w:r>
              <w:rPr>
                <w:sz w:val="18"/>
              </w:rPr>
            </w:r>
            <w:r>
              <w:rPr>
                <w:sz w:val="18"/>
              </w:rPr>
              <w:t>Leila Vignal</w:t>
            </w:r>
          </w:p>
        </w:tc>
        <w:tc>
          <w:tcPr>
            <w:tcW w:type="dxa" w:w="1584"/>
          </w:tcPr>
          <w:p>
            <w:pPr>
              <w:spacing w:after="40"/>
            </w:pPr>
            <w:r>
              <w:rPr>
                <w:sz w:val="18"/>
              </w:rPr>
            </w:r>
            <w:r>
              <w:rPr>
                <w:i/>
                <w:sz w:val="18"/>
              </w:rPr>
              <w:t>War-Torn</w:t>
            </w:r>
          </w:p>
        </w:tc>
        <w:tc>
          <w:tcPr>
            <w:tcW w:type="dxa" w:w="1584"/>
          </w:tcPr>
          <w:p>
            <w:pPr>
              <w:spacing w:after="40"/>
            </w:pPr>
            <w:r>
              <w:rPr>
                <w:sz w:val="18"/>
              </w:rPr>
            </w:r>
            <w:r>
              <w:rPr>
                <w:sz w:val="18"/>
              </w:rPr>
              <w:t>Hurst</w:t>
            </w:r>
          </w:p>
        </w:tc>
        <w:tc>
          <w:tcPr>
            <w:tcW w:type="dxa" w:w="1584"/>
          </w:tcPr>
          <w:p>
            <w:pPr>
              <w:spacing w:after="40"/>
            </w:pPr>
            <w:r>
              <w:rPr>
                <w:sz w:val="18"/>
              </w:rPr>
            </w:r>
            <w:r>
              <w:rPr>
                <w:sz w:val="18"/>
              </w:rPr>
              <w:t>2021</w:t>
            </w:r>
          </w:p>
        </w:tc>
        <w:tc>
          <w:tcPr>
            <w:tcW w:type="dxa" w:w="1584"/>
          </w:tcPr>
          <w:p>
            <w:pPr>
              <w:spacing w:after="40"/>
            </w:pPr>
            <w:r>
              <w:rPr>
                <w:sz w:val="18"/>
              </w:rPr>
            </w:r>
            <w:r>
              <w:rPr>
                <w:sz w:val="18"/>
              </w:rPr>
              <w:t>298</w:t>
            </w:r>
          </w:p>
        </w:tc>
        <w:tc>
          <w:tcPr>
            <w:tcW w:type="dxa" w:w="1584"/>
          </w:tcPr>
          <w:p>
            <w:pPr>
              <w:spacing w:after="40"/>
            </w:pPr>
            <w:r>
              <w:rPr>
                <w:sz w:val="18"/>
              </w:rPr>
            </w:r>
            <w:r>
              <w:rPr>
                <w:sz w:val="18"/>
              </w:rPr>
              <w:t>The Syrian war as it changed everyday economic life and the country's human geography.</w:t>
            </w:r>
          </w:p>
        </w:tc>
      </w:tr>
      <w:tr>
        <w:tc>
          <w:tcPr>
            <w:tcW w:type="dxa" w:w="1584"/>
          </w:tcPr>
          <w:p>
            <w:pPr>
              <w:spacing w:after="40"/>
            </w:pPr>
            <w:r>
              <w:rPr>
                <w:sz w:val="18"/>
              </w:rPr>
            </w:r>
            <w:r>
              <w:rPr>
                <w:sz w:val="18"/>
              </w:rPr>
              <w:t>Benjamin Thomas White</w:t>
            </w:r>
          </w:p>
        </w:tc>
        <w:tc>
          <w:tcPr>
            <w:tcW w:type="dxa" w:w="1584"/>
          </w:tcPr>
          <w:p>
            <w:pPr>
              <w:spacing w:after="40"/>
            </w:pPr>
            <w:r>
              <w:rPr>
                <w:sz w:val="18"/>
              </w:rPr>
            </w:r>
            <w:r>
              <w:rPr>
                <w:i/>
                <w:sz w:val="18"/>
              </w:rPr>
              <w:t>The Emergence of Minorities in the Middle East</w:t>
            </w:r>
          </w:p>
        </w:tc>
        <w:tc>
          <w:tcPr>
            <w:tcW w:type="dxa" w:w="1584"/>
          </w:tcPr>
          <w:p>
            <w:pPr>
              <w:spacing w:after="40"/>
            </w:pPr>
            <w:r>
              <w:rPr>
                <w:sz w:val="18"/>
              </w:rPr>
            </w:r>
            <w:r>
              <w:rPr>
                <w:sz w:val="18"/>
              </w:rPr>
              <w:t>Edinburgh University Press</w:t>
            </w:r>
          </w:p>
        </w:tc>
        <w:tc>
          <w:tcPr>
            <w:tcW w:type="dxa" w:w="1584"/>
          </w:tcPr>
          <w:p>
            <w:pPr>
              <w:spacing w:after="40"/>
            </w:pPr>
            <w:r>
              <w:rPr>
                <w:sz w:val="18"/>
              </w:rPr>
            </w:r>
            <w:r>
              <w:rPr>
                <w:sz w:val="18"/>
              </w:rPr>
              <w:t>2011</w:t>
            </w:r>
          </w:p>
        </w:tc>
        <w:tc>
          <w:tcPr>
            <w:tcW w:type="dxa" w:w="1584"/>
          </w:tcPr>
          <w:p>
            <w:pPr>
              <w:spacing w:after="40"/>
            </w:pPr>
            <w:r>
              <w:rPr>
                <w:sz w:val="18"/>
              </w:rPr>
            </w:r>
            <w:r>
              <w:rPr>
                <w:sz w:val="18"/>
              </w:rPr>
              <w:t>254</w:t>
            </w:r>
          </w:p>
        </w:tc>
        <w:tc>
          <w:tcPr>
            <w:tcW w:type="dxa" w:w="1584"/>
          </w:tcPr>
          <w:p>
            <w:pPr>
              <w:spacing w:after="40"/>
            </w:pPr>
            <w:r>
              <w:rPr>
                <w:sz w:val="18"/>
              </w:rPr>
            </w:r>
            <w:r>
              <w:rPr>
                <w:sz w:val="18"/>
              </w:rPr>
              <w:t>Argues 'minority' and 'majority' were produced by the mandate state, not inherited from before it.</w:t>
            </w:r>
          </w:p>
        </w:tc>
      </w:tr>
      <w:tr>
        <w:tc>
          <w:tcPr>
            <w:tcW w:type="dxa" w:w="1584"/>
          </w:tcPr>
          <w:p>
            <w:pPr>
              <w:spacing w:after="40"/>
            </w:pPr>
            <w:r>
              <w:rPr>
                <w:sz w:val="18"/>
              </w:rPr>
            </w:r>
            <w:r>
              <w:rPr>
                <w:sz w:val="18"/>
              </w:rPr>
              <w:t>Andreas Wimmer</w:t>
            </w:r>
          </w:p>
        </w:tc>
        <w:tc>
          <w:tcPr>
            <w:tcW w:type="dxa" w:w="1584"/>
          </w:tcPr>
          <w:p>
            <w:pPr>
              <w:spacing w:after="40"/>
            </w:pPr>
            <w:r>
              <w:rPr>
                <w:sz w:val="18"/>
              </w:rPr>
            </w:r>
            <w:r>
              <w:rPr>
                <w:i/>
                <w:sz w:val="18"/>
              </w:rPr>
              <w:t>Waves of War</w:t>
            </w:r>
          </w:p>
        </w:tc>
        <w:tc>
          <w:tcPr>
            <w:tcW w:type="dxa" w:w="1584"/>
          </w:tcPr>
          <w:p>
            <w:pPr>
              <w:spacing w:after="40"/>
            </w:pPr>
            <w:r>
              <w:rPr>
                <w:sz w:val="18"/>
              </w:rPr>
            </w:r>
            <w:r>
              <w:rPr>
                <w:sz w:val="18"/>
              </w:rPr>
              <w:t>Cambridge University Press</w:t>
            </w:r>
          </w:p>
        </w:tc>
        <w:tc>
          <w:tcPr>
            <w:tcW w:type="dxa" w:w="1584"/>
          </w:tcPr>
          <w:p>
            <w:pPr>
              <w:spacing w:after="40"/>
            </w:pPr>
            <w:r>
              <w:rPr>
                <w:sz w:val="18"/>
              </w:rPr>
            </w:r>
            <w:r>
              <w:rPr>
                <w:sz w:val="18"/>
              </w:rPr>
              <w:t>2013</w:t>
            </w:r>
          </w:p>
        </w:tc>
        <w:tc>
          <w:tcPr>
            <w:tcW w:type="dxa" w:w="1584"/>
          </w:tcPr>
          <w:p>
            <w:pPr>
              <w:spacing w:after="40"/>
            </w:pPr>
            <w:r>
              <w:rPr>
                <w:sz w:val="18"/>
              </w:rPr>
            </w:r>
            <w:r>
              <w:rPr>
                <w:sz w:val="18"/>
              </w:rPr>
              <w:t>346</w:t>
            </w:r>
          </w:p>
        </w:tc>
        <w:tc>
          <w:tcPr>
            <w:tcW w:type="dxa" w:w="1584"/>
          </w:tcPr>
          <w:p>
            <w:pPr>
              <w:spacing w:after="40"/>
            </w:pPr>
            <w:r>
              <w:rPr>
                <w:sz w:val="18"/>
              </w:rPr>
            </w:r>
            <w:r>
              <w:rPr>
                <w:sz w:val="18"/>
              </w:rPr>
              <w:t>A statistical history arguing nation-state formation and ethnic politics drive two centuries of war.</w:t>
            </w:r>
          </w:p>
        </w:tc>
      </w:tr>
      <w:tr>
        <w:tc>
          <w:tcPr>
            <w:tcW w:type="dxa" w:w="1584"/>
          </w:tcPr>
          <w:p>
            <w:pPr>
              <w:spacing w:after="40"/>
            </w:pPr>
            <w:r>
              <w:rPr>
                <w:sz w:val="18"/>
              </w:rPr>
            </w:r>
            <w:r>
              <w:rPr>
                <w:sz w:val="18"/>
              </w:rPr>
              <w:t>Dominik Zaum</w:t>
            </w:r>
          </w:p>
        </w:tc>
        <w:tc>
          <w:tcPr>
            <w:tcW w:type="dxa" w:w="1584"/>
          </w:tcPr>
          <w:p>
            <w:pPr>
              <w:spacing w:after="40"/>
            </w:pPr>
            <w:r>
              <w:rPr>
                <w:sz w:val="18"/>
              </w:rPr>
            </w:r>
            <w:r>
              <w:rPr>
                <w:i/>
                <w:sz w:val="18"/>
              </w:rPr>
              <w:t>The Sovereignty Paradox: The Norms and Politics of International Statebuilding</w:t>
            </w:r>
          </w:p>
        </w:tc>
        <w:tc>
          <w:tcPr>
            <w:tcW w:type="dxa" w:w="1584"/>
          </w:tcPr>
          <w:p>
            <w:pPr>
              <w:spacing w:after="40"/>
            </w:pPr>
            <w:r>
              <w:rPr>
                <w:sz w:val="18"/>
              </w:rPr>
            </w:r>
            <w:r>
              <w:rPr>
                <w:sz w:val="18"/>
              </w:rPr>
              <w:t>Oxford University Press</w:t>
            </w:r>
          </w:p>
        </w:tc>
        <w:tc>
          <w:tcPr>
            <w:tcW w:type="dxa" w:w="1584"/>
          </w:tcPr>
          <w:p>
            <w:pPr>
              <w:spacing w:after="40"/>
            </w:pPr>
            <w:r>
              <w:rPr>
                <w:sz w:val="18"/>
              </w:rPr>
            </w:r>
            <w:r>
              <w:rPr>
                <w:sz w:val="18"/>
              </w:rPr>
              <w:t>2007</w:t>
            </w:r>
          </w:p>
        </w:tc>
        <w:tc>
          <w:tcPr>
            <w:tcW w:type="dxa" w:w="1584"/>
          </w:tcPr>
          <w:p>
            <w:pPr>
              <w:spacing w:after="40"/>
            </w:pPr>
            <w:r>
              <w:rPr>
                <w:sz w:val="18"/>
              </w:rPr>
            </w:r>
            <w:r>
              <w:rPr>
                <w:sz w:val="18"/>
              </w:rPr>
              <w:t>297</w:t>
            </w:r>
          </w:p>
        </w:tc>
        <w:tc>
          <w:tcPr>
            <w:tcW w:type="dxa" w:w="1584"/>
          </w:tcPr>
          <w:p>
            <w:pPr>
              <w:spacing w:after="40"/>
            </w:pPr>
            <w:r>
              <w:rPr>
                <w:sz w:val="18"/>
              </w:rPr>
            </w:r>
            <w:r>
              <w:rPr>
                <w:sz w:val="18"/>
              </w:rPr>
              <w:t>International administrations that build states while promising self-government, and the contradiction inside that.</w:t>
            </w:r>
          </w:p>
        </w:tc>
      </w:tr>
    </w:tbl>
    <w:p/>
    <w:p>
      <w:r>
        <w:t>The library is deliberately lopsided. It is built around comparative-historical political sociology — state formation, nationalism, political violence, sovereignty — with Syria and the wider Middle East as the empirical centre. That is a research corpus, not a balanced encyclopaedia, and every result in this report is bounded by it.</w:t>
      </w:r>
    </w:p>
    <w:p>
      <w:r>
        <w:rPr>
          <w:b/>
        </w:rPr>
        <w:t>Three notes on the table.</w:t>
      </w:r>
      <w:r>
        <w:t xml:space="preserve"> Michael Mann's </w:t>
      </w:r>
      <w:r>
        <w:rPr>
          <w:i/>
        </w:rPr>
        <w:t>The Sources of Social Power</w:t>
      </w:r>
      <w:r>
        <w:t xml:space="preserve"> appears as four separate volumes, because they are four separate books with different arguments. Five entries are edited collections, and chapters inside them are currently credited to the volume's editor rather than to the chapter's author — a known limitation, recorded above. And three entries carry no publisher in the library record; rather than fill the gap from memory, they are marked "not recorded".</w:t>
      </w:r>
    </w:p>
    <w:p>
      <w:pPr>
        <w:pStyle w:val="Heading2"/>
      </w:pPr>
      <w:r>
        <w:t>Coverage of the Library</w:t>
      </w:r>
    </w:p>
    <w:p>
      <w:r>
        <w:t xml:space="preserve">How lopsided the library is has been measured, not estimated, and the measurement is reported separately in </w:t>
      </w:r>
      <w:r>
        <w:rPr>
          <w:b/>
        </w:rPr>
        <w:t>[*Axial — what the library covers, and what it does not*](axial-coverage.md)</w:t>
      </w:r>
      <w:r>
        <w:t>. It counts how the 6,092 passages spread across the 49,674 name pages the library produced: how many passages sit at each name, how many different books those passages come from, and which topics are covered at length by only one author.</w:t>
      </w:r>
    </w:p>
    <w:p>
      <w:r>
        <w:t>That companion document is the right place to look for two things this report does not settle. The first is how much weight any particular name can bear — the test questions above were chosen against exactly those counts, and the same counts say which other questions this library could answer well. The second is which book to add next, which the coverage figures answer far more directly than a reading of the shelf would.</w:t>
      </w:r>
    </w:p>
    <w:p>
      <w:r>
        <w:t xml:space="preserve">One finding from it belongs here, because it bounds every result below: </w:t>
      </w:r>
      <w:r>
        <w:rPr>
          <w:b/>
        </w:rPr>
        <w:t>about 84% of the library's name pages exist inside a single book</w:t>
      </w:r>
      <w:r>
        <w:t>, and only 329 of the 49,674 pages carry enough passages from enough different books to support a comparison between authors. The library is not thin — it is deep in a small number of places and single-voiced almost everywhere else.</w:t>
      </w:r>
    </w:p>
    <w:p>
      <w:pPr>
        <w:pStyle w:val="Heading2"/>
      </w:pPr>
      <w:r>
        <w:t>Test Cases – Short Briefs</w:t>
      </w:r>
    </w:p>
    <w:p>
      <w:pPr>
        <w:pStyle w:val="Heading3"/>
      </w:pPr>
      <w:r>
        <w:t>How the questions were written</w:t>
      </w:r>
    </w:p>
    <w:p>
      <w:r>
        <w:t>The questions were not written by the people who built the system, and not inside it.</w:t>
      </w:r>
    </w:p>
    <w:p>
      <w:r>
        <w:t>Five of the six (</w:t>
      </w:r>
      <w:r>
        <w:rPr>
          <w:b/>
        </w:rPr>
        <w:t>S-01</w:t>
      </w:r>
      <w:r>
        <w:t xml:space="preserve"> through </w:t>
      </w:r>
      <w:r>
        <w:rPr>
          <w:b/>
        </w:rPr>
        <w:t>S-05</w:t>
      </w:r>
      <w:r>
        <w:t xml:space="preserve">) were written by </w:t>
      </w:r>
      <w:r>
        <w:rPr>
          <w:b/>
        </w:rPr>
        <w:t>GPT-5.6 Pro</w:t>
      </w:r>
      <w:r>
        <w:t xml:space="preserve">, working from a measurement of what the library actually contains — how many passages sit at each name, and across how many books — with no access to the code, the engine, or any previous answer. </w:t>
      </w:r>
      <w:r>
        <w:rPr>
          <w:b/>
        </w:rPr>
        <w:t>P3-04</w:t>
      </w:r>
      <w:r>
        <w:t xml:space="preserve"> was written earlier by </w:t>
      </w:r>
      <w:r>
        <w:rPr>
          <w:b/>
        </w:rPr>
        <w:t>GPT-5.6 Terra</w:t>
      </w:r>
      <w:r>
        <w:t>, working from a description of the research domain alone.</w:t>
      </w:r>
    </w:p>
    <w:p>
      <w:pPr>
        <w:pStyle w:val="Heading3"/>
      </w:pPr>
      <w:r>
        <w:t>How the set was kept diverse</w:t>
      </w:r>
    </w:p>
    <w:p>
      <w:r>
        <w:t>An earlier version of this set was all Syria, all the time. That left most of the library untouched: 25 of the 31 sources are not about Syria, and the widest meeting points in the whole collection are Tilly, Weber, Marx, nationalism and the two world wars. The set was rebuilt on 30 July 2026 against the measured index, one brief per retrieval shape:</w:t>
      </w:r>
    </w:p>
    <w:p>
      <w:pPr>
        <w:pStyle w:val="ListBullet"/>
        <w:spacing w:after="60"/>
      </w:pPr>
      <w:r>
        <w:t xml:space="preserve">a </w:t>
      </w:r>
      <w:r>
        <w:rPr>
          <w:b/>
        </w:rPr>
        <w:t>hub</w:t>
      </w:r>
      <w:r>
        <w:t xml:space="preserve"> anchor at the corpus's centre of gravity (P3-04, </w:t>
      </w:r>
      <w:r>
        <w:rPr>
          <w:rFonts w:ascii="Consolas" w:hAnsi="Consolas"/>
          <w:sz w:val="18"/>
        </w:rPr>
        <w:t>Syria</w:t>
      </w:r>
      <w:r>
        <w:t>, 962 passages / 22 books);</w:t>
      </w:r>
    </w:p>
    <w:p>
      <w:pPr>
        <w:pStyle w:val="ListBullet"/>
        <w:spacing w:after="60"/>
      </w:pPr>
      <w:r>
        <w:rPr>
          <w:b/>
        </w:rPr>
        <w:t>two scholars in dispute</w:t>
      </w:r>
      <w:r>
        <w:t xml:space="preserve"> over densely covered ground (S-01, Tilly 154/20 against Mann 377/15);</w:t>
      </w:r>
    </w:p>
    <w:p>
      <w:pPr>
        <w:pStyle w:val="ListBullet"/>
        <w:spacing w:after="60"/>
      </w:pPr>
      <w:r>
        <w:t xml:space="preserve">a </w:t>
      </w:r>
      <w:r>
        <w:rPr>
          <w:b/>
        </w:rPr>
        <w:t>contested concept</w:t>
      </w:r>
      <w:r>
        <w:t xml:space="preserve"> several books use incompatibly (S-02, </w:t>
      </w:r>
      <w:r>
        <w:rPr>
          <w:rFonts w:ascii="Consolas" w:hAnsi="Consolas"/>
          <w:sz w:val="18"/>
        </w:rPr>
        <w:t>nationalism</w:t>
      </w:r>
      <w:r>
        <w:t>, 158/18);</w:t>
      </w:r>
    </w:p>
    <w:p>
      <w:pPr>
        <w:pStyle w:val="ListBullet"/>
        <w:spacing w:after="60"/>
      </w:pPr>
      <w:r>
        <w:t xml:space="preserve">a </w:t>
      </w:r>
      <w:r>
        <w:rPr>
          <w:b/>
        </w:rPr>
        <w:t>concept whose own founding book is on the shelf</w:t>
      </w:r>
      <w:r>
        <w:t xml:space="preserve"> (S-03, </w:t>
      </w:r>
      <w:r>
        <w:rPr>
          <w:rFonts w:ascii="Consolas" w:hAnsi="Consolas"/>
          <w:sz w:val="18"/>
        </w:rPr>
        <w:t>quasi-states</w:t>
      </w:r>
      <w:r>
        <w:t>, 51/5);</w:t>
      </w:r>
    </w:p>
    <w:p>
      <w:pPr>
        <w:pStyle w:val="ListBullet"/>
        <w:spacing w:after="60"/>
      </w:pPr>
      <w:r>
        <w:rPr>
          <w:b/>
        </w:rPr>
        <w:t>thin coverage</w:t>
      </w:r>
      <w:r>
        <w:t xml:space="preserve"> (S-04, </w:t>
      </w:r>
      <w:r>
        <w:rPr>
          <w:rFonts w:ascii="Consolas" w:hAnsi="Consolas"/>
          <w:sz w:val="18"/>
        </w:rPr>
        <w:t>Transnistria</w:t>
      </w:r>
      <w:r>
        <w:t>, 36/2);</w:t>
      </w:r>
    </w:p>
    <w:p>
      <w:pPr>
        <w:pStyle w:val="ListBullet"/>
        <w:spacing w:after="60"/>
      </w:pPr>
      <w:r>
        <w:rPr>
          <w:b/>
        </w:rPr>
        <w:t>single-source concentration</w:t>
      </w:r>
      <w:r>
        <w:t xml:space="preserve"> (S-05, </w:t>
      </w:r>
      <w:r>
        <w:rPr>
          <w:rFonts w:ascii="Consolas" w:hAnsi="Consolas"/>
          <w:sz w:val="18"/>
        </w:rPr>
        <w:t>Somaliland</w:t>
      </w:r>
      <w:r>
        <w:t>, 52/1).</w:t>
      </w:r>
    </w:p>
    <w:p>
      <w:r>
        <w:t>Every S-brief anchor is mid-sized by design. P3-04 was kept deliberately as the one Syria brief, because the hub case has to be exercised by something.</w:t>
      </w:r>
    </w:p>
    <w:p>
      <w:r>
        <w:t xml:space="preserve">All six ran on the same open-source stack: </w:t>
      </w:r>
      <w:r>
        <w:rPr>
          <w:b/>
        </w:rPr>
        <w:t>DeepSeek v4 Pro</w:t>
      </w:r>
      <w:r>
        <w:t xml:space="preserve"> reading the question and searching the library, </w:t>
      </w:r>
      <w:r>
        <w:rPr>
          <w:b/>
        </w:rPr>
        <w:t>GLM 5.2</w:t>
      </w:r>
      <w:r>
        <w:t xml:space="preserve"> writing the answer and its counter-position.</w:t>
      </w:r>
    </w:p>
    <w:p>
      <w:pPr>
        <w:pStyle w:val="Heading3"/>
      </w:pPr>
      <w:r>
        <w:t>P3-04 — Syria, 2011–2024</w:t>
      </w:r>
    </w:p>
    <w:p>
      <w:r>
        <w:rPr>
          <w:b/>
        </w:rPr>
        <w:t>Category / domain.</w:t>
      </w:r>
      <w:r>
        <w:t xml:space="preserve"> Syrian civil war; sectarianism</w:t>
      </w:r>
    </w:p>
    <w:p>
      <w:r>
        <w:rPr>
          <w:b/>
        </w:rPr>
        <w:t>Question.</w:t>
      </w:r>
    </w:p>
    <w:p>
      <w:pPr>
        <w:spacing w:before="80"/>
        <w:ind w:left="432"/>
      </w:pPr>
      <w:r>
        <w:rPr>
          <w:i/>
        </w:rPr>
        <w:t>Did the war politicize sectarian difference primarily through elite organization, coercive networks, and territorial rule, or did it disclose pre-existing mass sectarian solidarities?</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(b) Axial infers.</w:t>
      </w:r>
      <w:r>
        <w:t xml:space="preserve"> The Syrian state's massive economic expansion—documented by the growth of public investment, public-sector employment reaching 20% of the labor force, and the proliferation of ministries and public organizations—created a material base of patronage through which the regime bound elites and officers to its survival, meaning sectarian difference was mediated through state-controlled economic structures rather than arising from autonomous communal solidarities.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Ayubi 1995 (3 passages); Heydemann 2000; Kandiah 2018</w:t>
      </w:r>
    </w:p>
    <w:p>
      <w:pPr>
        <w:pStyle w:val="ListBullet"/>
        <w:spacing w:after="60"/>
      </w:pPr>
      <w:r>
        <w:rPr>
          <w:b/>
        </w:rPr>
        <w:t>(a) source says.</w:t>
      </w:r>
      <w:r>
        <w:t xml:space="preserve"> Batatu demonstrates that although the regime's power base was solidly Alawite, ordinary Alawis did not enjoy economic privileges over the rest of the population, and regime opponents across all denominations conceded this point—undermining the view that the war disclosed pre-existing mass sectarian solidarities and instead supporting the view that sectarian difference was instrumentally organized by a narrow elite.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Batatu 1999</w:t>
      </w:r>
    </w:p>
    <w:p>
      <w:pPr>
        <w:pStyle w:val="ListBullet"/>
        <w:spacing w:after="60"/>
      </w:pPr>
      <w:r>
        <w:rPr>
          <w:b/>
        </w:rPr>
        <w:t>(a) source says.</w:t>
      </w:r>
      <w:r>
        <w:t xml:space="preserve"> The regime's coercive architecture was organized along sectarian lines for purposes of regime security: Sunni officers held high-profile posts but lacked decision-making power, while Alawite kinsmen controlled intelligence agencies, special forces, and military divisions, with this arrangement intensifying after the 1976–1982 'time of troubles.'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Batatu 1999 (2 passages)</w:t>
      </w:r>
    </w:p>
    <w:p>
      <w:pPr>
        <w:pStyle w:val="ListBullet"/>
        <w:spacing w:after="60"/>
      </w:pPr>
      <w:r>
        <w:rPr>
          <w:b/>
        </w:rPr>
        <w:t>(a) source says.</w:t>
      </w:r>
      <w:r>
        <w:t xml:space="preserve"> Syria's multiple overlapping intelligence networks—Political Security, General Intelligence, Military Intelligence, and Air Force Intelligence—were staffed by personally loyal Alawite Ba'thists whose durability derived from fidelity to Asad rather than from any mandate of the broader Alawite community, indicating that coercive networks were elite-organized instruments of rule.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Batatu 1999</w:t>
      </w:r>
    </w:p>
    <w:p>
      <w:pPr>
        <w:pStyle w:val="ListBullet"/>
        <w:spacing w:after="60"/>
      </w:pPr>
      <w:r>
        <w:rPr>
          <w:b/>
        </w:rPr>
        <w:t>(a) source says.</w:t>
      </w:r>
      <w:r>
        <w:t xml:space="preserve"> Hafez al-Assad's consolidation of power involved the deliberate placement of Alawites in key state and military positions despite their being only 12% of the population, combined with wealth redistribution to co-opt Sunni elites and minorities—demonstrating that sectarian composition of institutions was a strategic political choice rather than a reflection of mass sectarian mobilization.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Kandiah 2018</w:t>
      </w:r>
    </w:p>
    <w:p>
      <w:pPr>
        <w:pStyle w:val="ListBullet"/>
        <w:spacing w:after="60"/>
      </w:pPr>
      <w:r>
        <w:rPr>
          <w:b/>
        </w:rPr>
        <w:t>(a) source says.</w:t>
      </w:r>
      <w:r>
        <w:t xml:space="preserve"> The Syrian army's loyalty to Assad was secured not by sectarian solidarity alone but by a benefits system tying officers' professional and personal lives to the regime, combined with the saturation of military high command with Alawite members and Russian military intervention that generated victories ensuring continued loyalty.</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Kandiah 2018</w:t>
      </w:r>
    </w:p>
    <w:p>
      <w:pPr>
        <w:pStyle w:val="ListBullet"/>
        <w:spacing w:after="60"/>
      </w:pPr>
      <w:r>
        <w:rPr>
          <w:b/>
        </w:rPr>
        <w:t>(a) source says.</w:t>
      </w:r>
      <w:r>
        <w:t xml:space="preserve"> Heydemann's account of the 'soft landing' negotiations between the security apparatus and the Sunni bourgeoisie—in which private wealth of military officers would be protected and Alawi officers would not insist on an Alawi successor—reveals that elite accommodation across sectarian lines was driven by shared material interests in stability rather than by mass sectarian solidarities.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Heydemann 2000</w:t>
      </w:r>
    </w:p>
    <w:p>
      <w:pPr>
        <w:pStyle w:val="ListBullet"/>
        <w:spacing w:after="60"/>
      </w:pPr>
      <w:r>
        <w:rPr>
          <w:b/>
        </w:rPr>
        <w:t>(a) source says.</w:t>
      </w:r>
      <w:r>
        <w:t xml:space="preserve"> The war created power vacuums in local governance that were filled by tribal leaders, militias, and nonstate actors, and even after the regime's reconquest of Daraa it operated through tacit delegation and renegotiation with these actors rather than restoring monopoly control—showing that territorial rule was contested through interlocking elite and local actor relationships, not through the unfolding of pre-existing sectarian solidarities.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Kao 2025 (2 passages)</w:t>
      </w:r>
    </w:p>
    <w:p>
      <w:pPr>
        <w:pStyle w:val="ListBullet"/>
        <w:spacing w:after="60"/>
      </w:pPr>
      <w:r>
        <w:rPr>
          <w:b/>
        </w:rPr>
        <w:t>(a) source says.</w:t>
      </w:r>
      <w:r>
        <w:t xml:space="preserve"> Decentralization processes across MENA, including Syria, reproduced rather than resolved inequalities because existing political and economic imbalances shaped outcomes: conflict led the central state to cede governance roles, creating space for militias and customary leaders to exercise control—indicating that local governance outcomes were products of power vacuums and elite capture, not of pre-existing mass sectarian allegiances.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Kao 2025</w:t>
      </w:r>
    </w:p>
    <w:p>
      <w:pPr>
        <w:pStyle w:val="ListBullet"/>
        <w:spacing w:after="60"/>
      </w:pPr>
      <w:r>
        <w:rPr>
          <w:b/>
        </w:rPr>
        <w:t>(a) source says.</w:t>
      </w:r>
      <w:r>
        <w:t xml:space="preserve"> Üngör's framework shows that paramilitary groups drawn from particular ethnic communities—such as Alawites from the Syrian coast—are neither predetermined to militarize nor 'martial races,' but are shaped over decades by political violence that politicizes identities and deepens threat perceptions, suggesting that sectarian mobilization was a product of organized violence rather than a disclosure of latent mass solidarities.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Üngör 2020</w:t>
      </w:r>
    </w:p>
    <w:p>
      <w:pPr>
        <w:pStyle w:val="ListBullet"/>
        <w:spacing w:after="60"/>
      </w:pPr>
      <w:r>
        <w:rPr>
          <w:b/>
        </w:rPr>
        <w:t>(a) source says.</w:t>
      </w:r>
      <w:r>
        <w:t xml:space="preserve"> Community-based paramilitaries, including those drawn from ethnic communities, typically operate as surrogates of the state without gaining genuine political agency, meaning their militarization reflects state co-optation of local solidarities rather than autonomous mass sectarian mobilization.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Üngör 2020</w:t>
      </w:r>
    </w:p>
    <w:p>
      <w:pPr>
        <w:pStyle w:val="ListBullet"/>
        <w:spacing w:after="60"/>
      </w:pPr>
      <w:r>
        <w:rPr>
          <w:b/>
        </w:rPr>
        <w:t>(a) source says.</w:t>
      </w:r>
      <w:r>
        <w:t xml:space="preserve"> Wimmer frames the Assad clan's Alawite minority rule as an ethno-political configuration violating the nationalist 'like-over-like' principle of legitimacy, triggering rebellions in 1982 and 2011—positioning sectarian conflict as a product of exclusionary elite power configurations rather than as the disclosure of primordial mass solidarities.</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Wimmer 2013</w:t>
      </w:r>
    </w:p>
    <w:p>
      <w:pPr>
        <w:pStyle w:val="ListBullet"/>
        <w:spacing w:after="60"/>
      </w:pPr>
      <w:r>
        <w:rPr>
          <w:b/>
        </w:rPr>
        <w:t>(a) source says.</w:t>
      </w:r>
      <w:r>
        <w:t xml:space="preserve"> Syrian nationalists strategically restricted the term 'minority' to non-Muslim millets not only because the millet framework had resonance but because extending it to Muslim groups like Kurds would have created openings for territorial claims and French interference—demonstrating that sectarian categories were politically instrumentalized by elites to serve territorial and sovereignty objectives.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White 2011</w:t>
      </w:r>
    </w:p>
    <w:p>
      <w:pPr>
        <w:pStyle w:val="ListBullet"/>
        <w:spacing w:after="60"/>
      </w:pPr>
      <w:r>
        <w:rPr>
          <w:b/>
        </w:rPr>
        <w:t>(a) source says.</w:t>
      </w:r>
      <w:r>
        <w:t xml:space="preserve"> External geopolitical actors, primarily Russia and the United States, made domestic legitimacy conditional and volatile by supporting rival factions, and Russian military intervention was the decisive factor in restoring Assad's military viability and legitimizing his governance—showing that sectarian politicization was mediated through external patronage and geopolitical competition rather than through autonomous mass sectarian dynamics.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Kandiah 2018 (2 passages)</w:t>
      </w:r>
    </w:p>
    <w:p>
      <w:pPr>
        <w:pStyle w:val="ListBullet"/>
        <w:spacing w:after="60"/>
      </w:pPr>
      <w:r>
        <w:rPr>
          <w:b/>
        </w:rPr>
        <w:t>(a) source says.</w:t>
      </w:r>
      <w:r>
        <w:t xml:space="preserve"> Bayat argues that the egalitarian communities of square activism are temporary liminal formations that must be understood through political economy and the nature of the state, and that repressive regimes with feeble hegemony inadvertently allow informal socioscapes to form within which alternative norms can enable mobilization—suggesting that mobilization in Syria was shaped by state form and political-economic structures rather than by pre-existing sectarian solidarities.</w:t>
      </w:r>
    </w:p>
    <w:p>
      <w:pPr>
        <w:pStyle w:val="ListBullet2"/>
        <w:spacing w:after="60"/>
      </w:pPr>
      <w:r>
        <w:t xml:space="preserve">Confidence: </w:t>
      </w:r>
      <w:r>
        <w:rPr>
          <w:b/>
        </w:rPr>
        <w:t>medium</w:t>
      </w:r>
    </w:p>
    <w:p>
      <w:pPr>
        <w:pStyle w:val="ListBullet2"/>
        <w:spacing w:after="60"/>
      </w:pPr>
      <w:r>
        <w:t>Sources: Bayat 2017</w:t>
      </w:r>
    </w:p>
    <w:p>
      <w:pPr>
        <w:pStyle w:val="ListBullet"/>
        <w:spacing w:after="60"/>
      </w:pPr>
      <w:r>
        <w:rPr>
          <w:b/>
        </w:rPr>
        <w:t>(a) source says.</w:t>
      </w:r>
      <w:r>
        <w:t xml:space="preserve"> Assad's legitimacy as a 'protector of minorities' was constructed through the war itself: minority Christian, Druze, and Alawite populations came to see him as a protector against an 'inevitable majority-Sunni backlash should he fall,' while domestic legitimacy 'boiled down to a threat: the status quo or the promise of chaos'—indicating that sectarian fear was politically manufactured through the dynamics of conflict rather than disclosed from pre-existing solidarities.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Kandiah 2018</w:t>
      </w:r>
    </w:p>
    <w:p>
      <w:pPr>
        <w:pStyle w:val="ListBullet"/>
        <w:spacing w:after="60"/>
      </w:pPr>
      <w:r>
        <w:rPr>
          <w:b/>
        </w:rPr>
        <w:t>(b) Axial infers.</w:t>
      </w:r>
      <w:r>
        <w:t xml:space="preserve"> While 19th-century sources identify sectarianism as a deep-rooted obstacle to Syrian national unity and patriotism, the political-economy lens reveals these as frameworks that elites could instrumentally deploy: the millet system was a well-established framework that nationalists used strategically, and sectarianism functioned as a tool for managing territorial claims and sovereignty rather than as a mass solidarity awaiting disclosure.</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Beshara 2011 (3 passages); White 2011</w:t>
      </w:r>
    </w:p>
    <w:p>
      <w:pPr>
        <w:pStyle w:val="ListBullet"/>
        <w:spacing w:after="60"/>
      </w:pPr>
      <w:r>
        <w:rPr>
          <w:b/>
        </w:rPr>
        <w:t>(b) Axial infers.</w:t>
      </w:r>
      <w:r>
        <w:t xml:space="preserve"> The political-economy evidence across these sources converges on the conclusion that the war politicized sectarian difference primarily through elite organization of coercive networks, patronage-based economic structures, and contested territorial rule, rather than disclosing pre-existing mass sectarian solidarities: the regime's sectarian character served elite power consolidation, ordinary Alawis shared the economic deprivation of the broader population, paramilitary mobilization reflected state co-optation rather than communal agency, and local governance outcomes were products of power vacuums and elite negotiation.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Ayubi 1995; Batatu 1999 (3 passages); Heydemann 2000; Kao 2025 (2 passages); White 2011; Wimmer 2013; Kandiah 2018 (2 passages); Üngör 2020</w:t>
      </w:r>
    </w:p>
    <w:p>
      <w:r>
        <w:rPr>
          <w:b/>
        </w:rPr>
        <w:t>Counter-position</w:t>
      </w:r>
      <w:r>
        <w:t xml:space="preserve"> — the strongest case against this answer's own conclusion</w:t>
      </w:r>
    </w:p>
    <w:p>
      <w:r>
        <w:t>The war disclosed pre-existing mass sectarian solidarities that were deeply rooted in Syrian society. Nineteenth-century observers such as Nu'aymah argued that when freed from Ottoman rule, Syrians 'pulled off their masks and revealed their true faces,' gravitating toward sectarian inclinations rather than national unity, and that sectarianism was 'Syria's most intractable social malady.' Beshara's account of territorial identification confirms that true patriotism in the Middle East 'fell victim to the deep-rooted concept of sectarianism,' and that communal, religious, and ethnic identities were far more politically significant than territorial ones — implying that sectarian solidarities were primordial mass realities that the war disclosed, not artifacts of elite engineering or coercive architecture.</w:t>
      </w:r>
    </w:p>
    <w:p>
      <w:pPr>
        <w:pStyle w:val="ListBullet2"/>
        <w:spacing w:after="60"/>
      </w:pPr>
      <w:r>
        <w:t>Sources: Beshara 2011 (2 passages)</w:t>
      </w:r>
    </w:p>
    <w:p>
      <w:r>
        <w:rPr>
          <w:b/>
        </w:rPr>
        <w:t>Coverage map</w:t>
      </w:r>
      <w:r>
        <w:t xml:space="preserve"> — how much of the library stands behind each name the answer rests on</w:t>
      </w:r>
    </w:p>
    <w:p>
      <w:pPr>
        <w:pStyle w:val="ListBullet"/>
        <w:spacing w:after="60"/>
      </w:pPr>
      <w:r>
        <w:rPr>
          <w:b/>
        </w:rPr>
        <w:t>'Alawites</w:t>
      </w:r>
      <w:r>
        <w:t xml:space="preserve"> — 19 passages in the library, 10 used here; coverage judged </w:t>
      </w:r>
      <w:r>
        <w:rPr>
          <w:i/>
        </w:rPr>
        <w:t>thin</w:t>
      </w:r>
    </w:p>
    <w:p>
      <w:pPr>
        <w:pStyle w:val="ListBullet"/>
        <w:spacing w:after="60"/>
      </w:pPr>
      <w:r>
        <w:rPr>
          <w:b/>
        </w:rPr>
        <w:t>Assad regime</w:t>
      </w:r>
      <w:r>
        <w:t xml:space="preserve"> — 49 passages in the library, 2 used here; coverage judged </w:t>
      </w:r>
      <w:r>
        <w:rPr>
          <w:i/>
        </w:rPr>
        <w:t>moderate</w:t>
      </w:r>
    </w:p>
    <w:p>
      <w:pPr>
        <w:pStyle w:val="ListBullet"/>
        <w:spacing w:after="60"/>
      </w:pPr>
      <w:r>
        <w:rPr>
          <w:b/>
        </w:rPr>
        <w:t>Sunni</w:t>
      </w:r>
      <w:r>
        <w:t xml:space="preserve"> — 71 passages in the library, 2 used here; coverage judged </w:t>
      </w:r>
      <w:r>
        <w:rPr>
          <w:i/>
        </w:rPr>
        <w:t>moderate</w:t>
      </w:r>
    </w:p>
    <w:p>
      <w:pPr>
        <w:pStyle w:val="ListBullet"/>
        <w:spacing w:after="60"/>
      </w:pPr>
      <w:r>
        <w:rPr>
          <w:b/>
        </w:rPr>
        <w:t>Syria</w:t>
      </w:r>
      <w:r>
        <w:t xml:space="preserve"> — 962 passages in the library, 16 used here; coverage judged </w:t>
      </w:r>
      <w:r>
        <w:rPr>
          <w:i/>
        </w:rPr>
        <w:t>dense</w:t>
      </w:r>
    </w:p>
    <w:p>
      <w:pPr>
        <w:pStyle w:val="ListBullet"/>
        <w:spacing w:after="60"/>
      </w:pPr>
      <w:r>
        <w:rPr>
          <w:b/>
        </w:rPr>
        <w:t>Syrian Civil War</w:t>
      </w:r>
      <w:r>
        <w:t xml:space="preserve"> — 9 passages in the library, 4 used here; coverage judged </w:t>
      </w:r>
      <w:r>
        <w:rPr>
          <w:i/>
        </w:rPr>
        <w:t>thin</w:t>
      </w:r>
    </w:p>
    <w:p>
      <w:pPr>
        <w:pStyle w:val="ListBullet"/>
        <w:spacing w:after="60"/>
      </w:pPr>
      <w:r>
        <w:rPr>
          <w:b/>
        </w:rPr>
        <w:t>sectarianism</w:t>
      </w:r>
      <w:r>
        <w:t xml:space="preserve"> — 3 passages in the library, 2 used here; coverage judged </w:t>
      </w:r>
      <w:r>
        <w:rPr>
          <w:i/>
        </w:rPr>
        <w:t>thin</w:t>
      </w:r>
    </w:p>
    <w:p>
      <w:r>
        <w:rPr>
          <w:b/>
        </w:rPr>
        <w:t>Confidence</w:t>
      </w:r>
    </w:p>
    <w:p>
      <w:r>
        <w:t xml:space="preserve">Overall band: </w:t>
      </w:r>
      <w:r>
        <w:rPr>
          <w:b/>
        </w:rPr>
        <w:t>low</w:t>
      </w:r>
    </w:p>
    <w:p>
      <w:r>
        <w:t>Why: overall confidence is 'low', bounded by the thinnest-covered name it touches ("'Alawites", band 'thin'); coverage by name: 'Alawites (thin: 19 passages in the library, 10 used here); Assad regime (moderate: 49 passages in the library, 2 used here); Sunni (moderate: 71 passages in the library, 2 used here); Syria (dense: 962 passages in the library, 16 used here); Syrian Civil War (thin: 9 passages in the library, 4 used here); sectarianism (thin: 3 passages in the library, 2 used here)</w:t>
      </w:r>
    </w:p>
    <w:p>
      <w:r>
        <w:rPr>
          <w:b/>
        </w:rPr>
        <w:t>Source usage</w:t>
      </w:r>
      <w:r>
        <w:t xml:space="preserve"> — share of the answer's cited evidence taken from each book</w:t>
      </w:r>
    </w:p>
    <w:p>
      <w:pPr>
        <w:pStyle w:val="ListBullet"/>
        <w:spacing w:after="60"/>
      </w:pPr>
      <w:r>
        <w:t>Ayubi 1995: 15%</w:t>
      </w:r>
    </w:p>
    <w:p>
      <w:pPr>
        <w:pStyle w:val="ListBullet"/>
        <w:spacing w:after="60"/>
      </w:pPr>
      <w:r>
        <w:t>Batatu 1999: 15%</w:t>
      </w:r>
    </w:p>
    <w:p>
      <w:pPr>
        <w:pStyle w:val="ListBullet"/>
        <w:spacing w:after="60"/>
      </w:pPr>
      <w:r>
        <w:t>Beshara 2011: 15%</w:t>
      </w:r>
    </w:p>
    <w:p>
      <w:pPr>
        <w:pStyle w:val="ListBullet"/>
        <w:spacing w:after="60"/>
      </w:pPr>
      <w:r>
        <w:t>Kandiah 2018: 15%</w:t>
      </w:r>
    </w:p>
    <w:p>
      <w:pPr>
        <w:pStyle w:val="ListBullet"/>
        <w:spacing w:after="60"/>
      </w:pPr>
      <w:r>
        <w:t>Kao 2025: 15%</w:t>
      </w:r>
    </w:p>
    <w:p>
      <w:pPr>
        <w:pStyle w:val="ListBullet"/>
        <w:spacing w:after="60"/>
      </w:pPr>
      <w:r>
        <w:t>Bayat 2017: 5%</w:t>
      </w:r>
    </w:p>
    <w:p>
      <w:pPr>
        <w:pStyle w:val="ListBullet"/>
        <w:spacing w:after="60"/>
      </w:pPr>
      <w:r>
        <w:t>Heydemann 2000: 5%</w:t>
      </w:r>
    </w:p>
    <w:p>
      <w:pPr>
        <w:pStyle w:val="ListBullet"/>
        <w:spacing w:after="60"/>
      </w:pPr>
      <w:r>
        <w:t>Üngör 2020: 5%</w:t>
      </w:r>
    </w:p>
    <w:p>
      <w:pPr>
        <w:pStyle w:val="ListBullet"/>
        <w:spacing w:after="60"/>
      </w:pPr>
      <w:r>
        <w:t>White 2011: 5%</w:t>
      </w:r>
    </w:p>
    <w:p>
      <w:pPr>
        <w:pStyle w:val="ListBullet"/>
        <w:spacing w:after="60"/>
      </w:pPr>
      <w:r>
        <w:t>Wimmer 2013: 5%</w:t>
      </w:r>
    </w:p>
    <w:p>
      <w:r>
        <w:rPr>
          <w:b/>
        </w:rPr>
        <w:t>Peer reviewer.</w:t>
      </w:r>
    </w:p>
    <w:p>
      <w:r>
        <w:rPr>
          <w:b/>
        </w:rPr>
        <w:t>Strong</w:t>
      </w:r>
      <w:r>
        <w:t xml:space="preserve"> on factual correctness, </w:t>
      </w:r>
      <w:r>
        <w:rPr>
          <w:b/>
        </w:rPr>
        <w:t>strong</w:t>
      </w:r>
      <w:r>
        <w:t xml:space="preserve"> on citation grounding, </w:t>
      </w:r>
      <w:r>
        <w:rPr>
          <w:b/>
        </w:rPr>
        <w:t>adequate</w:t>
      </w:r>
      <w:r>
        <w:t xml:space="preserve"> on completeness. The reviewer found two defects, both of the mild kind: one inference reaching slightly past the passage it cites, and one claim carrying a shade more emphasis than its source. Reviewed before this round's fixes, the same question drew ten defects and a 'weak' on completeness. It is the largest single improvement in the set. Note also what the engine did to itself here: three of the six names this answer rests on are thinly covered, and 17 of its 18 claims were capped below the confidence the writing model asked for.</w:t>
      </w:r>
    </w:p>
    <w:p>
      <w:r>
        <w:rPr>
          <w:b/>
        </w:rPr>
        <w:t>Metrics.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21 min 29 s — of which about 10 minutes is one-time startup paid by whichever brief runs first</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$0.1192</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10</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2 of 7 (missed: Caspersen 2012, Kalyvas 2006, Malešević 2026, Mann vol. IV, Vignal 2021)</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3 of 3</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18 claims, 1,616 words</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p>
      <w:pPr>
        <w:pStyle w:val="Heading3"/>
      </w:pPr>
      <w:r>
        <w:t>S-01 — Comparative: European nation-state formation, 1760-1914</w:t>
      </w:r>
    </w:p>
    <w:p>
      <w:r>
        <w:rPr>
          <w:b/>
        </w:rPr>
        <w:t>Category / domain.</w:t>
      </w:r>
      <w:r>
        <w:t xml:space="preserve"> European state formation theory</w:t>
      </w:r>
    </w:p>
    <w:p>
      <w:r>
        <w:rPr>
          <w:b/>
        </w:rPr>
        <w:t>Question.</w:t>
      </w:r>
    </w:p>
    <w:p>
      <w:pPr>
        <w:spacing w:before="80"/>
        <w:ind w:left="432"/>
      </w:pPr>
      <w:r>
        <w:rPr>
          <w:i/>
        </w:rPr>
        <w:t>Does Michael Mann's distinction between infrastructural and despotic power overturn Charles Tilly's war-centred account of European nation-state formation, or merely specify its mechanisms?</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Mann explicitly positions himself alongside Tilly as co-demonstrators that war dominated the rise of the European state, saying 'War also dominated the rise of the European state, as Charles Tilly (1990) and I (Mann 1986, 1993) have demonstrated,' indicating that Mann's framework builds on rather than overturns Tilly's war-centred account.</w:t>
      </w:r>
    </w:p>
    <w:p>
      <w:pPr>
        <w:pStyle w:val="ListBullet2"/>
        <w:spacing w:after="60"/>
      </w:pPr>
      <w:r>
        <w:t xml:space="preserve">Confidence: </w:t>
      </w:r>
      <w:r>
        <w:rPr>
          <w:b/>
        </w:rPr>
        <w:t>high</w:t>
      </w:r>
    </w:p>
    <w:p>
      <w:pPr>
        <w:pStyle w:val="ListBullet2"/>
        <w:spacing w:after="60"/>
      </w:pPr>
      <w:r>
        <w:t>Sources: Malešević &amp; Haugaard 2007</w:t>
      </w:r>
    </w:p>
    <w:p>
      <w:pPr>
        <w:pStyle w:val="ListBullet"/>
        <w:spacing w:after="60"/>
      </w:pPr>
      <w:r>
        <w:rPr>
          <w:b/>
        </w:rPr>
        <w:t>(a) source says.</w:t>
      </w:r>
      <w:r>
        <w:t xml:space="preserve"> Mann groups Tilly with himself and Downing as scholars who remedied Barrington Moore's military shortcomings in explaining regime divergence, and cites Ertman, Gorsky, and others as adding further refinements to the bellicist/military explanation—placing his own work within the same bellicist tradition as Tilly rather than against it.</w:t>
      </w:r>
    </w:p>
    <w:p>
      <w:pPr>
        <w:pStyle w:val="ListBullet2"/>
        <w:spacing w:after="60"/>
      </w:pPr>
      <w:r>
        <w:t xml:space="preserve">Confidence: </w:t>
      </w:r>
      <w:r>
        <w:rPr>
          <w:b/>
        </w:rPr>
        <w:t>high</w:t>
      </w:r>
    </w:p>
    <w:p>
      <w:pPr>
        <w:pStyle w:val="ListBullet2"/>
        <w:spacing w:after="60"/>
      </w:pPr>
      <w:r>
        <w:t>Sources: Mann vol. III</w:t>
      </w:r>
    </w:p>
    <w:p>
      <w:pPr>
        <w:pStyle w:val="ListBullet"/>
        <w:spacing w:after="60"/>
      </w:pPr>
      <w:r>
        <w:rPr>
          <w:b/>
        </w:rPr>
        <w:t>(a) source says.</w:t>
      </w:r>
      <w:r>
        <w:t xml:space="preserve"> Malešević categorizes Tilly and Mann together as 'leading historical sociologists' and 'representatives of the bellicist approach,' confirming that in the secondary literature Mann is treated as belonging to the same war-centred theoretical tradition as Tilly, not as an opponent of it.</w:t>
      </w:r>
    </w:p>
    <w:p>
      <w:pPr>
        <w:pStyle w:val="ListBullet2"/>
        <w:spacing w:after="60"/>
      </w:pPr>
      <w:r>
        <w:t xml:space="preserve">Confidence: </w:t>
      </w:r>
      <w:r>
        <w:rPr>
          <w:b/>
        </w:rPr>
        <w:t>high</w:t>
      </w:r>
    </w:p>
    <w:p>
      <w:pPr>
        <w:pStyle w:val="ListBullet2"/>
        <w:spacing w:after="60"/>
      </w:pPr>
      <w:r>
        <w:t>Sources: Malešević 2026</w:t>
      </w:r>
    </w:p>
    <w:p>
      <w:pPr>
        <w:pStyle w:val="ListBullet"/>
        <w:spacing w:after="60"/>
      </w:pPr>
      <w:r>
        <w:rPr>
          <w:b/>
        </w:rPr>
        <w:t>(b) Axial infers.</w:t>
      </w:r>
      <w:r>
        <w:t xml:space="preserve"> Mann's distinction between despotic and infrastructural power specifies the mechanism through which state power actually operates—distinguishing arbitrary command (despotic) from the capacity to penetrate and organize society (infrastructural)—which refines the understanding of how war-driven state formation translates into durable institutional capacity, rather than replacing the war-centred causal story.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Malešević 2013; Ayubi 1995</w:t>
      </w:r>
    </w:p>
    <w:p>
      <w:pPr>
        <w:pStyle w:val="ListBullet"/>
        <w:spacing w:after="60"/>
      </w:pPr>
      <w:r>
        <w:rPr>
          <w:b/>
        </w:rPr>
        <w:t>(b) Axial infers.</w:t>
      </w:r>
      <w:r>
        <w:t xml:space="preserve"> Subsequent scholars deploy Mann's despotic/infrastructural distinction and Tilly's war-centred account as complementary rather than competing frameworks: Wimmer cites Tilly as authority on state strength, direct rule, and early modern war-driven formation while citing Mann as authority on political and military mass mobilization, treating them as addressing different dimensions of the same state-formation process.</w:t>
      </w:r>
    </w:p>
    <w:p>
      <w:pPr>
        <w:pStyle w:val="ListBullet2"/>
        <w:spacing w:after="60"/>
      </w:pPr>
      <w:r>
        <w:t xml:space="preserve">Confidence: </w:t>
      </w:r>
      <w:r>
        <w:rPr>
          <w:b/>
        </w:rPr>
        <w:t>high</w:t>
      </w:r>
    </w:p>
    <w:p>
      <w:pPr>
        <w:pStyle w:val="ListBullet2"/>
        <w:spacing w:after="60"/>
      </w:pPr>
      <w:r>
        <w:t>Sources: Wimmer 2013</w:t>
      </w:r>
    </w:p>
    <w:p>
      <w:pPr>
        <w:pStyle w:val="ListBullet"/>
        <w:spacing w:after="60"/>
      </w:pPr>
      <w:r>
        <w:rPr>
          <w:b/>
        </w:rPr>
        <w:t>(b) Axial infers.</w:t>
      </w:r>
      <w:r>
        <w:t xml:space="preserve"> Ayubi applies Mann's infrastructural power concept to show that Arab states' reliance on coercion signals weakness (lack of infrastructural capacity) rather than strength, which uses Mann's distinction to explain why some states that emerge from coercive processes fail to build durable institutional penetration—thereby specifying a mechanism within, rather than overturning, the broader question of how coercive power relates to state formation.</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Ayubi 1995 (2 passages)</w:t>
      </w:r>
    </w:p>
    <w:p>
      <w:pPr>
        <w:pStyle w:val="ListBullet"/>
        <w:spacing w:after="60"/>
      </w:pPr>
      <w:r>
        <w:rPr>
          <w:b/>
        </w:rPr>
        <w:t>(a) source says.</w:t>
      </w:r>
      <w:r>
        <w:t xml:space="preserve"> Üngör uses both Tilly's definition of state strength as government capacity and Mann's despotic/infrastructural distinction together to analyze paramilitarism, treating them as analytically compatible tools for differentiating dimensions of state power rather than as rival frameworks.</w:t>
      </w:r>
    </w:p>
    <w:p>
      <w:pPr>
        <w:pStyle w:val="ListBullet2"/>
        <w:spacing w:after="60"/>
      </w:pPr>
      <w:r>
        <w:t xml:space="preserve">Confidence: </w:t>
      </w:r>
      <w:r>
        <w:rPr>
          <w:b/>
        </w:rPr>
        <w:t>high</w:t>
      </w:r>
    </w:p>
    <w:p>
      <w:pPr>
        <w:pStyle w:val="ListBullet2"/>
        <w:spacing w:after="60"/>
      </w:pPr>
      <w:r>
        <w:t>Sources: Üngör 2020</w:t>
      </w:r>
    </w:p>
    <w:p>
      <w:pPr>
        <w:pStyle w:val="ListBullet"/>
        <w:spacing w:after="60"/>
      </w:pPr>
      <w:r>
        <w:rPr>
          <w:b/>
        </w:rPr>
        <w:t>(a) source says.</w:t>
      </w:r>
      <w:r>
        <w:t xml:space="preserve"> Malešević uses Mann's despotic/infrastructural distinction and Tilly's account of increasing state organizational powers in the same passage to explain how cumulative bureaucratization of coercion produces banal nationalism, citing both as authorities on the dramatic increase of state powers over the past 150 years—again treating them as complementary.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Malešević 2013</w:t>
      </w:r>
    </w:p>
    <w:p>
      <w:pPr>
        <w:pStyle w:val="ListBullet"/>
        <w:spacing w:after="60"/>
      </w:pPr>
      <w:r>
        <w:rPr>
          <w:b/>
        </w:rPr>
        <w:t>(b) Axial infers.</w:t>
      </w:r>
      <w:r>
        <w:t xml:space="preserve"> Mann's broader theoretical breakthrough—shifting analysis from reified 'societies' to overlapping networks of ideological, economic, military, and political power—does not displace war as a causal force but relocates it within a multi-source power framework, so that military power remains one of the four irreducible sources driving state development alongside ideological, economic, and political power.</w:t>
      </w:r>
    </w:p>
    <w:p>
      <w:pPr>
        <w:pStyle w:val="ListBullet2"/>
        <w:spacing w:after="60"/>
      </w:pPr>
      <w:r>
        <w:t xml:space="preserve">Confidence: </w:t>
      </w:r>
      <w:r>
        <w:rPr>
          <w:b/>
        </w:rPr>
        <w:t>medium</w:t>
      </w:r>
    </w:p>
    <w:p>
      <w:pPr>
        <w:pStyle w:val="ListBullet2"/>
        <w:spacing w:after="60"/>
      </w:pPr>
      <w:r>
        <w:t>Sources: Hall &amp; Schroeder 2006; Malešević &amp; Haugaard 2007</w:t>
      </w:r>
    </w:p>
    <w:p>
      <w:pPr>
        <w:pStyle w:val="ListBullet"/>
        <w:spacing w:after="60"/>
      </w:pPr>
      <w:r>
        <w:rPr>
          <w:b/>
        </w:rPr>
        <w:t>(a) source says.</w:t>
      </w:r>
      <w:r>
        <w:t xml:space="preserve"> Mann's reframing of European inter-state warfare as internal empire-building driven by feudal social relations, geopolitical opportunity, and inheritance practices specifies the mechanism behind Europe's exceptional warmaking—explaining why Europe followed the Tilly/Mann war-driven path while Latin America, Africa, and Asia did not—rather than overturning the claim that war drove European state formation.</w:t>
      </w:r>
    </w:p>
    <w:p>
      <w:pPr>
        <w:pStyle w:val="ListBullet2"/>
        <w:spacing w:after="60"/>
      </w:pPr>
      <w:r>
        <w:t xml:space="preserve">Confidence: </w:t>
      </w:r>
      <w:r>
        <w:rPr>
          <w:b/>
        </w:rPr>
        <w:t>high</w:t>
      </w:r>
    </w:p>
    <w:p>
      <w:pPr>
        <w:pStyle w:val="ListBullet2"/>
        <w:spacing w:after="60"/>
      </w:pPr>
      <w:r>
        <w:t>Sources: Malešević &amp; Haugaard 2007</w:t>
      </w:r>
    </w:p>
    <w:p>
      <w:pPr>
        <w:pStyle w:val="ListBullet"/>
        <w:spacing w:after="60"/>
      </w:pPr>
      <w:r>
        <w:rPr>
          <w:b/>
        </w:rPr>
        <w:t>(b) Axial infers.</w:t>
      </w:r>
      <w:r>
        <w:t xml:space="preserve"> Heydemann's analysis of the Palestinian case shows that the bellicist mechanism (war driving extraction, centralization, and citizenship) reverses when external rent substitutes for domestic extraction, and that the PLO's war-making undermined rather than built state centralization—demonstrating a limit condition of Tilly's model that Mann's despotic/infrastructural distinction helps explain, since the PLO possessed despotic power (armed-struggle legitimacy) without infrastructural penetration of society.</w:t>
      </w:r>
    </w:p>
    <w:p>
      <w:pPr>
        <w:pStyle w:val="ListBullet2"/>
        <w:spacing w:after="60"/>
      </w:pPr>
      <w:r>
        <w:t xml:space="preserve">Confidence: </w:t>
      </w:r>
      <w:r>
        <w:rPr>
          <w:b/>
        </w:rPr>
        <w:t>medium</w:t>
      </w:r>
    </w:p>
    <w:p>
      <w:pPr>
        <w:pStyle w:val="ListBullet2"/>
        <w:spacing w:after="60"/>
      </w:pPr>
      <w:r>
        <w:t>Sources: Heydemann 2000 (2 passages); Ayubi 1995</w:t>
      </w:r>
    </w:p>
    <w:p>
      <w:pPr>
        <w:pStyle w:val="ListBullet"/>
        <w:spacing w:after="60"/>
      </w:pPr>
      <w:r>
        <w:rPr>
          <w:b/>
        </w:rPr>
        <w:t>(b) Axial infers.</w:t>
      </w:r>
      <w:r>
        <w:t xml:space="preserve"> The available evidence supports the conclusion that Mann's despotic/infrastructural distinction merely specifies the mechanisms of Tilly's war-centred account rather than overturning it: Mann self-identifies as co-demonstrator of war's role, subsequent scholarship treats them as complementary authorities within the same bellicist tradition, and the distinction operationalizes how coercive war-making translates (or fails to translate) into durable institutional capacity.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Malešević &amp; Haugaard 2007; Mann vol. III; Malešević 2026; Malešević 2013; Wimmer 2013; Ayubi 1995</w:t>
      </w:r>
    </w:p>
    <w:p>
      <w:r>
        <w:rPr>
          <w:b/>
        </w:rPr>
        <w:t>Counter-position</w:t>
      </w:r>
      <w:r>
        <w:t xml:space="preserve"> — the strongest case against this answer's own conclusion</w:t>
      </w:r>
    </w:p>
    <w:p>
      <w:r>
        <w:t>Mann's despotic/infrastructural distinction does not merely specify Tilly's mechanisms but overturns the core bellicist claim that war-making drives state formation: empirical cases where war-waging produces despotic coercion without infrastructural capacity (the PLO, Arab states) show that war can undermine rather than build states, decoupling coercive power from genuine state-building and exposing Tilly's European model as non-generalizable rather than universally valid.</w:t>
      </w:r>
    </w:p>
    <w:p>
      <w:pPr>
        <w:pStyle w:val="ListBullet2"/>
        <w:spacing w:after="60"/>
      </w:pPr>
      <w:r>
        <w:t>Sources: Heydemann 2000 (2 passages); Ayubi 1995 (2 passages)</w:t>
      </w:r>
    </w:p>
    <w:p>
      <w:r>
        <w:rPr>
          <w:b/>
        </w:rPr>
        <w:t>Coverage map</w:t>
      </w:r>
      <w:r>
        <w:t xml:space="preserve"> — how much of the library stands behind each name the answer rests on</w:t>
      </w:r>
    </w:p>
    <w:p>
      <w:pPr>
        <w:pStyle w:val="ListBullet"/>
        <w:spacing w:after="60"/>
      </w:pPr>
      <w:r>
        <w:rPr>
          <w:b/>
        </w:rPr>
        <w:t>Charles Tilly</w:t>
      </w:r>
      <w:r>
        <w:t xml:space="preserve"> — 154 passages in the library, 8 used here; coverage judged </w:t>
      </w:r>
      <w:r>
        <w:rPr>
          <w:i/>
        </w:rPr>
        <w:t>dense</w:t>
      </w:r>
    </w:p>
    <w:p>
      <w:pPr>
        <w:pStyle w:val="ListBullet"/>
        <w:spacing w:after="60"/>
      </w:pPr>
      <w:r>
        <w:rPr>
          <w:b/>
        </w:rPr>
        <w:t>Infrastructural power</w:t>
      </w:r>
      <w:r>
        <w:t xml:space="preserve"> — 51 passages in the library, 2 used here; coverage judged </w:t>
      </w:r>
      <w:r>
        <w:rPr>
          <w:i/>
        </w:rPr>
        <w:t>moderate</w:t>
      </w:r>
    </w:p>
    <w:p>
      <w:pPr>
        <w:pStyle w:val="ListBullet"/>
        <w:spacing w:after="60"/>
      </w:pPr>
      <w:r>
        <w:rPr>
          <w:b/>
        </w:rPr>
        <w:t>Michael Mann</w:t>
      </w:r>
      <w:r>
        <w:t xml:space="preserve"> — 377 passages in the library, 9 used here; coverage judged </w:t>
      </w:r>
      <w:r>
        <w:rPr>
          <w:i/>
        </w:rPr>
        <w:t>dense</w:t>
      </w:r>
    </w:p>
    <w:p>
      <w:pPr>
        <w:pStyle w:val="ListBullet"/>
        <w:spacing w:after="60"/>
      </w:pPr>
      <w:r>
        <w:rPr>
          <w:b/>
        </w:rPr>
        <w:t>despotic power</w:t>
      </w:r>
      <w:r>
        <w:t xml:space="preserve"> — 27 passages in the library, 2 used here; coverage judged </w:t>
      </w:r>
      <w:r>
        <w:rPr>
          <w:i/>
        </w:rPr>
        <w:t>moderate</w:t>
      </w:r>
    </w:p>
    <w:p>
      <w:r>
        <w:rPr>
          <w:b/>
        </w:rPr>
        <w:t>Confidence</w:t>
      </w:r>
    </w:p>
    <w:p>
      <w:r>
        <w:t xml:space="preserve">Overall band: </w:t>
      </w:r>
      <w:r>
        <w:rPr>
          <w:b/>
        </w:rPr>
        <w:t>medium</w:t>
      </w:r>
    </w:p>
    <w:p>
      <w:r>
        <w:t>Why: overall confidence is 'medium', bounded by the thinnest-covered name it touches ('Infrastructural power', band 'moderate'); coverage by name: Charles Tilly (dense: 154 passages in the library, 8 used here); Infrastructural power (moderate: 51 passages in the library, 2 used here); Michael Mann (dense: 377 passages in the library, 9 used here); despotic power (moderate: 27 passages in the library, 2 used here)</w:t>
      </w:r>
    </w:p>
    <w:p>
      <w:r>
        <w:rPr>
          <w:b/>
        </w:rPr>
        <w:t>Source usage</w:t>
      </w:r>
      <w:r>
        <w:t xml:space="preserve"> — share of the answer's cited evidence taken from each book</w:t>
      </w:r>
    </w:p>
    <w:p>
      <w:pPr>
        <w:pStyle w:val="ListBullet"/>
        <w:spacing w:after="60"/>
      </w:pPr>
      <w:r>
        <w:t>Ayubi 1995: 18%</w:t>
      </w:r>
    </w:p>
    <w:p>
      <w:pPr>
        <w:pStyle w:val="ListBullet"/>
        <w:spacing w:after="60"/>
      </w:pPr>
      <w:r>
        <w:t>Heydemann 2000: 18%</w:t>
      </w:r>
    </w:p>
    <w:p>
      <w:pPr>
        <w:pStyle w:val="ListBullet"/>
        <w:spacing w:after="60"/>
      </w:pPr>
      <w:r>
        <w:t>Hall &amp; Schroeder 2006: 9%</w:t>
      </w:r>
    </w:p>
    <w:p>
      <w:pPr>
        <w:pStyle w:val="ListBullet"/>
        <w:spacing w:after="60"/>
      </w:pPr>
      <w:r>
        <w:t>Malešević &amp; Haugaard 2007: 9%</w:t>
      </w:r>
    </w:p>
    <w:p>
      <w:pPr>
        <w:pStyle w:val="ListBullet"/>
        <w:spacing w:after="60"/>
      </w:pPr>
      <w:r>
        <w:t>Malešević 2013: 9%</w:t>
      </w:r>
    </w:p>
    <w:p>
      <w:pPr>
        <w:pStyle w:val="ListBullet"/>
        <w:spacing w:after="60"/>
      </w:pPr>
      <w:r>
        <w:t>Malešević 2026: 9%</w:t>
      </w:r>
    </w:p>
    <w:p>
      <w:pPr>
        <w:pStyle w:val="ListBullet"/>
        <w:spacing w:after="60"/>
      </w:pPr>
      <w:r>
        <w:t>Mann vol. III: 9%</w:t>
      </w:r>
    </w:p>
    <w:p>
      <w:pPr>
        <w:pStyle w:val="ListBullet"/>
        <w:spacing w:after="60"/>
      </w:pPr>
      <w:r>
        <w:t>Üngör 2020: 9%</w:t>
      </w:r>
    </w:p>
    <w:p>
      <w:pPr>
        <w:pStyle w:val="ListBullet"/>
        <w:spacing w:after="60"/>
      </w:pPr>
      <w:r>
        <w:t>Wimmer 2013: 9%</w:t>
      </w:r>
    </w:p>
    <w:p>
      <w:r>
        <w:rPr>
          <w:b/>
        </w:rPr>
        <w:t>Peer reviewer.</w:t>
      </w:r>
    </w:p>
    <w:p>
      <w:r>
        <w:rPr>
          <w:b/>
        </w:rPr>
        <w:t>Strong</w:t>
      </w:r>
      <w:r>
        <w:t xml:space="preserve"> on factual correctness, </w:t>
      </w:r>
      <w:r>
        <w:rPr>
          <w:b/>
        </w:rPr>
        <w:t>adequate</w:t>
      </w:r>
      <w:r>
        <w:t xml:space="preserve"> on citation grounding, </w:t>
      </w:r>
      <w:r>
        <w:rPr>
          <w:b/>
        </w:rPr>
        <w:t>strong</w:t>
      </w:r>
      <w:r>
        <w:t xml:space="preserve"> on completeness. Three defects, all soft: two inferences reaching past their cited passages, one claim stated more firmly than the passage supports. The answer commits to a verdict rather than surveying the field — that Mann specifies Tilly's mechanisms rather than overturning them — and then states the opposing case, that the distinction breaks the bellicist claim outright, in its strongest form.</w:t>
      </w:r>
    </w:p>
    <w:p>
      <w:r>
        <w:rPr>
          <w:b/>
        </w:rPr>
        <w:t>Metrics.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7 min 46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$0.1760</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9</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2 of 5 (missed: Malešević 2010, Mann vol. II, Tilly 1978)</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4 of 6</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12 claims, 972 words</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p>
      <w:pPr>
        <w:pStyle w:val="Heading3"/>
      </w:pPr>
      <w:r>
        <w:t>S-02 — Comparative: nationalism and nation-state formation, nineteenth and twentieth centuries</w:t>
      </w:r>
    </w:p>
    <w:p>
      <w:r>
        <w:rPr>
          <w:b/>
        </w:rPr>
        <w:t>Category / domain.</w:t>
      </w:r>
      <w:r>
        <w:t xml:space="preserve"> Theories of nationalism</w:t>
      </w:r>
    </w:p>
    <w:p>
      <w:r>
        <w:rPr>
          <w:b/>
        </w:rPr>
        <w:t>Question.</w:t>
      </w:r>
    </w:p>
    <w:p>
      <w:pPr>
        <w:spacing w:before="80"/>
        <w:ind w:left="432"/>
      </w:pPr>
      <w:r>
        <w:rPr>
          <w:i/>
        </w:rPr>
        <w:t>Is nationalism best explained as a product of modernity, a reconstruction of inherited symbols, an organized ideology of the nation-state, or a boundary-making force linking state formation to war?</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Industrialization produces nationalism as a novel principle of social cohesion that is incompatible with mechanical or tribal solidarity, because the extreme division of labor in industrial society elevates specialized persons in dignity ranking and replaces segmentary bonds with organic interdependence.</w:t>
      </w:r>
    </w:p>
    <w:p>
      <w:pPr>
        <w:pStyle w:val="ListBullet2"/>
        <w:spacing w:after="60"/>
      </w:pPr>
      <w:r>
        <w:t xml:space="preserve">Confidence: </w:t>
      </w:r>
      <w:r>
        <w:rPr>
          <w:b/>
        </w:rPr>
        <w:t>high</w:t>
      </w:r>
    </w:p>
    <w:p>
      <w:pPr>
        <w:pStyle w:val="ListBullet2"/>
        <w:spacing w:after="60"/>
      </w:pPr>
      <w:r>
        <w:t>Sources: Gellner 1981</w:t>
      </w:r>
    </w:p>
    <w:p>
      <w:pPr>
        <w:pStyle w:val="ListBullet"/>
        <w:spacing w:after="60"/>
      </w:pPr>
      <w:r>
        <w:rPr>
          <w:b/>
        </w:rPr>
        <w:t>(a) source says.</w:t>
      </w:r>
      <w:r>
        <w:t xml:space="preserve"> Nationalism operates paradoxically on mobile, atomized, highly specialized individuals who should lack cohesion from a pre-modern viewpoint, yet it generates powerful social bonds through reliance on the 'inner forum' of internalized loyalty rather than collective ritual, pushing modern religion in a 'Protestant' direction.</w:t>
      </w:r>
    </w:p>
    <w:p>
      <w:pPr>
        <w:pStyle w:val="ListBullet2"/>
        <w:spacing w:after="60"/>
      </w:pPr>
      <w:r>
        <w:t xml:space="preserve">Confidence: </w:t>
      </w:r>
      <w:r>
        <w:rPr>
          <w:b/>
        </w:rPr>
        <w:t>high</w:t>
      </w:r>
    </w:p>
    <w:p>
      <w:pPr>
        <w:pStyle w:val="ListBullet2"/>
        <w:spacing w:after="60"/>
      </w:pPr>
      <w:r>
        <w:t>Sources: Gellner 1981</w:t>
      </w:r>
    </w:p>
    <w:p>
      <w:pPr>
        <w:pStyle w:val="ListBullet"/>
        <w:spacing w:after="60"/>
      </w:pPr>
      <w:r>
        <w:rPr>
          <w:b/>
        </w:rPr>
        <w:t>(a) source says.</w:t>
      </w:r>
      <w:r>
        <w:t xml:space="preserve"> Self-conscious nations were born from fiscal-military pressures and the struggle for representative government, not primarily from capitalist development; war taxes, conscription, and loans drove the people to demand representation, making nations self-conscious and cross-class, and because the state's main function remained war-making, nations became more aggressive.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Mann vol. II</w:t>
      </w:r>
    </w:p>
    <w:p>
      <w:pPr>
        <w:pStyle w:val="ListBullet"/>
        <w:spacing w:after="60"/>
      </w:pPr>
      <w:r>
        <w:rPr>
          <w:b/>
        </w:rPr>
        <w:t>(a) source says.</w:t>
      </w:r>
      <w:r>
        <w:t xml:space="preserve"> Cross-class nations appeared amid all states with regional political institutions, not only in the more economically advanced, because fiscal-military pressures hit states more directly and uniformly than did commercial or industrial capitalism.</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Mann vol. II</w:t>
      </w:r>
    </w:p>
    <w:p>
      <w:pPr>
        <w:pStyle w:val="ListBullet"/>
        <w:spacing w:after="60"/>
      </w:pPr>
      <w:r>
        <w:rPr>
          <w:b/>
        </w:rPr>
        <w:t>(a) source says.</w:t>
      </w:r>
      <w:r>
        <w:t xml:space="preserve"> Nations bifurcated into state-reinforcing (e.g., Britain, France) and state-subverting (e.g., Austria) forms depending on whether regional political institutions reinforced or competed with the central state.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Mann vol. II</w:t>
      </w:r>
    </w:p>
    <w:p>
      <w:pPr>
        <w:pStyle w:val="ListBullet"/>
        <w:spacing w:after="60"/>
      </w:pPr>
      <w:r>
        <w:rPr>
          <w:b/>
        </w:rPr>
        <w:t>(a) source says.</w:t>
      </w:r>
      <w:r>
        <w:t xml:space="preserve"> Ideologies including nationalism are powerful not because they are free-floating ideas but because their organized content provides plausible meaning that mobilizes people in macro-power struggles; ideas cannot do anything unless they are organized in power networks.</w:t>
      </w:r>
    </w:p>
    <w:p>
      <w:pPr>
        <w:pStyle w:val="ListBullet2"/>
        <w:spacing w:after="60"/>
      </w:pPr>
      <w:r>
        <w:t xml:space="preserve">Confidence: </w:t>
      </w:r>
      <w:r>
        <w:rPr>
          <w:b/>
        </w:rPr>
        <w:t>high</w:t>
      </w:r>
    </w:p>
    <w:p>
      <w:pPr>
        <w:pStyle w:val="ListBullet2"/>
        <w:spacing w:after="60"/>
      </w:pPr>
      <w:r>
        <w:t>Sources: Hall &amp; Schroeder 2006</w:t>
      </w:r>
    </w:p>
    <w:p>
      <w:pPr>
        <w:pStyle w:val="ListBullet"/>
        <w:spacing w:after="60"/>
      </w:pPr>
      <w:r>
        <w:rPr>
          <w:b/>
        </w:rPr>
        <w:t>(a) source says.</w:t>
      </w:r>
      <w:r>
        <w:t xml:space="preserve"> Nationalism functions as a transcendent ideology that breaks through divisions between established power networks by appealing to interstitially emergent common identities, constituting collective actors and achieving major structural change by helping create nations bridging existing class and regional divisions.</w:t>
      </w:r>
    </w:p>
    <w:p>
      <w:pPr>
        <w:pStyle w:val="ListBullet2"/>
        <w:spacing w:after="60"/>
      </w:pPr>
      <w:r>
        <w:t xml:space="preserve">Confidence: </w:t>
      </w:r>
      <w:r>
        <w:rPr>
          <w:b/>
        </w:rPr>
        <w:t>high</w:t>
      </w:r>
    </w:p>
    <w:p>
      <w:pPr>
        <w:pStyle w:val="ListBullet2"/>
        <w:spacing w:after="60"/>
      </w:pPr>
      <w:r>
        <w:t>Sources: Hall &amp; Schroeder 2006</w:t>
      </w:r>
    </w:p>
    <w:p>
      <w:pPr>
        <w:pStyle w:val="ListBullet"/>
        <w:spacing w:after="60"/>
      </w:pPr>
      <w:r>
        <w:rPr>
          <w:b/>
        </w:rPr>
        <w:t>(a) source says.</w:t>
      </w:r>
      <w:r>
        <w:t xml:space="preserve"> War, violence, and nationalism are deeply intertwined in the construction of identity and the state: mass mobilization through war of liberation introduces ideas of common cause and national destiny, defeats impose duties suited to nation-building, and victories serve the pragmatic concern of establishing state-building legitimacy.</w:t>
      </w:r>
    </w:p>
    <w:p>
      <w:pPr>
        <w:pStyle w:val="ListBullet2"/>
        <w:spacing w:after="60"/>
      </w:pPr>
      <w:r>
        <w:t xml:space="preserve">Confidence: </w:t>
      </w:r>
      <w:r>
        <w:rPr>
          <w:b/>
        </w:rPr>
        <w:t>high</w:t>
      </w:r>
    </w:p>
    <w:p>
      <w:pPr>
        <w:pStyle w:val="ListBullet2"/>
        <w:spacing w:after="60"/>
      </w:pPr>
      <w:r>
        <w:t>Sources: Heydemann 2000</w:t>
      </w:r>
    </w:p>
    <w:p>
      <w:pPr>
        <w:pStyle w:val="ListBullet"/>
        <w:spacing w:after="60"/>
      </w:pPr>
      <w:r>
        <w:rPr>
          <w:b/>
        </w:rPr>
        <w:t>(a) source says.</w:t>
      </w:r>
      <w:r>
        <w:t xml:space="preserve"> The recurring patterns of nation-state formation, ethnic conflict, and war follow a long-run logic driven by the institutional and exchange advantages of the nation-state, which binds political elites and masses through institutionalized exchange relationships and mutual trust, producing legitimacy and military power.</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Wimmer 2013</w:t>
      </w:r>
    </w:p>
    <w:p>
      <w:pPr>
        <w:pStyle w:val="ListBullet"/>
        <w:spacing w:after="60"/>
      </w:pPr>
      <w:r>
        <w:rPr>
          <w:b/>
        </w:rPr>
        <w:t>(a) source says.</w:t>
      </w:r>
      <w:r>
        <w:t xml:space="preserve"> Nation-state creation causes secessionist and irredentist wars and domestic ethnic conflict, with the same mechanisms operating across different historical periods from the Napoleonic era to the present, so recent conflicts in the Caucasus and Balkans resemble those on the Indian subcontinent in the 1940s and in Eastern Europe during and after WWI.</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Wimmer 2013</w:t>
      </w:r>
    </w:p>
    <w:p>
      <w:pPr>
        <w:pStyle w:val="ListBullet"/>
        <w:spacing w:after="60"/>
      </w:pPr>
      <w:r>
        <w:rPr>
          <w:b/>
        </w:rPr>
        <w:t>(a) source says.</w:t>
      </w:r>
      <w:r>
        <w:t xml:space="preserve"> The ideology of nationalism in all its guises secures popular mobilization for war rather than the perception of a threat to 'Western interests and values,' and it is geopolitical logic that dictates the conduct of nation-states; economic globalization adds complexity but cannot obliterate either these ideological and geopolitical motives or the nation-states themselves.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Malešević 2010</w:t>
      </w:r>
    </w:p>
    <w:p>
      <w:pPr>
        <w:pStyle w:val="ListBullet"/>
        <w:spacing w:after="60"/>
      </w:pPr>
      <w:r>
        <w:rPr>
          <w:b/>
        </w:rPr>
        <w:t>(b) Axial infers.</w:t>
      </w:r>
      <w:r>
        <w:t xml:space="preserve"> Gellner's industrialization thesis and Mann's fiscal-military thesis both locate nationalism's origins in modern structural transformations, but Gellner identifies the division of labor and cultural standardization as the engine while Mann identifies military extraction and the resulting demand for representative government as the engine; these are complementary rather than contradictory political-economy explanations, with Mann explicitly departing from accounts that privilege capitalist development alone.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Gellner 1981 (2 passages); Mann vol. II</w:t>
      </w:r>
    </w:p>
    <w:p>
      <w:pPr>
        <w:pStyle w:val="ListBullet"/>
        <w:spacing w:after="60"/>
      </w:pPr>
      <w:r>
        <w:rPr>
          <w:b/>
        </w:rPr>
        <w:t>(b) Axial infers.</w:t>
      </w:r>
      <w:r>
        <w:t xml:space="preserve"> Wimmer's institutional exchange argument and Mann's fiscal-military argument converge on the point that nation-states bind elites and masses through material and institutional contracts, but Wimmer emphasizes the exchange relationship's efficiency as a general principle explaining the persistence and diffusion of the nation-state, while Mann emphasizes the coercive fiscal extraction that drives demands for representation and thus creates self-conscious nations; both reject the view that nationalism emerges from economic development alone.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Mann vol. II; Wimmer 2013</w:t>
      </w:r>
    </w:p>
    <w:p>
      <w:pPr>
        <w:pStyle w:val="ListBullet"/>
        <w:spacing w:after="60"/>
      </w:pPr>
      <w:r>
        <w:rPr>
          <w:b/>
        </w:rPr>
        <w:t>(a) source says.</w:t>
      </w:r>
      <w:r>
        <w:t xml:space="preserve"> The Arab Spring uprisings occurred in a post-Cold War neoliberal era when the three major postcolonial ideologies—anticolonial nationalism, Marxism-Leninism, and militant Islamism—had vanished or been undermined, producing 'refolutions' that were revolutionary in mobilization but reformist in outcome because revolutionaries lacked transformative vision and conceptually separated the economy from the political order.</w:t>
      </w:r>
    </w:p>
    <w:p>
      <w:pPr>
        <w:pStyle w:val="ListBullet2"/>
        <w:spacing w:after="60"/>
      </w:pPr>
      <w:r>
        <w:t xml:space="preserve">Confidence: </w:t>
      </w:r>
      <w:r>
        <w:rPr>
          <w:b/>
        </w:rPr>
        <w:t>high</w:t>
      </w:r>
    </w:p>
    <w:p>
      <w:pPr>
        <w:pStyle w:val="ListBullet2"/>
        <w:spacing w:after="60"/>
      </w:pPr>
      <w:r>
        <w:t>Sources: Bayat 2017</w:t>
      </w:r>
    </w:p>
    <w:p>
      <w:pPr>
        <w:pStyle w:val="ListBullet"/>
        <w:spacing w:after="60"/>
      </w:pPr>
      <w:r>
        <w:rPr>
          <w:b/>
        </w:rPr>
        <w:t>(a) source says.</w:t>
      </w:r>
      <w:r>
        <w:t xml:space="preserve"> Nationalism in the Middle East has been one of several prominent objectives alongside economic growth and socialism since the 1950s, and democracy has not been a prominent objective among middle classes partly because Middle East countries are among the most dependent and vulnerable in the world system.</w:t>
      </w:r>
    </w:p>
    <w:p>
      <w:pPr>
        <w:pStyle w:val="ListBullet2"/>
        <w:spacing w:after="60"/>
      </w:pPr>
      <w:r>
        <w:t xml:space="preserve">Confidence: </w:t>
      </w:r>
      <w:r>
        <w:rPr>
          <w:b/>
        </w:rPr>
        <w:t>high</w:t>
      </w:r>
    </w:p>
    <w:p>
      <w:pPr>
        <w:pStyle w:val="ListBullet2"/>
        <w:spacing w:after="60"/>
      </w:pPr>
      <w:r>
        <w:t>Sources: Ayubi 1995</w:t>
      </w:r>
    </w:p>
    <w:p>
      <w:pPr>
        <w:pStyle w:val="ListBullet"/>
        <w:spacing w:after="60"/>
      </w:pPr>
      <w:r>
        <w:rPr>
          <w:b/>
        </w:rPr>
        <w:t>(a) source says.</w:t>
      </w:r>
      <w:r>
        <w:t xml:space="preserve"> In the Arab world, whatever limited democratic procedures existed under colonialism were manifestations of 'subjugational democracy' imposed for colonial purposes, and after independence many semi-democratic measures were suppressed in the name of nationalism and development, producing mutual exclusion between state and society rather than a genuine civic culture.</w:t>
      </w:r>
    </w:p>
    <w:p>
      <w:pPr>
        <w:pStyle w:val="ListBullet2"/>
        <w:spacing w:after="60"/>
      </w:pPr>
      <w:r>
        <w:t xml:space="preserve">Confidence: </w:t>
      </w:r>
      <w:r>
        <w:rPr>
          <w:b/>
        </w:rPr>
        <w:t>high</w:t>
      </w:r>
    </w:p>
    <w:p>
      <w:pPr>
        <w:pStyle w:val="ListBullet2"/>
        <w:spacing w:after="60"/>
      </w:pPr>
      <w:r>
        <w:t>Sources: Ayubi 1995</w:t>
      </w:r>
    </w:p>
    <w:p>
      <w:pPr>
        <w:pStyle w:val="ListBullet"/>
        <w:spacing w:after="60"/>
      </w:pPr>
      <w:r>
        <w:rPr>
          <w:b/>
        </w:rPr>
        <w:t>(a) source says.</w:t>
      </w:r>
      <w:r>
        <w:t xml:space="preserve"> The modern emergence of 'minorities' and a 'majority' depended on state transformations that standardized institutions, citizenship, and law across an entire territory, replacing pre-modern local and regional institutions and establishing a sense of commonality that stakes out national boundaries within a public sphere.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White 2011</w:t>
      </w:r>
    </w:p>
    <w:p>
      <w:pPr>
        <w:pStyle w:val="ListBullet"/>
        <w:spacing w:after="60"/>
      </w:pPr>
      <w:r>
        <w:rPr>
          <w:b/>
        </w:rPr>
        <w:t>(a) source says.</w:t>
      </w:r>
      <w:r>
        <w:t xml:space="preserve"> The Palestinian case demonstrates the political-economy linkage between nationalism, war, and state formation: the example of Karama shows how victories serve state-building legitimacy when Fateh claimed credit for Israeli casualties actually inflicted by the Jordanian army, while defeats and sorrows impose duties suited to nation-building.</w:t>
      </w:r>
    </w:p>
    <w:p>
      <w:pPr>
        <w:pStyle w:val="ListBullet2"/>
        <w:spacing w:after="60"/>
      </w:pPr>
      <w:r>
        <w:t xml:space="preserve">Confidence: </w:t>
      </w:r>
      <w:r>
        <w:rPr>
          <w:b/>
        </w:rPr>
        <w:t>high</w:t>
      </w:r>
    </w:p>
    <w:p>
      <w:pPr>
        <w:pStyle w:val="ListBullet2"/>
        <w:spacing w:after="60"/>
      </w:pPr>
      <w:r>
        <w:t>Sources: Heydemann 2000</w:t>
      </w:r>
    </w:p>
    <w:p>
      <w:pPr>
        <w:pStyle w:val="ListBullet"/>
        <w:spacing w:after="60"/>
      </w:pPr>
      <w:r>
        <w:rPr>
          <w:b/>
        </w:rPr>
        <w:t>(a) source says.</w:t>
      </w:r>
      <w:r>
        <w:t xml:space="preserve"> Syro-Lebanese emigrants educated in Western institutions promoted a nationalistic conscience based on Arabism centered on Syria, producing two competing trends—a secular nationalist movement combining nationalism and constitutionalism and an Islamic revivalist movement—through the press as the chief vehicle for transmitting Western liberal and nationalist concepts.</w:t>
      </w:r>
    </w:p>
    <w:p>
      <w:pPr>
        <w:pStyle w:val="ListBullet2"/>
        <w:spacing w:after="60"/>
      </w:pPr>
      <w:r>
        <w:t xml:space="preserve">Confidence: </w:t>
      </w:r>
      <w:r>
        <w:rPr>
          <w:b/>
        </w:rPr>
        <w:t>medium</w:t>
      </w:r>
    </w:p>
    <w:p>
      <w:pPr>
        <w:pStyle w:val="ListBullet2"/>
        <w:spacing w:after="60"/>
      </w:pPr>
      <w:r>
        <w:t>Sources: Beshara 2011</w:t>
      </w:r>
    </w:p>
    <w:p>
      <w:pPr>
        <w:pStyle w:val="ListBullet"/>
        <w:spacing w:after="60"/>
      </w:pPr>
      <w:r>
        <w:rPr>
          <w:b/>
        </w:rPr>
        <w:t>(b) Axial infers.</w:t>
      </w:r>
      <w:r>
        <w:t xml:space="preserve"> Mann's model of ideological power and Wimmer's institutional exchange model both treat nationalism as a politically organized force that gains power through organization in networks rather than through symbolic appeal alone, but Mann frames this as 'organizational materialism' where ideologies must be organized to mobilize, while Wimmer frames it as institutionalized exchange relationships binding elites and masses; both positions reject purely idealist or purely materialist accounts of nationalism.</w:t>
      </w:r>
    </w:p>
    <w:p>
      <w:pPr>
        <w:pStyle w:val="ListBullet2"/>
        <w:spacing w:after="60"/>
      </w:pPr>
      <w:r>
        <w:t xml:space="preserve">Confidence: </w:t>
      </w:r>
      <w:r>
        <w:rPr>
          <w:b/>
        </w:rPr>
        <w:t>medium</w:t>
      </w:r>
    </w:p>
    <w:p>
      <w:pPr>
        <w:pStyle w:val="ListBullet2"/>
        <w:spacing w:after="60"/>
      </w:pPr>
      <w:r>
        <w:t>Sources: Hall &amp; Schroeder 2006; Wimmer 2013</w:t>
      </w:r>
    </w:p>
    <w:p>
      <w:pPr>
        <w:pStyle w:val="ListBullet"/>
        <w:spacing w:after="60"/>
      </w:pPr>
      <w:r>
        <w:rPr>
          <w:b/>
        </w:rPr>
        <w:t>(b) Axial infers.</w:t>
      </w:r>
      <w:r>
        <w:t xml:space="preserve"> The causal mechanisms linking state formation to war identified by Heydemann (defeats serving nation-building, victories serving state-building legitimacy) and Wimmer (nation-state creation causing secessionist and irredentist wars) operate across different historical periods and regions, suggesting that the boundary-making function of nationalism is not historically contingent but structurally recurrent.</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Heydemann 2000; Wimmer 2013; Malešević 2010</w:t>
      </w:r>
    </w:p>
    <w:p>
      <w:pPr>
        <w:pStyle w:val="ListBullet"/>
        <w:spacing w:after="60"/>
      </w:pPr>
      <w:r>
        <w:rPr>
          <w:b/>
        </w:rPr>
        <w:t>(b) Axial infers.</w:t>
      </w:r>
      <w:r>
        <w:t xml:space="preserve"> The fiscal crisis of the state and globalization, rather than genuine socio-economic development, have been the indirect drivers of political liberalization in the Middle East, with democratization functioning partly as a mechanism for system maintenance to reduce financial overload and share blame for austerity; this parallels Mann's fiscal-military argument that fiscal crisis drives political transformation, but in the Middle East the outcome has been limited liberalization rather than full nation-state consolidation.</w:t>
      </w:r>
    </w:p>
    <w:p>
      <w:pPr>
        <w:pStyle w:val="ListBullet2"/>
        <w:spacing w:after="60"/>
      </w:pPr>
      <w:r>
        <w:t xml:space="preserve">Confidence: </w:t>
      </w:r>
      <w:r>
        <w:rPr>
          <w:b/>
        </w:rPr>
        <w:t>medium</w:t>
      </w:r>
    </w:p>
    <w:p>
      <w:pPr>
        <w:pStyle w:val="ListBullet2"/>
        <w:spacing w:after="60"/>
      </w:pPr>
      <w:r>
        <w:t>Sources: Ayubi 1995; Mann vol. II</w:t>
      </w:r>
    </w:p>
    <w:p>
      <w:pPr>
        <w:pStyle w:val="ListBullet"/>
        <w:spacing w:after="60"/>
      </w:pPr>
      <w:r>
        <w:rPr>
          <w:b/>
        </w:rPr>
        <w:t>(b) Axial infers.</w:t>
      </w:r>
      <w:r>
        <w:t xml:space="preserve"> Religion historically impeded common political action among Syria's peasants by fostering sectarian division rather than fraternity, and it was only after the rise of nationalism and later socialism that combined efforts became possible, suggesting that nationalism's boundary-making function in the Middle East operated not only at the level of the nation-state but also at the sub-state level by overriding sectarian fragmentation.</w:t>
      </w:r>
    </w:p>
    <w:p>
      <w:pPr>
        <w:pStyle w:val="ListBullet2"/>
        <w:spacing w:after="60"/>
      </w:pPr>
      <w:r>
        <w:t xml:space="preserve">Confidence: </w:t>
      </w:r>
      <w:r>
        <w:rPr>
          <w:b/>
        </w:rPr>
        <w:t>medium</w:t>
      </w:r>
    </w:p>
    <w:p>
      <w:pPr>
        <w:pStyle w:val="ListBullet2"/>
        <w:spacing w:after="60"/>
      </w:pPr>
      <w:r>
        <w:t>Sources: Batatu 1999</w:t>
      </w:r>
    </w:p>
    <w:p>
      <w:pPr>
        <w:pStyle w:val="ListBullet"/>
        <w:spacing w:after="60"/>
      </w:pPr>
      <w:r>
        <w:rPr>
          <w:b/>
        </w:rPr>
        <w:t>(a) source says.</w:t>
      </w:r>
      <w:r>
        <w:t xml:space="preserve"> The nation-state will persist because no alternative institutional form can bind the interests of political elites and masses into as powerful a contract as that provided by successful nation building, and none of the global institutions from the UN to the WTO enjoys any independent basis of popular support and legitimacy.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Wimmer 2013</w:t>
      </w:r>
    </w:p>
    <w:p>
      <w:r>
        <w:rPr>
          <w:b/>
        </w:rPr>
        <w:t>Counter-position</w:t>
      </w:r>
      <w:r>
        <w:t xml:space="preserve"> — the strongest case against this answer's own conclusion</w:t>
      </w:r>
    </w:p>
    <w:p>
      <w:r>
        <w:t>Nationalism is best explained as a reconstruction of inherited symbols rather than as a product of modernity, an organized ideology, or a boundary-making force. Against Gellner's industrialization thesis and Anderson's print-capitalism thesis, Anthony Smith's ethno-symbolism holds that language, culture, and cultural institutions (museums, libraries, education systems) do not merely serve as functional instruments of modern social cohesion or territorial standardization. Instead, pre-modern cultural resources—myths, memories, artefacts, and symbolic traditions—shape the very content and character of modern nationhood. Key artefacts (the Mask of Agamemnon, the Ardagh Chalice, the Declaration of Arbroath) are pre-modern and not culturally substitutable, and they have helped form popular images of the nation's history and character. A common language has proven insufficient to unify populations with separate histories (as in the Arab world and English-speaking countries), showing that linguistic divisions depend on religious and political factors rooted in inherited cultural ensembles rather than on modernity's functional requirements alone. The quest for 'authentic' national symbols was modern, but the artefacts deemed to embody the nation were circumscribed by pre-modern provenance, style, and dating, meaning the content of nationhood is shaped by inherited symbolic reconstruction, not by industrial division of labor, fiscal-military extraction, or institutional exchange efficiency.</w:t>
      </w:r>
    </w:p>
    <w:p>
      <w:pPr>
        <w:pStyle w:val="ListBullet2"/>
        <w:spacing w:after="60"/>
      </w:pPr>
      <w:r>
        <w:t>Sources: Smith 2009</w:t>
      </w:r>
    </w:p>
    <w:p>
      <w:r>
        <w:rPr>
          <w:b/>
        </w:rPr>
        <w:t>Coverage map</w:t>
      </w:r>
      <w:r>
        <w:t xml:space="preserve"> — how much of the library stands behind each name the answer rests on</w:t>
      </w:r>
    </w:p>
    <w:p>
      <w:pPr>
        <w:pStyle w:val="ListBullet"/>
        <w:spacing w:after="60"/>
      </w:pPr>
      <w:r>
        <w:rPr>
          <w:b/>
        </w:rPr>
        <w:t>Anthony D. Smith</w:t>
      </w:r>
      <w:r>
        <w:t xml:space="preserve"> — 27 passages in the library, 2 used here; coverage judged </w:t>
      </w:r>
      <w:r>
        <w:rPr>
          <w:i/>
        </w:rPr>
        <w:t>moderate</w:t>
      </w:r>
    </w:p>
    <w:p>
      <w:pPr>
        <w:pStyle w:val="ListBullet"/>
        <w:spacing w:after="60"/>
      </w:pPr>
      <w:r>
        <w:rPr>
          <w:b/>
        </w:rPr>
        <w:t>Benedict Anderson</w:t>
      </w:r>
      <w:r>
        <w:t xml:space="preserve"> — 23 passages in the library, 1 used here; coverage judged </w:t>
      </w:r>
      <w:r>
        <w:rPr>
          <w:i/>
        </w:rPr>
        <w:t>moderate</w:t>
      </w:r>
    </w:p>
    <w:p>
      <w:pPr>
        <w:pStyle w:val="ListBullet"/>
        <w:spacing w:after="60"/>
      </w:pPr>
      <w:r>
        <w:rPr>
          <w:b/>
        </w:rPr>
        <w:t>Ernest Gellner</w:t>
      </w:r>
      <w:r>
        <w:t xml:space="preserve"> — 208 passages in the library, 2 used here; coverage judged </w:t>
      </w:r>
      <w:r>
        <w:rPr>
          <w:i/>
        </w:rPr>
        <w:t>dense</w:t>
      </w:r>
    </w:p>
    <w:p>
      <w:pPr>
        <w:pStyle w:val="ListBullet"/>
        <w:spacing w:after="60"/>
      </w:pPr>
      <w:r>
        <w:rPr>
          <w:b/>
        </w:rPr>
        <w:t>Modernity</w:t>
      </w:r>
      <w:r>
        <w:t xml:space="preserve"> — 89 passages in the library, 1 used here; coverage judged </w:t>
      </w:r>
      <w:r>
        <w:rPr>
          <w:i/>
        </w:rPr>
        <w:t>moderate</w:t>
      </w:r>
    </w:p>
    <w:p>
      <w:pPr>
        <w:pStyle w:val="ListBullet"/>
        <w:spacing w:after="60"/>
      </w:pPr>
      <w:r>
        <w:rPr>
          <w:b/>
        </w:rPr>
        <w:t>nationalism</w:t>
      </w:r>
      <w:r>
        <w:t xml:space="preserve"> — 158 passages in the library, 9 used here; coverage judged </w:t>
      </w:r>
      <w:r>
        <w:rPr>
          <w:i/>
        </w:rPr>
        <w:t>dense</w:t>
      </w:r>
    </w:p>
    <w:p>
      <w:r>
        <w:rPr>
          <w:b/>
        </w:rPr>
        <w:t>Confidence</w:t>
      </w:r>
    </w:p>
    <w:p>
      <w:r>
        <w:t xml:space="preserve">Overall band: </w:t>
      </w:r>
      <w:r>
        <w:rPr>
          <w:b/>
        </w:rPr>
        <w:t>medium</w:t>
      </w:r>
    </w:p>
    <w:p>
      <w:r>
        <w:t>Why: overall confidence is 'medium', bounded by the thinnest-covered name it touches ('Anthony D. Smith', band 'moderate'); coverage by name: Anthony D. Smith (moderate: 27 passages in the library, 2 used here); Benedict Anderson (moderate: 23 passages in the library, 1 used here); Ernest Gellner (dense: 208 passages in the library, 2 used here); Modernity (moderate: 89 passages in the library, 1 used here); nationalism (dense: 158 passages in the library, 9 used here)</w:t>
      </w:r>
    </w:p>
    <w:p>
      <w:r>
        <w:rPr>
          <w:b/>
        </w:rPr>
        <w:t>Source usage</w:t>
      </w:r>
      <w:r>
        <w:t xml:space="preserve"> — share of the answer's cited evidence taken from each book</w:t>
      </w:r>
    </w:p>
    <w:p>
      <w:pPr>
        <w:pStyle w:val="ListBullet"/>
        <w:spacing w:after="60"/>
      </w:pPr>
      <w:r>
        <w:t>Ayubi 1995: 14%</w:t>
      </w:r>
    </w:p>
    <w:p>
      <w:pPr>
        <w:pStyle w:val="ListBullet"/>
        <w:spacing w:after="60"/>
      </w:pPr>
      <w:r>
        <w:t>Gellner 1981: 14%</w:t>
      </w:r>
    </w:p>
    <w:p>
      <w:pPr>
        <w:pStyle w:val="ListBullet"/>
        <w:spacing w:after="60"/>
      </w:pPr>
      <w:r>
        <w:t>Hall &amp; Schroeder 2006: 14%</w:t>
      </w:r>
    </w:p>
    <w:p>
      <w:pPr>
        <w:pStyle w:val="ListBullet"/>
        <w:spacing w:after="60"/>
      </w:pPr>
      <w:r>
        <w:t>Batatu 1999: 7%</w:t>
      </w:r>
    </w:p>
    <w:p>
      <w:pPr>
        <w:pStyle w:val="ListBullet"/>
        <w:spacing w:after="60"/>
      </w:pPr>
      <w:r>
        <w:t>Bayat 2017: 7%</w:t>
      </w:r>
    </w:p>
    <w:p>
      <w:pPr>
        <w:pStyle w:val="ListBullet"/>
        <w:spacing w:after="60"/>
      </w:pPr>
      <w:r>
        <w:t>Beshara 2011: 7%</w:t>
      </w:r>
    </w:p>
    <w:p>
      <w:pPr>
        <w:pStyle w:val="ListBullet"/>
        <w:spacing w:after="60"/>
      </w:pPr>
      <w:r>
        <w:t>Heydemann 2000: 7%</w:t>
      </w:r>
    </w:p>
    <w:p>
      <w:pPr>
        <w:pStyle w:val="ListBullet"/>
        <w:spacing w:after="60"/>
      </w:pPr>
      <w:r>
        <w:t>Malešević 2010: 7%</w:t>
      </w:r>
    </w:p>
    <w:p>
      <w:pPr>
        <w:pStyle w:val="ListBullet"/>
        <w:spacing w:after="60"/>
      </w:pPr>
      <w:r>
        <w:t>Mann vol. II: 7%</w:t>
      </w:r>
    </w:p>
    <w:p>
      <w:pPr>
        <w:pStyle w:val="ListBullet"/>
        <w:spacing w:after="60"/>
      </w:pPr>
      <w:r>
        <w:t>White 2011: 7%</w:t>
      </w:r>
    </w:p>
    <w:p>
      <w:pPr>
        <w:pStyle w:val="ListBullet"/>
        <w:spacing w:after="60"/>
      </w:pPr>
      <w:r>
        <w:t>Wimmer 2013: 7%</w:t>
      </w:r>
    </w:p>
    <w:p>
      <w:r>
        <w:rPr>
          <w:b/>
        </w:rPr>
        <w:t>Peer reviewer.</w:t>
      </w:r>
    </w:p>
    <w:p>
      <w:r>
        <w:rPr>
          <w:b/>
        </w:rPr>
        <w:t>Strong</w:t>
      </w:r>
      <w:r>
        <w:t xml:space="preserve"> on all three dimensions, with only two defects — the cleanest result in the set alongside S-04. The reviewer singled out the counter-position for rendering Smith's ethno-symbolism 'at full strength' rather than as a caricature, and credited the answer for a careful judgement call: recognising that a passage inside a book edited by someone else was Mann's own voice, and crediting it to Mann. Reviewed before the fixes, this same question scored 'weak' on completeness with eight defects.</w:t>
      </w:r>
    </w:p>
    <w:p>
      <w:r>
        <w:rPr>
          <w:b/>
        </w:rPr>
        <w:t>Metrics.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5 min 38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$0.1343</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11</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2 of 5 (missed: Malešević &amp; Haugaard 2007, Malešević 2013, Smith 2009)</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5 of 6</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24 claims, 1,845 words</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p>
      <w:pPr>
        <w:pStyle w:val="Heading3"/>
      </w:pPr>
      <w:r>
        <w:t>S-03 — Comparative: quasi-states, recognition and international statebuilding, 1945-2012</w:t>
      </w:r>
    </w:p>
    <w:p>
      <w:r>
        <w:rPr>
          <w:b/>
        </w:rPr>
        <w:t>Category / domain.</w:t>
      </w:r>
      <w:r>
        <w:t xml:space="preserve"> Sovereignty and international statebuilding</w:t>
      </w:r>
    </w:p>
    <w:p>
      <w:r>
        <w:rPr>
          <w:b/>
        </w:rPr>
        <w:t>Question.</w:t>
      </w:r>
    </w:p>
    <w:p>
      <w:pPr>
        <w:spacing w:before="80"/>
        <w:ind w:left="432"/>
      </w:pPr>
      <w:r>
        <w:rPr>
          <w:i/>
        </w:rPr>
        <w:t>How do later accounts of sovereignty, recognition and international statebuilding modify Jackson's concept of quasi-states: do they narrow it, extend it, or contest what it was meant to explain?</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Jackson explicitly positions his quasi-states concept against political-economy and sociological approaches, arguing that modernization theory, underdevelopment theory, and structuralism all ignore the causally important international normative framework of negative sovereignty that sustains Third World states.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Jackson 1990</w:t>
      </w:r>
    </w:p>
    <w:p>
      <w:pPr>
        <w:pStyle w:val="ListBullet"/>
        <w:spacing w:after="60"/>
      </w:pPr>
      <w:r>
        <w:rPr>
          <w:b/>
        </w:rPr>
        <w:t>(a) source says.</w:t>
      </w:r>
      <w:r>
        <w:t xml:space="preserve"> Jackson argues that the correct level of analysis for quasi-states is not the state as such but the states-system and its accommodating norms, thereby bracketing domestic material and economic conditions as secondary to the international normative superstructure.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Jackson 1990</w:t>
      </w:r>
    </w:p>
    <w:p>
      <w:pPr>
        <w:pStyle w:val="ListBullet"/>
        <w:spacing w:after="60"/>
      </w:pPr>
      <w:r>
        <w:rPr>
          <w:b/>
        </w:rPr>
        <w:t>(a) source says.</w:t>
      </w:r>
      <w:r>
        <w:t xml:space="preserve"> Jackson frames quasi-states as creatures of an international society that compensates for the differentiating effects of competitive international economics through aid flows, debt relief, and nonreciprocal economic rules, acknowledging a political-economy dimension but locating its causal force at the international-systemic level rather than domestically.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Jackson 1990</w:t>
      </w:r>
    </w:p>
    <w:p>
      <w:pPr>
        <w:pStyle w:val="ListBullet"/>
        <w:spacing w:after="60"/>
      </w:pPr>
      <w:r>
        <w:rPr>
          <w:b/>
        </w:rPr>
        <w:t>(b) Axial infers.</w:t>
      </w:r>
      <w:r>
        <w:t xml:space="preserve"> Ayubi narrows Jackson's concept by arguing that juridical quasi-statehood alone is insufficient to explain the exaggerated role of post-colonial states; the oversized state bureaucracy must also be explained by colonial legacy (Alavi's overdeveloped state) and delayed capitalist development (Gerschenkron's étatisme), reintroducing domestic political-economy factors Jackson had bracketed.</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Ayubi 1995; Jackson 1990</w:t>
      </w:r>
    </w:p>
    <w:p>
      <w:pPr>
        <w:pStyle w:val="ListBullet"/>
        <w:spacing w:after="60"/>
      </w:pPr>
      <w:r>
        <w:rPr>
          <w:b/>
        </w:rPr>
        <w:t>(a) source says.</w:t>
      </w:r>
      <w:r>
        <w:t xml:space="preserve"> Ayubi concedes that bureaucracies are oversized in the Middle East even in states without a clear colonial past, which narrows the applicability of Alavi's colonial-legacy thesis while still insisting on a political-economy explanation (delayed capitalist development) that Jackson's purely normative-legal framework does not provide.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Ayubi 1995</w:t>
      </w:r>
    </w:p>
    <w:p>
      <w:pPr>
        <w:pStyle w:val="ListBullet"/>
        <w:spacing w:after="60"/>
      </w:pPr>
      <w:r>
        <w:rPr>
          <w:b/>
        </w:rPr>
        <w:t>(b) Axial infers.</w:t>
      </w:r>
      <w:r>
        <w:t xml:space="preserve"> Caspersen contests Jackson's quasi-state model by inverting it: whereas quasi-states enjoy external sovereignty without internal sovereignty, unrecognized states possess internal sovereignty (capacity to govern, provide services, enjoy popular legitimacy) without external recognition, demonstrating through a political-economy lens that domestic state capacity can develop independently of international legal status.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(b) Axial infers.</w:t>
      </w:r>
      <w:r>
        <w:t xml:space="preserve"> Caspersen draws on Krasner's four-element typology of sovereignty to argue that sovereignty is divisible and multifaceted, and that domestic sovereignty (authority structures and effective regulation) and interdependence sovereignty (control of cross-border flows) can vary independently of international legal sovereignty, thereby contesting Jackson's framing of the external-internal sovereignty disconnect as specific to quasi-states.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Jackson 1990</w:t>
      </w:r>
    </w:p>
    <w:p>
      <w:pPr>
        <w:pStyle w:val="ListBullet"/>
        <w:spacing w:after="60"/>
      </w:pPr>
      <w:r>
        <w:rPr>
          <w:b/>
        </w:rPr>
        <w:t>(b) Axial infers.</w:t>
      </w:r>
      <w:r>
        <w:t xml:space="preserve"> Zaum extends Jackson's concept by arguing that post-Cold War international statebuilding reflects a changed understanding of sovereignty that now entails dual responsibilities of the state toward other states and its own citizens, moving beyond Jackson's negative sovereignty as a mere formal-legal entitlement and introducing conditionality that links sovereignty to empirical statehood and democratic governance.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Zaum 2007; Jackson 1990</w:t>
      </w:r>
    </w:p>
    <w:p>
      <w:pPr>
        <w:pStyle w:val="ListBullet"/>
        <w:spacing w:after="60"/>
      </w:pPr>
      <w:r>
        <w:rPr>
          <w:b/>
        </w:rPr>
        <w:t>(a) source says.</w:t>
      </w:r>
      <w:r>
        <w:t xml:space="preserve"> Zaum identifies a sovereignty paradox in political-economy terms: international statebuilding policies aimed at establishing legitimate institutions and empirical statehood simultaneously undermine those institutions' agency because the international community continues to intervene and prescribe ends, creating a tension between the goal of sovereign statehood and the means used to achieve it.</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Zaum 2007</w:t>
      </w:r>
    </w:p>
    <w:p>
      <w:pPr>
        <w:pStyle w:val="ListBullet"/>
        <w:spacing w:after="60"/>
      </w:pPr>
      <w:r>
        <w:rPr>
          <w:b/>
        </w:rPr>
        <w:t>(b) Axial infers.</w:t>
      </w:r>
      <w:r>
        <w:t xml:space="preserve"> Zaum contests Jackson's claim that negative sovereignty was the sole operative regime for state recognition after 1945 by showing that in the post-Cold War Yugoslav case, recognition was made conditional on human rights, democratic rule, and minority protection, thereby reintroducing substantive domestic political-economy criteria that Jackson's framework had excluded.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Zaum 2007; Jackson 1990</w:t>
      </w:r>
    </w:p>
    <w:p>
      <w:pPr>
        <w:pStyle w:val="ListBullet"/>
        <w:spacing w:after="60"/>
      </w:pPr>
      <w:r>
        <w:rPr>
          <w:b/>
        </w:rPr>
        <w:t>(b) Axial infers.</w:t>
      </w:r>
      <w:r>
        <w:t xml:space="preserve"> Zaum's analysis of the Yugoslav recognition process shows that political considerations (domestic pressures, regional stability concerns) interacted with and compromised the principled normative criteria for recognition, demonstrating that recognition practices remain inescapably political rather than purely normative-legal as Jackson's framework implies.</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Zaum 2007; Jackson 1990</w:t>
      </w:r>
    </w:p>
    <w:p>
      <w:pPr>
        <w:pStyle w:val="ListBullet"/>
        <w:spacing w:after="60"/>
      </w:pPr>
      <w:r>
        <w:rPr>
          <w:b/>
        </w:rPr>
        <w:t>(b) Axial infers.</w:t>
      </w:r>
      <w:r>
        <w:t xml:space="preserve"> Caspersen and Zaum both extend Jackson's insight that sovereignty is divisible, but in opposite directions: Caspersen shows that internal statehood can exist without external recognition (the unrecognized-state case), while Zaum shows that external intervention can build empirical statehood while denying sovereign agency (the statebuilding case), together revealing that the disconnect between external and internal sovereignty is not a one-way street as Jackson's quasi-state model suggests.</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Caspersen 2012 (2 passages); Zaum 2007</w:t>
      </w:r>
    </w:p>
    <w:p>
      <w:pPr>
        <w:pStyle w:val="ListBullet"/>
        <w:spacing w:after="60"/>
      </w:pPr>
      <w:r>
        <w:rPr>
          <w:b/>
        </w:rPr>
        <w:t>(a) source says.</w:t>
      </w:r>
      <w:r>
        <w:t xml:space="preserve"> Jackson himself concedes that positive sovereignty is a substantive rather than formal condition, presupposing capabilities enabling governments to provide political goods, collaborate internationally, and reciprocate in commerce and finance, which is a political attribute (per Schwarzenberger) involving sociological, economic, technological, and psychological wherewithal rather than a purely legal one.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Jackson 1990</w:t>
      </w:r>
    </w:p>
    <w:p>
      <w:pPr>
        <w:pStyle w:val="ListBullet"/>
        <w:spacing w:after="60"/>
      </w:pPr>
      <w:r>
        <w:rPr>
          <w:b/>
        </w:rPr>
        <w:t>(b) Axial infers.</w:t>
      </w:r>
      <w:r>
        <w:t xml:space="preserve"> The political-economy lens reveals that later accounts collectively modify Jackson's concept by re-centering the domestic material conditions he had bracketed: Ayubi does so through colonial legacy and delayed development, Caspersen through domestic capacity and service provision, and Zaum through the tension between external statebuilding intervention and the empirical statehood it aims to produce.</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Ayubi 1995; Caspersen 2012; Zaum 2007; Jackson 1990</w:t>
      </w:r>
    </w:p>
    <w:p>
      <w:pPr>
        <w:pStyle w:val="ListBullet"/>
        <w:spacing w:after="60"/>
      </w:pPr>
      <w:r>
        <w:rPr>
          <w:b/>
        </w:rPr>
        <w:t>(b) Axial infers.</w:t>
      </w:r>
      <w:r>
        <w:t xml:space="preserve"> Jackson acknowledges that the negative sovereignty regime benefits sovereigns over citizens and sometimes Third World sovereigns over First and Second World counterparts, which from a political-economy perspective reveals an institutional bias in the distribution of material resources and authority that later accounts seek to explain rather than take as given.</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Jackson 1990; Ayubi 1995; Zaum 2007</w:t>
      </w:r>
    </w:p>
    <w:p>
      <w:pPr>
        <w:pStyle w:val="ListBullet"/>
        <w:spacing w:after="60"/>
      </w:pPr>
      <w:r>
        <w:rPr>
          <w:b/>
        </w:rPr>
        <w:t>(b) Axial infers.</w:t>
      </w:r>
      <w:r>
        <w:t xml:space="preserve"> Heydemann cites Jackson's quasi-states concept as support for analyzing Palestinian state-building, linking war and violence to the construction of identity and state legitimacy, which from a political-economy lens extends Jackson's framework by showing how military and organizational capacity (rather than juridical status) drives state-building legitimacy in the Palestinian case.</w:t>
      </w:r>
    </w:p>
    <w:p>
      <w:pPr>
        <w:pStyle w:val="ListBullet2"/>
        <w:spacing w:after="60"/>
      </w:pPr>
      <w:r>
        <w:t xml:space="preserve">Confidence: </w:t>
      </w:r>
      <w:r>
        <w:rPr>
          <w:b/>
        </w:rPr>
        <w:t>low</w:t>
      </w:r>
    </w:p>
    <w:p>
      <w:pPr>
        <w:pStyle w:val="ListBullet2"/>
        <w:spacing w:after="60"/>
      </w:pPr>
      <w:r>
        <w:t>Sources: Heydemann 2000; Jackson 1990</w:t>
      </w:r>
    </w:p>
    <w:p>
      <w:r>
        <w:rPr>
          <w:b/>
        </w:rPr>
        <w:t>Counter-position</w:t>
      </w:r>
      <w:r>
        <w:t xml:space="preserve"> — the strongest case against this answer's own conclusion</w:t>
      </w:r>
    </w:p>
    <w:p>
      <w:r>
        <w:t>Jackson's framework already provides the correct and sufficient explanation of quasi-states through the international normative regime of negative sovereignty. Domestic political-economic conditions are secondary effects of this regime's institutional bias rather than independent causal forces, so later accounts' re-centering of domestic material conditions does not successfully contest or narrow what Jackson's concept was meant to explain. Instead, by shifting the level of analysis from the causally primary states-system to the derivative domestic level, they miss Jackson's central insight that international normative accommodation—not domestic material conditions—is the primary determinant of Third World statehood. Jackson explicitly argues that modernization theory, underdevelopment theory, and structuralism all 'ignore' international legitimacy and law, treating it as 'superstructure' or 'formal legality,' and he insists that 'the correct level of analysis for understanding these problematical entities is not the state as such but the states-system and particularly its new accommodating norms.'</w:t>
      </w:r>
    </w:p>
    <w:p>
      <w:pPr>
        <w:pStyle w:val="ListBullet2"/>
        <w:spacing w:after="60"/>
      </w:pPr>
      <w:r>
        <w:t>Sources: Jackson 1990 (3 passages)</w:t>
      </w:r>
    </w:p>
    <w:p>
      <w:r>
        <w:rPr>
          <w:b/>
        </w:rPr>
        <w:t>Coverage map</w:t>
      </w:r>
      <w:r>
        <w:t xml:space="preserve"> — how much of the library stands behind each name the answer rests on</w:t>
      </w:r>
    </w:p>
    <w:p>
      <w:pPr>
        <w:pStyle w:val="ListBullet"/>
        <w:spacing w:after="60"/>
      </w:pPr>
      <w:r>
        <w:rPr>
          <w:b/>
        </w:rPr>
        <w:t>Jackson</w:t>
      </w:r>
      <w:r>
        <w:t xml:space="preserve"> — 21 passages in the library, 3 used here; coverage judged </w:t>
      </w:r>
      <w:r>
        <w:rPr>
          <w:i/>
        </w:rPr>
        <w:t>moderate</w:t>
      </w:r>
    </w:p>
    <w:p>
      <w:pPr>
        <w:pStyle w:val="ListBullet"/>
        <w:spacing w:after="60"/>
      </w:pPr>
      <w:r>
        <w:rPr>
          <w:b/>
        </w:rPr>
        <w:t>Robert H. Jackson</w:t>
      </w:r>
      <w:r>
        <w:t xml:space="preserve"> — 18 passages in the library, 2 used here; coverage judged </w:t>
      </w:r>
      <w:r>
        <w:rPr>
          <w:i/>
        </w:rPr>
        <w:t>thin</w:t>
      </w:r>
    </w:p>
    <w:p>
      <w:pPr>
        <w:pStyle w:val="ListBullet"/>
        <w:spacing w:after="60"/>
      </w:pPr>
      <w:r>
        <w:rPr>
          <w:b/>
        </w:rPr>
        <w:t>quasi-states</w:t>
      </w:r>
      <w:r>
        <w:t xml:space="preserve"> — 51 passages in the library, 10 used here; coverage judged </w:t>
      </w:r>
      <w:r>
        <w:rPr>
          <w:i/>
        </w:rPr>
        <w:t>moderate</w:t>
      </w:r>
    </w:p>
    <w:p>
      <w:r>
        <w:rPr>
          <w:b/>
        </w:rPr>
        <w:t>Confidence</w:t>
      </w:r>
    </w:p>
    <w:p>
      <w:r>
        <w:t xml:space="preserve">Overall band: </w:t>
      </w:r>
      <w:r>
        <w:rPr>
          <w:b/>
        </w:rPr>
        <w:t>low</w:t>
      </w:r>
    </w:p>
    <w:p>
      <w:r>
        <w:t>Why: overall confidence is 'low', bounded by the thinnest-covered name it touches ('Robert H. Jackson', band 'thin'); coverage by name: Jackson (moderate: 21 passages in the library, 3 used here); Robert H. Jackson (thin: 18 passages in the library, 2 used here); quasi-states (moderate: 51 passages in the library, 10 used here)</w:t>
      </w:r>
    </w:p>
    <w:p>
      <w:r>
        <w:rPr>
          <w:b/>
        </w:rPr>
        <w:t>Source usage</w:t>
      </w:r>
      <w:r>
        <w:t xml:space="preserve"> — share of the answer's cited evidence taken from each book</w:t>
      </w:r>
    </w:p>
    <w:p>
      <w:pPr>
        <w:pStyle w:val="ListBullet"/>
        <w:spacing w:after="60"/>
      </w:pPr>
      <w:r>
        <w:t>Jackson 1990: 40%</w:t>
      </w:r>
    </w:p>
    <w:p>
      <w:pPr>
        <w:pStyle w:val="ListBullet"/>
        <w:spacing w:after="60"/>
      </w:pPr>
      <w:r>
        <w:t>Caspersen 2012: 20%</w:t>
      </w:r>
    </w:p>
    <w:p>
      <w:pPr>
        <w:pStyle w:val="ListBullet"/>
        <w:spacing w:after="60"/>
      </w:pPr>
      <w:r>
        <w:t>Zaum 2007: 20%</w:t>
      </w:r>
    </w:p>
    <w:p>
      <w:pPr>
        <w:pStyle w:val="ListBullet"/>
        <w:spacing w:after="60"/>
      </w:pPr>
      <w:r>
        <w:t>Ayubi 1995: 10%</w:t>
      </w:r>
    </w:p>
    <w:p>
      <w:pPr>
        <w:pStyle w:val="ListBullet"/>
        <w:spacing w:after="60"/>
      </w:pPr>
      <w:r>
        <w:t>Heydemann 2000: 10%</w:t>
      </w:r>
    </w:p>
    <w:p>
      <w:r>
        <w:rPr>
          <w:b/>
        </w:rPr>
        <w:t>Peer reviewer.</w:t>
      </w:r>
    </w:p>
    <w:p>
      <w:r>
        <w:rPr>
          <w:b/>
        </w:rPr>
        <w:t>Adequate</w:t>
      </w:r>
      <w:r>
        <w:t xml:space="preserve"> on factual correctness and on citation grounding, </w:t>
      </w:r>
      <w:r>
        <w:rPr>
          <w:b/>
        </w:rPr>
        <w:t>strong</w:t>
      </w:r>
      <w:r>
        <w:t xml:space="preserve"> on completeness. Three defects. This is the only answer in the set that did not move up to 'strong' on the first two dimensions, and it is also the narrowest question: the founding book on the concept is on the shelf, but only five books in the library discuss it at all. The answer reached all three books the question demands, and 15 of its 16 claims were capped below the confidence the writing model asked for.</w:t>
      </w:r>
    </w:p>
    <w:p>
      <w:r>
        <w:rPr>
          <w:b/>
        </w:rPr>
        <w:t>Metrics.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6 min 27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$0.1150</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5</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3 of 3</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9 of 10</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16 claims, 1,338 words</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p>
      <w:pPr>
        <w:pStyle w:val="Heading3"/>
      </w:pPr>
      <w:r>
        <w:t>S-04 — Transnistria in the post-Soviet space, 1991-2012</w:t>
      </w:r>
    </w:p>
    <w:p>
      <w:r>
        <w:rPr>
          <w:b/>
        </w:rPr>
        <w:t>Category / domain.</w:t>
      </w:r>
      <w:r>
        <w:t xml:space="preserve"> Post-Soviet unrecognised states</w:t>
      </w:r>
    </w:p>
    <w:p>
      <w:r>
        <w:rPr>
          <w:b/>
        </w:rPr>
        <w:t>Question.</w:t>
      </w:r>
    </w:p>
    <w:p>
      <w:pPr>
        <w:spacing w:before="80"/>
        <w:ind w:left="432"/>
      </w:pPr>
      <w:r>
        <w:rPr>
          <w:i/>
        </w:rPr>
        <w:t>How has non-recognition shaped Transnistria's internal state-building, and what can be established about that case specifically rather than about post-Soviet unrecognized states in general?</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EU border monitoring in Transnistria found that smuggled goods mostly consisted of frozen chickens and similar goods, not drugs and weapons, challenging the 'black hole' image propagated by international observers.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Transnistria's de facto statehood ultimately hinges on Russia's willingness to renew its security guarantee, with Russian peacekeepers functioning as 'a second line of defence behind which the Transnistrian authorities may pursue their state-building project'.</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Russia provides Transnistria with semi-private investments, a major market for exports, loans and credit, pension assistance, and continued subsidized gas even in the face of nonpayment, creating deep economic dependence.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Moldova in 1996 offered Transnistria the use of Moldovan customs certificates, enabling licit trade, with thousands of vehicles crossing the de facto border daily and Transnistrian companies registered and operating with Moldovan licences in Chisinau.</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Transnistrian army is larger than Moldova's despite Moldova having six times as many inhabitants, diverting resources away from public services like health and education toward defense.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Transnistrians 'almost uniformly believe Moldovans are significantly worse off economically than they are,' making the relative economic comparison with Moldova central to building support for Transnistrian statehood.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Renewal (Obnovlenie) movement, associated with Transnistria's largest company Sheriff, pressed for democratization and an end to isolation, and managed to win a majority in the 2005 parliamentary elections.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Transnistria's population fell from 770,000 in 1989 to an estimated 522,500 at the beginning of 2010, creating demographic vulnerability that undermines claims to majority support and complicates military mobilization.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Kolstø and Blakkisrud argue that Transnistria has moved away from being a 'black hole' and developed 'something akin to full-fledged statehood (minus official recognition)'.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Isachenko argues that the Transnistrian state-building project 'can be seen as a product of the international community just as much as an expression of local desires'.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Central control was quickly established in Transnistria despite initial reliance on irregular forces made up of the embryonic national guard, paramilitary groups, and Russian 14th Army troops moonlighting for the Transnistrians, because the relatively short war prevented the power of irregular forces from becoming entrenched.</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Transnistria, unlike former autonomous regions such as Nagorno Karabakh or South Ossetia, had no pre-existing institutional framework from the Soviet era—it was not an autonomous region and was constituted by territory on the left bank of the Dniester River—yet still managed to establish central control, demonstrating that a pre-existing institutional foundation is not essential for state-building.</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(a) source says.</w:t>
      </w:r>
      <w:r>
        <w:t xml:space="preserve"> Transnistria's multi-ethnic demographics (40% Moldovans, 28% Ukrainians, 26% Russians in 1989) precluded ethnically defined nationalism, since all three groups have 'ethnic homeland states' outside Transnistria, leading authorities to promote 'Transnistrianness' as a new civic national identity and to base independence claims on historic continuity rather than national identity.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2006 Transnistrian referendum voted for independence and simultaneously for 'future association' with the Russian Federation, illustrating that pragmatic resource-driven dependence on the patron coexists with the claim to separate statehood.</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EU border assistance deployed to prevent smuggling of dangerous goods over the Transnistrian de facto border paradoxically helped consolidate Transnistrian statehood, according to Kolstø and Blakkisrud.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Isachenko argues that the Transnistrian regime, in response to international pressures, has worked 'diligently to create at least the facade of democracy by simulating such symptoms as having opposition groups and civil society'.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Transnistria's armed conflict was 'confined to a few hot spots' and resulted in fewer than 1,000 casualties, with no reports of incidents resulting in casualties since 1992, making it a rare case among unrecognized states of genuine cessation of violence rather than ongoing front-line tension.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(b) Axial infers.</w:t>
      </w:r>
      <w:r>
        <w:t xml:space="preserve"> Non-recognition shaped Transnistria's political economy by simultaneously incentivizing state-building (to demonstrate viability and earn recognition) and constraining it through militarization, resource diversion to defense, and dependence on Russian patronage, producing a specific form of statehood that is externally dependent and heavily militarized rather than self-sustaining.</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 (4 passages)</w:t>
      </w:r>
    </w:p>
    <w:p>
      <w:pPr>
        <w:pStyle w:val="ListBullet"/>
        <w:spacing w:after="60"/>
      </w:pPr>
      <w:r>
        <w:rPr>
          <w:b/>
        </w:rPr>
        <w:t>(b) Axial infers.</w:t>
      </w:r>
      <w:r>
        <w:t xml:space="preserve"> Transnistria's economic legitimacy strategy operates through relative comparison with Moldova rather than absolute welfare provision, since the economic argument for statehood depends on Transnistrians believing they are better off than Moldovans, even as population decline from 770,000 to 522,500 undermines the demographic basis of this claim.</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Caspersen 2012</w:t>
      </w:r>
    </w:p>
    <w:p>
      <w:pPr>
        <w:pStyle w:val="ListBullet"/>
        <w:spacing w:after="60"/>
      </w:pPr>
      <w:r>
        <w:rPr>
          <w:b/>
        </w:rPr>
        <w:t>(b) Axial infers.</w:t>
      </w:r>
      <w:r>
        <w:t xml:space="preserve"> Transnistria's political economy exhibits a dual-dependency structure: licit trade channels with the parent state Moldova (via customs certificates, company registrations, cross-border traffic) coexist with deep economic reliance on Russia (gas subsidies, credit, pensions, investments), creating competing gravitational pulls that shape both its state-building and its legitimizing ideology.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(b) Axial infers.</w:t>
      </w:r>
      <w:r>
        <w:t xml:space="preserve"> The gap between Transnistria's 'black hole' reputation—driven by non-recognition narratives and the European Parliament's designation—and the empirical finding that smuggling consisted mostly of frozen chickens reveals that non-recognition generates a political-economic image of criminality that exceeds the actual evidence, though the passage concedes authorities may still be complicit in criminal activity.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(a) source says.</w:t>
      </w:r>
      <w:r>
        <w:t xml:space="preserve"> The Transnistrian authorities' claim to possess 'all attributes of a modern independent state'—including parliament, central bank, courts, constitution, army, police, border patrol, health service, and tax collection—constitutes a political-economic argument that effective governance, rather than international recognition, should confer statehood.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Transnistria's Transnistrian authorities contend they have a moral entitlement to self-determination since Moldova attempted to resolve the conflict through the use of force, and justify secession by pointing to alleged discriminatory laws adopted by Moldova's parliament, combining remedial-rights claims with civic nation-building in a way specific to its multi-ethnic composition.</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Oleh Protsyk observes that the Orange Revolution in Ukraine and democratic progress in Moldova highlighted the Transnistrian regime's 'problem of democratic legitimacy' and served as an impetus for reforms, showing that Transnistria's democratization is driven partly by competitive pressure from its parent state's political trajectory.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Transnistria's relative lack of wartime destruction—compared to cases like Chechnya where destruction was 'almost complete'—reduced the economic burden of post-war reconstruction and facilitated quicker establishment of central control, distinguishing its state-building trajectory from unrecognized states that experienced prolonged devastation.</w:t>
      </w:r>
    </w:p>
    <w:p>
      <w:pPr>
        <w:pStyle w:val="ListBullet2"/>
        <w:spacing w:after="60"/>
      </w:pPr>
      <w:r>
        <w:t xml:space="preserve">Confidence: </w:t>
      </w:r>
      <w:r>
        <w:rPr>
          <w:b/>
        </w:rPr>
        <w:t>medium</w:t>
      </w:r>
    </w:p>
    <w:p>
      <w:pPr>
        <w:pStyle w:val="ListBullet2"/>
        <w:spacing w:after="60"/>
      </w:pPr>
      <w:r>
        <w:t>Sources: Caspersen 2012 (2 passages)</w:t>
      </w:r>
    </w:p>
    <w:p>
      <w:r>
        <w:rPr>
          <w:b/>
        </w:rPr>
        <w:t>Counter-position</w:t>
      </w:r>
      <w:r>
        <w:t xml:space="preserve"> — the strongest case against this answer's own conclusion</w:t>
      </w:r>
    </w:p>
    <w:p>
      <w:r>
        <w:t>The effects attributed to non-recognition in the primary synthesis—militarization, resource diversion to defense, constrained democratization, and external dependence—are better explained as conventional postwar and developmental phenomena rather than as consequences specifically of non-recognition. Freedom House scores across unrecognized states span the full spectrum from 'nonfree' to 'free,' and Tansey's analysis shows that obstacles to democratization in unrecognized states 'are not tied to lack of recognition, but have much more conventional sources.' Large defense budgets and military dominance are 'a common feature of postwar situations' not unique to unrecognized states. On this view, what the primary synthesis treats as non-recognition's distinctive imprint on Transnistria is largely indistinguishable from the patterns any small post-conflict entity would exhibit, and non-recognition does not appear to significantly shape the kind of entity that emerges.</w:t>
      </w:r>
    </w:p>
    <w:p>
      <w:pPr>
        <w:pStyle w:val="ListBullet2"/>
        <w:spacing w:after="60"/>
      </w:pPr>
      <w:r>
        <w:t>Sources: Caspersen 2012 (2 passages)</w:t>
      </w:r>
    </w:p>
    <w:p>
      <w:r>
        <w:rPr>
          <w:b/>
        </w:rPr>
        <w:t>Coverage map</w:t>
      </w:r>
      <w:r>
        <w:t xml:space="preserve"> — how much of the library stands behind each name the answer rests on</w:t>
      </w:r>
    </w:p>
    <w:p>
      <w:pPr>
        <w:pStyle w:val="ListBullet"/>
        <w:spacing w:after="60"/>
      </w:pPr>
      <w:r>
        <w:rPr>
          <w:b/>
        </w:rPr>
        <w:t>Helge Blakkisrud</w:t>
      </w:r>
      <w:r>
        <w:t xml:space="preserve"> — 18 passages in the library, 3 used here; coverage judged </w:t>
      </w:r>
      <w:r>
        <w:rPr>
          <w:i/>
        </w:rPr>
        <w:t>thin</w:t>
      </w:r>
    </w:p>
    <w:p>
      <w:pPr>
        <w:pStyle w:val="ListBullet"/>
        <w:spacing w:after="60"/>
      </w:pPr>
      <w:r>
        <w:rPr>
          <w:b/>
        </w:rPr>
        <w:t>Moldova</w:t>
      </w:r>
      <w:r>
        <w:t xml:space="preserve"> — 27 passages in the library, 6 used here; coverage judged </w:t>
      </w:r>
      <w:r>
        <w:rPr>
          <w:i/>
        </w:rPr>
        <w:t>moderate</w:t>
      </w:r>
    </w:p>
    <w:p>
      <w:pPr>
        <w:pStyle w:val="ListBullet"/>
        <w:spacing w:after="60"/>
      </w:pPr>
      <w:r>
        <w:rPr>
          <w:b/>
        </w:rPr>
        <w:t>Transnistria</w:t>
      </w:r>
      <w:r>
        <w:t xml:space="preserve"> — 36 passages in the library, 18 used here; coverage judged </w:t>
      </w:r>
      <w:r>
        <w:rPr>
          <w:i/>
        </w:rPr>
        <w:t>moderate</w:t>
      </w:r>
    </w:p>
    <w:p>
      <w:pPr>
        <w:pStyle w:val="ListBullet"/>
        <w:spacing w:after="60"/>
      </w:pPr>
      <w:r>
        <w:rPr>
          <w:b/>
        </w:rPr>
        <w:t>state-building</w:t>
      </w:r>
      <w:r>
        <w:t xml:space="preserve"> — 6 passages in the library, 1 used here; coverage judged </w:t>
      </w:r>
      <w:r>
        <w:rPr>
          <w:i/>
        </w:rPr>
        <w:t>thin</w:t>
      </w:r>
    </w:p>
    <w:p>
      <w:r>
        <w:rPr>
          <w:b/>
        </w:rPr>
        <w:t>Confidence</w:t>
      </w:r>
    </w:p>
    <w:p>
      <w:r>
        <w:t xml:space="preserve">Overall band: </w:t>
      </w:r>
      <w:r>
        <w:rPr>
          <w:b/>
        </w:rPr>
        <w:t>low</w:t>
      </w:r>
    </w:p>
    <w:p>
      <w:r>
        <w:t>Why: overall confidence is 'low', bounded by the thinnest-covered name it touches ('Helge Blakkisrud', band 'thin'); coverage by name: Helge Blakkisrud (thin: 18 passages in the library, 3 used here); Moldova (moderate: 27 passages in the library, 6 used here); Transnistria (moderate: 36 passages in the library, 18 used here); state-building (thin: 6 passages in the library, 1 used here)</w:t>
      </w:r>
    </w:p>
    <w:p>
      <w:r>
        <w:rPr>
          <w:b/>
        </w:rPr>
        <w:t>Source usage</w:t>
      </w:r>
      <w:r>
        <w:t xml:space="preserve"> — share of the answer's cited evidence taken from each book</w:t>
      </w:r>
    </w:p>
    <w:p>
      <w:pPr>
        <w:pStyle w:val="ListBullet"/>
        <w:spacing w:after="60"/>
      </w:pPr>
      <w:r>
        <w:t>Caspersen 2012: 100%</w:t>
      </w:r>
    </w:p>
    <w:p>
      <w:r>
        <w:rPr>
          <w:b/>
        </w:rPr>
        <w:t>Peer reviewer.</w:t>
      </w:r>
    </w:p>
    <w:p>
      <w:r>
        <w:rPr>
          <w:b/>
        </w:rPr>
        <w:t>Strong</w:t>
      </w:r>
      <w:r>
        <w:t xml:space="preserve"> on all three dimensions; two defects, both about wording rather than substance. This is the answer that changed most between the two review rounds. In the first round it printed 'Counter-position: (none disclosed)' while fourteen of its own cited passages named an opponent, and the reviewer called that evasive. After the fix, the reviewer described its counter-position as 'a genuinely strong counter-position drawn from the same author's own concessions — directly answering the question's harder half'. One number below reads badly at first glance and should not: none of this answer's own inferences span two books, because the library holds this subject in one book. Thin coverage is what this brief was built to probe, and 24 of its 25 claims were capped below the confidence the writing model asked for.</w:t>
      </w:r>
    </w:p>
    <w:p>
      <w:r>
        <w:rPr>
          <w:b/>
        </w:rPr>
        <w:t>Metrics.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12 min 17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$0.1237</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1</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1 of 2 (missed: Üngör 2020)</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0 of 7</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25 claims, 1,624 words</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p>
      <w:pPr>
        <w:pStyle w:val="Heading3"/>
      </w:pPr>
      <w:r>
        <w:t>S-05 — Somaliland, 1991-2012</w:t>
      </w:r>
    </w:p>
    <w:p>
      <w:r>
        <w:rPr>
          <w:b/>
        </w:rPr>
        <w:t>Category / domain.</w:t>
      </w:r>
      <w:r>
        <w:t xml:space="preserve"> Somaliland, recognition and statehood</w:t>
      </w:r>
    </w:p>
    <w:p>
      <w:r>
        <w:rPr>
          <w:b/>
        </w:rPr>
        <w:t>Question.</w:t>
      </w:r>
    </w:p>
    <w:p>
      <w:pPr>
        <w:spacing w:before="80"/>
        <w:ind w:left="432"/>
      </w:pPr>
      <w:r>
        <w:rPr>
          <w:i/>
        </w:rPr>
        <w:t>How does the absence of international recognition shape Somaliland's internal state-building and its claim to sovereignty, and how secure is the evidential basis for that account?</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Somaliland's lack of international recognition constrains its state-building by closing doors in the international system, yet the entity has its own currency, army, and government and provides public services such as health and education, raising the question of whether it is a 'state in all but name' or something else due to nonrecognition.</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 does not enjoy the support of a patron state, unlike most other unrecognized states, which means it must rely on alternative external sources of support for survival and state-building.</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Somaliland diaspora has been a crucial pillar of the state-building project, providing expert knowledge and monetary contributions worth up to $500 million per year, including remittances constituting roughly 50% of total support for livelihoods, financing for public services and infrastructure, and investments in property and telecommunications.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Because Somaliland lacks a patron state and faced initial refusal by the UN to engage constructively, diaspora support functioned as a substitute for the external patronage that sustains other unrecognized states, making globalization-driven remittance flows a structural substitute for the political-military security guarantees that patrons provide elsewhere.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(a) source says.</w:t>
      </w:r>
      <w:r>
        <w:t xml:space="preserve"> Somaliland's GDP per capita was estimated at only $226 in 2003, far below Taiwan's $16,423, indicating that nonrecognition imposes severe economic constraints on most unrecognized states and that Somaliland cannot emulate Taiwan's resource base.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Building an effective entity capable of survival requires external assistance for unrecognized states, creating the paradox that external dependence is necessary to maintain de facto independence from the parent state; Somaliland's case shows this dependence is channeled through diaspora and trade rather than a patron state.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(a) source says.</w:t>
      </w:r>
      <w:r>
        <w:t xml:space="preserve"> Somaliland's previous status as a recognized independent state for five days in 1960, recognized by thirty-five states, provides a pre-existing institutional framework and a basis for claims to historic continuity that shapes its state-building capacity and its legitimizing ideology.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Somaliland's leaders point to its existence as a British protectorate and its five days of internationally recognized independence in 1960 as the basis for claims to independence, focusing on historic continuity rather than national identity because the entity is composed of several clans with the Isaaq clan making up roughly 70% of the population.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 has adopted a civic form of nation-building, promoting an inclusive civic identity to retain unity and avoid internal clan strife, rather than the ethnically defined nationalism found in entities like Republika Srpska Krajina.</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Somaliland diaspora has served as a guardian of democratization rather than a radicalizing force, with diaspora-led political parties calling for the disbandment of the Security Committee, contrasting with the radicalizing diaspora effect seen in Nagorno Karabakh's Dashnak party.</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 has experienced a process of creeping international acceptance approaching de facto recognition, including functional relationships with Ethiopia, formal memoranda with Britain and Denmark on asylum-seeker repatriation, EU and UN offices for aid programs, counterterrorism cooperation with Western intelligence, and travel on Somaliland passports, explained by its strategic position on the Horn of Africa, fear of instability, and lack of effective opposition from Somalia.</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International engagement with Somaliland remains ad hoc and conditional on the acceptance of the parent state Somalia, because sovereignty continues to be treated as a dichotomy for contemporary unrecognized states, even though Somalia lacks effective opposition; this limits engagement compared to entities like Macedonia whose right to exist was not disputed.</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Somaliland's internal state-building was significantly hampered by heavy internal fighting in the early 1990s, which limited government control to little beyond the capital, demonstrating that warlordism and elite rivalry rather than external constraints alone can impede institution-building.</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persistence of an external threat from Somalia and the absence of a protective norm of nonintervention provide a powerful internal driver for Somaliland's state-building, pushing it toward effective de facto statehood and institution-building beyond the mere desire to attract external support or recognition.</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Somaliland's absence from the legacy of ethnic cleansing, unlike Republika Srpska Krajina or Nagorno Karabakh, means it faces comparatively fewer obstacles to gaining international legitimacy and less animosity with its parent state, though unresolved territorial disputes such as the Sool region remain.</w:t>
      </w:r>
    </w:p>
    <w:p>
      <w:pPr>
        <w:pStyle w:val="ListBullet2"/>
        <w:spacing w:after="60"/>
      </w:pPr>
      <w:r>
        <w:t xml:space="preserve">Confidence: </w:t>
      </w:r>
      <w:r>
        <w:rPr>
          <w:b/>
        </w:rPr>
        <w:t>medium</w:t>
      </w:r>
    </w:p>
    <w:p>
      <w:pPr>
        <w:pStyle w:val="ListBullet2"/>
        <w:spacing w:after="60"/>
      </w:pPr>
      <w:r>
        <w:t>Sources: Caspersen 2012 (2 passages)</w:t>
      </w:r>
    </w:p>
    <w:p>
      <w:pPr>
        <w:pStyle w:val="ListBullet"/>
        <w:spacing w:after="60"/>
      </w:pPr>
      <w:r>
        <w:rPr>
          <w:b/>
        </w:rPr>
        <w:t>(a) source says.</w:t>
      </w:r>
      <w:r>
        <w:t xml:space="preserve"> Somaliland shifted its strategy for gaining recognition toward emphasizing effective state-building and democratic institutions, with President Mohamed Egal declaring in 1999 that international recognition depended upon adopting a multi-party system of democracy, reflecting a perceived post-Cold War shift in international norms of legitimate statehood.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 exports cattle as part of international trade that, due to lack of recognition, is classed as illegal unless an export permit is obtained from Somalia, but this trade differs from shadowy organized crime and makes an important contribution to state-building efforts.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World Bank began to engage in Somaliland in 2003, and although the UN was initially disparagingly hostile to state-building efforts there, this represents a shift toward seeing development as a possible step toward stability, even though engagement does not extend to helping build coercive apparatus and depends on the absence of parent-state objections.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 tends to be a status quo player unlikely to initiate renewed warfare because it won the first round and is trying to consolidate control and gain recognition, though it does not control all claimed territory and captured the Sool region capital from Puntland forces in 2007, meaning further violent conflict cannot be ruled out.</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security threat associated with Somaliland is primarily one of potential renewed warfare from the parent state exploiting international isolation, rather than smuggling or terrorism, although in 2008 Al-Shabab claimed responsibility for car bombs in Hargeisa killing at least thirty people.</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 (2 passages)</w:t>
      </w:r>
    </w:p>
    <w:p>
      <w:pPr>
        <w:pStyle w:val="ListBullet"/>
        <w:spacing w:after="60"/>
      </w:pPr>
      <w:r>
        <w:rPr>
          <w:b/>
        </w:rPr>
        <w:t>(a) source says.</w:t>
      </w:r>
      <w:r>
        <w:t xml:space="preserve"> Nonrecognition comes at a cost that constrains the kind of entity Somaliland can develop, and while internal sovereignty can exist without external sovereignty, statehood without recognition takes a specific form; these tensions affect long-term sustainability and prospects for peaceful outcomes.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Somaliland's survival without a functioning Somali state is enabled by the absence of an effective parent state rather than by peacekeepers or a ceasefire, making its case distinct from unrecognized states that rely on international peacekeeping deployments or patron security guarantees.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(a) source says.</w:t>
      </w:r>
      <w:r>
        <w:t xml:space="preserve"> The dominant negative image of unrecognized states as criminal safe havens and anarchical badlands has been applied to Somaliland, with Kolossov and O'Loughlin classifying it as a 'pirate state' based on criminal-terrorist activities, but this image contains only partial truth and overlooks cases where effective statehood has been achieved.</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Caspersen 2012</w:t>
      </w:r>
    </w:p>
    <w:p>
      <w:pPr>
        <w:pStyle w:val="ListBullet"/>
        <w:spacing w:after="60"/>
      </w:pPr>
      <w:r>
        <w:rPr>
          <w:b/>
        </w:rPr>
        <w:t>(b) Axial infers.</w:t>
      </w:r>
      <w:r>
        <w:t xml:space="preserve"> The evidential basis for the political-economy account of Somaliland's state-building is primarily drawn from comparative case analysis across multiple unrecognized states rather than from systematic economic data on Somaliland itself; the GDP figure of $226 for 2003 and the diaspora remittance estimate of up to $500 million per year are cited but not independently verified within the supplied evidence, and the text concedes significant analytical difficulties due to variation among cases.</w:t>
      </w:r>
    </w:p>
    <w:p>
      <w:pPr>
        <w:pStyle w:val="ListBullet2"/>
        <w:spacing w:after="60"/>
      </w:pPr>
      <w:r>
        <w:t xml:space="preserve">Confidence: </w:t>
      </w:r>
      <w:r>
        <w:rPr>
          <w:b/>
        </w:rPr>
        <w:t>medium</w:t>
      </w:r>
    </w:p>
    <w:p>
      <w:pPr>
        <w:pStyle w:val="ListBullet2"/>
        <w:spacing w:after="60"/>
      </w:pPr>
      <w:r>
        <w:t>Sources: Caspersen 2012 (3 passages)</w:t>
      </w:r>
    </w:p>
    <w:p>
      <w:pPr>
        <w:pStyle w:val="ListBullet"/>
        <w:spacing w:after="60"/>
      </w:pPr>
      <w:r>
        <w:rPr>
          <w:b/>
        </w:rPr>
        <w:t>(b) Axial infers.</w:t>
      </w:r>
      <w:r>
        <w:t xml:space="preserve"> The account of Somaliland's political economy is constructed through contrast with other unrecognized states rather than through dedicated economic analysis, using Somaliland as an illustrative case within a broader comparative framework, which means claims about Somaliland specifically are often embedded in generalizations about unrecognized states as a category and supported by illustrative rather than exhaustive evidence.</w:t>
      </w:r>
    </w:p>
    <w:p>
      <w:pPr>
        <w:pStyle w:val="ListBullet2"/>
        <w:spacing w:after="60"/>
      </w:pPr>
      <w:r>
        <w:t xml:space="preserve">Confidence: </w:t>
      </w:r>
      <w:r>
        <w:rPr>
          <w:b/>
        </w:rPr>
        <w:t>medium</w:t>
      </w:r>
    </w:p>
    <w:p>
      <w:pPr>
        <w:pStyle w:val="ListBullet2"/>
        <w:spacing w:after="60"/>
      </w:pPr>
      <w:r>
        <w:t>Sources: Caspersen 2012 (3 passages)</w:t>
      </w:r>
    </w:p>
    <w:p>
      <w:pPr>
        <w:pStyle w:val="ListBullet"/>
        <w:spacing w:after="60"/>
      </w:pPr>
      <w:r>
        <w:rPr>
          <w:b/>
        </w:rPr>
        <w:t>(a) source says.</w:t>
      </w:r>
      <w:r>
        <w:t xml:space="preserve"> The author concedes that the analysis of unrecognized states as unitary actors is a deliberate simplification and that in reality narrow self-interests and internal rivalries often overshadow collective goals, which means the political-economy framework applied to Somaliland may understate the role of internal factional dynamics and overstate the coherence of state-building intentions.</w:t>
      </w:r>
    </w:p>
    <w:p>
      <w:pPr>
        <w:pStyle w:val="ListBullet2"/>
        <w:spacing w:after="60"/>
      </w:pPr>
      <w:r>
        <w:t xml:space="preserve">Confidence: </w:t>
      </w:r>
      <w:r>
        <w:rPr>
          <w:b/>
        </w:rPr>
        <w:t>medium</w:t>
      </w:r>
    </w:p>
    <w:p>
      <w:pPr>
        <w:pStyle w:val="ListBullet2"/>
        <w:spacing w:after="60"/>
      </w:pPr>
      <w:r>
        <w:t>Sources: Caspersen 2012</w:t>
      </w:r>
    </w:p>
    <w:p>
      <w:r>
        <w:rPr>
          <w:b/>
        </w:rPr>
        <w:t>Counter-position</w:t>
      </w:r>
      <w:r>
        <w:t xml:space="preserve"> — the strongest case against this answer's own conclusion</w:t>
      </w:r>
    </w:p>
    <w:p>
      <w:r>
        <w:t>Somaliland's state-building under nonrecognition produces at best symbolic, externally-driven 'Potemkin' institutions lacking genuine substance: unrecognized states are illegitimate regardless of the entities they manage to create (Pegg); they 'may have the institutional fixtures of statehood, but cannot provide for its substance' (Lynch); and Somaliland specifically is better understood as a criminalized 'pirate state' or anarchical badland (Kolossov and O'Loughlin) than as a 'state in all but name.' On this view, nonrecognition does not merely constrain the form statehood takes—it fundamentally prevents substantive statehood, rendering democratic reforms strategic performances for international audiences rather than genuine internal development, and making the entity's claims to sovereignty illusory.</w:t>
      </w:r>
    </w:p>
    <w:p>
      <w:pPr>
        <w:pStyle w:val="ListBullet2"/>
        <w:spacing w:after="60"/>
      </w:pPr>
      <w:r>
        <w:t>Sources: Caspersen 2012 (3 passages)</w:t>
      </w:r>
    </w:p>
    <w:p>
      <w:r>
        <w:rPr>
          <w:b/>
        </w:rPr>
        <w:t>Coverage map</w:t>
      </w:r>
      <w:r>
        <w:t xml:space="preserve"> — how much of the library stands behind each name the answer rests on</w:t>
      </w:r>
    </w:p>
    <w:p>
      <w:pPr>
        <w:pStyle w:val="ListBullet"/>
        <w:spacing w:after="60"/>
      </w:pPr>
      <w:r>
        <w:rPr>
          <w:b/>
        </w:rPr>
        <w:t>Pål Kolstø</w:t>
      </w:r>
      <w:r>
        <w:t xml:space="preserve"> — 21 passages in the library, 3 used here; coverage judged </w:t>
      </w:r>
      <w:r>
        <w:rPr>
          <w:i/>
        </w:rPr>
        <w:t>moderate</w:t>
      </w:r>
    </w:p>
    <w:p>
      <w:pPr>
        <w:pStyle w:val="ListBullet"/>
        <w:spacing w:after="60"/>
      </w:pPr>
      <w:r>
        <w:rPr>
          <w:b/>
        </w:rPr>
        <w:t>S. Pegg</w:t>
      </w:r>
      <w:r>
        <w:t xml:space="preserve"> — 15 passages in the library, 2 used here; coverage judged </w:t>
      </w:r>
      <w:r>
        <w:rPr>
          <w:i/>
        </w:rPr>
        <w:t>thin</w:t>
      </w:r>
    </w:p>
    <w:p>
      <w:pPr>
        <w:pStyle w:val="ListBullet"/>
        <w:spacing w:after="60"/>
      </w:pPr>
      <w:r>
        <w:rPr>
          <w:b/>
        </w:rPr>
        <w:t>Somaliland</w:t>
      </w:r>
      <w:r>
        <w:t xml:space="preserve"> — 52 passages in the library, 19 used here; coverage judged </w:t>
      </w:r>
      <w:r>
        <w:rPr>
          <w:i/>
        </w:rPr>
        <w:t>moderate</w:t>
      </w:r>
    </w:p>
    <w:p>
      <w:r>
        <w:rPr>
          <w:b/>
        </w:rPr>
        <w:t>Confidence</w:t>
      </w:r>
    </w:p>
    <w:p>
      <w:r>
        <w:t xml:space="preserve">Overall band: </w:t>
      </w:r>
      <w:r>
        <w:rPr>
          <w:b/>
        </w:rPr>
        <w:t>low</w:t>
      </w:r>
    </w:p>
    <w:p>
      <w:r>
        <w:t>Why: overall confidence is 'low', bounded by the thinnest-covered name it touches ('S. Pegg', band 'thin'); coverage by name: Pål Kolstø (moderate: 21 passages in the library, 3 used here); S. Pegg (thin: 15 passages in the library, 2 used here); Somaliland (moderate: 52 passages in the library, 19 used here)</w:t>
      </w:r>
    </w:p>
    <w:p>
      <w:r>
        <w:rPr>
          <w:b/>
        </w:rPr>
        <w:t>Source usage</w:t>
      </w:r>
      <w:r>
        <w:t xml:space="preserve"> — share of the answer's cited evidence taken from each book</w:t>
      </w:r>
    </w:p>
    <w:p>
      <w:pPr>
        <w:pStyle w:val="ListBullet"/>
        <w:spacing w:after="60"/>
      </w:pPr>
      <w:r>
        <w:t>Caspersen 2012: 100%</w:t>
      </w:r>
    </w:p>
    <w:p>
      <w:r>
        <w:rPr>
          <w:b/>
        </w:rPr>
        <w:t>Peer reviewer.</w:t>
      </w:r>
    </w:p>
    <w:p>
      <w:r>
        <w:rPr>
          <w:b/>
        </w:rPr>
        <w:t>Strong</w:t>
      </w:r>
      <w:r>
        <w:t xml:space="preserve"> on all three dimensions, three defects. The reviewer described its counter-position as 'a genuine steelman built from the book's own dissenting voices rather than a strawman'. That matters here more than anywhere else in the set, because every passage in this answer comes from one book — the condition under which a system is most tempted to sound more certain than it should. The engine was never told the coverage was thin. It disclosed the single-book concentration itself and capped 22 of its 26 claims below the confidence the writing model asked for.</w:t>
      </w:r>
    </w:p>
    <w:p>
      <w:r>
        <w:rPr>
          <w:b/>
        </w:rPr>
        <w:t>Metrics.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6 min 41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$0.1031</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1</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1 of 1</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0 of 5</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26 claims, 1,839 words</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p>
      <w:pPr>
        <w:pStyle w:val="Heading2"/>
      </w:pPr>
      <w:r>
        <w:t>Test Cases – Hard Briefs</w:t>
      </w:r>
    </w:p>
    <w:p>
      <w:r>
        <w:t>Three questions, written outside this environment with no access to the repository, each built around a genuine unsettled dispute in the literature rather than a question with a lookup answer. Each carries a rubric and a set of "instant dismissal" criteria — shapes of answer that fail regardless of how well written they are.</w:t>
      </w:r>
    </w:p>
    <w:p>
      <w:r>
        <w:t xml:space="preserve">The head-to-head between open-source and proprietary models ran on </w:t>
      </w:r>
      <w:r>
        <w:rPr>
          <w:b/>
        </w:rPr>
        <w:t>question B</w:t>
      </w:r>
      <w:r>
        <w:t xml:space="preserve">, the judgment question. Questions </w:t>
      </w:r>
      <w:r>
        <w:rPr>
          <w:b/>
        </w:rPr>
        <w:t>A</w:t>
      </w:r>
      <w:r>
        <w:t xml:space="preserve"> and </w:t>
      </w:r>
      <w:r>
        <w:rPr>
          <w:b/>
        </w:rPr>
        <w:t>C</w:t>
      </w:r>
      <w:r>
        <w:t xml:space="preserve"> ran on the open-source stack only, at two search budgets, to settle whether searching harder helps. It did not — see </w:t>
      </w:r>
      <w:r>
        <w:rPr>
          <w:color w:val="C8553D"/>
        </w:rPr>
        <w:t>Test Design and Evaluation Methodology</w:t>
      </w:r>
      <w:r>
        <w:t>. The best run of each is reproduced here.</w:t>
      </w:r>
    </w:p>
    <w:p>
      <w:r>
        <w:rPr>
          <w:b/>
        </w:rPr>
        <w:t>Only question B was peer-reviewed.</w:t>
      </w:r>
      <w:r>
        <w:t xml:space="preserve"> A and C were measured mechanically. Their peer-review rows say so rather than inventing a verdict.</w:t>
      </w:r>
    </w:p>
    <w:p>
      <w:pPr>
        <w:pStyle w:val="Heading3"/>
      </w:pPr>
      <w:r>
        <w:t>Question A — did war make the state everywhere?</w:t>
      </w:r>
    </w:p>
    <w:p>
      <w:r>
        <w:rPr>
          <w:b/>
        </w:rPr>
        <w:t>Category / domain.</w:t>
      </w:r>
      <w:r>
        <w:t xml:space="preserve"> Comparative state formation and war</w:t>
      </w:r>
    </w:p>
    <w:p>
      <w:r>
        <w:rPr>
          <w:b/>
        </w:rPr>
        <w:t>Setting.</w:t>
      </w:r>
      <w:r>
        <w:t xml:space="preserve"> Comparative: Western Europe in the long nineteenth century (c. 1760-1914) and the post-Ottoman Middle East in the twentieth century — Open-source stack, 14 search steps (the retained setting)</w:t>
      </w:r>
    </w:p>
    <w:p>
      <w:r>
        <w:rPr>
          <w:b/>
        </w:rPr>
        <w:t>Question.</w:t>
      </w:r>
    </w:p>
    <w:p>
      <w:pPr>
        <w:spacing w:before="80"/>
        <w:ind w:left="432"/>
      </w:pPr>
      <w:r>
        <w:rPr>
          <w:i/>
        </w:rPr>
        <w:t>The claim that war made the modern state was built on the European experience of sustained inter-state competition. Assess whether the argument survives transfer to the twentieth-century Middle East, where states waged and prepared for war under a regime of guaranteed juridical sovereignty and external rents. Which of the bellicist mechanisms travel and which fail, and what do the sharpest critics of the state-formation literature identify as the reason for the difference?</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(b) Axial infers.</w:t>
      </w:r>
      <w:r>
        <w:t xml:space="preserve"> The bellicist mechanism by which war drove rulers to raise taxes, expand armies, and centralize administration does not travel to the Middle East because rentier states finance themselves through external rents (oil revenues, foreign aid) rather than domestic taxation, severing the link between war-making and resource extraction from society.</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Hall &amp; Schroeder 2006; Ayubi 1995 (2 passages)</w:t>
      </w:r>
    </w:p>
    <w:p>
      <w:pPr>
        <w:pStyle w:val="ListBullet"/>
        <w:spacing w:after="60"/>
      </w:pPr>
      <w:r>
        <w:rPr>
          <w:b/>
        </w:rPr>
        <w:t>(b) Axial infers.</w:t>
      </w:r>
      <w:r>
        <w:t xml:space="preserve"> The guarantee of juridical sovereignty decoupled international recognition from empirical statehood, removing the existential survival pressure that in Europe forced states to build effective administrative and military apparatuses or perish.</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Jackson 1990; Hall &amp; Schroeder 2006</w:t>
      </w:r>
    </w:p>
    <w:p>
      <w:pPr>
        <w:pStyle w:val="ListBullet"/>
        <w:spacing w:after="60"/>
      </w:pPr>
      <w:r>
        <w:rPr>
          <w:b/>
        </w:rPr>
        <w:t>(a) source says.</w:t>
      </w:r>
      <w:r>
        <w:t xml:space="preserve"> Jackson identifies the postwar victory of categorical self-determination, codified in UN Resolution 1514, as making 'inadequacy of political, economic, social or educational preparedness' irrelevant to sovereignty, so that empirical statehood 'went into eclipse' as a valid ground for determining the right to sovereignty in the Third World.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Jackson 1990</w:t>
      </w:r>
    </w:p>
    <w:p>
      <w:pPr>
        <w:pStyle w:val="ListBullet"/>
        <w:spacing w:after="60"/>
      </w:pPr>
      <w:r>
        <w:rPr>
          <w:b/>
        </w:rPr>
        <w:t>(b) Axial infers.</w:t>
      </w:r>
      <w:r>
        <w:t xml:space="preserve"> In rentier Arab states, the bureaucracy serves as a tool for distributing oil wealth to citizens rather than as an administrative apparatus for extraction, with jobs created 'almost as an objective in its own right, with little regard for what these recruits should (or could) do,' inverting the bellicist logic where war demanded efficient administration.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Ayubi 1995; Hall &amp; Schroeder 2006</w:t>
      </w:r>
    </w:p>
    <w:p>
      <w:pPr>
        <w:pStyle w:val="ListBullet"/>
        <w:spacing w:after="60"/>
      </w:pPr>
      <w:r>
        <w:rPr>
          <w:b/>
        </w:rPr>
        <w:t>(b) Axial infers.</w:t>
      </w:r>
      <w:r>
        <w:t xml:space="preserve"> The social contract in Middle Eastern rentier and nationalist-populist states exchanged state-provided benefits (education, health, employment, housing) for political support, rather than the European bellicist bargain of taxation in exchange for protection, meaning war did not need to drive fiscal extraction.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Bayat 2017; Hall &amp; Schroeder 2006</w:t>
      </w:r>
    </w:p>
    <w:p>
      <w:pPr>
        <w:pStyle w:val="ListBullet"/>
        <w:spacing w:after="60"/>
      </w:pPr>
      <w:r>
        <w:rPr>
          <w:b/>
        </w:rPr>
        <w:t>(a) source says.</w:t>
      </w:r>
      <w:r>
        <w:t xml:space="preserve"> Mann himself revises Tilly's dictum for the postwar era, stating that 'wars used to make states, and states used to make wars – but no longer,' and that 'the backbone of advanced states except the United States is no longer the fiscal-military nexus.'</w:t>
      </w:r>
    </w:p>
    <w:p>
      <w:pPr>
        <w:pStyle w:val="ListBullet2"/>
        <w:spacing w:after="60"/>
      </w:pPr>
      <w:r>
        <w:t xml:space="preserve">Confidence: </w:t>
      </w:r>
      <w:r>
        <w:rPr>
          <w:b/>
        </w:rPr>
        <w:t>high</w:t>
      </w:r>
    </w:p>
    <w:p>
      <w:pPr>
        <w:pStyle w:val="ListBullet2"/>
        <w:spacing w:after="60"/>
      </w:pPr>
      <w:r>
        <w:t>Sources: Mann vol. IV</w:t>
      </w:r>
    </w:p>
    <w:p>
      <w:pPr>
        <w:pStyle w:val="ListBullet"/>
        <w:spacing w:after="60"/>
      </w:pPr>
      <w:r>
        <w:rPr>
          <w:b/>
        </w:rPr>
        <w:t>(b) Axial infers.</w:t>
      </w:r>
      <w:r>
        <w:t xml:space="preserve"> The bellicist mechanism of external threat driving coercive capability consolidation and institution-building does partially travel to the Middle East, as the persistence of external threat 'fosters a need for strong entities' and 'forces upon them an interest in institution-building,' but this operates most strongly among unrecognized states that lack the protective norm of juridical sovereignty.</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Caspersen 2012; Jackson 1990</w:t>
      </w:r>
    </w:p>
    <w:p>
      <w:pPr>
        <w:pStyle w:val="ListBullet"/>
        <w:spacing w:after="60"/>
      </w:pPr>
      <w:r>
        <w:rPr>
          <w:b/>
        </w:rPr>
        <w:t>(a) source says.</w:t>
      </w:r>
      <w:r>
        <w:t xml:space="preserve"> War and violence can still serve nation-building and state-legitimacy functions in the Middle East: defeats impose duties and common effort suited to nation-building, while victories serve the pragmatic concern of establishing state-building legitimacy, as seen in the Palestinian case.</w:t>
      </w:r>
    </w:p>
    <w:p>
      <w:pPr>
        <w:pStyle w:val="ListBullet2"/>
        <w:spacing w:after="60"/>
      </w:pPr>
      <w:r>
        <w:t xml:space="preserve">Confidence: </w:t>
      </w:r>
      <w:r>
        <w:rPr>
          <w:b/>
        </w:rPr>
        <w:t>medium</w:t>
      </w:r>
    </w:p>
    <w:p>
      <w:pPr>
        <w:pStyle w:val="ListBullet2"/>
        <w:spacing w:after="60"/>
      </w:pPr>
      <w:r>
        <w:t>Sources: Heydemann 2000</w:t>
      </w:r>
    </w:p>
    <w:p>
      <w:pPr>
        <w:pStyle w:val="ListBullet"/>
        <w:spacing w:after="60"/>
      </w:pPr>
      <w:r>
        <w:rPr>
          <w:b/>
        </w:rPr>
        <w:t>(a) source says.</w:t>
      </w:r>
      <w:r>
        <w:t xml:space="preserve"> Civil wars, like inter-state wars, can either make or break states, and four factors determine whether they become successful state-builders: a total war victory, political neutralisation of hostile opposition, curbing of ethnic factionalism, and continuous economic growth, suggesting the bellicist logic is contingent rather than automatic.</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Malešević 2026</w:t>
      </w:r>
    </w:p>
    <w:p>
      <w:pPr>
        <w:pStyle w:val="ListBullet"/>
        <w:spacing w:after="60"/>
      </w:pPr>
      <w:r>
        <w:rPr>
          <w:b/>
        </w:rPr>
        <w:t>(b) Axial infers.</w:t>
      </w:r>
      <w:r>
        <w:t xml:space="preserve"> The sharpest critics of the state-formation literature identify the combination of guaranteed juridical sovereignty and external rents as the reason bellicist mechanisms fail to transfer: states that need neither extract from their populations to fund war nor demonstrate empirical statehood to survive are insulated from the competitive pressures that drove European state formation.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Jackson 1990; Ayubi 1995 (2 passages)</w:t>
      </w:r>
    </w:p>
    <w:p>
      <w:pPr>
        <w:pStyle w:val="ListBullet"/>
        <w:spacing w:after="60"/>
      </w:pPr>
      <w:r>
        <w:rPr>
          <w:b/>
        </w:rPr>
        <w:t>(a) source says.</w:t>
      </w:r>
      <w:r>
        <w:t xml:space="preserve"> Ayubi argues that the rentier state's reliance on 'un-earned' income rendered it vulnerable to external forces and produced a fiscal crisis that pushed it toward privatization and political pluralization, rather than toward the administrative deepening that bellicist theory would predict from sustained military competition.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Ayubi 1995</w:t>
      </w:r>
    </w:p>
    <w:p>
      <w:pPr>
        <w:pStyle w:val="ListBullet"/>
        <w:spacing w:after="60"/>
      </w:pPr>
      <w:r>
        <w:rPr>
          <w:b/>
        </w:rPr>
        <w:t>(b) Axial infers.</w:t>
      </w:r>
      <w:r>
        <w:t xml:space="preserve"> Unrecognized states, which lack juridical sovereignty and exist in 'pure international anarchy without the protective norm of nonintervention,' experience bellicist pressures more directly than recognized post-Ottoman Middle Eastern states whose sovereignty is internationally guaranteed.</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Caspersen 2012; Jackson 1990</w:t>
      </w:r>
    </w:p>
    <w:p>
      <w:pPr>
        <w:pStyle w:val="ListBullet"/>
        <w:spacing w:after="60"/>
      </w:pPr>
      <w:r>
        <w:rPr>
          <w:b/>
        </w:rPr>
        <w:t>(a) source says.</w:t>
      </w:r>
      <w:r>
        <w:t xml:space="preserve"> Mann's concept of infrastructural power complicates the bellicist account by suggesting that state strength is also a function of organizational networks that coordinate civil society, not solely of coercive extraction driven by war, and that constitutionalist regimes attained hegemonic status partly through infrastructural rather than despotic power.</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Hall &amp; Schroeder 2006</w:t>
      </w:r>
    </w:p>
    <w:p>
      <w:pPr>
        <w:pStyle w:val="ListBullet"/>
        <w:spacing w:after="60"/>
      </w:pPr>
      <w:r>
        <w:rPr>
          <w:b/>
        </w:rPr>
        <w:t>(a) source says.</w:t>
      </w:r>
      <w:r>
        <w:t xml:space="preserve"> Globalization provides unrecognized states with resources for survival and state-building through diaspora support, transborder trade, shadow economies, and international aid, offering alternative resource streams to the tax-extraction mechanism that bellicist theory identifies as war's central contribution to state formation.</w:t>
      </w:r>
    </w:p>
    <w:p>
      <w:pPr>
        <w:pStyle w:val="ListBullet2"/>
        <w:spacing w:after="60"/>
      </w:pPr>
      <w:r>
        <w:t xml:space="preserve">Confidence: </w:t>
      </w:r>
      <w:r>
        <w:rPr>
          <w:b/>
        </w:rPr>
        <w:t>medium</w:t>
      </w:r>
    </w:p>
    <w:p>
      <w:pPr>
        <w:pStyle w:val="ListBullet2"/>
        <w:spacing w:after="60"/>
      </w:pPr>
      <w:r>
        <w:t>Sources: Caspersen 2012</w:t>
      </w:r>
    </w:p>
    <w:p>
      <w:pPr>
        <w:pStyle w:val="ListBullet"/>
        <w:spacing w:after="60"/>
      </w:pPr>
      <w:r>
        <w:rPr>
          <w:b/>
        </w:rPr>
        <w:t>(a) source says.</w:t>
      </w:r>
      <w:r>
        <w:t xml:space="preserve"> Neoliberal restructuring disrupted the rentier and populist social contracts in the Arab world, replacing state-led development with privatization and austerity, which further weakened the state's capacity to serve as the 'moving force of economic and social development' without substituting a bellicist fiscal-military dynamic.</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Bayat 2017</w:t>
      </w:r>
    </w:p>
    <w:p>
      <w:r>
        <w:rPr>
          <w:b/>
        </w:rPr>
        <w:t>Counter-position</w:t>
      </w:r>
      <w:r>
        <w:t xml:space="preserve"> — the strongest case against this answer's own conclusion</w:t>
      </w:r>
    </w:p>
    <w:p>
      <w:r>
        <w:t>The bellicist argument does not simply fail to transfer to the Middle East; rather, the orthodox version's narrow focus on inter-state war as the sole driver of state formation was always theoretically incomplete. Once corrected to encompass civil wars as potential state-builders (Malešević) and to recognize ideological and infrastructural power alongside military coercion (Hall/Schroeder on Mann), the framework retains explanatory power in the region. Unrecognized states experience bellicist pressures directly (Caspersen), and war continues to serve nation-building and legitimacy functions (Heydemann). The difference from Europe is conditional variation in how war-making shapes states, not categorical failure.</w:t>
      </w:r>
    </w:p>
    <w:p>
      <w:pPr>
        <w:pStyle w:val="ListBullet2"/>
        <w:spacing w:after="60"/>
      </w:pPr>
      <w:r>
        <w:t>Sources: Malešević 2026 (2 passages); Hall &amp; Schroeder 2006; Caspersen 2012; Heydemann 2000</w:t>
      </w:r>
    </w:p>
    <w:p>
      <w:r>
        <w:rPr>
          <w:b/>
        </w:rPr>
        <w:t>Coverage map</w:t>
      </w:r>
      <w:r>
        <w:t xml:space="preserve"> — how much of the library stands behind each name the answer rests on</w:t>
      </w:r>
    </w:p>
    <w:p>
      <w:pPr>
        <w:pStyle w:val="ListBullet"/>
        <w:spacing w:after="60"/>
      </w:pPr>
      <w:r>
        <w:rPr>
          <w:b/>
        </w:rPr>
        <w:t>Charles Tilly</w:t>
      </w:r>
      <w:r>
        <w:t xml:space="preserve"> — 154 passages in the library, 5 used here; coverage judged </w:t>
      </w:r>
      <w:r>
        <w:rPr>
          <w:i/>
        </w:rPr>
        <w:t>dense</w:t>
      </w:r>
    </w:p>
    <w:p>
      <w:pPr>
        <w:pStyle w:val="ListBullet"/>
        <w:spacing w:after="60"/>
      </w:pPr>
      <w:r>
        <w:rPr>
          <w:b/>
        </w:rPr>
        <w:t>Middle East</w:t>
      </w:r>
      <w:r>
        <w:t xml:space="preserve"> — 374 passages in the library, 5 used here; coverage judged </w:t>
      </w:r>
      <w:r>
        <w:rPr>
          <w:i/>
        </w:rPr>
        <w:t>dense</w:t>
      </w:r>
    </w:p>
    <w:p>
      <w:pPr>
        <w:pStyle w:val="ListBullet"/>
        <w:spacing w:after="60"/>
      </w:pPr>
      <w:r>
        <w:rPr>
          <w:b/>
        </w:rPr>
        <w:t>bellicist approach</w:t>
      </w:r>
      <w:r>
        <w:t xml:space="preserve"> — 6 passages in the library, 2 used here; coverage judged </w:t>
      </w:r>
      <w:r>
        <w:rPr>
          <w:i/>
        </w:rPr>
        <w:t>thin</w:t>
      </w:r>
    </w:p>
    <w:p>
      <w:pPr>
        <w:pStyle w:val="ListBullet"/>
        <w:spacing w:after="60"/>
      </w:pPr>
      <w:r>
        <w:rPr>
          <w:b/>
        </w:rPr>
        <w:t>juridical sovereignty</w:t>
      </w:r>
      <w:r>
        <w:t xml:space="preserve"> — 6 passages in the library, 1 used here; coverage judged </w:t>
      </w:r>
      <w:r>
        <w:rPr>
          <w:i/>
        </w:rPr>
        <w:t>thin</w:t>
      </w:r>
    </w:p>
    <w:p>
      <w:pPr>
        <w:pStyle w:val="ListBullet"/>
        <w:spacing w:after="60"/>
      </w:pPr>
      <w:r>
        <w:rPr>
          <w:b/>
        </w:rPr>
        <w:t>rentier state</w:t>
      </w:r>
      <w:r>
        <w:t xml:space="preserve"> — 11 passages in the library, 3 used here; coverage judged </w:t>
      </w:r>
      <w:r>
        <w:rPr>
          <w:i/>
        </w:rPr>
        <w:t>thin</w:t>
      </w:r>
    </w:p>
    <w:p>
      <w:r>
        <w:rPr>
          <w:b/>
        </w:rPr>
        <w:t>Confidence</w:t>
      </w:r>
    </w:p>
    <w:p>
      <w:r>
        <w:t xml:space="preserve">Overall band: </w:t>
      </w:r>
      <w:r>
        <w:rPr>
          <w:b/>
        </w:rPr>
        <w:t>low</w:t>
      </w:r>
    </w:p>
    <w:p>
      <w:r>
        <w:t>Why: overall confidence is 'low', bounded by the thinnest-covered name it touches ('bellicist approach', band 'thin'); coverage by name: Charles Tilly (dense: 154 passages in the library, 5 used here); Middle East (dense: 374 passages in the library, 5 used here); bellicist approach (thin: 6 passages in the library, 2 used here); juridical sovereignty (thin: 6 passages in the library, 1 used here); rentier state (thin: 11 passages in the library, 3 used here)</w:t>
      </w:r>
    </w:p>
    <w:p>
      <w:r>
        <w:rPr>
          <w:b/>
        </w:rPr>
        <w:t>Source usage</w:t>
      </w:r>
      <w:r>
        <w:t xml:space="preserve"> — share of the answer's cited evidence taken from each book</w:t>
      </w:r>
    </w:p>
    <w:p>
      <w:pPr>
        <w:pStyle w:val="ListBullet"/>
        <w:spacing w:after="60"/>
      </w:pPr>
      <w:r>
        <w:t>Ayubi 1995: 20%</w:t>
      </w:r>
    </w:p>
    <w:p>
      <w:pPr>
        <w:pStyle w:val="ListBullet"/>
        <w:spacing w:after="60"/>
      </w:pPr>
      <w:r>
        <w:t>Caspersen 2012: 20%</w:t>
      </w:r>
    </w:p>
    <w:p>
      <w:pPr>
        <w:pStyle w:val="ListBullet"/>
        <w:spacing w:after="60"/>
      </w:pPr>
      <w:r>
        <w:t>Bayat 2017: 10%</w:t>
      </w:r>
    </w:p>
    <w:p>
      <w:pPr>
        <w:pStyle w:val="ListBullet"/>
        <w:spacing w:after="60"/>
      </w:pPr>
      <w:r>
        <w:t>Hall &amp; Schroeder 2006: 10%</w:t>
      </w:r>
    </w:p>
    <w:p>
      <w:pPr>
        <w:pStyle w:val="ListBullet"/>
        <w:spacing w:after="60"/>
      </w:pPr>
      <w:r>
        <w:t>Heydemann 2000: 10%</w:t>
      </w:r>
    </w:p>
    <w:p>
      <w:pPr>
        <w:pStyle w:val="ListBullet"/>
        <w:spacing w:after="60"/>
      </w:pPr>
      <w:r>
        <w:t>Jackson 1990: 10%</w:t>
      </w:r>
    </w:p>
    <w:p>
      <w:pPr>
        <w:pStyle w:val="ListBullet"/>
        <w:spacing w:after="60"/>
      </w:pPr>
      <w:r>
        <w:t>Malešević 2026: 10%</w:t>
      </w:r>
    </w:p>
    <w:p>
      <w:pPr>
        <w:pStyle w:val="ListBullet"/>
        <w:spacing w:after="60"/>
      </w:pPr>
      <w:r>
        <w:t>Mann vol. IV: 10%</w:t>
      </w:r>
    </w:p>
    <w:p>
      <w:r>
        <w:rPr>
          <w:b/>
        </w:rPr>
        <w:t>Peer reviewer.</w:t>
      </w:r>
    </w:p>
    <w:p>
      <w:r>
        <w:rPr>
          <w:b/>
        </w:rPr>
        <w:t>Not peer-reviewed.</w:t>
      </w:r>
      <w:r>
        <w:t xml:space="preserve"> Only question B was put to the sealed reviewer. A was measured mechanically: every claim carried a kind and sources that resolve (a perfect 1.000), and an independent grounding check supported 87.5% of its source-attributed claims. Its clear failure is mechanical and worth stating: it decomposed the claim that war made the modern state, over five separate mechanisms, without ever citing Tilly — the originating text the question's own premise names. Run again at 20 search steps it cost 65% more, gathered six more passages, put one more in front of the writing model, and still never reached Tilly.</w:t>
      </w:r>
    </w:p>
    <w:p>
      <w:r>
        <w:rPr>
          <w:b/>
        </w:rPr>
        <w:t>Model combination, and what it produced.</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8 min 39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$0.1438</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8</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4 of 5 (missed: Tilly 1978)</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7 of 7</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15 claims, 1,247 words</w:t>
            </w:r>
          </w:p>
        </w:tc>
      </w:tr>
    </w:tbl>
    <w:p/>
    <w:p>
      <w:pPr>
        <w:pStyle w:val="Heading3"/>
      </w:pPr>
      <w:r>
        <w:t>Question C — why nationalism and mass war arrived together</w:t>
      </w:r>
    </w:p>
    <w:p>
      <w:r>
        <w:rPr>
          <w:b/>
        </w:rPr>
        <w:t>Category / domain.</w:t>
      </w:r>
      <w:r>
        <w:t xml:space="preserve"> Nationalism, war and empire</w:t>
      </w:r>
    </w:p>
    <w:p>
      <w:r>
        <w:rPr>
          <w:b/>
        </w:rPr>
        <w:t>Setting.</w:t>
      </w:r>
      <w:r>
        <w:t xml:space="preserve"> Comparative: Europe from the late eighteenth century to the First World War, and the post-Ottoman Arab East under and after the mandates — Open-source stack, 14 search steps (the retained setting)</w:t>
      </w:r>
    </w:p>
    <w:p>
      <w:r>
        <w:rPr>
          <w:b/>
        </w:rPr>
        <w:t>Question.</w:t>
      </w:r>
    </w:p>
    <w:p>
      <w:pPr>
        <w:spacing w:before="80"/>
        <w:ind w:left="432"/>
      </w:pPr>
      <w:r>
        <w:rPr>
          <w:i/>
        </w:rPr>
        <w:t>The century in which the nation became the dominant political form ended in total war and the destruction of the multinational empires. Weigh the main competing explanations of why nationalism and large-scale war rose together - industrial modernity, mobilised ethnic pasts, expanding organisational and ideological power, or the exclusions built into the nation-state form itself. Then test your preferred account against the post-Ottoman Arab East, where nationhood and its 'minorities' took shape under external rule, and state what the critics of the major positions add that the originators miss.</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Gellner argues that industrial society is defined by an extreme division of labor incompatible with mechanical solidarity, and that industrialisation and nationalism are the two defining global trends of the twentieth century, introducing novel principles of social cohesion.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Gellner 1981</w:t>
      </w:r>
    </w:p>
    <w:p>
      <w:pPr>
        <w:pStyle w:val="ListBullet"/>
        <w:spacing w:after="60"/>
      </w:pPr>
      <w:r>
        <w:rPr>
          <w:b/>
        </w:rPr>
        <w:t>(a) source says.</w:t>
      </w:r>
      <w:r>
        <w:t xml:space="preserve"> Gellner argues that industrial society holds its members through the promise of wealth accessible via education in a shared language and script, producing internally mobile but mutually exclusive linguistic-national units that render tribal cohesion neither necessary nor tolerable.</w:t>
      </w:r>
    </w:p>
    <w:p>
      <w:pPr>
        <w:pStyle w:val="ListBullet2"/>
        <w:spacing w:after="60"/>
      </w:pPr>
      <w:r>
        <w:t xml:space="preserve">Confidence: </w:t>
      </w:r>
      <w:r>
        <w:rPr>
          <w:b/>
        </w:rPr>
        <w:t>high</w:t>
      </w:r>
    </w:p>
    <w:p>
      <w:pPr>
        <w:pStyle w:val="ListBullet2"/>
        <w:spacing w:after="60"/>
      </w:pPr>
      <w:r>
        <w:t>Sources: Gellner 1981</w:t>
      </w:r>
    </w:p>
    <w:p>
      <w:pPr>
        <w:pStyle w:val="ListBullet"/>
        <w:spacing w:after="60"/>
      </w:pPr>
      <w:r>
        <w:rPr>
          <w:b/>
        </w:rPr>
        <w:t>(a) source says.</w:t>
      </w:r>
      <w:r>
        <w:t xml:space="preserve"> Gellner argues that nationalism operates paradoxically on mobile, atomised individuals through the internalisation of loyalty in the 'inner forum' rather than through collective ritual, producing cohesion among people far removed from the segmentary or mechanical solidarity that Ibn Khaldun knew.</w:t>
      </w:r>
    </w:p>
    <w:p>
      <w:pPr>
        <w:pStyle w:val="ListBullet2"/>
        <w:spacing w:after="60"/>
      </w:pPr>
      <w:r>
        <w:t xml:space="preserve">Confidence: </w:t>
      </w:r>
      <w:r>
        <w:rPr>
          <w:b/>
        </w:rPr>
        <w:t>high</w:t>
      </w:r>
    </w:p>
    <w:p>
      <w:pPr>
        <w:pStyle w:val="ListBullet2"/>
        <w:spacing w:after="60"/>
      </w:pPr>
      <w:r>
        <w:t>Sources: Gellner 1981</w:t>
      </w:r>
    </w:p>
    <w:p>
      <w:pPr>
        <w:pStyle w:val="ListBullet"/>
        <w:spacing w:after="60"/>
      </w:pPr>
      <w:r>
        <w:rPr>
          <w:b/>
        </w:rPr>
        <w:t>(a) source says.</w:t>
      </w:r>
      <w:r>
        <w:t xml:space="preserve"> Mann argues that ideologies including nationalism are powerful not as free-floating ideas but because their organized content provides plausible meaning that mobilizes people in macro-power struggles, and that ideas cannot do anything unless they are organized in power networks.</w:t>
      </w:r>
    </w:p>
    <w:p>
      <w:pPr>
        <w:pStyle w:val="ListBullet2"/>
        <w:spacing w:after="60"/>
      </w:pPr>
      <w:r>
        <w:t xml:space="preserve">Confidence: </w:t>
      </w:r>
      <w:r>
        <w:rPr>
          <w:b/>
        </w:rPr>
        <w:t>high</w:t>
      </w:r>
    </w:p>
    <w:p>
      <w:pPr>
        <w:pStyle w:val="ListBullet2"/>
        <w:spacing w:after="60"/>
      </w:pPr>
      <w:r>
        <w:t>Sources: Hall &amp; Schroeder 2006</w:t>
      </w:r>
    </w:p>
    <w:p>
      <w:pPr>
        <w:pStyle w:val="ListBullet"/>
        <w:spacing w:after="60"/>
      </w:pPr>
      <w:r>
        <w:rPr>
          <w:b/>
        </w:rPr>
        <w:t>(a) source says.</w:t>
      </w:r>
      <w:r>
        <w:t xml:space="preserve"> Mann distinguishes transcendent ideologies—including nationalism—as the thickest type of ideological power, capable of constituting collective actors by appealing to interstitially emergent common identities and emotions generated by social change, and achieving major structural change by bridging existing class and regional divisions.</w:t>
      </w:r>
    </w:p>
    <w:p>
      <w:pPr>
        <w:pStyle w:val="ListBullet2"/>
        <w:spacing w:after="60"/>
      </w:pPr>
      <w:r>
        <w:t xml:space="preserve">Confidence: </w:t>
      </w:r>
      <w:r>
        <w:rPr>
          <w:b/>
        </w:rPr>
        <w:t>high</w:t>
      </w:r>
    </w:p>
    <w:p>
      <w:pPr>
        <w:pStyle w:val="ListBullet2"/>
        <w:spacing w:after="60"/>
      </w:pPr>
      <w:r>
        <w:t>Sources: Hall &amp; Schroeder 2006</w:t>
      </w:r>
    </w:p>
    <w:p>
      <w:pPr>
        <w:pStyle w:val="ListBullet"/>
        <w:spacing w:after="60"/>
      </w:pPr>
      <w:r>
        <w:rPr>
          <w:b/>
        </w:rPr>
        <w:t>(a) source says.</w:t>
      </w:r>
      <w:r>
        <w:t xml:space="preserve"> Mann argues that murderous ethnic cleansing is the dark side of democracy, resulting specifically from the perversion of democratic ideals through organic nationalism in bi-ethnic contexts, where 'rule by the people' is interpreted ethno-nationally rather than civically, demanding ethnic ownership of territory.</w:t>
      </w:r>
    </w:p>
    <w:p>
      <w:pPr>
        <w:pStyle w:val="ListBullet2"/>
        <w:spacing w:after="60"/>
      </w:pPr>
      <w:r>
        <w:t xml:space="preserve">Confidence: </w:t>
      </w:r>
      <w:r>
        <w:rPr>
          <w:b/>
        </w:rPr>
        <w:t>high</w:t>
      </w:r>
    </w:p>
    <w:p>
      <w:pPr>
        <w:pStyle w:val="ListBullet2"/>
        <w:spacing w:after="60"/>
      </w:pPr>
      <w:r>
        <w:t>Sources: Hall &amp; Schroeder 2006</w:t>
      </w:r>
    </w:p>
    <w:p>
      <w:pPr>
        <w:pStyle w:val="ListBullet"/>
        <w:spacing w:after="60"/>
      </w:pPr>
      <w:r>
        <w:rPr>
          <w:b/>
        </w:rPr>
        <w:t>(b) Axial infers.</w:t>
      </w:r>
      <w:r>
        <w:t xml:space="preserve"> Weighing the four competing explanations through a political-economy lens: Gellner's industrial-modernity account grounds nationalism in the material requirements of industrial production (shared education, linguistic standardisation, labour mobility), Mann's organizational-ideological power account explains how nationalism becomes mobilised for war by showing that ideologies wield power only when organized in power networks, and the exclusions-in-the-nation-state account explains why the form turns violent by tracing how democratic ideals pervert into organic nationalism in multi-ethnic contexts—while the 'mobilised ethnic pasts' explanation is partially captured by Mann's transcendent ideology type but is the least sufficient on its own because it lacks the material and organisational mechanisms the other three supply.</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Gellner 1981 (2 passages); Hall &amp; Schroeder 2006 (3 passages)</w:t>
      </w:r>
    </w:p>
    <w:p>
      <w:pPr>
        <w:pStyle w:val="ListBullet"/>
        <w:spacing w:after="60"/>
      </w:pPr>
      <w:r>
        <w:rPr>
          <w:b/>
        </w:rPr>
        <w:t>(a) source says.</w:t>
      </w:r>
      <w:r>
        <w:t xml:space="preserve"> Ayubi argues that in the Arab world, dependency and peripheral position in the world system—rather than development alone—account for the rarity of democracy, and that whatever limited liberalization has occurred was the indirect outcome of state fiscal crisis and globalization rather than genuine socio-economic development.</w:t>
      </w:r>
    </w:p>
    <w:p>
      <w:pPr>
        <w:pStyle w:val="ListBullet2"/>
        <w:spacing w:after="60"/>
      </w:pPr>
      <w:r>
        <w:t xml:space="preserve">Confidence: </w:t>
      </w:r>
      <w:r>
        <w:rPr>
          <w:b/>
        </w:rPr>
        <w:t>high</w:t>
      </w:r>
    </w:p>
    <w:p>
      <w:pPr>
        <w:pStyle w:val="ListBullet2"/>
        <w:spacing w:after="60"/>
      </w:pPr>
      <w:r>
        <w:t>Sources: Ayubi 1995</w:t>
      </w:r>
    </w:p>
    <w:p>
      <w:pPr>
        <w:pStyle w:val="ListBullet"/>
        <w:spacing w:after="60"/>
      </w:pPr>
      <w:r>
        <w:rPr>
          <w:b/>
        </w:rPr>
        <w:t>(a) source says.</w:t>
      </w:r>
      <w:r>
        <w:t xml:space="preserve"> Ayubi argues that colonial democratic procedures were 'subjugational' in the sense of forcing populations to be free in spite of themselves, and that after independence these semi-democratic measures were suppressed in the name of nationalism and development, producing a lasting mutual exclusion between state and society rather than a genuine civic culture.</w:t>
      </w:r>
    </w:p>
    <w:p>
      <w:pPr>
        <w:pStyle w:val="ListBullet2"/>
        <w:spacing w:after="60"/>
      </w:pPr>
      <w:r>
        <w:t xml:space="preserve">Confidence: </w:t>
      </w:r>
      <w:r>
        <w:rPr>
          <w:b/>
        </w:rPr>
        <w:t>high</w:t>
      </w:r>
    </w:p>
    <w:p>
      <w:pPr>
        <w:pStyle w:val="ListBullet2"/>
        <w:spacing w:after="60"/>
      </w:pPr>
      <w:r>
        <w:t>Sources: Ayubi 1995</w:t>
      </w:r>
    </w:p>
    <w:p>
      <w:pPr>
        <w:pStyle w:val="ListBullet"/>
        <w:spacing w:after="60"/>
      </w:pPr>
      <w:r>
        <w:rPr>
          <w:b/>
        </w:rPr>
        <w:t>(a) source says.</w:t>
      </w:r>
      <w:r>
        <w:t xml:space="preserve"> Ayubi argues that the interpellatory power of ideologies such as nationalism and socialism is practically exhausted in Arab states, and that fiscal crisis combined with hegemonic crisis makes authoritarian rule unsustainable while Islamic movements prepare a 'war of position' to build counter-hegemony.</w:t>
      </w:r>
    </w:p>
    <w:p>
      <w:pPr>
        <w:pStyle w:val="ListBullet2"/>
        <w:spacing w:after="60"/>
      </w:pPr>
      <w:r>
        <w:t xml:space="preserve">Confidence: </w:t>
      </w:r>
      <w:r>
        <w:rPr>
          <w:b/>
        </w:rPr>
        <w:t>high</w:t>
      </w:r>
    </w:p>
    <w:p>
      <w:pPr>
        <w:pStyle w:val="ListBullet2"/>
        <w:spacing w:after="60"/>
      </w:pPr>
      <w:r>
        <w:t>Sources: Ayubi 1995</w:t>
      </w:r>
    </w:p>
    <w:p>
      <w:pPr>
        <w:pStyle w:val="ListBullet"/>
        <w:spacing w:after="60"/>
      </w:pPr>
      <w:r>
        <w:rPr>
          <w:b/>
        </w:rPr>
        <w:t>(a) source says.</w:t>
      </w:r>
      <w:r>
        <w:t xml:space="preserve"> Batatu argues that religious differentiation among Syria's peasantry into diverse and sometimes exclusionary sects impeded the growth of a fraternal consciousness and common political action, and that only the later rise of nationalism and then socialism enabled combined efforts.</w:t>
      </w:r>
    </w:p>
    <w:p>
      <w:pPr>
        <w:pStyle w:val="ListBullet2"/>
        <w:spacing w:after="60"/>
      </w:pPr>
      <w:r>
        <w:t xml:space="preserve">Confidence: </w:t>
      </w:r>
      <w:r>
        <w:rPr>
          <w:b/>
        </w:rPr>
        <w:t>high</w:t>
      </w:r>
    </w:p>
    <w:p>
      <w:pPr>
        <w:pStyle w:val="ListBullet2"/>
        <w:spacing w:after="60"/>
      </w:pPr>
      <w:r>
        <w:t>Sources: Batatu 1999</w:t>
      </w:r>
    </w:p>
    <w:p>
      <w:pPr>
        <w:pStyle w:val="ListBullet"/>
        <w:spacing w:after="60"/>
      </w:pPr>
      <w:r>
        <w:rPr>
          <w:b/>
        </w:rPr>
        <w:t>(a) source says.</w:t>
      </w:r>
      <w:r>
        <w:t xml:space="preserve"> Beshara argues that Western-educated Syro-Lebanese emigrants promoted a nationalistic conscience based on Arabism centered on Syria, which bifurcated into a secular nationalist movement combining nationalism and constitutionalism and an Islamic revivalist movement aiming to preserve Muslim solidarity against the West.</w:t>
      </w:r>
    </w:p>
    <w:p>
      <w:pPr>
        <w:pStyle w:val="ListBullet2"/>
        <w:spacing w:after="60"/>
      </w:pPr>
      <w:r>
        <w:t xml:space="preserve">Confidence: </w:t>
      </w:r>
      <w:r>
        <w:rPr>
          <w:b/>
        </w:rPr>
        <w:t>high</w:t>
      </w:r>
    </w:p>
    <w:p>
      <w:pPr>
        <w:pStyle w:val="ListBullet2"/>
        <w:spacing w:after="60"/>
      </w:pPr>
      <w:r>
        <w:t>Sources: Beshara 2011</w:t>
      </w:r>
    </w:p>
    <w:p>
      <w:pPr>
        <w:pStyle w:val="ListBullet"/>
        <w:spacing w:after="60"/>
      </w:pPr>
      <w:r>
        <w:rPr>
          <w:b/>
        </w:rPr>
        <w:t>(a) source says.</w:t>
      </w:r>
      <w:r>
        <w:t xml:space="preserve"> Bayat argues that the Arab Spring uprisings were 'refolutions'—revolutionary in mobilization but reformist in outcome—because they occurred in a neoliberal, post-ideological era that lacked transformative revolutionary visions, separated economy from politics, and left movements vulnerable to organised and entrenched states.</w:t>
      </w:r>
    </w:p>
    <w:p>
      <w:pPr>
        <w:pStyle w:val="ListBullet2"/>
        <w:spacing w:after="60"/>
      </w:pPr>
      <w:r>
        <w:t xml:space="preserve">Confidence: </w:t>
      </w:r>
      <w:r>
        <w:rPr>
          <w:b/>
        </w:rPr>
        <w:t>high</w:t>
      </w:r>
    </w:p>
    <w:p>
      <w:pPr>
        <w:pStyle w:val="ListBullet2"/>
        <w:spacing w:after="60"/>
      </w:pPr>
      <w:r>
        <w:t>Sources: Bayat 2017</w:t>
      </w:r>
    </w:p>
    <w:p>
      <w:pPr>
        <w:pStyle w:val="ListBullet"/>
        <w:spacing w:after="60"/>
      </w:pPr>
      <w:r>
        <w:rPr>
          <w:b/>
        </w:rPr>
        <w:t>(a) source says.</w:t>
      </w:r>
      <w:r>
        <w:t xml:space="preserve"> Heydemann argues that war, violence, and nationalism are deeply intertwined in the construction of identity and the state, with defeats imposing duties and common effort suited to nation-building while victories serve the pragmatic concern of establishing state-building legitimacy.</w:t>
      </w:r>
    </w:p>
    <w:p>
      <w:pPr>
        <w:pStyle w:val="ListBullet2"/>
        <w:spacing w:after="60"/>
      </w:pPr>
      <w:r>
        <w:t xml:space="preserve">Confidence: </w:t>
      </w:r>
      <w:r>
        <w:rPr>
          <w:b/>
        </w:rPr>
        <w:t>high</w:t>
      </w:r>
    </w:p>
    <w:p>
      <w:pPr>
        <w:pStyle w:val="ListBullet2"/>
        <w:spacing w:after="60"/>
      </w:pPr>
      <w:r>
        <w:t>Sources: Heydemann 2000</w:t>
      </w:r>
    </w:p>
    <w:p>
      <w:pPr>
        <w:pStyle w:val="ListBullet"/>
        <w:spacing w:after="60"/>
      </w:pPr>
      <w:r>
        <w:rPr>
          <w:b/>
        </w:rPr>
        <w:t>(b) Axial infers.</w:t>
      </w:r>
      <w:r>
        <w:t xml:space="preserve"> Testing Gellner's industrial-modernity account against the post-Ottoman Arab East: Gellner's model predicts that nationalism arises from industrialisation's need for a shared educational language and mobile labour force, but in the Arab East nationalism arrived via externally-educated Syro-Lebanese émigré intellectuals trained in Western institutions rather than through indigenous industrialisation, and the region's peripheral position in the world system distorted the development-democracy linkage that Gellner's model assumes, with poorer countries sometimes democratizing better than richer ones.</w:t>
      </w:r>
    </w:p>
    <w:p>
      <w:pPr>
        <w:pStyle w:val="ListBullet2"/>
        <w:spacing w:after="60"/>
      </w:pPr>
      <w:r>
        <w:t xml:space="preserve">Confidence: </w:t>
      </w:r>
      <w:r>
        <w:rPr>
          <w:b/>
        </w:rPr>
        <w:t>medium</w:t>
      </w:r>
    </w:p>
    <w:p>
      <w:pPr>
        <w:pStyle w:val="ListBullet2"/>
        <w:spacing w:after="60"/>
      </w:pPr>
      <w:r>
        <w:t>Sources: Beshara 2011; Ayubi 1995; Gellner 1981</w:t>
      </w:r>
    </w:p>
    <w:p>
      <w:pPr>
        <w:pStyle w:val="ListBullet"/>
        <w:spacing w:after="60"/>
      </w:pPr>
      <w:r>
        <w:rPr>
          <w:b/>
        </w:rPr>
        <w:t>(b) Axial infers.</w:t>
      </w:r>
      <w:r>
        <w:t xml:space="preserve"> Testing Mann's organizational-ideological power account against the Arab East: Mann's framework illuminates how nationalism was organized through press networks and journals established by Syro-Lebanese émigrés, and how the exhaustion of nationalism's interpellatory power opened space for Islamic counter-hegemony—but the external imposition of state forms under colonial rule meant that ideological power operated without the infrastructural state power that European states had developed through war and taxation, producing movements rich in mobilisation tactics but poor in governance strategy.</w:t>
      </w:r>
    </w:p>
    <w:p>
      <w:pPr>
        <w:pStyle w:val="ListBullet2"/>
        <w:spacing w:after="60"/>
      </w:pPr>
      <w:r>
        <w:t xml:space="preserve">Confidence: </w:t>
      </w:r>
      <w:r>
        <w:rPr>
          <w:b/>
        </w:rPr>
        <w:t>medium</w:t>
      </w:r>
    </w:p>
    <w:p>
      <w:pPr>
        <w:pStyle w:val="ListBullet2"/>
        <w:spacing w:after="60"/>
      </w:pPr>
      <w:r>
        <w:t>Sources: Beshara 2011; Hall &amp; Schroeder 2006; Ayubi 1995; Bayat 2017</w:t>
      </w:r>
    </w:p>
    <w:p>
      <w:pPr>
        <w:pStyle w:val="ListBullet"/>
        <w:spacing w:after="60"/>
      </w:pPr>
      <w:r>
        <w:rPr>
          <w:b/>
        </w:rPr>
        <w:t>(b) Axial infers.</w:t>
      </w:r>
      <w:r>
        <w:t xml:space="preserve"> Testing the exclusions-in-the-nation-state account against the Arab East: Mann's argument about organic nationalism perverting democratic ideals in multi-ethnic contexts resonates with Syria's religiously differentiated peasantry, where sectarian exclusivity impeded common action and only nationalism and socialism enabled combined efforts—but the Arab East case reveals that the exclusions were compounded by external colonial rule that imposed 'subjugational democracy' and by the mandates' construction of minorities, so that the nation-state form's exclusions were products of external imposition rather than endogenous democratic perversion alone.</w:t>
      </w:r>
    </w:p>
    <w:p>
      <w:pPr>
        <w:pStyle w:val="ListBullet2"/>
        <w:spacing w:after="60"/>
      </w:pPr>
      <w:r>
        <w:t xml:space="preserve">Confidence: </w:t>
      </w:r>
      <w:r>
        <w:rPr>
          <w:b/>
        </w:rPr>
        <w:t>medium</w:t>
      </w:r>
    </w:p>
    <w:p>
      <w:pPr>
        <w:pStyle w:val="ListBullet2"/>
        <w:spacing w:after="60"/>
      </w:pPr>
      <w:r>
        <w:t>Sources: Batatu 1999; Ayubi 1995; Hall &amp; Schroeder 2006</w:t>
      </w:r>
    </w:p>
    <w:p>
      <w:pPr>
        <w:pStyle w:val="ListBullet"/>
        <w:spacing w:after="60"/>
      </w:pPr>
      <w:r>
        <w:rPr>
          <w:b/>
        </w:rPr>
        <w:t>(b) Axial infers.</w:t>
      </w:r>
      <w:r>
        <w:t xml:space="preserve"> The preferred political-economy account, tested against the Arab East, combines Gellner's materialist grounding of nationalism in industrial modernity's requirements with Mann's insistence that ideologies only become powerful when organized, and with recognition that the nation-state form's exclusions are built into its logic—but the Arab East test reveals that in peripheral, externally-ruled contexts, nationalism arrived through colonial education and diaspora intellectuals rather than indigenous industrialisation, fiscal crisis rather than industrial development drove political change, and mutual exclusion between state and society was produced by colonial 'subjugational democracy' rather than by the organic nationalism Mann identifies in Europe.</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Gellner 1981 (2 passages); Hall &amp; Schroeder 2006 (2 passages); Ayubi 1995 (3 passages); Beshara 2011</w:t>
      </w:r>
    </w:p>
    <w:p>
      <w:pPr>
        <w:pStyle w:val="ListBullet"/>
        <w:spacing w:after="60"/>
      </w:pPr>
      <w:r>
        <w:rPr>
          <w:b/>
        </w:rPr>
        <w:t>(a) source says.</w:t>
      </w:r>
      <w:r>
        <w:t xml:space="preserve"> Malešević argues that Gellner's critique of postmodernism is a hegemonic strategy that forecloses open dialogue by reducing postmodernism's internal complexity to a binary opposition between Reason and Anti-Reason, thereby missing the plurality of approaches to problems such as authority, power, and freedom that postmodernism contains.</w:t>
      </w:r>
    </w:p>
    <w:p>
      <w:pPr>
        <w:pStyle w:val="ListBullet2"/>
        <w:spacing w:after="60"/>
      </w:pPr>
      <w:r>
        <w:t xml:space="preserve">Confidence: </w:t>
      </w:r>
      <w:r>
        <w:rPr>
          <w:b/>
        </w:rPr>
        <w:t>high</w:t>
      </w:r>
    </w:p>
    <w:p>
      <w:pPr>
        <w:pStyle w:val="ListBullet2"/>
        <w:spacing w:after="60"/>
      </w:pPr>
      <w:r>
        <w:t>Sources: Malešević &amp; Haugaard 2007</w:t>
      </w:r>
    </w:p>
    <w:p>
      <w:pPr>
        <w:pStyle w:val="ListBullet"/>
        <w:spacing w:after="60"/>
      </w:pPr>
      <w:r>
        <w:rPr>
          <w:b/>
        </w:rPr>
        <w:t>(a) source says.</w:t>
      </w:r>
      <w:r>
        <w:t xml:space="preserve"> Hall argues that Gellner's metaphysic is rooted in his biographical experience of moving from a tricultural world of multiple identities to homogeneous nation-states, producing the paradox that he appreciated relativism's appeal while insisting more than any other thinker on universal standards.</w:t>
      </w:r>
    </w:p>
    <w:p>
      <w:pPr>
        <w:pStyle w:val="ListBullet2"/>
        <w:spacing w:after="60"/>
      </w:pPr>
      <w:r>
        <w:t xml:space="preserve">Confidence: </w:t>
      </w:r>
      <w:r>
        <w:rPr>
          <w:b/>
        </w:rPr>
        <w:t>high</w:t>
      </w:r>
    </w:p>
    <w:p>
      <w:pPr>
        <w:pStyle w:val="ListBullet2"/>
        <w:spacing w:after="60"/>
      </w:pPr>
      <w:r>
        <w:t>Sources: Malešević &amp; Haugaard 2007</w:t>
      </w:r>
    </w:p>
    <w:p>
      <w:pPr>
        <w:pStyle w:val="ListBullet"/>
        <w:spacing w:after="60"/>
      </w:pPr>
      <w:r>
        <w:rPr>
          <w:b/>
        </w:rPr>
        <w:t>(a) source says.</w:t>
      </w:r>
      <w:r>
        <w:t xml:space="preserve"> Malešević argues that Gellner's liberal rationalism lacks universal justification, and that the measure of doubt, scepticism, and uncertainty in Hume and Kant far exceeds anything claimed by later postmodernists.</w:t>
      </w:r>
    </w:p>
    <w:p>
      <w:pPr>
        <w:pStyle w:val="ListBullet2"/>
        <w:spacing w:after="60"/>
      </w:pPr>
      <w:r>
        <w:t xml:space="preserve">Confidence: </w:t>
      </w:r>
      <w:r>
        <w:rPr>
          <w:b/>
        </w:rPr>
        <w:t>high</w:t>
      </w:r>
    </w:p>
    <w:p>
      <w:pPr>
        <w:pStyle w:val="ListBullet2"/>
        <w:spacing w:after="60"/>
      </w:pPr>
      <w:r>
        <w:t>Sources: Malešević &amp; Haugaard 2007</w:t>
      </w:r>
    </w:p>
    <w:p>
      <w:pPr>
        <w:pStyle w:val="ListBullet"/>
        <w:spacing w:after="60"/>
      </w:pPr>
      <w:r>
        <w:rPr>
          <w:b/>
        </w:rPr>
        <w:t>(b) Axial infers.</w:t>
      </w:r>
      <w:r>
        <w:t xml:space="preserve"> What critics add that the originators miss: Gellner's industrial-modernity account assumes nationalism arises from the internal logic of industrialisation, but critics reveal his position is grounded in his own biographical displacement and that he forecloses engagement with alternative explanations by treating them as 'Anti-Reason'—thus missing how colonialism and external imposition produced nationalism in the periphery without the industrial base his model requires; and Gellner's own refusal to cheat, conceding that liberal rationalism lacks universal justification, undermines the normative authority his account claims for the nation-state form.</w:t>
      </w:r>
    </w:p>
    <w:p>
      <w:pPr>
        <w:pStyle w:val="ListBullet2"/>
        <w:spacing w:after="60"/>
      </w:pPr>
      <w:r>
        <w:t xml:space="preserve">Confidence: </w:t>
      </w:r>
      <w:r>
        <w:rPr>
          <w:b/>
        </w:rPr>
        <w:t>medium</w:t>
      </w:r>
    </w:p>
    <w:p>
      <w:pPr>
        <w:pStyle w:val="ListBullet2"/>
        <w:spacing w:after="60"/>
      </w:pPr>
      <w:r>
        <w:t>Sources: Malešević &amp; Haugaard 2007 (3 passages); Ayubi 1995 (2 passages)</w:t>
      </w:r>
    </w:p>
    <w:p>
      <w:pPr>
        <w:pStyle w:val="ListBullet"/>
        <w:spacing w:after="60"/>
      </w:pPr>
      <w:r>
        <w:rPr>
          <w:b/>
        </w:rPr>
        <w:t>(b) Axial infers.</w:t>
      </w:r>
      <w:r>
        <w:t xml:space="preserve"> What critics of Mann add that the originator misses: Mann's organizational power account does not address how external colonial rule distorts the relationship between ideological mobilisation and infrastructural state power that his European cases take for granted; in the Arab East, movements held enormous social power but failed to assume governmental authority because they lacked the organisational capacity to direct state change—a vulnerability Mann's framework would predict from organisational weakness but does not explain when that weakness is structurally produced by colonial and post-colonial external rule rather than by internal movement failure.</w:t>
      </w:r>
    </w:p>
    <w:p>
      <w:pPr>
        <w:pStyle w:val="ListBullet2"/>
        <w:spacing w:after="60"/>
      </w:pPr>
      <w:r>
        <w:t xml:space="preserve">Confidence: </w:t>
      </w:r>
      <w:r>
        <w:rPr>
          <w:b/>
        </w:rPr>
        <w:t>low</w:t>
      </w:r>
    </w:p>
    <w:p>
      <w:pPr>
        <w:pStyle w:val="ListBullet2"/>
        <w:spacing w:after="60"/>
      </w:pPr>
      <w:r>
        <w:t>Sources: Hall &amp; Schroeder 2006; Bayat 2017; Ayubi 1995; Heydemann 2000</w:t>
      </w:r>
    </w:p>
    <w:p>
      <w:pPr>
        <w:pStyle w:val="ListBullet"/>
        <w:spacing w:after="60"/>
      </w:pPr>
      <w:r>
        <w:rPr>
          <w:b/>
        </w:rPr>
        <w:t>(b) Axial infers.</w:t>
      </w:r>
      <w:r>
        <w:t xml:space="preserve"> The post-Ottoman Arab East under the mandates reveals a dynamic absent from all four European-origin explanations: the neoliberal, post-ideological era produced 'refolutions' where revolutionary mobilisation could not translate into structural transformation because movements separated economy from politics and lacked transformative vision—a failure that neither Gellner's industrial-modernity model nor Mann's organisational power model predicts, since both assume that industrial or ideological mobilisation will produce coherent state-building outcomes.</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Bayat 2017; Gellner 1981; Hall &amp; Schroeder 2006; Ayubi 1995</w:t>
      </w:r>
    </w:p>
    <w:p>
      <w:r>
        <w:rPr>
          <w:b/>
        </w:rPr>
        <w:t>Counter-position</w:t>
      </w:r>
      <w:r>
        <w:t xml:space="preserve"> — the strongest case against this answer's own conclusion</w:t>
      </w:r>
    </w:p>
    <w:p>
      <w:r>
        <w:t>The primary claims' preferred account retains Gellner's industrial-modernity materialism as the grounding for nationalism, combined with Mann's organizational power. The strongest opposing position the corpus supports is Malešević's argument that Gellner's entire industrial-modernity framework is fundamentally inadequate—not merely for peripheral cases like the Arab East, but for understanding nationalism and war in the core itself. Gellner's Spencerian vision of a transition from militarism to industrialism cannot explain the central paradox of modernity: that unprecedented technological advancement, universal literacy, and educational attainment went hand in hand with total war, ethnic cleansing, and systematic mass annihilation. Modernity does not pacify; it externalizes violence, concentrating and bureaucratizing it through the nation-state's monopoly. Nationalism is not reducible to industrialisation's material requirements but is a meta-ideology of modernity that persists and deepens regardless of economic development, operative across democracies, dictatorships, and theocracies alike. Gellner's economically reductionist model, which links nationalism only to uneven development and late industrialisation in peripheral regions, ignores nationalism in established states, the political and military (not merely economic) causes of nationalist virulence, and the fact that all modern inter-state wars are nationalist wars. This means the primary claims' synthesis is built on a foundation that its own critics show cannot bear the weight placed on it: Gellner's materialism cannot account for the very co-development of nationalism and large-scale war that the brief asks about.</w:t>
      </w:r>
    </w:p>
    <w:p>
      <w:pPr>
        <w:pStyle w:val="ListBullet2"/>
        <w:spacing w:after="60"/>
      </w:pPr>
      <w:r>
        <w:t>Sources: Malešević &amp; Haugaard 2007 (4 passages)</w:t>
      </w:r>
    </w:p>
    <w:p>
      <w:r>
        <w:rPr>
          <w:b/>
        </w:rPr>
        <w:t>Coverage map</w:t>
      </w:r>
      <w:r>
        <w:t xml:space="preserve"> — how much of the library stands behind each name the answer rests on</w:t>
      </w:r>
    </w:p>
    <w:p>
      <w:pPr>
        <w:pStyle w:val="ListBullet"/>
        <w:spacing w:after="60"/>
      </w:pPr>
      <w:r>
        <w:rPr>
          <w:b/>
        </w:rPr>
        <w:t>Ernest Gellner</w:t>
      </w:r>
      <w:r>
        <w:t xml:space="preserve"> — 208 passages in the library, 4 used here; coverage judged </w:t>
      </w:r>
      <w:r>
        <w:rPr>
          <w:i/>
        </w:rPr>
        <w:t>dense</w:t>
      </w:r>
    </w:p>
    <w:p>
      <w:pPr>
        <w:pStyle w:val="ListBullet"/>
        <w:spacing w:after="60"/>
      </w:pPr>
      <w:r>
        <w:rPr>
          <w:b/>
        </w:rPr>
        <w:t>industrialization</w:t>
      </w:r>
      <w:r>
        <w:t xml:space="preserve"> — 14 passages in the library, 1 used here; coverage judged </w:t>
      </w:r>
      <w:r>
        <w:rPr>
          <w:i/>
        </w:rPr>
        <w:t>thin</w:t>
      </w:r>
    </w:p>
    <w:p>
      <w:pPr>
        <w:pStyle w:val="ListBullet"/>
        <w:spacing w:after="60"/>
      </w:pPr>
      <w:r>
        <w:rPr>
          <w:b/>
        </w:rPr>
        <w:t>nationalism</w:t>
      </w:r>
      <w:r>
        <w:t xml:space="preserve"> — 158 passages in the library, 12 used here; coverage judged </w:t>
      </w:r>
      <w:r>
        <w:rPr>
          <w:i/>
        </w:rPr>
        <w:t>dense</w:t>
      </w:r>
    </w:p>
    <w:p>
      <w:r>
        <w:rPr>
          <w:b/>
        </w:rPr>
        <w:t>Confidence</w:t>
      </w:r>
    </w:p>
    <w:p>
      <w:r>
        <w:t xml:space="preserve">Overall band: </w:t>
      </w:r>
      <w:r>
        <w:rPr>
          <w:b/>
        </w:rPr>
        <w:t>low</w:t>
      </w:r>
    </w:p>
    <w:p>
      <w:r>
        <w:t>Why: overall confidence is 'low', bounded by the thinnest-covered name it touches ('industrialization', band 'thin'); coverage by name: Ernest Gellner (dense: 208 passages in the library, 4 used here); industrialization (thin: 14 passages in the library, 1 used here); nationalism (dense: 158 passages in the library, 12 used here)</w:t>
      </w:r>
    </w:p>
    <w:p>
      <w:r>
        <w:rPr>
          <w:b/>
        </w:rPr>
        <w:t>Source usage</w:t>
      </w:r>
      <w:r>
        <w:t xml:space="preserve"> — share of the answer's cited evidence taken from each book</w:t>
      </w:r>
    </w:p>
    <w:p>
      <w:pPr>
        <w:pStyle w:val="ListBullet"/>
        <w:spacing w:after="60"/>
      </w:pPr>
      <w:r>
        <w:t>Ayubi 1995: 19%</w:t>
      </w:r>
    </w:p>
    <w:p>
      <w:pPr>
        <w:pStyle w:val="ListBullet"/>
        <w:spacing w:after="60"/>
      </w:pPr>
      <w:r>
        <w:t>Gellner 1981: 19%</w:t>
      </w:r>
    </w:p>
    <w:p>
      <w:pPr>
        <w:pStyle w:val="ListBullet"/>
        <w:spacing w:after="60"/>
      </w:pPr>
      <w:r>
        <w:t>Hall &amp; Schroeder 2006: 19%</w:t>
      </w:r>
    </w:p>
    <w:p>
      <w:pPr>
        <w:pStyle w:val="ListBullet"/>
        <w:spacing w:after="60"/>
      </w:pPr>
      <w:r>
        <w:t>Malešević &amp; Haugaard 2007: 19%</w:t>
      </w:r>
    </w:p>
    <w:p>
      <w:pPr>
        <w:pStyle w:val="ListBullet"/>
        <w:spacing w:after="60"/>
      </w:pPr>
      <w:r>
        <w:t>Batatu 1999: 6%</w:t>
      </w:r>
    </w:p>
    <w:p>
      <w:pPr>
        <w:pStyle w:val="ListBullet"/>
        <w:spacing w:after="60"/>
      </w:pPr>
      <w:r>
        <w:t>Bayat 2017: 6%</w:t>
      </w:r>
    </w:p>
    <w:p>
      <w:pPr>
        <w:pStyle w:val="ListBullet"/>
        <w:spacing w:after="60"/>
      </w:pPr>
      <w:r>
        <w:t>Beshara 2011: 6%</w:t>
      </w:r>
    </w:p>
    <w:p>
      <w:pPr>
        <w:pStyle w:val="ListBullet"/>
        <w:spacing w:after="60"/>
      </w:pPr>
      <w:r>
        <w:t>Heydemann 2000: 6%</w:t>
      </w:r>
    </w:p>
    <w:p>
      <w:r>
        <w:rPr>
          <w:b/>
        </w:rPr>
        <w:t>Peer reviewer.</w:t>
      </w:r>
    </w:p>
    <w:p>
      <w:r>
        <w:rPr>
          <w:b/>
        </w:rPr>
        <w:t>Not peer-reviewed.</w:t>
      </w:r>
      <w:r>
        <w:t xml:space="preserve"> Measured mechanically: every claim carried a kind and resolvable sources, and the grounding check supported 93.8% of its source-attributed claims. It reached only two of the six books the question demands — the weakest retrieval result anywhere in this evaluation. Raising the search budget to 20 steps gathered 181 passages across 15 books instead of 107 across 8, lifted the reach to three of six, and put one fewer passage in front of the writing model.</w:t>
      </w:r>
    </w:p>
    <w:p>
      <w:r>
        <w:rPr>
          <w:b/>
        </w:rPr>
        <w:t>Model combination, and what it produced.</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z-ai/glm-5.2</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6 min 50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$0.1706</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8</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2 of 6 (missed: Malešević 2013, Mann vol. II, Smith 2009, White 2011)</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8 of 8</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24 claims, 2,004 words</w:t>
            </w:r>
          </w:p>
        </w:tc>
      </w:tr>
    </w:tbl>
    <w:p/>
    <w:p>
      <w:pPr>
        <w:pStyle w:val="Heading3"/>
      </w:pPr>
      <w:r>
        <w:t>Question B — which account explains violence against Syrian civilians? (open-source arm)</w:t>
      </w:r>
    </w:p>
    <w:p>
      <w:r>
        <w:rPr>
          <w:b/>
        </w:rPr>
        <w:t>Category / domain.</w:t>
      </w:r>
      <w:r>
        <w:t xml:space="preserve"> Syrian civil war; civilian violence</w:t>
      </w:r>
    </w:p>
    <w:p>
      <w:r>
        <w:rPr>
          <w:b/>
        </w:rPr>
        <w:t>Setting.</w:t>
      </w:r>
      <w:r>
        <w:t xml:space="preserve"> The Syrian civil war, 2011-2021 — Open-source stack</w:t>
      </w:r>
    </w:p>
    <w:p>
      <w:r>
        <w:rPr>
          <w:b/>
        </w:rPr>
        <w:t>Question.</w:t>
      </w:r>
    </w:p>
    <w:p>
      <w:pPr>
        <w:spacing w:before="80"/>
        <w:ind w:left="432"/>
      </w:pPr>
      <w:r>
        <w:rPr>
          <w:i/>
        </w:rPr>
        <w:t>Violence against Syrian civilians has been read in two ways that locate cause and agency differently: as the strategic output of territorial control and information, in which apparently sectarian targeting is selective violence under another name, and as a deliberate political technology that produces sectarian identities by shattering shared social practices and freezing fluid populations into hardened categories. Argue which account better explains the Syrian pattern, stating the strongest version of the account you reject, and test your choice against the specific role of paramilitary violence.</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(a) source says.</w:t>
      </w:r>
      <w:r>
        <w:t xml:space="preserve"> Under the political-economy lens, Kalyvas's model holds that violence against civilians in civil war is the strategic output of territorial control and information: political actors need information to target selectively, civilians supply it through denunciation when protected from retaliation, and selective violence therefore occurs only in the intermediate zone where control is sufficient to protect denouncers but incomplete enough that defectors remain.</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w:t>
      </w:r>
    </w:p>
    <w:p>
      <w:pPr>
        <w:pStyle w:val="ListBullet"/>
        <w:spacing w:after="60"/>
      </w:pPr>
      <w:r>
        <w:rPr>
          <w:b/>
        </w:rPr>
        <w:t>(a) source says.</w:t>
      </w:r>
      <w:r>
        <w:t xml:space="preserve"> Kalyvas's empirical test on thirteen Greek villages found that military control, rather than social structure, political loyalties, ethnic polarization, or prior path-dependent violence, determines the incidence and type of violence against civilians; what changed across phases of the war was the dynamics of control, not villages' social or political profiles.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w:t>
      </w:r>
    </w:p>
    <w:p>
      <w:pPr>
        <w:pStyle w:val="ListBullet"/>
        <w:spacing w:after="60"/>
      </w:pPr>
      <w:r>
        <w:rPr>
          <w:b/>
        </w:rPr>
        <w:t>(a) source says.</w:t>
      </w:r>
      <w:r>
        <w:t xml:space="preserve"> Denunciation-related violence in civil wars is recurrently driven by private, often trivial material and social grievances -- business rivalry, debts, jobs, grades, professional jealousy -- so that civil war 'privatizes politics,' with apparently political or sectarian targeting often being selective violence instrumentalized for private ends.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w:t>
      </w:r>
    </w:p>
    <w:p>
      <w:pPr>
        <w:pStyle w:val="ListBullet"/>
        <w:spacing w:after="60"/>
      </w:pPr>
      <w:r>
        <w:rPr>
          <w:b/>
        </w:rPr>
        <w:t>(a) source says.</w:t>
      </w:r>
      <w:r>
        <w:t xml:space="preserve"> Kalyvas argues that local conflicts in civil war are usually framed in the discursive terminology of the national 'master cleavage' while actually being driven by local advantage, through an alliance transaction in which supralocal actors supply muscle and locals supply support; identity labels coined at the center are therefore misleading guides to motives on the ground.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w:t>
      </w:r>
    </w:p>
    <w:p>
      <w:pPr>
        <w:pStyle w:val="ListBullet"/>
        <w:spacing w:after="60"/>
      </w:pPr>
      <w:r>
        <w:rPr>
          <w:b/>
        </w:rPr>
        <w:t>(b) Axial infers.</w:t>
      </w:r>
      <w:r>
        <w:t xml:space="preserve"> The rival account, in its strongest historically grounded version as represented here through Makdisi, holds that sectarian violence is not the expression of primordial millet hatreds but a political technology of identity formation: in nineteenth-century Ottoman Syria sectarian violence resulted from identity formation under the pressure of modernizing reforms, and class battles were transformed into sectarian battles as rapid economic change disintegrated traditional social and economic structures.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White 2011; Beshara 2011</w:t>
      </w:r>
    </w:p>
    <w:p>
      <w:pPr>
        <w:pStyle w:val="ListBullet"/>
        <w:spacing w:after="60"/>
      </w:pPr>
      <w:r>
        <w:rPr>
          <w:b/>
        </w:rPr>
        <w:t>(b) Axial infers.</w:t>
      </w:r>
      <w:r>
        <w:t xml:space="preserve"> The identity-production account draws further strength from evidence that sectarianism was historically treated by Syrian intellectuals themselves as the polity's 'most intractable social malady' and as the force that defeated imported patriotic concepts of territorial-political unity in the nineteenth century, suggesting sectarian categorization has deep productive power over Syrian political identity.</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Beshara 2011 (2 passages)</w:t>
      </w:r>
    </w:p>
    <w:p>
      <w:pPr>
        <w:pStyle w:val="ListBullet"/>
        <w:spacing w:after="60"/>
      </w:pPr>
      <w:r>
        <w:rPr>
          <w:b/>
        </w:rPr>
        <w:t>(a) source says.</w:t>
      </w:r>
      <w:r>
        <w:t xml:space="preserve"> In Syria's information environment, sectarian narrative was a contested resource rather than a self-evident social fact: the regime banned independent media, revolutionary activists built alternative documentation infrastructures, and figures such as the Alawite actress Fadwa Suleiman deliberately defied the prevailing sectarian narrative while regime and armed opposition actors each produced their own narratives.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Vignal 2021</w:t>
      </w:r>
    </w:p>
    <w:p>
      <w:pPr>
        <w:pStyle w:val="ListBullet"/>
        <w:spacing w:after="60"/>
      </w:pPr>
      <w:r>
        <w:rPr>
          <w:b/>
        </w:rPr>
        <w:t>(a) source says.</w:t>
      </w:r>
      <w:r>
        <w:t xml:space="preserve"> On the paramilitary test, Üngör's account locates the cause of paramilitary violence in political economy and state structure rather than identity: paramilitarism flourishes where postcolonial states are unable or unwilling to consolidate a monopoly of violence and where external powers provide covert sponsorship, producing isomorphic paramilitary structures and mass violence across culturally very different societies.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Üngör 2020</w:t>
      </w:r>
    </w:p>
    <w:p>
      <w:pPr>
        <w:pStyle w:val="ListBullet"/>
        <w:spacing w:after="60"/>
      </w:pPr>
      <w:r>
        <w:rPr>
          <w:b/>
        </w:rPr>
        <w:t>(a) source says.</w:t>
      </w:r>
      <w:r>
        <w:t xml:space="preserve"> External geopolitical intervention in Syria -- principally by the United States and Russia, supporting rival factions -- made domestic actors' legitimacy and capacity conditional, unpredictable, and volatile, and the RAND-cited literature holds that stable governance remains unlikely while external states maintain geopolitical interests in Syria.</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Kandiah 2018</w:t>
      </w:r>
    </w:p>
    <w:p>
      <w:pPr>
        <w:pStyle w:val="ListBullet"/>
        <w:spacing w:after="60"/>
      </w:pPr>
      <w:r>
        <w:rPr>
          <w:b/>
        </w:rPr>
        <w:t>(a) source says.</w:t>
      </w:r>
      <w:r>
        <w:t xml:space="preserve"> In Daraa, the Assad regime's mid-2018 reconquest did not reinstate a monopoly over governance: protests reemerged, assassinations increased significantly, and tribal leaders and militias continued providing security, justice, and services relatively independent of the regime, which operated through tacit delegation and renegotiation with nonstate actors including Russia- and Iran-linked actors.</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Kao 2025 (2 passages)</w:t>
      </w:r>
    </w:p>
    <w:p>
      <w:pPr>
        <w:pStyle w:val="ListBullet"/>
        <w:spacing w:after="60"/>
      </w:pPr>
      <w:r>
        <w:rPr>
          <w:b/>
        </w:rPr>
        <w:t>(a) source says.</w:t>
      </w:r>
      <w:r>
        <w:t xml:space="preserve"> Before the war the regime had stacked Daraa's local councils with loyal Ba'ath Party members to neutralize the large tribal families, but those families adapted by building parallel power structures that operated with the regime's consent and served it as a nexus for organizing and exerting control over the region -- a material, patronage-based cooptation logic rather than a sectarian one.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Kao 2025</w:t>
      </w:r>
    </w:p>
    <w:p>
      <w:pPr>
        <w:pStyle w:val="ListBullet"/>
        <w:spacing w:after="60"/>
      </w:pPr>
      <w:r>
        <w:rPr>
          <w:b/>
        </w:rPr>
        <w:t>(a) source says.</w:t>
      </w:r>
      <w:r>
        <w:t xml:space="preserve"> Across the MENA cases surveyed, conflict-induced power vacuums let militias, customary leaders, and party cartels capture local governance and reproduce pre-existing economic and political inequalities, rather than violence or decentralization dissolving them.</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Kao 2025</w:t>
      </w:r>
    </w:p>
    <w:p>
      <w:pPr>
        <w:pStyle w:val="ListBullet"/>
        <w:spacing w:after="60"/>
      </w:pPr>
      <w:r>
        <w:rPr>
          <w:b/>
        </w:rPr>
        <w:t>(b) Axial infers.</w:t>
      </w:r>
      <w:r>
        <w:t xml:space="preserve"> Cross-source inference: the control-and-information account better explains the specific Syrian pattern supplied here, because the best-documented Syrian case, Daraa, is a predominantly Sunni Arab region whose post-2018 violence (assassinations, protests, militia governance) cannot be coded as sectarian category-production and instead tracks shifts in territorial control, the regime's inability to monopolize violence, and patronage-based alliances with tribal and militia actors -- precisely the joint-production and alliance mechanisms of the selective-violence model.</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Kao 2025 (3 passages); Kalyvas 2006 (2 passages)</w:t>
      </w:r>
    </w:p>
    <w:p>
      <w:pPr>
        <w:pStyle w:val="ListBullet"/>
        <w:spacing w:after="60"/>
      </w:pPr>
      <w:r>
        <w:rPr>
          <w:b/>
        </w:rPr>
        <w:t>(b) Axial infers.</w:t>
      </w:r>
      <w:r>
        <w:t xml:space="preserve"> Cross-source inference: the specific role of paramilitary violence in Syria discriminates between the two accounts in favor of the strategic reading, since the supplied evidence presents Syrian militias as instruments of outsourced coercion and local political economy -- filling governance vacuums, running 'minifiefdoms' under regime cooptation, and sustained by external state sponsorship -- which matches Üngör's state-failure-plus-external-support model of paramilitarism rather than a technology whose primary product is sectarian identity.</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Üngör 2020; Kao 2025 (3 passages); Kandiah 2018</w:t>
      </w:r>
    </w:p>
    <w:p>
      <w:pPr>
        <w:pStyle w:val="ListBullet"/>
        <w:spacing w:after="60"/>
      </w:pPr>
      <w:r>
        <w:rPr>
          <w:b/>
        </w:rPr>
        <w:t>(b) Axial infers.</w:t>
      </w:r>
      <w:r>
        <w:t xml:space="preserve"> Cross-source inference: the strongest residual claim of the rejected identity-production account that survives the paramilitary test is a scope claim, not a causal one: while the supplied evidence shows targeting and militia behavior following control, information, and material advantage, it also shows that violence once used becomes naturalized into new collective identities (per Kalyvas's own concession) and that sectarian narrative remained a live idiom actors had to contest -- so identity hardening is best treated as a downstream effect of politically and economically motivated violence rather than its cause.</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Kalyvas 2006 (2 passages); Vignal 2021; White 2011</w:t>
      </w:r>
    </w:p>
    <w:p>
      <w:pPr>
        <w:pStyle w:val="ListBullet"/>
        <w:spacing w:after="60"/>
      </w:pPr>
      <w:r>
        <w:rPr>
          <w:b/>
        </w:rPr>
        <w:t>(c) speculative.</w:t>
      </w:r>
      <w:r>
        <w:t xml:space="preserve"> Speculative synthesis within the political-economy lens: the Syrian pattern 2011-2021 is best explained as violence whose causes lie in control, information, patronage, and external sponsorship, with sectarianism functioning as the available discursive currency in which privately and materially motivated violence was denominated -- though this conclusion is limited by the supplied corpus's thin direct evidence on sectarian massacres inside Syria proper.</w:t>
      </w:r>
    </w:p>
    <w:p>
      <w:pPr>
        <w:pStyle w:val="ListBullet2"/>
        <w:spacing w:after="60"/>
      </w:pPr>
      <w:r>
        <w:t xml:space="preserve">Confidence: </w:t>
      </w:r>
      <w:r>
        <w:rPr>
          <w:b/>
        </w:rPr>
        <w:t>low</w:t>
      </w:r>
    </w:p>
    <w:p>
      <w:pPr>
        <w:pStyle w:val="ListBullet2"/>
        <w:spacing w:after="60"/>
      </w:pPr>
      <w:r>
        <w:t>Sources: Kalyvas 2006; Üngör 2020; Kao 2025; Vignal 2021</w:t>
      </w:r>
    </w:p>
    <w:p>
      <w:r>
        <w:rPr>
          <w:b/>
        </w:rPr>
        <w:t>Counter-position</w:t>
      </w:r>
      <w:r>
        <w:t xml:space="preserve"> — the strongest case against this answer's own conclusion</w:t>
      </w:r>
    </w:p>
    <w:p>
      <w:r>
        <w:t>The corpus can steelman the identity-production account against the Kalyvasian synthesis: sectarian violence in the Syrian lineage is not primordial hatred, but neither is it merely control-and-information wearing sectarian dress. White/Makdisi and Beshara's notes ground a causal sequence in which Ottoman modernization, economic disintegration, and imported watan/patriotism strained older cross-communal relations and converted class or local conflicts into sectarian ones; Beshara's territorial and Nu'aymah materials show communal-religious loyalties repeatedly defeating territorial-political unity and being named by Syrian intellectuals as the polity's intractable malady. Read toward 2011, Vignal shows a prevailing sectarian narrative that actors had to produce, police, or defy, and even Kalyvas concedes that violence once used becomes naturalized into new collective identities. The strongest opposition is therefore that control, information, patronage, and external sponsorship supply the opportunity structure, while sectarianization supplies historically produced categories through which violence is made intelligible, recruited for, and remembered; on the supplied Daraa and Üngör evidence it cannot claim militias' primary product was identity, so its defensible claim is causal co-production and feedback rather than a downstream-only ordering.</w:t>
      </w:r>
    </w:p>
    <w:p>
      <w:pPr>
        <w:pStyle w:val="ListBullet2"/>
        <w:spacing w:after="60"/>
      </w:pPr>
      <w:r>
        <w:t>Sources: White 2011; Beshara 2011 (3 passages); Vignal 2021; Kalyvas 2006</w:t>
      </w:r>
    </w:p>
    <w:p>
      <w:r>
        <w:rPr>
          <w:b/>
        </w:rPr>
        <w:t>Coverage map</w:t>
      </w:r>
      <w:r>
        <w:t xml:space="preserve"> — how much of the library stands behind each name the answer rests on</w:t>
      </w:r>
    </w:p>
    <w:p>
      <w:pPr>
        <w:pStyle w:val="ListBullet"/>
        <w:spacing w:after="60"/>
      </w:pPr>
      <w:r>
        <w:rPr>
          <w:b/>
        </w:rPr>
        <w:t>Syrian Civil War</w:t>
      </w:r>
      <w:r>
        <w:t xml:space="preserve"> — 9 passages in the library, 6 used here; coverage judged </w:t>
      </w:r>
      <w:r>
        <w:rPr>
          <w:i/>
        </w:rPr>
        <w:t>thin</w:t>
      </w:r>
    </w:p>
    <w:p>
      <w:pPr>
        <w:pStyle w:val="ListBullet"/>
        <w:spacing w:after="60"/>
      </w:pPr>
      <w:r>
        <w:rPr>
          <w:b/>
        </w:rPr>
        <w:t>The Culture of Sectarianism</w:t>
      </w:r>
      <w:r>
        <w:t xml:space="preserve"> — 5 passages in the library, 2 used here; coverage judged </w:t>
      </w:r>
      <w:r>
        <w:rPr>
          <w:i/>
        </w:rPr>
        <w:t>thin</w:t>
      </w:r>
    </w:p>
    <w:p>
      <w:pPr>
        <w:pStyle w:val="ListBullet"/>
        <w:spacing w:after="60"/>
      </w:pPr>
      <w:r>
        <w:rPr>
          <w:b/>
        </w:rPr>
        <w:t>indiscriminate violence</w:t>
      </w:r>
      <w:r>
        <w:t xml:space="preserve"> — 9 passages in the library, 2 used here; coverage judged </w:t>
      </w:r>
      <w:r>
        <w:rPr>
          <w:i/>
        </w:rPr>
        <w:t>thin</w:t>
      </w:r>
    </w:p>
    <w:p>
      <w:pPr>
        <w:pStyle w:val="ListBullet"/>
        <w:spacing w:after="60"/>
      </w:pPr>
      <w:r>
        <w:rPr>
          <w:b/>
        </w:rPr>
        <w:t>sectarianism</w:t>
      </w:r>
      <w:r>
        <w:t xml:space="preserve"> — 3 passages in the library, 3 used here; coverage judged </w:t>
      </w:r>
      <w:r>
        <w:rPr>
          <w:i/>
        </w:rPr>
        <w:t>thin</w:t>
      </w:r>
    </w:p>
    <w:p>
      <w:pPr>
        <w:pStyle w:val="ListBullet"/>
        <w:spacing w:after="60"/>
      </w:pPr>
      <w:r>
        <w:rPr>
          <w:b/>
        </w:rPr>
        <w:t>selective violence</w:t>
      </w:r>
      <w:r>
        <w:t xml:space="preserve"> — 12 passages in the library, 4 used here; coverage judged </w:t>
      </w:r>
      <w:r>
        <w:rPr>
          <w:i/>
        </w:rPr>
        <w:t>thin</w:t>
      </w:r>
    </w:p>
    <w:p>
      <w:r>
        <w:rPr>
          <w:b/>
        </w:rPr>
        <w:t>Confidence</w:t>
      </w:r>
    </w:p>
    <w:p>
      <w:r>
        <w:t xml:space="preserve">Overall band: </w:t>
      </w:r>
      <w:r>
        <w:rPr>
          <w:b/>
        </w:rPr>
        <w:t>low</w:t>
      </w:r>
    </w:p>
    <w:p>
      <w:r>
        <w:t>Why: overall confidence is 'low', bounded by the thinnest-covered name it touches ('Syrian Civil War', band 'thin'); coverage by name: Syrian Civil War (thin: 9 passages in the library, 6 used here); The Culture of Sectarianism (thin: 5 passages in the library, 2 used here); indiscriminate violence (thin: 9 passages in the library, 2 used here); sectarianism (thin: 3 passages in the library, 3 used here); selective violence (thin: 12 passages in the library, 4 used here)</w:t>
      </w:r>
    </w:p>
    <w:p>
      <w:r>
        <w:rPr>
          <w:b/>
        </w:rPr>
        <w:t>Source usage</w:t>
      </w:r>
      <w:r>
        <w:t xml:space="preserve"> — share of the answer's cited evidence taken from each book</w:t>
      </w:r>
    </w:p>
    <w:p>
      <w:pPr>
        <w:pStyle w:val="ListBullet"/>
        <w:spacing w:after="60"/>
      </w:pPr>
      <w:r>
        <w:t>Kalyvas 2006: 27%</w:t>
      </w:r>
    </w:p>
    <w:p>
      <w:pPr>
        <w:pStyle w:val="ListBullet"/>
        <w:spacing w:after="60"/>
      </w:pPr>
      <w:r>
        <w:t>Kao 2025: 27%</w:t>
      </w:r>
    </w:p>
    <w:p>
      <w:pPr>
        <w:pStyle w:val="ListBullet"/>
        <w:spacing w:after="60"/>
      </w:pPr>
      <w:r>
        <w:t>Beshara 2011: 20%</w:t>
      </w:r>
    </w:p>
    <w:p>
      <w:pPr>
        <w:pStyle w:val="ListBullet"/>
        <w:spacing w:after="60"/>
      </w:pPr>
      <w:r>
        <w:t>Kandiah 2018: 7%</w:t>
      </w:r>
    </w:p>
    <w:p>
      <w:pPr>
        <w:pStyle w:val="ListBullet"/>
        <w:spacing w:after="60"/>
      </w:pPr>
      <w:r>
        <w:t>Üngör 2020: 7%</w:t>
      </w:r>
    </w:p>
    <w:p>
      <w:pPr>
        <w:pStyle w:val="ListBullet"/>
        <w:spacing w:after="60"/>
      </w:pPr>
      <w:r>
        <w:t>Vignal 2021: 7%</w:t>
      </w:r>
    </w:p>
    <w:p>
      <w:pPr>
        <w:pStyle w:val="ListBullet"/>
        <w:spacing w:after="60"/>
      </w:pPr>
      <w:r>
        <w:t>White 2011: 7%</w:t>
      </w:r>
    </w:p>
    <w:p>
      <w:r>
        <w:rPr>
          <w:b/>
        </w:rPr>
        <w:t>Peer reviewer.</w:t>
      </w:r>
    </w:p>
    <w:p>
      <w:r>
        <w:rPr>
          <w:b/>
        </w:rPr>
        <w:t>The sealed reviewer, reading both answers blind, chose this one.</w:t>
      </w:r>
      <w:r>
        <w:t xml:space="preserve"> </w:t>
      </w:r>
      <w:r>
        <w:rPr>
          <w:b/>
        </w:rPr>
        <w:t>Strong</w:t>
      </w:r>
      <w:r>
        <w:t xml:space="preserve"> on factual correctness, </w:t>
      </w:r>
      <w:r>
        <w:rPr>
          <w:b/>
        </w:rPr>
        <w:t>strong</w:t>
      </w:r>
      <w:r>
        <w:t xml:space="preserve"> on citation grounding, </w:t>
      </w:r>
      <w:r>
        <w:rPr>
          <w:b/>
        </w:rPr>
        <w:t>strong</w:t>
      </w:r>
      <w:r>
        <w:t xml:space="preserve"> on completeness. It was credited for three things specifically: reading Üngör's passage on paramilitary violence as written — as a structural argument, and one aimed against culture-first explanations — and then using it to test its own conclusion rather than to decorate it; anchoring its judgement in the Daraa case, the most granular ground-level evidence available to it; and stating the account it rejects in that account's canonical strongest form. The reviewer called the margin over the proprietary answer narrow.</w:t>
      </w:r>
    </w:p>
    <w:p>
      <w:r>
        <w:rPr>
          <w:b/>
        </w:rPr>
        <w:t>Model combination, and what it produced.</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z-ai/glm-5.2</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deepseek/deepseek-v4-pro</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moonshotai/kimi-k3</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moonshotai/kimi-k3</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11 min 34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$0.3905</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7</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4 of 5 (missed: Elcheroth &amp; Reicher 2017)</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4 of 5</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16 claims, 1,626 words</w:t>
            </w:r>
          </w:p>
        </w:tc>
      </w:tr>
    </w:tbl>
    <w:p/>
    <w:p>
      <w:pPr>
        <w:pStyle w:val="Heading3"/>
      </w:pPr>
      <w:r>
        <w:t>Question B — the same question, proprietary arm</w:t>
      </w:r>
    </w:p>
    <w:p>
      <w:r>
        <w:rPr>
          <w:b/>
        </w:rPr>
        <w:t>Category / domain.</w:t>
      </w:r>
      <w:r>
        <w:t xml:space="preserve"> Syrian civil war; civilian violence</w:t>
      </w:r>
    </w:p>
    <w:p>
      <w:r>
        <w:rPr>
          <w:b/>
        </w:rPr>
        <w:t>Setting.</w:t>
      </w:r>
      <w:r>
        <w:t xml:space="preserve"> The Syrian civil war, 2011-2021 — Proprietary stack</w:t>
      </w:r>
    </w:p>
    <w:p>
      <w:r>
        <w:rPr>
          <w:b/>
        </w:rPr>
        <w:t>Question.</w:t>
      </w:r>
    </w:p>
    <w:p>
      <w:pPr>
        <w:spacing w:before="80"/>
        <w:ind w:left="432"/>
      </w:pPr>
      <w:r>
        <w:rPr>
          <w:i/>
        </w:rPr>
        <w:t>Violence against Syrian civilians has been read in two ways that locate cause and agency differently: as the strategic output of territorial control and information, in which apparently sectarian targeting is selective violence under another name, and as a deliberate political technology that produces sectarian identities by shattering shared social practices and freezing fluid populations into hardened categories. Argue which account better explains the Syrian pattern, stating the strongest version of the account you reject, and test your choice against the specific role of paramilitary violence.</w:t>
      </w:r>
    </w:p>
    <w:p>
      <w:r>
        <w:rPr>
          <w:b/>
        </w:rPr>
        <w:t>Response.</w:t>
      </w:r>
    </w:p>
    <w:p>
      <w:r>
        <w:rPr>
          <w:i/>
        </w:rPr>
        <w:t>Reading lens: political economy. Decision after interrogating the question: proceed, with stated bounds.</w:t>
      </w:r>
    </w:p>
    <w:p>
      <w:r>
        <w:rPr>
          <w:b/>
        </w:rPr>
        <w:t>Claims</w:t>
      </w:r>
    </w:p>
    <w:p>
      <w:pPr>
        <w:pStyle w:val="ListBullet"/>
        <w:spacing w:after="60"/>
      </w:pPr>
      <w:r>
        <w:rPr>
          <w:b/>
        </w:rPr>
        <w:t>(b) Axial infers.</w:t>
      </w:r>
      <w:r>
        <w:t xml:space="preserve"> On the supplied evidence, this synthesis infers that the deliberate political-technology account better explains the Syrian pattern at the principal causal level: repression reorganized shared spaces and collective relations into harder camps, whereas the control-information account chiefly explains the downstream selection and localization of victims.</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Vignal 2021; Kalyvas 2006 (2 passages)</w:t>
      </w:r>
    </w:p>
    <w:p>
      <w:pPr>
        <w:pStyle w:val="ListBullet"/>
        <w:spacing w:after="60"/>
      </w:pPr>
      <w:r>
        <w:rPr>
          <w:b/>
        </w:rPr>
        <w:t>(a) source says.</w:t>
      </w:r>
      <w:r>
        <w:t xml:space="preserve"> The strongest version of the rejected account is Kalyvas's interactive rather than mechanically territorial model: armed actors require civilian information, denunciators often pursue private advantage under political labels, and selective violence is most feasible where control protects informants but remains incomplete enough for defectors to persist.</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 (4 passages)</w:t>
      </w:r>
    </w:p>
    <w:p>
      <w:pPr>
        <w:pStyle w:val="ListBullet"/>
        <w:spacing w:after="60"/>
      </w:pPr>
      <w:r>
        <w:rPr>
          <w:b/>
        </w:rPr>
        <w:t>(a) source says.</w:t>
      </w:r>
      <w:r>
        <w:t xml:space="preserve"> Kalyvas presents village-level Greek evidence in which changes in military control predicted changes in violence better than social structure, political loyalty, ethnic polarization, geography by itself, or prior violence.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w:t>
      </w:r>
    </w:p>
    <w:p>
      <w:pPr>
        <w:pStyle w:val="ListBullet"/>
        <w:spacing w:after="60"/>
      </w:pPr>
      <w:r>
        <w:rPr>
          <w:b/>
        </w:rPr>
        <w:t>(a) source says.</w:t>
      </w:r>
      <w:r>
        <w:t xml:space="preserve"> Vignal reports that Syrian regime repression closed central spaces where people from different neighborhoods, social milieus, and religious backgrounds had gathered, displaced mobilization into peripheral neighborhoods, made the movement more fragmented and monochromatic, and sharpened perceived and real divisions between revolutionary and loyal neighborhoods.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Vignal 2021</w:t>
      </w:r>
    </w:p>
    <w:p>
      <w:pPr>
        <w:pStyle w:val="ListBullet"/>
        <w:spacing w:after="60"/>
      </w:pPr>
      <w:r>
        <w:rPr>
          <w:b/>
        </w:rPr>
        <w:t>(a) source says.</w:t>
      </w:r>
      <w:r>
        <w:t xml:space="preserve"> Vignal also describes near-indiscriminate arrest campaigns, torture, disappearances, checkpoint arrests, and the targeting of peaceful activism, humanitarian assistance, and medical care as means of spreading fear and suppressing participation.</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Vignal 2021</w:t>
      </w:r>
    </w:p>
    <w:p>
      <w:pPr>
        <w:pStyle w:val="ListBullet"/>
        <w:spacing w:after="60"/>
      </w:pPr>
      <w:r>
        <w:rPr>
          <w:b/>
        </w:rPr>
        <w:t>(b) Axial infers.</w:t>
      </w:r>
      <w:r>
        <w:t xml:space="preserve"> This synthesis infers that Kalyvas's denunciation mechanism has genuine explanatory purchase within the Syrian pattern because Vignal reports that informants acted for political, personal, or financial motives, matching the conversion of private grievances into politically coded violence.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Vignal 2021; Kalyvas 2006</w:t>
      </w:r>
    </w:p>
    <w:p>
      <w:pPr>
        <w:pStyle w:val="ListBullet"/>
        <w:spacing w:after="60"/>
      </w:pPr>
      <w:r>
        <w:rPr>
          <w:b/>
        </w:rPr>
        <w:t>(b) Axial infers.</w:t>
      </w:r>
      <w:r>
        <w:t xml:space="preserve"> This synthesis nevertheless infers that the control-information model is incomplete as an overall explanation of Syria: it can explain how informants and armed actors selected particular victims, but Vignal's evidence additionally identifies a prior regime strategy that destroyed heterogeneous gathering places, atomized organization, and changed the cleavage structure through which targeting operated.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 (2 passages); Vignal 2021</w:t>
      </w:r>
    </w:p>
    <w:p>
      <w:pPr>
        <w:pStyle w:val="ListBullet"/>
        <w:spacing w:after="60"/>
      </w:pPr>
      <w:r>
        <w:rPr>
          <w:b/>
        </w:rPr>
        <w:t>(b) Axial infers.</w:t>
      </w:r>
      <w:r>
        <w:t xml:space="preserve"> Taken together, Beshara's account of twentieth-century patriotism emerging as a supra-communal tie alongside communal bonds and Vignal's evidence of cross-religious revolutionary gatherings imply that Syrian identities were not simply fixed inputs; coercive spatial reorganization could alter which divisions became organizationally salient.</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Beshara 2011; Vignal 2021</w:t>
      </w:r>
    </w:p>
    <w:p>
      <w:pPr>
        <w:pStyle w:val="ListBullet"/>
        <w:spacing w:after="60"/>
      </w:pPr>
      <w:r>
        <w:rPr>
          <w:b/>
        </w:rPr>
        <w:t>(a) source says.</w:t>
      </w:r>
      <w:r>
        <w:t xml:space="preserve"> Vignal reports that all parties committed war crimes, while also citing an SNHR estimate attributing 91 percent of 226,779 documented civilian deaths through September 2020 to the regime and its allies.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Vignal 2021</w:t>
      </w:r>
    </w:p>
    <w:p>
      <w:pPr>
        <w:pStyle w:val="ListBullet"/>
        <w:spacing w:after="60"/>
      </w:pPr>
      <w:r>
        <w:rPr>
          <w:b/>
        </w:rPr>
        <w:t>(b) Axial infers.</w:t>
      </w:r>
      <w:r>
        <w:t xml:space="preserve"> A political-economy synthesis infers a shared opportunity structure between Kalyvas's militia cases, where state-armed local actors used police powers to seize land and houses, and wartime Syria, where regime-supporting tycoons competed for spoils and engaged in land grabbing: coercive rule can materially enrich empowered intermediaries as well as secure territory.</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Kalyvas 2006; Vignal 2021</w:t>
      </w:r>
    </w:p>
    <w:p>
      <w:pPr>
        <w:pStyle w:val="ListBullet"/>
        <w:spacing w:after="60"/>
      </w:pPr>
      <w:r>
        <w:rPr>
          <w:b/>
        </w:rPr>
        <w:t>(a) source says.</w:t>
      </w:r>
      <w:r>
        <w:t xml:space="preserve"> Kandiah argues that governance capacity dependent on external patrons becomes precarious as patron priorities shift, thereby weakening domestic legitimacy and postconflict stability for both the Assad regime and opposition groups.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Kandiah 2018</w:t>
      </w:r>
    </w:p>
    <w:p>
      <w:pPr>
        <w:pStyle w:val="ListBullet"/>
        <w:spacing w:after="60"/>
      </w:pPr>
      <w:r>
        <w:rPr>
          <w:b/>
        </w:rPr>
        <w:t>(a) source says.</w:t>
      </w:r>
      <w:r>
        <w:t xml:space="preserve"> Kalyvas characterizes militias as political institutions of local rule, state building, population control, and information gathering; their local knowledge makes them effective counterinsurgency instruments but also enables extortion, personal revenge, predation, and counterproductive indiscriminate violence.</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w:t>
      </w:r>
    </w:p>
    <w:p>
      <w:pPr>
        <w:pStyle w:val="ListBullet"/>
        <w:spacing w:after="60"/>
      </w:pPr>
      <w:r>
        <w:rPr>
          <w:b/>
        </w:rPr>
        <w:t>(a) source says.</w:t>
      </w:r>
      <w:r>
        <w:t xml:space="preserve"> In the Syrian case, Vignal reports that Iran's Pasdarans specialized in training and supporting foreign paramilitaries and coordinated proxies including Lebanese Hezbollah, while Russian and Iranian direct assistance to the regime vastly exceeded the described external support for opposition groups.</w:t>
      </w:r>
    </w:p>
    <w:p>
      <w:pPr>
        <w:pStyle w:val="ListBullet2"/>
        <w:spacing w:after="60"/>
      </w:pPr>
      <w:r>
        <w:t xml:space="preserve">Confidence: </w:t>
      </w:r>
      <w:r>
        <w:rPr>
          <w:b/>
        </w:rPr>
        <w:t>medium</w:t>
      </w:r>
      <w:r>
        <w:t xml:space="preserve"> — the writing model asked for 'high'; capped by how much of the library stands behind this claim</w:t>
      </w:r>
    </w:p>
    <w:p>
      <w:pPr>
        <w:pStyle w:val="ListBullet2"/>
        <w:spacing w:after="60"/>
      </w:pPr>
      <w:r>
        <w:t>Sources: Vignal 2021</w:t>
      </w:r>
    </w:p>
    <w:p>
      <w:pPr>
        <w:pStyle w:val="ListBullet"/>
        <w:spacing w:after="60"/>
      </w:pPr>
      <w:r>
        <w:rPr>
          <w:b/>
        </w:rPr>
        <w:t>(b) Axial infers.</w:t>
      </w:r>
      <w:r>
        <w:t xml:space="preserve"> The paramilitary test favors the political-technology account at the organizational level: this synthesis infers that Syrian paramilitary capacity was produced through a transnational state-patron architecture, consistent with Üngör's broader argument that paramilitarism emerges from the interaction of incomplete monopolies of violence and external covert or unconventional support rather than from cultural divisions alone.</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Üngör 2020; Vignal 2021</w:t>
      </w:r>
    </w:p>
    <w:p>
      <w:pPr>
        <w:pStyle w:val="ListBullet"/>
        <w:spacing w:after="60"/>
      </w:pPr>
      <w:r>
        <w:rPr>
          <w:b/>
        </w:rPr>
        <w:t>(b) Axial infers.</w:t>
      </w:r>
      <w:r>
        <w:t xml:space="preserve"> Paramilitary violence also preserves the strongest insight of the rejected account: this synthesis infers that externally organized auxiliaries can implement a broader political project while their local members simultaneously exploit information, weapons, and delegated authority for private or predatory purposes, so not every violent act need be centrally scripted.</w:t>
      </w:r>
    </w:p>
    <w:p>
      <w:pPr>
        <w:pStyle w:val="ListBullet2"/>
        <w:spacing w:after="60"/>
      </w:pPr>
      <w:r>
        <w:t xml:space="preserve">Confidence: </w:t>
      </w:r>
      <w:r>
        <w:rPr>
          <w:b/>
        </w:rPr>
        <w:t>low</w:t>
      </w:r>
      <w:r>
        <w:t xml:space="preserve"> — the writing model asked for 'high'; capped by how much of the library stands behind this claim</w:t>
      </w:r>
    </w:p>
    <w:p>
      <w:pPr>
        <w:pStyle w:val="ListBullet2"/>
        <w:spacing w:after="60"/>
      </w:pPr>
      <w:r>
        <w:t>Sources: Kalyvas 2006; Vignal 2021</w:t>
      </w:r>
    </w:p>
    <w:p>
      <w:pPr>
        <w:pStyle w:val="ListBullet"/>
        <w:spacing w:after="60"/>
      </w:pPr>
      <w:r>
        <w:rPr>
          <w:b/>
        </w:rPr>
        <w:t>(b) Axial infers.</w:t>
      </w:r>
      <w:r>
        <w:t xml:space="preserve"> This synthesis infers that external patronage joined coercion to asset extraction: allied support enabled Damascus to avoid a political settlement and regain dominance, while Russia and Iran drew payment from remaining Syrian assets and externally dependent capacity remained vulnerable to patrons' changing priorities.</w:t>
      </w:r>
    </w:p>
    <w:p>
      <w:pPr>
        <w:pStyle w:val="ListBullet2"/>
        <w:spacing w:after="60"/>
      </w:pPr>
      <w:r>
        <w:t xml:space="preserve">Confidence: </w:t>
      </w:r>
      <w:r>
        <w:rPr>
          <w:b/>
        </w:rPr>
        <w:t>medium</w:t>
      </w:r>
    </w:p>
    <w:p>
      <w:pPr>
        <w:pStyle w:val="ListBullet2"/>
        <w:spacing w:after="60"/>
      </w:pPr>
      <w:r>
        <w:t>Sources: Vignal 2021; Kandiah 2018</w:t>
      </w:r>
    </w:p>
    <w:p>
      <w:pPr>
        <w:pStyle w:val="ListBullet"/>
        <w:spacing w:after="60"/>
      </w:pPr>
      <w:r>
        <w:rPr>
          <w:b/>
        </w:rPr>
        <w:t>(b) Axial infers.</w:t>
      </w:r>
      <w:r>
        <w:t xml:space="preserve"> The best-supported combined model is therefore hierarchical: regime and patron strategies reorganized territory, public space, and population control; paramilitaries and informants operationalized those strategies through local knowledge and private incentives; and the resulting violence hardened political camps while opening opportunities for spoils and dispossession. On this evidence, the control-information account is best retained as a nested mechanism rather than accepted as the complete explanation.</w:t>
      </w:r>
    </w:p>
    <w:p>
      <w:pPr>
        <w:pStyle w:val="ListBullet2"/>
        <w:spacing w:after="60"/>
      </w:pPr>
      <w:r>
        <w:t xml:space="preserve">Confidence: </w:t>
      </w:r>
      <w:r>
        <w:rPr>
          <w:b/>
        </w:rPr>
        <w:t>low</w:t>
      </w:r>
      <w:r>
        <w:t xml:space="preserve"> — the writing model asked for 'medium'; capped by how much of the library stands behind this claim</w:t>
      </w:r>
    </w:p>
    <w:p>
      <w:pPr>
        <w:pStyle w:val="ListBullet2"/>
        <w:spacing w:after="60"/>
      </w:pPr>
      <w:r>
        <w:t>Sources: Kalyvas 2006 (2 passages); Vignal 2021 (3 passages)</w:t>
      </w:r>
    </w:p>
    <w:p>
      <w:r>
        <w:rPr>
          <w:b/>
        </w:rPr>
        <w:t>Counter-position</w:t>
      </w:r>
      <w:r>
        <w:t xml:space="preserve"> — the strongest case against this answer's own conclusion</w:t>
      </w:r>
    </w:p>
    <w:p>
      <w:r>
        <w:t>The strongest opposing position the corpus supports is that the Syrian pattern is better explained primarily by Kalyvas's interactive control-information model, not by a top-down political technology of sectarian identity production. On this view, violence against civilians was chiefly joint-produced by armed actors seeking actionable information and local civilians or intermediaries using denunciation for political, personal, or material advantage under conditions of partial territorial control; what appeared sectarian on the surface often reflected local cleavages translated into the war's master discourse rather than a prior strategy of manufacturing sectarian identities. Paramilitary violence fits this account because militias and auxiliaries are above all instruments of local rule, population control, and intelligence-gathering: their embedded local knowledge enables selective targeting, while their delegated coercive power also predictably opens space for revenge, extortion, and predation.</w:t>
      </w:r>
    </w:p>
    <w:p>
      <w:pPr>
        <w:pStyle w:val="ListBullet2"/>
        <w:spacing w:after="60"/>
      </w:pPr>
      <w:r>
        <w:t>Sources: Kalyvas 2006 (5 passages); Vignal 2021</w:t>
      </w:r>
    </w:p>
    <w:p>
      <w:r>
        <w:rPr>
          <w:b/>
        </w:rPr>
        <w:t>Coverage map</w:t>
      </w:r>
      <w:r>
        <w:t xml:space="preserve"> — how much of the library stands behind each name the answer rests on</w:t>
      </w:r>
    </w:p>
    <w:p>
      <w:pPr>
        <w:pStyle w:val="ListBullet"/>
        <w:spacing w:after="60"/>
      </w:pPr>
      <w:r>
        <w:rPr>
          <w:b/>
        </w:rPr>
        <w:t>Syria</w:t>
      </w:r>
      <w:r>
        <w:t xml:space="preserve"> — 962 passages in the library, 2 used here; coverage judged </w:t>
      </w:r>
      <w:r>
        <w:rPr>
          <w:i/>
        </w:rPr>
        <w:t>dense</w:t>
      </w:r>
    </w:p>
    <w:p>
      <w:pPr>
        <w:pStyle w:val="ListBullet"/>
        <w:spacing w:after="60"/>
      </w:pPr>
      <w:r>
        <w:rPr>
          <w:b/>
        </w:rPr>
        <w:t>Syrian conflict</w:t>
      </w:r>
      <w:r>
        <w:t xml:space="preserve"> — 22 passages in the library, 4 used here; coverage judged </w:t>
      </w:r>
      <w:r>
        <w:rPr>
          <w:i/>
        </w:rPr>
        <w:t>moderate</w:t>
      </w:r>
    </w:p>
    <w:p>
      <w:pPr>
        <w:pStyle w:val="ListBullet"/>
        <w:spacing w:after="60"/>
      </w:pPr>
      <w:r>
        <w:rPr>
          <w:b/>
        </w:rPr>
        <w:t>militias</w:t>
      </w:r>
      <w:r>
        <w:t xml:space="preserve"> — 3 passages in the library, 1 used here; coverage judged </w:t>
      </w:r>
      <w:r>
        <w:rPr>
          <w:i/>
        </w:rPr>
        <w:t>thin</w:t>
      </w:r>
    </w:p>
    <w:p>
      <w:pPr>
        <w:pStyle w:val="ListBullet"/>
        <w:spacing w:after="60"/>
      </w:pPr>
      <w:r>
        <w:rPr>
          <w:b/>
        </w:rPr>
        <w:t>sectarianism</w:t>
      </w:r>
      <w:r>
        <w:t xml:space="preserve"> — 3 passages in the library, 2 used here; coverage judged </w:t>
      </w:r>
      <w:r>
        <w:rPr>
          <w:i/>
        </w:rPr>
        <w:t>thin</w:t>
      </w:r>
    </w:p>
    <w:p>
      <w:pPr>
        <w:pStyle w:val="ListBullet"/>
        <w:spacing w:after="60"/>
      </w:pPr>
      <w:r>
        <w:rPr>
          <w:b/>
        </w:rPr>
        <w:t>selective violence</w:t>
      </w:r>
      <w:r>
        <w:t xml:space="preserve"> — 12 passages in the library, 6 used here; coverage judged </w:t>
      </w:r>
      <w:r>
        <w:rPr>
          <w:i/>
        </w:rPr>
        <w:t>thin</w:t>
      </w:r>
    </w:p>
    <w:p>
      <w:r>
        <w:rPr>
          <w:b/>
        </w:rPr>
        <w:t>Confidence</w:t>
      </w:r>
    </w:p>
    <w:p>
      <w:r>
        <w:t xml:space="preserve">Overall band: </w:t>
      </w:r>
      <w:r>
        <w:rPr>
          <w:b/>
        </w:rPr>
        <w:t>low</w:t>
      </w:r>
    </w:p>
    <w:p>
      <w:r>
        <w:t>Why: overall confidence is 'low', bounded by the thinnest-covered name it touches ('militias', band 'thin'); coverage by name: Syria (dense: 962 passages in the library, 2 used here); Syrian conflict (moderate: 22 passages in the library, 4 used here); militias (thin: 3 passages in the library, 1 used here); sectarianism (thin: 3 passages in the library, 2 used here); selective violence (thin: 12 passages in the library, 6 used here)</w:t>
      </w:r>
    </w:p>
    <w:p>
      <w:r>
        <w:rPr>
          <w:b/>
        </w:rPr>
        <w:t>Source usage</w:t>
      </w:r>
      <w:r>
        <w:t xml:space="preserve"> — share of the answer's cited evidence taken from each book</w:t>
      </w:r>
    </w:p>
    <w:p>
      <w:pPr>
        <w:pStyle w:val="ListBullet"/>
        <w:spacing w:after="60"/>
      </w:pPr>
      <w:r>
        <w:t>Kalyvas 2006: 50%</w:t>
      </w:r>
    </w:p>
    <w:p>
      <w:pPr>
        <w:pStyle w:val="ListBullet"/>
        <w:spacing w:after="60"/>
      </w:pPr>
      <w:r>
        <w:t>Vignal 2021: 25%</w:t>
      </w:r>
    </w:p>
    <w:p>
      <w:pPr>
        <w:pStyle w:val="ListBullet"/>
        <w:spacing w:after="60"/>
      </w:pPr>
      <w:r>
        <w:t>Beshara 2011: 8%</w:t>
      </w:r>
    </w:p>
    <w:p>
      <w:pPr>
        <w:pStyle w:val="ListBullet"/>
        <w:spacing w:after="60"/>
      </w:pPr>
      <w:r>
        <w:t>Kandiah 2018: 8%</w:t>
      </w:r>
    </w:p>
    <w:p>
      <w:pPr>
        <w:pStyle w:val="ListBullet"/>
        <w:spacing w:after="60"/>
      </w:pPr>
      <w:r>
        <w:t>Üngör 2020: 8%</w:t>
      </w:r>
    </w:p>
    <w:p>
      <w:r>
        <w:rPr>
          <w:b/>
        </w:rPr>
        <w:t>Peer reviewer.</w:t>
      </w:r>
    </w:p>
    <w:p>
      <w:r>
        <w:rPr>
          <w:b/>
        </w:rPr>
        <w:t>Strong</w:t>
      </w:r>
      <w:r>
        <w:t xml:space="preserve"> on factual correctness, </w:t>
      </w:r>
      <w:r>
        <w:rPr>
          <w:b/>
        </w:rPr>
        <w:t>strong</w:t>
      </w:r>
      <w:r>
        <w:t xml:space="preserve"> on citation grounding, </w:t>
      </w:r>
      <w:r>
        <w:rPr>
          <w:b/>
        </w:rPr>
        <w:t>adequate</w:t>
      </w:r>
      <w:r>
        <w:t xml:space="preserve"> on completeness. The reviewer's specific objection is the one worth understanding, because it is the kind of error that reads as competent: this answer cites the same Üngör passage as the open-source answer, and marshals it against its own thrust. The passage locates paramilitary violence in incomplete state monopolies of violence and covert outside support, explicitly 'rather than in cultural divisions alone'. This answer uses it to support an account built on the deliberate production of sectarian identity. It also cost 2.3 times as much and reached two fewer books.</w:t>
      </w:r>
    </w:p>
    <w:p>
      <w:r>
        <w:rPr>
          <w:b/>
        </w:rPr>
        <w:t>Model combination, and what it produced.</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Task</w:t>
            </w:r>
          </w:p>
        </w:tc>
        <w:tc>
          <w:tcPr>
            <w:tcW w:type="dxa" w:w="4752"/>
          </w:tcPr>
          <w:p>
            <w:pPr>
              <w:spacing w:after="40"/>
            </w:pPr>
            <w:r>
              <w:rPr>
                <w:b/>
                <w:sz w:val="18"/>
              </w:rPr>
            </w:r>
            <w:r>
              <w:rPr>
                <w:b/>
                <w:sz w:val="18"/>
              </w:rPr>
              <w:t>Model</w:t>
            </w:r>
          </w:p>
        </w:tc>
      </w:tr>
      <w:tr>
        <w:tc>
          <w:tcPr>
            <w:tcW w:type="dxa" w:w="4752"/>
          </w:tcPr>
          <w:p>
            <w:pPr>
              <w:spacing w:after="40"/>
            </w:pPr>
            <w:r>
              <w:rPr>
                <w:sz w:val="18"/>
              </w:rPr>
            </w:r>
            <w:r>
              <w:rPr>
                <w:sz w:val="18"/>
              </w:rPr>
              <w:t>Reading the question</w:t>
            </w:r>
          </w:p>
        </w:tc>
        <w:tc>
          <w:tcPr>
            <w:tcW w:type="dxa" w:w="4752"/>
          </w:tcPr>
          <w:p>
            <w:pPr>
              <w:spacing w:after="40"/>
            </w:pPr>
            <w:r>
              <w:rPr>
                <w:sz w:val="18"/>
              </w:rPr>
            </w:r>
            <w:r>
              <w:rPr>
                <w:rFonts w:ascii="Consolas" w:hAnsi="Consolas"/>
                <w:sz w:val="18"/>
              </w:rPr>
              <w:t>openai/gpt-5.4</w:t>
            </w:r>
          </w:p>
        </w:tc>
      </w:tr>
      <w:tr>
        <w:tc>
          <w:tcPr>
            <w:tcW w:type="dxa" w:w="4752"/>
          </w:tcPr>
          <w:p>
            <w:pPr>
              <w:spacing w:after="40"/>
            </w:pPr>
            <w:r>
              <w:rPr>
                <w:sz w:val="18"/>
              </w:rPr>
            </w:r>
            <w:r>
              <w:rPr>
                <w:sz w:val="18"/>
              </w:rPr>
              <w:t>Searching the library</w:t>
            </w:r>
          </w:p>
        </w:tc>
        <w:tc>
          <w:tcPr>
            <w:tcW w:type="dxa" w:w="4752"/>
          </w:tcPr>
          <w:p>
            <w:pPr>
              <w:spacing w:after="40"/>
            </w:pPr>
            <w:r>
              <w:rPr>
                <w:sz w:val="18"/>
              </w:rPr>
            </w:r>
            <w:r>
              <w:rPr>
                <w:rFonts w:ascii="Consolas" w:hAnsi="Consolas"/>
                <w:sz w:val="18"/>
              </w:rPr>
              <w:t>openai/gpt-5.4</w:t>
            </w:r>
          </w:p>
        </w:tc>
      </w:tr>
      <w:tr>
        <w:tc>
          <w:tcPr>
            <w:tcW w:type="dxa" w:w="4752"/>
          </w:tcPr>
          <w:p>
            <w:pPr>
              <w:spacing w:after="40"/>
            </w:pPr>
            <w:r>
              <w:rPr>
                <w:sz w:val="18"/>
              </w:rPr>
            </w:r>
            <w:r>
              <w:rPr>
                <w:sz w:val="18"/>
              </w:rPr>
              <w:t>Writing the answer</w:t>
            </w:r>
          </w:p>
        </w:tc>
        <w:tc>
          <w:tcPr>
            <w:tcW w:type="dxa" w:w="4752"/>
          </w:tcPr>
          <w:p>
            <w:pPr>
              <w:spacing w:after="40"/>
            </w:pPr>
            <w:r>
              <w:rPr>
                <w:sz w:val="18"/>
              </w:rPr>
            </w:r>
            <w:r>
              <w:rPr>
                <w:rFonts w:ascii="Consolas" w:hAnsi="Consolas"/>
                <w:sz w:val="18"/>
              </w:rPr>
              <w:t>openai/gpt-5.6-sol</w:t>
            </w:r>
          </w:p>
        </w:tc>
      </w:tr>
      <w:tr>
        <w:tc>
          <w:tcPr>
            <w:tcW w:type="dxa" w:w="4752"/>
          </w:tcPr>
          <w:p>
            <w:pPr>
              <w:spacing w:after="40"/>
            </w:pPr>
            <w:r>
              <w:rPr>
                <w:sz w:val="18"/>
              </w:rPr>
            </w:r>
            <w:r>
              <w:rPr>
                <w:sz w:val="18"/>
              </w:rPr>
              <w:t>Writing the counter-position</w:t>
            </w:r>
          </w:p>
        </w:tc>
        <w:tc>
          <w:tcPr>
            <w:tcW w:type="dxa" w:w="4752"/>
          </w:tcPr>
          <w:p>
            <w:pPr>
              <w:spacing w:after="40"/>
            </w:pPr>
            <w:r>
              <w:rPr>
                <w:sz w:val="18"/>
              </w:rPr>
            </w:r>
            <w:r>
              <w:rPr>
                <w:rFonts w:ascii="Consolas" w:hAnsi="Consolas"/>
                <w:sz w:val="18"/>
              </w:rPr>
              <w:t>openai/gpt-5.4</w:t>
            </w:r>
          </w:p>
        </w:tc>
      </w:tr>
    </w:tbl>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Measure</w:t>
            </w:r>
          </w:p>
        </w:tc>
        <w:tc>
          <w:tcPr>
            <w:tcW w:type="dxa" w:w="4752"/>
          </w:tcPr>
          <w:p>
            <w:pPr>
              <w:spacing w:after="40"/>
            </w:pPr>
            <w:r>
              <w:rPr>
                <w:b/>
                <w:sz w:val="18"/>
              </w:rPr>
            </w:r>
            <w:r>
              <w:rPr>
                <w:b/>
                <w:sz w:val="18"/>
              </w:rPr>
              <w:t>Value</w:t>
            </w:r>
          </w:p>
        </w:tc>
      </w:tr>
      <w:tr>
        <w:tc>
          <w:tcPr>
            <w:tcW w:type="dxa" w:w="4752"/>
          </w:tcPr>
          <w:p>
            <w:pPr>
              <w:spacing w:after="40"/>
            </w:pPr>
            <w:r>
              <w:rPr>
                <w:sz w:val="18"/>
              </w:rPr>
            </w:r>
            <w:r>
              <w:rPr>
                <w:sz w:val="18"/>
              </w:rPr>
              <w:t>Time to answer</w:t>
            </w:r>
          </w:p>
        </w:tc>
        <w:tc>
          <w:tcPr>
            <w:tcW w:type="dxa" w:w="4752"/>
          </w:tcPr>
          <w:p>
            <w:pPr>
              <w:spacing w:after="40"/>
            </w:pPr>
            <w:r>
              <w:rPr>
                <w:sz w:val="18"/>
              </w:rPr>
            </w:r>
            <w:r>
              <w:rPr>
                <w:sz w:val="18"/>
              </w:rPr>
              <w:t>16 min 21 s</w:t>
            </w:r>
          </w:p>
        </w:tc>
      </w:tr>
      <w:tr>
        <w:tc>
          <w:tcPr>
            <w:tcW w:type="dxa" w:w="4752"/>
          </w:tcPr>
          <w:p>
            <w:pPr>
              <w:spacing w:after="40"/>
            </w:pPr>
            <w:r>
              <w:rPr>
                <w:sz w:val="18"/>
              </w:rPr>
            </w:r>
            <w:r>
              <w:rPr>
                <w:sz w:val="18"/>
              </w:rPr>
              <w:t>Cost</w:t>
            </w:r>
          </w:p>
        </w:tc>
        <w:tc>
          <w:tcPr>
            <w:tcW w:type="dxa" w:w="4752"/>
          </w:tcPr>
          <w:p>
            <w:pPr>
              <w:spacing w:after="40"/>
            </w:pPr>
            <w:r>
              <w:rPr>
                <w:sz w:val="18"/>
              </w:rPr>
            </w:r>
            <w:r>
              <w:rPr>
                <w:sz w:val="18"/>
              </w:rPr>
              <w:t>$0.8893</w:t>
            </w:r>
          </w:p>
        </w:tc>
      </w:tr>
      <w:tr>
        <w:tc>
          <w:tcPr>
            <w:tcW w:type="dxa" w:w="4752"/>
          </w:tcPr>
          <w:p>
            <w:pPr>
              <w:spacing w:after="40"/>
            </w:pPr>
            <w:r>
              <w:rPr>
                <w:sz w:val="18"/>
              </w:rPr>
            </w:r>
            <w:r>
              <w:rPr>
                <w:sz w:val="18"/>
              </w:rPr>
              <w:t>Books cited in the answer</w:t>
            </w:r>
          </w:p>
        </w:tc>
        <w:tc>
          <w:tcPr>
            <w:tcW w:type="dxa" w:w="4752"/>
          </w:tcPr>
          <w:p>
            <w:pPr>
              <w:spacing w:after="40"/>
            </w:pPr>
            <w:r>
              <w:rPr>
                <w:sz w:val="18"/>
              </w:rPr>
            </w:r>
            <w:r>
              <w:rPr>
                <w:sz w:val="18"/>
              </w:rPr>
              <w:t>5</w:t>
            </w:r>
          </w:p>
        </w:tc>
      </w:tr>
      <w:tr>
        <w:tc>
          <w:tcPr>
            <w:tcW w:type="dxa" w:w="4752"/>
          </w:tcPr>
          <w:p>
            <w:pPr>
              <w:spacing w:after="40"/>
            </w:pPr>
            <w:r>
              <w:rPr>
                <w:sz w:val="18"/>
              </w:rPr>
            </w:r>
            <w:r>
              <w:rPr>
                <w:sz w:val="18"/>
              </w:rPr>
              <w:t>Books the question demands, reached</w:t>
            </w:r>
          </w:p>
        </w:tc>
        <w:tc>
          <w:tcPr>
            <w:tcW w:type="dxa" w:w="4752"/>
          </w:tcPr>
          <w:p>
            <w:pPr>
              <w:spacing w:after="40"/>
            </w:pPr>
            <w:r>
              <w:rPr>
                <w:sz w:val="18"/>
              </w:rPr>
            </w:r>
            <w:r>
              <w:rPr>
                <w:sz w:val="18"/>
              </w:rPr>
              <w:t>3 of 5 (missed: Elcheroth &amp; Reicher 2017, Kao 2025)</w:t>
            </w:r>
          </w:p>
        </w:tc>
      </w:tr>
      <w:tr>
        <w:tc>
          <w:tcPr>
            <w:tcW w:type="dxa" w:w="4752"/>
          </w:tcPr>
          <w:p>
            <w:pPr>
              <w:spacing w:after="40"/>
            </w:pPr>
            <w:r>
              <w:rPr>
                <w:sz w:val="18"/>
              </w:rPr>
            </w:r>
            <w:r>
              <w:rPr>
                <w:sz w:val="18"/>
              </w:rPr>
              <w:t>Inferences resting on two or more books</w:t>
            </w:r>
          </w:p>
        </w:tc>
        <w:tc>
          <w:tcPr>
            <w:tcW w:type="dxa" w:w="4752"/>
          </w:tcPr>
          <w:p>
            <w:pPr>
              <w:spacing w:after="40"/>
            </w:pPr>
            <w:r>
              <w:rPr>
                <w:sz w:val="18"/>
              </w:rPr>
            </w:r>
            <w:r>
              <w:rPr>
                <w:sz w:val="18"/>
              </w:rPr>
              <w:t>9 of 9</w:t>
            </w:r>
          </w:p>
        </w:tc>
      </w:tr>
      <w:tr>
        <w:tc>
          <w:tcPr>
            <w:tcW w:type="dxa" w:w="4752"/>
          </w:tcPr>
          <w:p>
            <w:pPr>
              <w:spacing w:after="40"/>
            </w:pPr>
            <w:r>
              <w:rPr>
                <w:sz w:val="18"/>
              </w:rPr>
            </w:r>
            <w:r>
              <w:rPr>
                <w:sz w:val="18"/>
              </w:rPr>
              <w:t>Answer size</w:t>
            </w:r>
          </w:p>
        </w:tc>
        <w:tc>
          <w:tcPr>
            <w:tcW w:type="dxa" w:w="4752"/>
          </w:tcPr>
          <w:p>
            <w:pPr>
              <w:spacing w:after="40"/>
            </w:pPr>
            <w:r>
              <w:rPr>
                <w:sz w:val="18"/>
              </w:rPr>
            </w:r>
            <w:r>
              <w:rPr>
                <w:sz w:val="18"/>
              </w:rPr>
              <w:t>17 claims, 1,378 words</w:t>
            </w:r>
          </w:p>
        </w:tc>
      </w:tr>
    </w:tbl>
    <w:p/>
    <w:p>
      <w:pPr>
        <w:pStyle w:val="Heading3"/>
      </w:pPr>
      <w:r>
        <w:t>What the comparison does and does not show</w:t>
      </w:r>
    </w:p>
    <w:p>
      <w:r>
        <w:t xml:space="preserve">The open-source combination won this round on a blind reading, at 2.3 times less money, reaching more of the library. It is </w:t>
      </w:r>
      <w:r>
        <w:rPr>
          <w:b/>
        </w:rPr>
        <w:t>not</w:t>
      </w:r>
      <w:r>
        <w:t xml:space="preserve"> decisive evidence that open-source models have an upper hand. It is one question, one draw per arm, judged once by a single reviewer whose false-positive rate has never been measured, on a question written by a model rather than by a scholar. Four models moved at the same time, so the result cannot be attributed to any one of them.</w:t>
      </w:r>
    </w:p>
    <w:p>
      <w:r>
        <w:t xml:space="preserve">It is, however, a real signal, and it is the one worth acting on: </w:t>
      </w:r>
      <w:r>
        <w:rPr>
          <w:b/>
        </w:rPr>
        <w:t>open-source models are competitive in production.</w:t>
      </w:r>
      <w:r>
        <w:t xml:space="preserve"> For a workload that reads a library, follows an argument across books, and has to be honest about what it does not know, a fully open stack produced the better answer here and cost less than half as much.</w:t>
      </w:r>
    </w:p>
    <w:p>
      <w:pPr>
        <w:pStyle w:val="Heading2"/>
      </w:pPr>
      <w:r>
        <w:t>Final Note</w:t>
      </w:r>
    </w:p>
    <w:p>
      <w:r>
        <w:t>Axial will be open-sourced on GitHub:</w:t>
      </w:r>
    </w:p>
    <w:p>
      <w:r>
        <w:rPr>
          <w:b/>
        </w:rPr>
        <w:t>https://github.com/Muhanad-husn/axial</w:t>
      </w:r>
    </w:p>
    <w:p>
      <w:r>
        <w:t xml:space="preserve">The repository contains </w:t>
      </w:r>
      <w:r>
        <w:rPr>
          <w:b/>
        </w:rPr>
        <w:t>code only</w:t>
      </w:r>
      <w:r>
        <w:t>. The sources themselves and any excerpts from them are excluded, to avoid copyright issues. Everything the code produces from a library — the passage records, the name pages, the answers — is generated on the operator's own machine from the operator's own files, and none of it is published here.</w:t>
      </w:r>
    </w:p>
    <w:p>
      <w:r>
        <w:t>The project is open to collaborators and to supporters, and there are two distinct ways in.</w:t>
      </w:r>
    </w:p>
    <w:p>
      <w:r>
        <w:rPr>
          <w:b/>
        </w:rPr>
        <w:t>For domain experts</w:t>
      </w:r>
      <w:r>
        <w:t xml:space="preserve"> — historians, political scientists, sociologists, librarians. The hard problems in Axial are not engineering problems. What should a passage be asked? The sixteen questions above are a first draft and they are visible, editable data, not code. What counts as a good answer to a comparative question, and who decides? How should a system disclose that it is arguing from three passages rather than three hundred? Where does an argument stop being supported by its evidence? Better questions, better search strategy, better prompts, and above all better judgement about what a defensible answer looks like — this is where the product is won or lost, and it is not won by writing more software.</w:t>
      </w:r>
    </w:p>
    <w:p>
      <w:r>
        <w:rPr>
          <w:b/>
        </w:rPr>
        <w:t>For engineers.</w:t>
      </w:r>
      <w:r>
        <w:t xml:space="preserve"> The pipeline is Python, driven by a command-line tool, with the domain content held as configuration rather than code — porting the whole system to a different field is a configuration change, not a rewrite. Retrieval, evaluation harnesses, cost and latency, the vault layer, the query API, and the packaging of all of it into something another person can install and run: all of it is open, and all of it has room.</w:t>
      </w:r>
    </w:p>
    <w:p>
      <w:r>
        <w:t>The measurements in this report are the honest state of the thing as of 1 August 2026. Where a number is one draw, it says so. Where a check is unproven, it says so. Where the engine is bad at something, it is written down with the number attached. That is the standard the project intends to keep.</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C8553D"/>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93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933"/>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