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— QuickBite Restaurants Loyalty Launch</w:t>
      </w:r>
    </w:p>
    <w:p>
      <w:pPr>
        <w:pStyle w:val="Heading1"/>
      </w:pPr>
      <w:r>
        <w:t>1. Overview</w:t>
      </w:r>
    </w:p>
    <w:p>
      <w:r>
        <w:t>LoyaltyCo will implement its loyalty points platform for QuickBite Restaurants, a fast-casual restaurant chain. The engagement covers platform setup, POS integration, offer configuration, and staff enablement.</w:t>
      </w:r>
    </w:p>
    <w:p>
      <w:pPr>
        <w:pStyle w:val="Heading1"/>
      </w:pPr>
      <w:r>
        <w:t>2. Commercial Terms</w:t>
      </w:r>
    </w:p>
    <w:p>
      <w:r>
        <w:t>QuickBite will launch with a set of promotional offers to be finalized with the Account Manager during onboarding.</w:t>
      </w:r>
    </w:p>
    <w:p>
      <w:r>
        <w:t>Customers earn points on every purchase; the earn rate will follow the standard LoyaltyCo scheme unless otherwise agreed in the pricing annex.</w:t>
      </w:r>
    </w:p>
    <w:p>
      <w:r>
        <w:t>A signed contract is a precondition for integration work.</w:t>
      </w:r>
    </w:p>
    <w:p>
      <w:pPr>
        <w:pStyle w:val="Heading1"/>
      </w:pPr>
      <w:r>
        <w:t>3. Technical Scope</w:t>
      </w:r>
    </w:p>
    <w:p>
      <w:r>
        <w:t>Integrate the LoyaltyCo platform with QuickBite's POS system via API.</w:t>
      </w:r>
    </w:p>
    <w:p>
      <w:r>
        <w:t>Points must accrue in near real time and be redeemable in-store.</w:t>
      </w:r>
    </w:p>
    <w:p>
      <w:r>
        <w:t>The integration must be tested end to end before launch.</w:t>
      </w:r>
    </w:p>
    <w:p>
      <w:pPr>
        <w:pStyle w:val="Heading1"/>
      </w:pPr>
      <w:r>
        <w:t>4. Operations Scope</w:t>
      </w:r>
    </w:p>
    <w:p>
      <w:r>
        <w:t>Operations will onboard the merchant, configure participating locations and offers, and train restaurant staff before launch.</w:t>
      </w:r>
    </w:p>
    <w:p>
      <w:r>
        <w:t>On-ground training is required for all participating locations.</w:t>
      </w:r>
    </w:p>
    <w:p>
      <w:pPr>
        <w:pStyle w:val="Heading1"/>
      </w:pPr>
      <w:r>
        <w:t>5. Timeline</w:t>
      </w:r>
    </w:p>
    <w:p>
      <w:r>
        <w:t>Go-live is targeted for 15 February 2027.</w:t>
      </w:r>
    </w:p>
    <w:p>
      <w:r>
        <w:t>Intermediate milestone dates will be agreed during project kickoff.</w:t>
      </w:r>
    </w:p>
    <w:p>
      <w:pPr>
        <w:pStyle w:val="Heading1"/>
      </w:pPr>
      <w:r>
        <w:t>6. Service Levels</w:t>
      </w:r>
    </w:p>
    <w:p>
      <w:r>
        <w:t>Platform availability and support response times will follow industry-standard service levels as documented in the master service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