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Draft: Method, Experiments and Discussion</w:t>
      </w:r>
    </w:p>
    <w:p>
      <w:pPr>
        <w:spacing w:after="240"/>
        <w:jc w:val="center"/>
      </w:pPr>
      <w:r>
        <w:rPr>
          <w:rFonts w:ascii="Times New Roman" w:cs="Times New Roman" w:eastAsia="Times New Roman" w:hAnsi="Times New Roman"/>
          <w:i/>
          <w:iCs/>
          <w:sz w:val="22"/>
          <w:szCs w:val="22"/>
        </w:rPr>
        <w:t xml:space="preserve">Small vision–language models for scene-level video metadata (ECIR 2027 submission, our sections)</w:t>
      </w:r>
    </w:p>
    <w:p>
      <w:pPr>
        <w:spacing w:after="120" w:line="276"/>
      </w:pPr>
      <w:r>
        <w:rPr>
          <w:rFonts w:ascii="Times New Roman" w:cs="Times New Roman" w:eastAsia="Times New Roman" w:hAnsi="Times New Roman"/>
          <w:sz w:val="22"/>
          <w:szCs w:val="22"/>
        </w:rPr>
        <w:t xml:space="preserve">Numbers are from the Kelvin2 runs of 2 October 2026 (hpc_results/results_table.csv). Items in yellow brackets need checking or a decision before they go into the LaTeX version. Section numbering assumes the professor's introduction and related work are Sections 1–2.</w:t>
      </w:r>
    </w:p>
    <w:p>
      <w:pPr>
        <w:pStyle w:val="Heading1"/>
        <w:spacing w:after="120" w:before="300"/>
      </w:pPr>
      <w:r>
        <w:rPr>
          <w:rFonts w:ascii="Times New Roman" w:cs="Times New Roman" w:eastAsia="Times New Roman" w:hAnsi="Times New Roman"/>
        </w:rPr>
        <w:t xml:space="preserve">3  Method</w:t>
      </w:r>
    </w:p>
    <w:p>
      <w:pPr>
        <w:spacing w:after="120" w:line="276"/>
      </w:pPr>
      <w:r>
        <w:rPr>
          <w:rFonts w:ascii="Times New Roman" w:cs="Times New Roman" w:eastAsia="Times New Roman" w:hAnsi="Times New Roman"/>
          <w:sz w:val="22"/>
          <w:szCs w:val="22"/>
        </w:rPr>
        <w:t xml:space="preserve">We study whether small, locally runnable vision–language models (VLMs) can produce the structured scene-level metadata that a video retrieval system indexes. Each model receives the frames of one scene and must return a fixed JSON record. We compare these records with those of a commercial model, and we control everything except the model and its numerical precision.</w:t>
      </w:r>
    </w:p>
    <w:p>
      <w:pPr>
        <w:pStyle w:val="Heading2"/>
        <w:spacing w:after="100" w:before="200"/>
      </w:pPr>
      <w:r>
        <w:rPr>
          <w:rFonts w:ascii="Times New Roman" w:cs="Times New Roman" w:eastAsia="Times New Roman" w:hAnsi="Times New Roman"/>
        </w:rPr>
        <w:t xml:space="preserve">3.1  Data and scene segmentation</w:t>
      </w:r>
    </w:p>
    <w:p>
      <w:pPr>
        <w:spacing w:after="120" w:line="276"/>
      </w:pPr>
      <w:r>
        <w:rPr>
          <w:rFonts w:ascii="Times New Roman" w:cs="Times New Roman" w:eastAsia="Times New Roman" w:hAnsi="Times New Roman"/>
          <w:sz w:val="22"/>
          <w:szCs w:val="22"/>
        </w:rPr>
        <w:t xml:space="preserve">The collection consists of 47 local news and community videos recorded in Belfast in 2016 (about 5 hours in total). </w:t>
      </w:r>
      <w:r>
        <w:rPr>
          <w:rFonts w:ascii="Times New Roman" w:cs="Times New Roman" w:eastAsia="Times New Roman" w:hAnsi="Times New Roman"/>
          <w:sz w:val="22"/>
          <w:szCs w:val="22"/>
          <w:highlight w:val="yellow"/>
          <w:highlightCs w:val="yellow"/>
        </w:rPr>
        <w:t xml:space="preserve">[VERIFY: source / licence of the videos, and whether to mention that videos 21–23 of the original set are unavailable]</w:t>
      </w:r>
      <w:r>
        <w:rPr>
          <w:rFonts w:ascii="Times New Roman" w:cs="Times New Roman" w:eastAsia="Times New Roman" w:hAnsi="Times New Roman"/>
          <w:sz w:val="22"/>
          <w:szCs w:val="22"/>
        </w:rPr>
        <w:t xml:space="preserve">. We split each video into scenes with PySceneDetect </w:t>
      </w:r>
      <w:r>
        <w:rPr>
          <w:rFonts w:ascii="Times New Roman" w:cs="Times New Roman" w:eastAsia="Times New Roman" w:hAnsi="Times New Roman"/>
          <w:sz w:val="22"/>
          <w:szCs w:val="22"/>
          <w:highlight w:val="yellow"/>
          <w:highlightCs w:val="yellow"/>
        </w:rPr>
        <w:t xml:space="preserve">[VERIFY: detector and threshold, e.g. ContentDetector, threshold 27]</w:t>
      </w:r>
      <w:r>
        <w:rPr>
          <w:rFonts w:ascii="Times New Roman" w:cs="Times New Roman" w:eastAsia="Times New Roman" w:hAnsi="Times New Roman"/>
          <w:sz w:val="22"/>
          <w:szCs w:val="22"/>
        </w:rPr>
        <w:t xml:space="preserve">, giving 641 scenes from 46 videos (one video has no entry in the scene list). Scenes last 22.5 s at the median (range 0.04–219 s).</w:t>
      </w:r>
    </w:p>
    <w:p>
      <w:pPr>
        <w:pStyle w:val="Heading2"/>
        <w:spacing w:after="100" w:before="200"/>
      </w:pPr>
      <w:r>
        <w:rPr>
          <w:rFonts w:ascii="Times New Roman" w:cs="Times New Roman" w:eastAsia="Times New Roman" w:hAnsi="Times New Roman"/>
        </w:rPr>
        <w:t xml:space="preserve">3.2  Metadata schema</w:t>
      </w:r>
    </w:p>
    <w:p>
      <w:pPr>
        <w:spacing w:after="120" w:line="276"/>
      </w:pPr>
      <w:r>
        <w:rPr>
          <w:rFonts w:ascii="Times New Roman" w:cs="Times New Roman" w:eastAsia="Times New Roman" w:hAnsi="Times New Roman"/>
          <w:sz w:val="22"/>
          <w:szCs w:val="22"/>
        </w:rPr>
        <w:t xml:space="preserve">Each scene is described by nine fields that mix free text, closed vocabularies and numbers (Table 1). The schema was fixed by the reference annotations described next; small models are asked to fill exactly the same fields with exactly the same allowed values.</w:t>
      </w:r>
    </w:p>
    <w:p>
      <w:pPr>
        <w:spacing w:after="80" w:before="120"/>
      </w:pPr>
      <w:r>
        <w:rPr>
          <w:rFonts w:ascii="Times New Roman" w:cs="Times New Roman" w:eastAsia="Times New Roman" w:hAnsi="Times New Roman"/>
          <w:i/>
          <w:iCs/>
          <w:sz w:val="20"/>
          <w:szCs w:val="20"/>
        </w:rPr>
        <w:t xml:space="preserve">Table 1. Scene metadata schema and how each field is scored.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353"/>
        <w:gridCol w:w="3429"/>
        <w:gridCol w:w="2259"/>
      </w:tblGrid>
      <w:tr>
        <w:trPr>
          <w:tblHeader/>
        </w:trPr>
        <w:tc>
          <w:tcPr>
            <w:tcW w:type="dxa" w:w="1985"/>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Field</w:t>
            </w:r>
          </w:p>
        </w:tc>
        <w:tc>
          <w:tcPr>
            <w:tcW w:type="dxa" w:w="1353"/>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Type</w:t>
            </w:r>
          </w:p>
        </w:tc>
        <w:tc>
          <w:tcPr>
            <w:tcW w:type="dxa" w:w="3429"/>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Values / description</w:t>
            </w:r>
          </w:p>
        </w:tc>
        <w:tc>
          <w:tcPr>
            <w:tcW w:type="dxa" w:w="2259"/>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Scored with</w:t>
            </w:r>
          </w:p>
        </w:tc>
      </w:tr>
      <w:tr>
        <w:tc>
          <w:tcPr>
            <w:tcW w:type="dxa" w:w="198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description</w:t>
            </w:r>
          </w:p>
        </w:tc>
        <w:tc>
          <w:tcPr>
            <w:tcW w:type="dxa" w:w="135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free text</w:t>
            </w:r>
          </w:p>
        </w:tc>
        <w:tc>
          <w:tcPr>
            <w:tcW w:type="dxa" w:w="342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1–2 sentences describing the scene</w:t>
            </w:r>
          </w:p>
        </w:tc>
        <w:tc>
          <w:tcPr>
            <w:tcW w:type="dxa" w:w="225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ROUGE-L, METEOR, CIDEr-D, SODA_c</w:t>
            </w:r>
          </w:p>
        </w:tc>
      </w:tr>
      <w:tr>
        <w:tc>
          <w:tcPr>
            <w:tcW w:type="dxa" w:w="198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on_screen_text</w:t>
            </w:r>
          </w:p>
        </w:tc>
        <w:tc>
          <w:tcPr>
            <w:tcW w:type="dxa" w:w="135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list of strings</w:t>
            </w:r>
          </w:p>
        </w:tc>
        <w:tc>
          <w:tcPr>
            <w:tcW w:type="dxa" w:w="342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legible text copied verbatim (≤10 items)</w:t>
            </w:r>
          </w:p>
        </w:tc>
        <w:tc>
          <w:tcPr>
            <w:tcW w:type="dxa" w:w="225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ROUGE-1 / ROUGE-L</w:t>
            </w:r>
          </w:p>
        </w:tc>
      </w:tr>
      <w:tr>
        <w:tc>
          <w:tcPr>
            <w:tcW w:type="dxa" w:w="198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visual_tags</w:t>
            </w:r>
          </w:p>
        </w:tc>
        <w:tc>
          <w:tcPr>
            <w:tcW w:type="dxa" w:w="135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set (closed vocabulary)</w:t>
            </w:r>
          </w:p>
        </w:tc>
        <w:tc>
          <w:tcPr>
            <w:tcW w:type="dxa" w:w="342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27 tags, e.g. interview, person speaking, news studio, sign or banner</w:t>
            </w:r>
          </w:p>
        </w:tc>
        <w:tc>
          <w:tcPr>
            <w:tcW w:type="dxa" w:w="225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set F1</w:t>
            </w:r>
          </w:p>
        </w:tc>
      </w:tr>
      <w:tr>
        <w:tc>
          <w:tcPr>
            <w:tcW w:type="dxa" w:w="198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content_type</w:t>
            </w:r>
          </w:p>
        </w:tc>
        <w:tc>
          <w:tcPr>
            <w:tcW w:type="dxa" w:w="135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categorical (6)</w:t>
            </w:r>
          </w:p>
        </w:tc>
        <w:tc>
          <w:tcPr>
            <w:tcW w:type="dxa" w:w="342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interview, b-roll package, vox pop, studio segment, graphics, unknown</w:t>
            </w:r>
          </w:p>
        </w:tc>
        <w:tc>
          <w:tcPr>
            <w:tcW w:type="dxa" w:w="225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accuracy</w:t>
            </w:r>
          </w:p>
        </w:tc>
      </w:tr>
      <w:tr>
        <w:tc>
          <w:tcPr>
            <w:tcW w:type="dxa" w:w="198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shot_type.framing</w:t>
            </w:r>
          </w:p>
        </w:tc>
        <w:tc>
          <w:tcPr>
            <w:tcW w:type="dxa" w:w="135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categorical (4)</w:t>
            </w:r>
          </w:p>
        </w:tc>
        <w:tc>
          <w:tcPr>
            <w:tcW w:type="dxa" w:w="342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close-up, medium, wide, unknown</w:t>
            </w:r>
          </w:p>
        </w:tc>
        <w:tc>
          <w:tcPr>
            <w:tcW w:type="dxa" w:w="225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accuracy</w:t>
            </w:r>
          </w:p>
        </w:tc>
      </w:tr>
      <w:tr>
        <w:tc>
          <w:tcPr>
            <w:tcW w:type="dxa" w:w="198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shot_type.setting</w:t>
            </w:r>
          </w:p>
        </w:tc>
        <w:tc>
          <w:tcPr>
            <w:tcW w:type="dxa" w:w="135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categorical (3)</w:t>
            </w:r>
          </w:p>
        </w:tc>
        <w:tc>
          <w:tcPr>
            <w:tcW w:type="dxa" w:w="342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studio, field, unknown</w:t>
            </w:r>
          </w:p>
        </w:tc>
        <w:tc>
          <w:tcPr>
            <w:tcW w:type="dxa" w:w="225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accuracy</w:t>
            </w:r>
          </w:p>
        </w:tc>
      </w:tr>
      <w:tr>
        <w:tc>
          <w:tcPr>
            <w:tcW w:type="dxa" w:w="198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people_count_numeric</w:t>
            </w:r>
          </w:p>
        </w:tc>
        <w:tc>
          <w:tcPr>
            <w:tcW w:type="dxa" w:w="135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integer</w:t>
            </w:r>
          </w:p>
        </w:tc>
        <w:tc>
          <w:tcPr>
            <w:tcW w:type="dxa" w:w="342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visible people; 0 = none; −1 = crowd / uncountable</w:t>
            </w:r>
          </w:p>
        </w:tc>
        <w:tc>
          <w:tcPr>
            <w:tcW w:type="dxa" w:w="225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accuracy</w:t>
            </w:r>
          </w:p>
        </w:tc>
      </w:tr>
      <w:tr>
        <w:tc>
          <w:tcPr>
            <w:tcW w:type="dxa" w:w="198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geographical_location</w:t>
            </w:r>
          </w:p>
        </w:tc>
        <w:tc>
          <w:tcPr>
            <w:tcW w:type="dxa" w:w="135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 strings</w:t>
            </w:r>
          </w:p>
        </w:tc>
        <w:tc>
          <w:tcPr>
            <w:tcW w:type="dxa" w:w="342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area, city, country; empty if not supported by visible evidence</w:t>
            </w:r>
          </w:p>
        </w:tc>
        <w:tc>
          <w:tcPr>
            <w:tcW w:type="dxa" w:w="225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accuracy (per part)</w:t>
            </w:r>
          </w:p>
        </w:tc>
      </w:tr>
      <w:tr>
        <w:tc>
          <w:tcPr>
            <w:tcW w:type="dxa" w:w="198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activity</w:t>
            </w:r>
          </w:p>
        </w:tc>
        <w:tc>
          <w:tcPr>
            <w:tcW w:type="dxa" w:w="135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short phrase</w:t>
            </w:r>
          </w:p>
        </w:tc>
        <w:tc>
          <w:tcPr>
            <w:tcW w:type="dxa" w:w="342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main activity, e.g. “person speaking”</w:t>
            </w:r>
          </w:p>
        </w:tc>
        <w:tc>
          <w:tcPr>
            <w:tcW w:type="dxa" w:w="225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accuracy (exact match)</w:t>
            </w:r>
          </w:p>
        </w:tc>
      </w:tr>
    </w:tbl>
    <w:p>
      <w:pPr>
        <w:pStyle w:val="Heading2"/>
        <w:spacing w:after="100" w:before="200"/>
      </w:pPr>
      <w:r>
        <w:rPr>
          <w:rFonts w:ascii="Times New Roman" w:cs="Times New Roman" w:eastAsia="Times New Roman" w:hAnsi="Times New Roman"/>
        </w:rPr>
        <w:t xml:space="preserve">3.3  Reference annotations</w:t>
      </w:r>
    </w:p>
    <w:p>
      <w:pPr>
        <w:spacing w:after="120" w:line="276"/>
      </w:pPr>
      <w:r>
        <w:rPr>
          <w:rFonts w:ascii="Times New Roman" w:cs="Times New Roman" w:eastAsia="Times New Roman" w:hAnsi="Times New Roman"/>
          <w:sz w:val="22"/>
          <w:szCs w:val="22"/>
        </w:rPr>
        <w:t xml:space="preserve">References were produced with Gemini 3.8 Flash </w:t>
      </w:r>
      <w:r>
        <w:rPr>
          <w:rFonts w:ascii="Times New Roman" w:cs="Times New Roman" w:eastAsia="Times New Roman" w:hAnsi="Times New Roman"/>
          <w:sz w:val="22"/>
          <w:szCs w:val="22"/>
          <w:highlight w:val="yellow"/>
          <w:highlightCs w:val="yellow"/>
        </w:rPr>
        <w:t xml:space="preserve">[VERIFY: exact model name and version]</w:t>
      </w:r>
      <w:r>
        <w:rPr>
          <w:rFonts w:ascii="Times New Roman" w:cs="Times New Roman" w:eastAsia="Times New Roman" w:hAnsi="Times New Roman"/>
          <w:sz w:val="22"/>
          <w:szCs w:val="22"/>
        </w:rPr>
        <w:t xml:space="preserve"> at one frame per second over the whole scene. Of the 641 scenes, 570 (42 videos) have a valid reference; the remaining 71 have none because the API credit ran out partway through the annotation run. All scores below are therefore computed on these 570 scenes. Because the references are model output rather than human labels, we report </w:t>
      </w:r>
      <w:r>
        <w:rPr>
          <w:rFonts w:ascii="Times New Roman" w:cs="Times New Roman" w:eastAsia="Times New Roman" w:hAnsi="Times New Roman"/>
          <w:b/>
          <w:bCs/>
          <w:sz w:val="22"/>
          <w:szCs w:val="22"/>
        </w:rPr>
        <w:t xml:space="preserve">agreement with a strong commercial model</w:t>
      </w:r>
      <w:r>
        <w:rPr>
          <w:rFonts w:ascii="Times New Roman" w:cs="Times New Roman" w:eastAsia="Times New Roman" w:hAnsi="Times New Roman"/>
          <w:sz w:val="22"/>
          <w:szCs w:val="22"/>
        </w:rPr>
        <w:t xml:space="preserve">, not accuracy; we return to this in Section 5.</w:t>
      </w:r>
    </w:p>
    <w:p>
      <w:pPr>
        <w:pStyle w:val="Heading2"/>
        <w:spacing w:after="100" w:before="200"/>
      </w:pPr>
      <w:r>
        <w:rPr>
          <w:rFonts w:ascii="Times New Roman" w:cs="Times New Roman" w:eastAsia="Times New Roman" w:hAnsi="Times New Roman"/>
        </w:rPr>
        <w:t xml:space="preserve">3.4  Metadata generation with small VLMs</w:t>
      </w:r>
    </w:p>
    <w:p>
      <w:pPr>
        <w:spacing w:after="120" w:line="276"/>
      </w:pPr>
      <w:r>
        <w:rPr>
          <w:rFonts w:ascii="Times New Roman" w:cs="Times New Roman" w:eastAsia="Times New Roman" w:hAnsi="Times New Roman"/>
          <w:b/>
          <w:bCs/>
          <w:sz w:val="22"/>
          <w:szCs w:val="22"/>
        </w:rPr>
        <w:t xml:space="preserve">Models.</w:t>
      </w:r>
      <w:r>
        <w:rPr>
          <w:rFonts w:ascii="Times New Roman" w:cs="Times New Roman" w:eastAsia="Times New Roman" w:hAnsi="Times New Roman"/>
          <w:sz w:val="22"/>
          <w:szCs w:val="22"/>
        </w:rPr>
        <w:t xml:space="preserve"> We evaluate two open model families at matched sizes: InternVL3.5 (1B, 2B, 4B) and Qwen3.5 (0.8B, 2B, 4B, 9B), using the native Hugging Face transformers implementations (InternVL3.5-*-HF checkpoints). For the quantization study, Qwen3.5-9B is additionally loaded with bitsandbytes in 8-bit (LLM.int8) and 4-bit (NF4) precision; only the language model is quantized, while the vision encoder, projector and output layer remain in bf16.</w:t>
      </w:r>
    </w:p>
    <w:p>
      <w:pPr>
        <w:spacing w:after="120" w:line="276"/>
      </w:pPr>
      <w:r>
        <w:rPr>
          <w:rFonts w:ascii="Times New Roman" w:cs="Times New Roman" w:eastAsia="Times New Roman" w:hAnsi="Times New Roman"/>
          <w:b/>
          <w:bCs/>
          <w:sz w:val="22"/>
          <w:szCs w:val="22"/>
        </w:rPr>
        <w:t xml:space="preserve">Frame sampling.</w:t>
      </w:r>
      <w:r>
        <w:rPr>
          <w:rFonts w:ascii="Times New Roman" w:cs="Times New Roman" w:eastAsia="Times New Roman" w:hAnsi="Times New Roman"/>
          <w:sz w:val="22"/>
          <w:szCs w:val="22"/>
        </w:rPr>
        <w:t xml:space="preserve"> Frames are taken at 1 fps from the start of each scene, as for the references, and uniformly thinned to at most 16 frames, the main difference from the reference setting (which used up to 220 frames per scene). Both families receive the same per-frame pixel budget of about 448 × 448: InternVL resizes each frame to its native 448 × 448 tile, and Qwen3.5 keeps the aspect ratio within the same budget and receives per-frame timestamps.</w:t>
      </w:r>
    </w:p>
    <w:p>
      <w:pPr>
        <w:spacing w:after="120" w:line="276"/>
      </w:pPr>
      <w:r>
        <w:rPr>
          <w:rFonts w:ascii="Times New Roman" w:cs="Times New Roman" w:eastAsia="Times New Roman" w:hAnsi="Times New Roman"/>
          <w:b/>
          <w:bCs/>
          <w:sz w:val="22"/>
          <w:szCs w:val="22"/>
        </w:rPr>
        <w:t xml:space="preserve">Prompt and decoding.</w:t>
      </w:r>
      <w:r>
        <w:rPr>
          <w:rFonts w:ascii="Times New Roman" w:cs="Times New Roman" w:eastAsia="Times New Roman" w:hAnsi="Times New Roman"/>
          <w:sz w:val="22"/>
          <w:szCs w:val="22"/>
        </w:rPr>
        <w:t xml:space="preserve"> All models receive the same prompt: the schema as a filled-in JSON example, the allowed values for each closed field, and short definitions for ambiguous tags (e.g. text on screen, graphic or title card). Qwen3.5's thinking mode is disabled. We use greedy decoding with at most 768 new tokens. If the output cannot be parsed as JSON, the scene is retried once with sampling (temperature 0.7, top-p 0.9, repetition penalty 1.1); scenes that still fail are recorded as failures and excluded from the averages.</w:t>
      </w:r>
    </w:p>
    <w:p>
      <w:pPr>
        <w:spacing w:after="120" w:line="276"/>
      </w:pPr>
      <w:r>
        <w:rPr>
          <w:rFonts w:ascii="Times New Roman" w:cs="Times New Roman" w:eastAsia="Times New Roman" w:hAnsi="Times New Roman"/>
          <w:b/>
          <w:bCs/>
          <w:sz w:val="22"/>
          <w:szCs w:val="22"/>
        </w:rPr>
        <w:t xml:space="preserve">Normalisation.</w:t>
      </w:r>
      <w:r>
        <w:rPr>
          <w:rFonts w:ascii="Times New Roman" w:cs="Times New Roman" w:eastAsia="Times New Roman" w:hAnsi="Times New Roman"/>
          <w:sz w:val="22"/>
          <w:szCs w:val="22"/>
        </w:rPr>
        <w:t xml:space="preserve"> Parsed records are coerced into the schema: tags outside the vocabulary are dropped, invalid categorical values become unknown, location placeholders such as “Unknown” become empty strings, and a setting given as a location type (e.g. “indoor”, “office”) is mapped to field. Every repair is logged per scene, and we report the number of repaired scenes as a measure of schema adherence.</w:t>
      </w:r>
    </w:p>
    <w:p>
      <w:pPr>
        <w:pStyle w:val="Heading2"/>
        <w:spacing w:after="100" w:before="200"/>
      </w:pPr>
      <w:r>
        <w:rPr>
          <w:rFonts w:ascii="Times New Roman" w:cs="Times New Roman" w:eastAsia="Times New Roman" w:hAnsi="Times New Roman"/>
        </w:rPr>
        <w:t xml:space="preserve">3.5  Evaluation</w:t>
      </w:r>
    </w:p>
    <w:p>
      <w:pPr>
        <w:spacing w:after="120" w:line="276"/>
      </w:pPr>
      <w:r>
        <w:rPr>
          <w:rFonts w:ascii="Times New Roman" w:cs="Times New Roman" w:eastAsia="Times New Roman" w:hAnsi="Times New Roman"/>
          <w:sz w:val="22"/>
          <w:szCs w:val="22"/>
        </w:rPr>
        <w:t xml:space="preserve">Scenes are matched to their references by video and scene index. Descriptions are scored with ROUGE-L (with stemming), METEOR, CIDEr-D and SODA_c. SODA_c aligns the event captions of a video by temporal IoU; because the generated and reference scenes share the same boundaries, it reduces here to a per-video METEOR F-score in which failed scenes lower recall. On-screen text is scored with ROUGE-1 and ROUGE-L after joining the listed items into one text (both empty = 1, one empty = 0). Tags are scored with set F1 per scene, and the categorical fields with exact-match accuracy.</w:t>
      </w:r>
    </w:p>
    <w:p>
      <w:pPr>
        <w:spacing w:after="120" w:line="276"/>
      </w:pPr>
      <w:r>
        <w:rPr>
          <w:rFonts w:ascii="Times New Roman" w:cs="Times New Roman" w:eastAsia="Times New Roman" w:hAnsi="Times New Roman"/>
          <w:b/>
          <w:bCs/>
          <w:sz w:val="22"/>
          <w:szCs w:val="22"/>
        </w:rPr>
        <w:t xml:space="preserve">Baseline.</w:t>
      </w:r>
      <w:r>
        <w:rPr>
          <w:rFonts w:ascii="Times New Roman" w:cs="Times New Roman" w:eastAsia="Times New Roman" w:hAnsi="Times New Roman"/>
          <w:sz w:val="22"/>
          <w:szCs w:val="22"/>
        </w:rPr>
        <w:t xml:space="preserve"> To separate what a model reads from the video from what the label distribution gives for free, we include a no-video baseline that assigns every scene the most frequent reference value of each field, the tags present in more than half of the reference scenes (interview, person speaking, indoor scene), no on-screen text, and one fixed generic description (“A person speaks to the camera during an interview in an indoor setting.”). Its majority values are taken from the references themselves, which makes it a slightly optimistic floor.</w:t>
      </w:r>
    </w:p>
    <w:p>
      <w:pPr>
        <w:spacing w:after="120" w:line="276"/>
      </w:pPr>
      <w:r>
        <w:rPr>
          <w:rFonts w:ascii="Times New Roman" w:cs="Times New Roman" w:eastAsia="Times New Roman" w:hAnsi="Times New Roman"/>
          <w:sz w:val="22"/>
          <w:szCs w:val="22"/>
        </w:rPr>
        <w:t xml:space="preserve">We also record, per run, the weight memory, peak GPU memory and wall-clock seconds per scene, all measured with batches of 8 scenes on one GPU.</w:t>
      </w:r>
    </w:p>
    <w:p>
      <w:pPr>
        <w:pStyle w:val="Heading1"/>
        <w:spacing w:after="120" w:before="300"/>
      </w:pPr>
      <w:r>
        <w:rPr>
          <w:rFonts w:ascii="Times New Roman" w:cs="Times New Roman" w:eastAsia="Times New Roman" w:hAnsi="Times New Roman"/>
        </w:rPr>
        <w:t xml:space="preserve">4  Experiments</w:t>
      </w:r>
    </w:p>
    <w:p>
      <w:pPr>
        <w:spacing w:after="120" w:line="276"/>
      </w:pPr>
      <w:r>
        <w:rPr>
          <w:rFonts w:ascii="Times New Roman" w:cs="Times New Roman" w:eastAsia="Times New Roman" w:hAnsi="Times New Roman"/>
          <w:sz w:val="22"/>
          <w:szCs w:val="22"/>
        </w:rPr>
        <w:t xml:space="preserve">We address two research questions:</w:t>
      </w:r>
    </w:p>
    <w:p>
      <w:pPr>
        <w:pStyle w:val="ListParagraph"/>
        <w:numPr>
          <w:ilvl w:val="0"/>
          <w:numId w:val="2"/>
        </w:numPr>
        <w:spacing w:after="60" w:line="276"/>
      </w:pPr>
      <w:r>
        <w:rPr>
          <w:rFonts w:ascii="Times New Roman" w:cs="Times New Roman" w:eastAsia="Times New Roman" w:hAnsi="Times New Roman"/>
          <w:b/>
          <w:bCs/>
          <w:sz w:val="22"/>
          <w:szCs w:val="22"/>
        </w:rPr>
        <w:t xml:space="preserve">RQ1.</w:t>
      </w:r>
      <w:r>
        <w:rPr>
          <w:rFonts w:ascii="Times New Roman" w:cs="Times New Roman" w:eastAsia="Times New Roman" w:hAnsi="Times New Roman"/>
          <w:sz w:val="22"/>
          <w:szCs w:val="22"/>
        </w:rPr>
        <w:t xml:space="preserve"> How do small open VLM families and sizes compare in their agreement with a commercial model across the metadata fields?</w:t>
      </w:r>
    </w:p>
    <w:p>
      <w:pPr>
        <w:pStyle w:val="ListParagraph"/>
        <w:numPr>
          <w:ilvl w:val="0"/>
          <w:numId w:val="2"/>
        </w:numPr>
        <w:spacing w:after="60" w:line="276"/>
      </w:pPr>
      <w:r>
        <w:rPr>
          <w:rFonts w:ascii="Times New Roman" w:cs="Times New Roman" w:eastAsia="Times New Roman" w:hAnsi="Times New Roman"/>
          <w:b/>
          <w:bCs/>
          <w:sz w:val="22"/>
          <w:szCs w:val="22"/>
        </w:rPr>
        <w:t xml:space="preserve">RQ2.</w:t>
      </w:r>
      <w:r>
        <w:rPr>
          <w:rFonts w:ascii="Times New Roman" w:cs="Times New Roman" w:eastAsia="Times New Roman" w:hAnsi="Times New Roman"/>
          <w:sz w:val="22"/>
          <w:szCs w:val="22"/>
        </w:rPr>
        <w:t xml:space="preserve"> How does weight quantization of a larger model trade metadata quality against memory and speed?</w:t>
      </w:r>
    </w:p>
    <w:p>
      <w:pPr>
        <w:pStyle w:val="Heading2"/>
        <w:spacing w:after="100" w:before="200"/>
      </w:pPr>
      <w:r>
        <w:rPr>
          <w:rFonts w:ascii="Times New Roman" w:cs="Times New Roman" w:eastAsia="Times New Roman" w:hAnsi="Times New Roman"/>
        </w:rPr>
        <w:t xml:space="preserve">4.1  Implementation details</w:t>
      </w:r>
    </w:p>
    <w:p>
      <w:pPr>
        <w:spacing w:after="120" w:line="276"/>
      </w:pPr>
      <w:r>
        <w:rPr>
          <w:rFonts w:ascii="Times New Roman" w:cs="Times New Roman" w:eastAsia="Times New Roman" w:hAnsi="Times New Roman"/>
          <w:sz w:val="22"/>
          <w:szCs w:val="22"/>
        </w:rPr>
        <w:t xml:space="preserve">All runs used one NVIDIA A100-SXM4 80 GB GPU on the Kelvin2 cluster, PyTorch 2.14 (CUDA 13), transformers 5.18 and Python 3.12, with PyTorch SDPA attention and the flash-linear-attention kernels for Qwen3.5's linear-attention layers. Generation code, prompts and evaluation scripts are available at </w:t>
      </w:r>
      <w:r>
        <w:rPr>
          <w:rFonts w:ascii="Times New Roman" w:cs="Times New Roman" w:eastAsia="Times New Roman" w:hAnsi="Times New Roman"/>
          <w:sz w:val="22"/>
          <w:szCs w:val="22"/>
          <w:highlight w:val="yellow"/>
          <w:highlightCs w:val="yellow"/>
        </w:rPr>
        <w:t xml:space="preserve">[VERIFY: repository link / anonymised for review]</w:t>
      </w:r>
      <w:r>
        <w:rPr>
          <w:rFonts w:ascii="Times New Roman" w:cs="Times New Roman" w:eastAsia="Times New Roman" w:hAnsi="Times New Roman"/>
          <w:sz w:val="22"/>
          <w:szCs w:val="22"/>
        </w:rPr>
        <w:t xml:space="preserve">.</w:t>
      </w:r>
    </w:p>
    <w:p>
      <w:pPr>
        <w:pStyle w:val="Heading2"/>
        <w:spacing w:after="100" w:before="200"/>
      </w:pPr>
      <w:r>
        <w:rPr>
          <w:rFonts w:ascii="Times New Roman" w:cs="Times New Roman" w:eastAsia="Times New Roman" w:hAnsi="Times New Roman"/>
        </w:rPr>
        <w:t xml:space="preserve">4.2  RQ1: model family and size</w:t>
      </w:r>
    </w:p>
    <w:p>
      <w:pPr>
        <w:spacing w:after="120" w:line="276"/>
      </w:pPr>
      <w:r>
        <w:rPr>
          <w:rFonts w:ascii="Times New Roman" w:cs="Times New Roman" w:eastAsia="Times New Roman" w:hAnsi="Times New Roman"/>
          <w:sz w:val="22"/>
          <w:szCs w:val="22"/>
        </w:rPr>
        <w:t xml:space="preserve">Table 2 reports the main fields. Every model clearly exceeds the baseline on the description metrics (ROUGE-L 0.199, CIDEr-D 0.040), but the gap between families and sizes is large. </w:t>
      </w:r>
      <w:r>
        <w:rPr>
          <w:rFonts w:ascii="Times New Roman" w:cs="Times New Roman" w:eastAsia="Times New Roman" w:hAnsi="Times New Roman"/>
          <w:b/>
          <w:bCs/>
          <w:sz w:val="22"/>
          <w:szCs w:val="22"/>
        </w:rPr>
        <w:t xml:space="preserve">Qwen3.5 agrees more closely with the references than InternVL3.5 at every matched size, and the gap widens with scale</w:t>
      </w:r>
      <w:r>
        <w:rPr>
          <w:rFonts w:ascii="Times New Roman" w:cs="Times New Roman" w:eastAsia="Times New Roman" w:hAnsi="Times New Roman"/>
          <w:sz w:val="22"/>
          <w:szCs w:val="22"/>
        </w:rPr>
        <w:t xml:space="preserve">: CIDEr-D rises from 0.405 (0.8B) to 0.634, 0.778 and 0.969 (9B), whereas InternVL3.5 moves only from 0.351 (1B) to 0.477 (4B).</w:t>
      </w:r>
    </w:p>
    <w:p>
      <w:pPr>
        <w:spacing w:after="120" w:line="276"/>
      </w:pPr>
      <w:r>
        <w:rPr>
          <w:rFonts w:ascii="Times New Roman" w:cs="Times New Roman" w:eastAsia="Times New Roman" w:hAnsi="Times New Roman"/>
          <w:sz w:val="22"/>
          <w:szCs w:val="22"/>
        </w:rPr>
        <w:t xml:space="preserve">The structured fields show where size matters. Tag F1 clearly exceeds the baseline (0.663) only from 4B upward; Qwen3.5-2B is level with it (0.670) (InternVL 0.783, Qwen 0.841, Qwen-9B 0.871), and people count beats the baseline (0.584) only for Qwen3.5-9B (0.721). On-screen text improves sharply from 1B to 2B (InternVL 0.475 → 0.688) and then levels off at 0.71–0.78 ROUGE-1. Setting (studio vs. field) is recognised well by InternVL3.5-1B (0.977) and by Qwen3.5 at 0.8B, 2B and 9B (≥0.90), but it is weaker for InternVL3.5-4B (0.765) and collapses for two models: Qwen3.5-4B labels 331 of 637 scenes as studio (0.497), and InternVL3.5-2B answers unknown for 261 scenes (0.600).</w:t>
      </w:r>
    </w:p>
    <w:p>
      <w:pPr>
        <w:spacing w:after="120" w:line="276"/>
      </w:pPr>
      <w:r>
        <w:rPr>
          <w:rFonts w:ascii="Times New Roman" w:cs="Times New Roman" w:eastAsia="Times New Roman" w:hAnsi="Times New Roman"/>
          <w:sz w:val="22"/>
          <w:szCs w:val="22"/>
        </w:rPr>
        <w:t xml:space="preserve">Reliability also differs. Qwen3.5-0.8B failed to produce valid JSON for 64 of 641 scenes (10%), mostly by repeating on-screen text until the token limit, whereas no other model failed on more than 4. Schema adherence improves with size: the number of scenes needing a repair falls from 431 (InternVL3.5-1B) and 164 (Qwen3.5-0.8B) to 2 for Qwen3.5-4B and 9B.</w:t>
      </w:r>
    </w:p>
    <w:p>
      <w:pPr>
        <w:spacing w:after="80" w:before="120"/>
      </w:pPr>
      <w:r>
        <w:rPr>
          <w:rFonts w:ascii="Times New Roman" w:cs="Times New Roman" w:eastAsia="Times New Roman" w:hAnsi="Times New Roman"/>
          <w:i/>
          <w:iCs/>
          <w:sz w:val="20"/>
          <w:szCs w:val="20"/>
        </w:rPr>
        <w:t xml:space="preserve">Table 2. Agreement with the reference annotations (570 scenes). Description metrics, tag F1, on-screen text ROUGE-1 (OCR R-1) and accuracy for setting, content type and people count. Failed = scenes without valid JSON after one retry (of 641). Best model value per column in bold. Abbreviations (Tables 2–4): R-L = ROUGE-L, MET = METEOR, CIDEr = CIDEr-D, SODA = SODA_c, Tags = tag F1, OCR = on-screen text ROUGE-1, Set. / Cont. / Ppl. = setting / content type / people count accuracy, W = weight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44"/>
        <w:gridCol w:w="658"/>
        <w:gridCol w:w="658"/>
        <w:gridCol w:w="658"/>
        <w:gridCol w:w="658"/>
        <w:gridCol w:w="658"/>
        <w:gridCol w:w="658"/>
        <w:gridCol w:w="658"/>
        <w:gridCol w:w="658"/>
        <w:gridCol w:w="658"/>
        <w:gridCol w:w="660"/>
      </w:tblGrid>
      <w:tr>
        <w:trPr>
          <w:tblHeader/>
        </w:trPr>
        <w:tc>
          <w:tcPr>
            <w:tcW w:type="dxa" w:w="2444"/>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Model</w:t>
            </w:r>
          </w:p>
        </w:tc>
        <w:tc>
          <w:tcPr>
            <w:tcW w:type="dxa" w:w="658"/>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R-L</w:t>
            </w:r>
          </w:p>
        </w:tc>
        <w:tc>
          <w:tcPr>
            <w:tcW w:type="dxa" w:w="658"/>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MET</w:t>
            </w:r>
          </w:p>
        </w:tc>
        <w:tc>
          <w:tcPr>
            <w:tcW w:type="dxa" w:w="658"/>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CIDEr</w:t>
            </w:r>
          </w:p>
        </w:tc>
        <w:tc>
          <w:tcPr>
            <w:tcW w:type="dxa" w:w="658"/>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SODA</w:t>
            </w:r>
          </w:p>
        </w:tc>
        <w:tc>
          <w:tcPr>
            <w:tcW w:type="dxa" w:w="658"/>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Tags</w:t>
            </w:r>
          </w:p>
        </w:tc>
        <w:tc>
          <w:tcPr>
            <w:tcW w:type="dxa" w:w="658"/>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OCR</w:t>
            </w:r>
          </w:p>
        </w:tc>
        <w:tc>
          <w:tcPr>
            <w:tcW w:type="dxa" w:w="658"/>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Set.</w:t>
            </w:r>
          </w:p>
        </w:tc>
        <w:tc>
          <w:tcPr>
            <w:tcW w:type="dxa" w:w="658"/>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Cont.</w:t>
            </w:r>
          </w:p>
        </w:tc>
        <w:tc>
          <w:tcPr>
            <w:tcW w:type="dxa" w:w="658"/>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Ppl.</w:t>
            </w:r>
          </w:p>
        </w:tc>
        <w:tc>
          <w:tcPr>
            <w:tcW w:type="dxa" w:w="660"/>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Failed</w:t>
            </w:r>
          </w:p>
        </w:tc>
      </w:tr>
      <w:tr>
        <w:tc>
          <w:tcPr>
            <w:tcW w:type="dxa" w:w="2444"/>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Majority baseline (no video)</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0.199</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0.121</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0.040</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0.118</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0.663</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0.275</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0.690</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0.770</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0.584</w:t>
            </w:r>
          </w:p>
        </w:tc>
        <w:tc>
          <w:tcPr>
            <w:tcW w:type="dxa" w:w="660"/>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r>
      <w:tr>
        <w:tc>
          <w:tcPr>
            <w:tcW w:type="dxa" w:w="2444"/>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InternVL3.5-1B</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0.325</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0.280</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0.351</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0.273</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0.573</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0.475</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0.977</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0.812</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0.501</w:t>
            </w:r>
          </w:p>
        </w:tc>
        <w:tc>
          <w:tcPr>
            <w:tcW w:type="dxa" w:w="660"/>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w:t>
            </w:r>
          </w:p>
        </w:tc>
      </w:tr>
      <w:tr>
        <w:tc>
          <w:tcPr>
            <w:tcW w:type="dxa" w:w="2444"/>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InternVL3.5-2B</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0.334</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0.273</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0.331</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0.265</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0.615</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0.688</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0.600</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0.593</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0.517</w:t>
            </w:r>
          </w:p>
        </w:tc>
        <w:tc>
          <w:tcPr>
            <w:tcW w:type="dxa" w:w="660"/>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w:t>
            </w:r>
          </w:p>
        </w:tc>
      </w:tr>
      <w:tr>
        <w:tc>
          <w:tcPr>
            <w:tcW w:type="dxa" w:w="2444"/>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InternVL3.5-4B</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0.346</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0.306</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0.477</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0.298</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0.783</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0.708</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0.765</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0.781</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0.565</w:t>
            </w:r>
          </w:p>
        </w:tc>
        <w:tc>
          <w:tcPr>
            <w:tcW w:type="dxa" w:w="660"/>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w:t>
            </w:r>
          </w:p>
        </w:tc>
      </w:tr>
      <w:tr>
        <w:tc>
          <w:tcPr>
            <w:tcW w:type="dxa" w:w="2444"/>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Qwen3.5-0.8B</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0.339</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0.285</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0.405</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0.262</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0.636</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0.644</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0.938</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0.819</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0.512</w:t>
            </w:r>
          </w:p>
        </w:tc>
        <w:tc>
          <w:tcPr>
            <w:tcW w:type="dxa" w:w="660"/>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64</w:t>
            </w:r>
          </w:p>
        </w:tc>
      </w:tr>
      <w:tr>
        <w:tc>
          <w:tcPr>
            <w:tcW w:type="dxa" w:w="2444"/>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Qwen3.5-2B</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0.347</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0.344</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0.634</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0.332</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0.670</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0.757</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0.908</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0.704</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0.496</w:t>
            </w:r>
          </w:p>
        </w:tc>
        <w:tc>
          <w:tcPr>
            <w:tcW w:type="dxa" w:w="660"/>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w:t>
            </w:r>
          </w:p>
        </w:tc>
      </w:tr>
      <w:tr>
        <w:tc>
          <w:tcPr>
            <w:tcW w:type="dxa" w:w="2444"/>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Qwen3.5-4B</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0.387</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0.366</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0.778</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0.358</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0.841</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0.774</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0.497</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0.841</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0.582</w:t>
            </w:r>
          </w:p>
        </w:tc>
        <w:tc>
          <w:tcPr>
            <w:tcW w:type="dxa" w:w="660"/>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w:t>
            </w:r>
          </w:p>
        </w:tc>
      </w:tr>
      <w:tr>
        <w:tc>
          <w:tcPr>
            <w:tcW w:type="dxa" w:w="2444"/>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Qwen3.5-9B</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0.420</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0.413</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0.969</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0.401</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0.871</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0.783</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0.961</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0.864</w:t>
            </w:r>
          </w:p>
        </w:tc>
        <w:tc>
          <w:tcPr>
            <w:tcW w:type="dxa" w:w="658"/>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0.721</w:t>
            </w:r>
          </w:p>
        </w:tc>
        <w:tc>
          <w:tcPr>
            <w:tcW w:type="dxa" w:w="660"/>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w:t>
            </w:r>
          </w:p>
        </w:tc>
      </w:tr>
    </w:tbl>
    <w:p>
      <w:pPr>
        <w:pStyle w:val="Heading2"/>
        <w:spacing w:after="100" w:before="200"/>
      </w:pPr>
      <w:r>
        <w:rPr>
          <w:rFonts w:ascii="Times New Roman" w:cs="Times New Roman" w:eastAsia="Times New Roman" w:hAnsi="Times New Roman"/>
        </w:rPr>
        <w:t xml:space="preserve">4.3  RQ2: quantization</w:t>
      </w:r>
    </w:p>
    <w:p>
      <w:pPr>
        <w:spacing w:after="120" w:line="276"/>
      </w:pPr>
      <w:r>
        <w:rPr>
          <w:rFonts w:ascii="Times New Roman" w:cs="Times New Roman" w:eastAsia="Times New Roman" w:hAnsi="Times New Roman"/>
          <w:sz w:val="22"/>
          <w:szCs w:val="22"/>
        </w:rPr>
        <w:t xml:space="preserve">Table 3 compares Qwen3.5-9B at three precisions. </w:t>
      </w:r>
      <w:r>
        <w:rPr>
          <w:rFonts w:ascii="Times New Roman" w:cs="Times New Roman" w:eastAsia="Times New Roman" w:hAnsi="Times New Roman"/>
          <w:b/>
          <w:bCs/>
          <w:sz w:val="22"/>
          <w:szCs w:val="22"/>
        </w:rPr>
        <w:t xml:space="preserve">Quantization leaves the structured fields essentially unchanged</w:t>
      </w:r>
      <w:r>
        <w:rPr>
          <w:rFonts w:ascii="Times New Roman" w:cs="Times New Roman" w:eastAsia="Times New Roman" w:hAnsi="Times New Roman"/>
          <w:sz w:val="22"/>
          <w:szCs w:val="22"/>
        </w:rPr>
        <w:t xml:space="preserve">: tag F1 (0.871 / 0.868 / 0.871), people count, setting and on-screen text change by less than 0.03. Description quality degrades gradually, with CIDEr-D falling by 6.3% at 8-bit and 11.7% at 4-bit, and ROUGE-L by 0.008 and 0.023. In exchange, weight memory falls from 18.8 GB to 11.9 GB and 8.4 GB.</w:t>
      </w:r>
    </w:p>
    <w:p>
      <w:pPr>
        <w:spacing w:after="120" w:line="276"/>
      </w:pPr>
      <w:r>
        <w:rPr>
          <w:rFonts w:ascii="Times New Roman" w:cs="Times New Roman" w:eastAsia="Times New Roman" w:hAnsi="Times New Roman"/>
          <w:sz w:val="22"/>
          <w:szCs w:val="22"/>
        </w:rPr>
        <w:t xml:space="preserve">Speed depends on the method rather than the bit width. NF4 runs at 3.5 s per scene, close to bf16 (3.0 s), while LLM.int8 is 3.3× slower (9.9 s), because it quantizes activations and handles outlier features in a separate 16-bit path at every layer, which dominates during small-batch decoding.</w:t>
      </w:r>
    </w:p>
    <w:p>
      <w:pPr>
        <w:spacing w:after="80" w:before="120"/>
      </w:pPr>
      <w:r>
        <w:rPr>
          <w:rFonts w:ascii="Times New Roman" w:cs="Times New Roman" w:eastAsia="Times New Roman" w:hAnsi="Times New Roman"/>
          <w:i/>
          <w:iCs/>
          <w:sz w:val="20"/>
          <w:szCs w:val="20"/>
        </w:rPr>
        <w:t xml:space="preserve">Table 3. Qwen3.5-9B at three precisions: agreement with the references, memory (weights and peak GPU) and wall-clock seconds per scene (batch 8, A100 80 GB).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19"/>
        <w:gridCol w:w="625"/>
        <w:gridCol w:w="625"/>
        <w:gridCol w:w="625"/>
        <w:gridCol w:w="625"/>
        <w:gridCol w:w="625"/>
        <w:gridCol w:w="625"/>
        <w:gridCol w:w="625"/>
        <w:gridCol w:w="625"/>
        <w:gridCol w:w="714"/>
        <w:gridCol w:w="625"/>
        <w:gridCol w:w="625"/>
        <w:gridCol w:w="543"/>
      </w:tblGrid>
      <w:tr>
        <w:trPr>
          <w:tblHeader/>
        </w:trPr>
        <w:tc>
          <w:tcPr>
            <w:tcW w:type="dxa" w:w="1519"/>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Qwen3.5-9B</w:t>
            </w:r>
          </w:p>
        </w:tc>
        <w:tc>
          <w:tcPr>
            <w:tcW w:type="dxa" w:w="625"/>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R-L</w:t>
            </w:r>
          </w:p>
        </w:tc>
        <w:tc>
          <w:tcPr>
            <w:tcW w:type="dxa" w:w="625"/>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MET</w:t>
            </w:r>
          </w:p>
        </w:tc>
        <w:tc>
          <w:tcPr>
            <w:tcW w:type="dxa" w:w="625"/>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CIDEr</w:t>
            </w:r>
          </w:p>
        </w:tc>
        <w:tc>
          <w:tcPr>
            <w:tcW w:type="dxa" w:w="625"/>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SODA</w:t>
            </w:r>
          </w:p>
        </w:tc>
        <w:tc>
          <w:tcPr>
            <w:tcW w:type="dxa" w:w="625"/>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Tags</w:t>
            </w:r>
          </w:p>
        </w:tc>
        <w:tc>
          <w:tcPr>
            <w:tcW w:type="dxa" w:w="625"/>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OCR</w:t>
            </w:r>
          </w:p>
        </w:tc>
        <w:tc>
          <w:tcPr>
            <w:tcW w:type="dxa" w:w="625"/>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Ppl.</w:t>
            </w:r>
          </w:p>
        </w:tc>
        <w:tc>
          <w:tcPr>
            <w:tcW w:type="dxa" w:w="625"/>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Set.</w:t>
            </w:r>
          </w:p>
        </w:tc>
        <w:tc>
          <w:tcPr>
            <w:tcW w:type="dxa" w:w="714"/>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W (GB)</w:t>
            </w:r>
          </w:p>
        </w:tc>
        <w:tc>
          <w:tcPr>
            <w:tcW w:type="dxa" w:w="625"/>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Peak (GB)</w:t>
            </w:r>
          </w:p>
        </w:tc>
        <w:tc>
          <w:tcPr>
            <w:tcW w:type="dxa" w:w="625"/>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s/scene</w:t>
            </w:r>
          </w:p>
        </w:tc>
        <w:tc>
          <w:tcPr>
            <w:tcW w:type="dxa" w:w="543"/>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Fail</w:t>
            </w:r>
          </w:p>
        </w:tc>
      </w:tr>
      <w:tr>
        <w:tc>
          <w:tcPr>
            <w:tcW w:type="dxa" w:w="151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bf16</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0.420</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0.413</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0.969</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0.401</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0.871</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0.783</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0.721</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0.961</w:t>
            </w:r>
          </w:p>
        </w:tc>
        <w:tc>
          <w:tcPr>
            <w:tcW w:type="dxa" w:w="714"/>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18.8</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22.8</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3.0</w:t>
            </w:r>
          </w:p>
        </w:tc>
        <w:tc>
          <w:tcPr>
            <w:tcW w:type="dxa" w:w="54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w:t>
            </w:r>
          </w:p>
        </w:tc>
      </w:tr>
      <w:tr>
        <w:tc>
          <w:tcPr>
            <w:tcW w:type="dxa" w:w="151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8-bit (LLM.int8)</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0.412</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0.397</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0.908</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0.387</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0.868</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0.775</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0.715</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0.960</w:t>
            </w:r>
          </w:p>
        </w:tc>
        <w:tc>
          <w:tcPr>
            <w:tcW w:type="dxa" w:w="714"/>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11.9</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16.1</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9.9</w:t>
            </w:r>
          </w:p>
        </w:tc>
        <w:tc>
          <w:tcPr>
            <w:tcW w:type="dxa" w:w="54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w:t>
            </w:r>
          </w:p>
        </w:tc>
      </w:tr>
      <w:tr>
        <w:tc>
          <w:tcPr>
            <w:tcW w:type="dxa" w:w="1519"/>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4-bit (NF4)</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0.397</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0.400</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0.856</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0.389</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0.871</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0.783</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0.707</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0.939</w:t>
            </w:r>
          </w:p>
        </w:tc>
        <w:tc>
          <w:tcPr>
            <w:tcW w:type="dxa" w:w="714"/>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8.4</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12.9</w:t>
            </w:r>
          </w:p>
        </w:tc>
        <w:tc>
          <w:tcPr>
            <w:tcW w:type="dxa" w:w="625"/>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3.5</w:t>
            </w:r>
          </w:p>
        </w:tc>
        <w:tc>
          <w:tcPr>
            <w:tcW w:type="dxa" w:w="54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w:t>
            </w:r>
          </w:p>
        </w:tc>
      </w:tr>
    </w:tbl>
    <w:p>
      <w:pPr>
        <w:pStyle w:val="Heading2"/>
        <w:spacing w:after="100" w:before="200"/>
      </w:pPr>
      <w:r>
        <w:rPr>
          <w:rFonts w:ascii="Times New Roman" w:cs="Times New Roman" w:eastAsia="Times New Roman" w:hAnsi="Times New Roman"/>
        </w:rPr>
        <w:t xml:space="preserve">4.4  Equal memory budget</w:t>
      </w:r>
    </w:p>
    <w:p>
      <w:pPr>
        <w:spacing w:after="120" w:line="276"/>
      </w:pPr>
      <w:r>
        <w:rPr>
          <w:rFonts w:ascii="Times New Roman" w:cs="Times New Roman" w:eastAsia="Times New Roman" w:hAnsi="Times New Roman"/>
          <w:sz w:val="22"/>
          <w:szCs w:val="22"/>
        </w:rPr>
        <w:t xml:space="preserve">Quantization is most useful when memory is fixed. The 4-bit Qwen3.5-9B occupies less memory (8.4 GB) than the full-precision Qwen3.5-4B (9.1 GB) yet matches or exceeds it on every field in Table 4, most clearly on descriptions (CIDEr-D 0.856 vs. 0.778), people count (0.707 vs. 0.582) and setting (0.939 vs. 0.497). Under a memory budget, a larger quantized model is the better choice than a smaller full-precision one.</w:t>
      </w:r>
    </w:p>
    <w:p>
      <w:pPr>
        <w:spacing w:after="80" w:before="120"/>
      </w:pPr>
      <w:r>
        <w:rPr>
          <w:rFonts w:ascii="Times New Roman" w:cs="Times New Roman" w:eastAsia="Times New Roman" w:hAnsi="Times New Roman"/>
          <w:i/>
          <w:iCs/>
          <w:sz w:val="20"/>
          <w:szCs w:val="20"/>
        </w:rPr>
        <w:t xml:space="preserve">Table 4. Equal-memory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083"/>
        <w:gridCol w:w="902"/>
        <w:gridCol w:w="902"/>
        <w:gridCol w:w="902"/>
        <w:gridCol w:w="902"/>
        <w:gridCol w:w="902"/>
        <w:gridCol w:w="906"/>
      </w:tblGrid>
      <w:tr>
        <w:trPr>
          <w:tblHeader/>
        </w:trPr>
        <w:tc>
          <w:tcPr>
            <w:tcW w:type="dxa" w:w="2527"/>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Model</w:t>
            </w:r>
          </w:p>
        </w:tc>
        <w:tc>
          <w:tcPr>
            <w:tcW w:type="dxa" w:w="1083"/>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W (GB)</w:t>
            </w:r>
          </w:p>
        </w:tc>
        <w:tc>
          <w:tcPr>
            <w:tcW w:type="dxa" w:w="902"/>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R-L</w:t>
            </w:r>
          </w:p>
        </w:tc>
        <w:tc>
          <w:tcPr>
            <w:tcW w:type="dxa" w:w="902"/>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CIDEr</w:t>
            </w:r>
          </w:p>
        </w:tc>
        <w:tc>
          <w:tcPr>
            <w:tcW w:type="dxa" w:w="902"/>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Tags</w:t>
            </w:r>
          </w:p>
        </w:tc>
        <w:tc>
          <w:tcPr>
            <w:tcW w:type="dxa" w:w="902"/>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Ppl.</w:t>
            </w:r>
          </w:p>
        </w:tc>
        <w:tc>
          <w:tcPr>
            <w:tcW w:type="dxa" w:w="902"/>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Set.</w:t>
            </w:r>
          </w:p>
        </w:tc>
        <w:tc>
          <w:tcPr>
            <w:tcW w:type="dxa" w:w="906"/>
            <w:tcBorders>
              <w:top w:val="single" w:color="999999" w:sz="4"/>
              <w:left w:val="single" w:color="999999" w:sz="4"/>
              <w:bottom w:val="single" w:color="999999" w:sz="4"/>
              <w:right w:val="single" w:color="999999" w:sz="4"/>
            </w:tcBorders>
            <w:shd w:fill="E7E6E6" w:color="auto"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Cont.</w:t>
            </w:r>
          </w:p>
        </w:tc>
      </w:tr>
      <w:tr>
        <w:tc>
          <w:tcPr>
            <w:tcW w:type="dxa" w:w="2527"/>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Qwen3.5-4B, bf16</w:t>
            </w:r>
          </w:p>
        </w:tc>
        <w:tc>
          <w:tcPr>
            <w:tcW w:type="dxa" w:w="108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9.1</w:t>
            </w:r>
          </w:p>
        </w:tc>
        <w:tc>
          <w:tcPr>
            <w:tcW w:type="dxa" w:w="902"/>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0.387</w:t>
            </w:r>
          </w:p>
        </w:tc>
        <w:tc>
          <w:tcPr>
            <w:tcW w:type="dxa" w:w="902"/>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0.778</w:t>
            </w:r>
          </w:p>
        </w:tc>
        <w:tc>
          <w:tcPr>
            <w:tcW w:type="dxa" w:w="902"/>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0.841</w:t>
            </w:r>
          </w:p>
        </w:tc>
        <w:tc>
          <w:tcPr>
            <w:tcW w:type="dxa" w:w="902"/>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0.582</w:t>
            </w:r>
          </w:p>
        </w:tc>
        <w:tc>
          <w:tcPr>
            <w:tcW w:type="dxa" w:w="902"/>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0.497</w:t>
            </w:r>
          </w:p>
        </w:tc>
        <w:tc>
          <w:tcPr>
            <w:tcW w:type="dxa" w:w="906"/>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0.841</w:t>
            </w:r>
          </w:p>
        </w:tc>
      </w:tr>
      <w:tr>
        <w:tc>
          <w:tcPr>
            <w:tcW w:type="dxa" w:w="2527"/>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Qwen3.5-9B, 4-bit NF4</w:t>
            </w:r>
          </w:p>
        </w:tc>
        <w:tc>
          <w:tcPr>
            <w:tcW w:type="dxa" w:w="1083"/>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8.4</w:t>
            </w:r>
          </w:p>
        </w:tc>
        <w:tc>
          <w:tcPr>
            <w:tcW w:type="dxa" w:w="902"/>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0.397</w:t>
            </w:r>
          </w:p>
        </w:tc>
        <w:tc>
          <w:tcPr>
            <w:tcW w:type="dxa" w:w="902"/>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0.856</w:t>
            </w:r>
          </w:p>
        </w:tc>
        <w:tc>
          <w:tcPr>
            <w:tcW w:type="dxa" w:w="902"/>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0.871</w:t>
            </w:r>
          </w:p>
        </w:tc>
        <w:tc>
          <w:tcPr>
            <w:tcW w:type="dxa" w:w="902"/>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0.707</w:t>
            </w:r>
          </w:p>
        </w:tc>
        <w:tc>
          <w:tcPr>
            <w:tcW w:type="dxa" w:w="902"/>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0.939</w:t>
            </w:r>
          </w:p>
        </w:tc>
        <w:tc>
          <w:tcPr>
            <w:tcW w:type="dxa" w:w="906"/>
            <w:tcBorders>
              <w:top w:val="single" w:color="999999" w:sz="4"/>
              <w:left w:val="single" w:color="999999" w:sz="4"/>
              <w:bottom w:val="single" w:color="999999" w:sz="4"/>
              <w:right w:val="single" w:color="999999"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0.874</w:t>
            </w:r>
          </w:p>
        </w:tc>
      </w:tr>
    </w:tbl>
    <w:p>
      <w:pPr>
        <w:spacing w:after="120" w:line="276"/>
      </w:pPr>
      <w:r>
        <w:rPr>
          <w:rFonts w:ascii="Times New Roman" w:cs="Times New Roman" w:eastAsia="Times New Roman" w:hAnsi="Times New Roman"/>
          <w:sz w:val="22"/>
          <w:szCs w:val="22"/>
          <w:highlight w:val="yellow"/>
          <w:highlightCs w:val="yellow"/>
        </w:rPr>
        <w:t xml:space="preserve">[FIGURE 1 (suggested): description quality (CIDEr-D) against weight memory (GB) for all eight model runs, one marker per family, the 9B precisions connected by a line, and the baseline as a horizontal line. This single plot carries both RQ1 and RQ2 and could replace Table 4 if space is short.]</w:t>
      </w:r>
    </w:p>
    <w:p>
      <w:pPr>
        <w:pStyle w:val="Heading1"/>
        <w:spacing w:after="120" w:before="300"/>
      </w:pPr>
      <w:r>
        <w:rPr>
          <w:rFonts w:ascii="Times New Roman" w:cs="Times New Roman" w:eastAsia="Times New Roman" w:hAnsi="Times New Roman"/>
        </w:rPr>
        <w:t xml:space="preserve">5  Discussion</w:t>
      </w:r>
    </w:p>
    <w:p>
      <w:pPr>
        <w:pStyle w:val="Heading2"/>
        <w:spacing w:after="100" w:before="200"/>
      </w:pPr>
      <w:r>
        <w:rPr>
          <w:rFonts w:ascii="Times New Roman" w:cs="Times New Roman" w:eastAsia="Times New Roman" w:hAnsi="Times New Roman"/>
        </w:rPr>
        <w:t xml:space="preserve">5.1  Which fields are reliable enough to index</w:t>
      </w:r>
    </w:p>
    <w:p>
      <w:pPr>
        <w:spacing w:after="120" w:line="276"/>
      </w:pPr>
      <w:r>
        <w:rPr>
          <w:rFonts w:ascii="Times New Roman" w:cs="Times New Roman" w:eastAsia="Times New Roman" w:hAnsi="Times New Roman"/>
          <w:sz w:val="22"/>
          <w:szCs w:val="22"/>
        </w:rPr>
        <w:t xml:space="preserve">For retrieval, the useful question is which fields a small model fills reliably. From 4B upward, visual tags, on-screen text and descriptions agree well with the commercial references and clearly exceed the no-video baseline, and setting does so for most models, so these are candidates for indexing. Location is weaker. City agreement rises with size (Qwen3.5: 0.482 to 0.811), but on the finer area field no model beats leaving it empty (0.953), and small models name places that the frames do not support (for example “United States” for Belfast footage </w:t>
      </w:r>
      <w:r>
        <w:rPr>
          <w:rFonts w:ascii="Times New Roman" w:cs="Times New Roman" w:eastAsia="Times New Roman" w:hAnsi="Times New Roman"/>
          <w:sz w:val="22"/>
          <w:szCs w:val="22"/>
          <w:highlight w:val="yellow"/>
          <w:highlightCs w:val="yellow"/>
        </w:rPr>
        <w:t xml:space="preserve">[VERIFY: pick an example from the final outputs]</w:t>
      </w:r>
      <w:r>
        <w:rPr>
          <w:rFonts w:ascii="Times New Roman" w:cs="Times New Roman" w:eastAsia="Times New Roman" w:hAnsi="Times New Roman"/>
          <w:sz w:val="22"/>
          <w:szCs w:val="22"/>
        </w:rPr>
        <w:t xml:space="preserve">). Location should therefore come from other sources, such as captions read by the model or external metadata, rather than from free generation.</w:t>
      </w:r>
    </w:p>
    <w:p>
      <w:pPr>
        <w:pStyle w:val="Heading2"/>
        <w:spacing w:after="100" w:before="200"/>
      </w:pPr>
      <w:r>
        <w:rPr>
          <w:rFonts w:ascii="Times New Roman" w:cs="Times New Roman" w:eastAsia="Times New Roman" w:hAnsi="Times New Roman"/>
        </w:rPr>
        <w:t xml:space="preserve">5.2  Failure modes</w:t>
      </w:r>
    </w:p>
    <w:p>
      <w:pPr>
        <w:pStyle w:val="ListParagraph"/>
        <w:numPr>
          <w:ilvl w:val="0"/>
          <w:numId w:val="2"/>
        </w:numPr>
        <w:spacing w:after="60" w:line="276"/>
      </w:pPr>
      <w:r>
        <w:rPr>
          <w:rFonts w:ascii="Times New Roman" w:cs="Times New Roman" w:eastAsia="Times New Roman" w:hAnsi="Times New Roman"/>
          <w:b/>
          <w:bCs/>
          <w:sz w:val="22"/>
          <w:szCs w:val="22"/>
        </w:rPr>
        <w:t xml:space="preserve">Repetition loops.</w:t>
      </w:r>
      <w:r>
        <w:rPr>
          <w:rFonts w:ascii="Times New Roman" w:cs="Times New Roman" w:eastAsia="Times New Roman" w:hAnsi="Times New Roman"/>
          <w:sz w:val="22"/>
          <w:szCs w:val="22"/>
        </w:rPr>
        <w:t xml:space="preserve"> The smallest model can get stuck repeating on-screen text until the token limit, which produces invalid JSON. Limiting the list length in the prompt and retrying with a repetition penalty reduces but does not remove this.</w:t>
      </w:r>
    </w:p>
    <w:p>
      <w:pPr>
        <w:pStyle w:val="ListParagraph"/>
        <w:numPr>
          <w:ilvl w:val="0"/>
          <w:numId w:val="2"/>
        </w:numPr>
        <w:spacing w:after="60" w:line="276"/>
      </w:pPr>
      <w:r>
        <w:rPr>
          <w:rFonts w:ascii="Times New Roman" w:cs="Times New Roman" w:eastAsia="Times New Roman" w:hAnsi="Times New Roman"/>
          <w:b/>
          <w:bCs/>
          <w:sz w:val="22"/>
          <w:szCs w:val="22"/>
        </w:rPr>
        <w:t xml:space="preserve">Schema adherence.</w:t>
      </w:r>
      <w:r>
        <w:rPr>
          <w:rFonts w:ascii="Times New Roman" w:cs="Times New Roman" w:eastAsia="Times New Roman" w:hAnsi="Times New Roman"/>
          <w:sz w:val="22"/>
          <w:szCs w:val="22"/>
        </w:rPr>
        <w:t xml:space="preserve"> Small models regularly answer outside the allowed values (e.g. a location type instead of studio/field, or new tags). Normalisation recovers many of these answers, but it also means that reported scores partly reflect our mapping rules; the repaired counts in Table 2 make this visible.</w:t>
      </w:r>
    </w:p>
    <w:p>
      <w:pPr>
        <w:pStyle w:val="ListParagraph"/>
        <w:numPr>
          <w:ilvl w:val="0"/>
          <w:numId w:val="2"/>
        </w:numPr>
        <w:spacing w:after="60" w:line="276"/>
      </w:pPr>
      <w:r>
        <w:rPr>
          <w:rFonts w:ascii="Times New Roman" w:cs="Times New Roman" w:eastAsia="Times New Roman" w:hAnsi="Times New Roman"/>
          <w:b/>
          <w:bCs/>
          <w:sz w:val="22"/>
          <w:szCs w:val="22"/>
        </w:rPr>
        <w:t xml:space="preserve">Single-field collapse.</w:t>
      </w:r>
      <w:r>
        <w:rPr>
          <w:rFonts w:ascii="Times New Roman" w:cs="Times New Roman" w:eastAsia="Times New Roman" w:hAnsi="Times New Roman"/>
          <w:sz w:val="22"/>
          <w:szCs w:val="22"/>
        </w:rPr>
        <w:t xml:space="preserve"> Some models apply a single reading to a whole field (Qwen3.5-4B calls most seated interviews “studio”; InternVL3.5-2B defaults to unknown). Such collapses are invisible in aggregate description scores and argue for per-field evaluation.</w:t>
      </w:r>
    </w:p>
    <w:p>
      <w:pPr>
        <w:pStyle w:val="Heading2"/>
        <w:spacing w:after="100" w:before="200"/>
      </w:pPr>
      <w:r>
        <w:rPr>
          <w:rFonts w:ascii="Times New Roman" w:cs="Times New Roman" w:eastAsia="Times New Roman" w:hAnsi="Times New Roman"/>
        </w:rPr>
        <w:t xml:space="preserve">5.3  Metric caveats</w:t>
      </w:r>
    </w:p>
    <w:p>
      <w:pPr>
        <w:pStyle w:val="ListParagraph"/>
        <w:numPr>
          <w:ilvl w:val="0"/>
          <w:numId w:val="2"/>
        </w:numPr>
        <w:spacing w:after="60" w:line="276"/>
      </w:pPr>
      <w:r>
        <w:rPr>
          <w:rFonts w:ascii="Times New Roman" w:cs="Times New Roman" w:eastAsia="Times New Roman" w:hAnsi="Times New Roman"/>
          <w:b/>
          <w:bCs/>
          <w:sz w:val="22"/>
          <w:szCs w:val="22"/>
        </w:rPr>
        <w:t xml:space="preserve">Description floor.</w:t>
      </w:r>
      <w:r>
        <w:rPr>
          <w:rFonts w:ascii="Times New Roman" w:cs="Times New Roman" w:eastAsia="Times New Roman" w:hAnsi="Times New Roman"/>
          <w:sz w:val="22"/>
          <w:szCs w:val="22"/>
        </w:rPr>
        <w:t xml:space="preserve"> A single generic sentence already reaches ROUGE-L 0.199, because news scenes share much vocabulary; improvements should be read relative to this floor rather than to zero.</w:t>
      </w:r>
    </w:p>
    <w:p>
      <w:pPr>
        <w:pStyle w:val="ListParagraph"/>
        <w:numPr>
          <w:ilvl w:val="0"/>
          <w:numId w:val="2"/>
        </w:numPr>
        <w:spacing w:after="60" w:line="276"/>
      </w:pPr>
      <w:r>
        <w:rPr>
          <w:rFonts w:ascii="Times New Roman" w:cs="Times New Roman" w:eastAsia="Times New Roman" w:hAnsi="Times New Roman"/>
          <w:b/>
          <w:bCs/>
          <w:sz w:val="22"/>
          <w:szCs w:val="22"/>
        </w:rPr>
        <w:t xml:space="preserve">Activity.</w:t>
      </w:r>
      <w:r>
        <w:rPr>
          <w:rFonts w:ascii="Times New Roman" w:cs="Times New Roman" w:eastAsia="Times New Roman" w:hAnsi="Times New Roman"/>
          <w:sz w:val="22"/>
          <w:szCs w:val="22"/>
        </w:rPr>
        <w:t xml:space="preserve"> Exact-match accuracy penalises valid paraphrases (“woman speaking” vs. “person speaking”), so every model falls below the baseline on this field. It measures wording rather than understanding and should be replaced by a softer measure or a fixed vocabulary.</w:t>
      </w:r>
    </w:p>
    <w:p>
      <w:pPr>
        <w:pStyle w:val="ListParagraph"/>
        <w:numPr>
          <w:ilvl w:val="0"/>
          <w:numId w:val="2"/>
        </w:numPr>
        <w:spacing w:after="60" w:line="276"/>
      </w:pPr>
      <w:r>
        <w:rPr>
          <w:rFonts w:ascii="Times New Roman" w:cs="Times New Roman" w:eastAsia="Times New Roman" w:hAnsi="Times New Roman"/>
          <w:b/>
          <w:bCs/>
          <w:sz w:val="22"/>
          <w:szCs w:val="22"/>
        </w:rPr>
        <w:t xml:space="preserve">Sparse fields.</w:t>
      </w:r>
      <w:r>
        <w:rPr>
          <w:rFonts w:ascii="Times New Roman" w:cs="Times New Roman" w:eastAsia="Times New Roman" w:hAnsi="Times New Roman"/>
          <w:sz w:val="22"/>
          <w:szCs w:val="22"/>
        </w:rPr>
        <w:t xml:space="preserve"> About 95% of reference areas are empty, so accuracy on this field mainly measures how often a model invents a location.</w:t>
      </w:r>
    </w:p>
    <w:p>
      <w:pPr>
        <w:pStyle w:val="Heading2"/>
        <w:spacing w:after="100" w:before="200"/>
      </w:pPr>
      <w:r>
        <w:rPr>
          <w:rFonts w:ascii="Times New Roman" w:cs="Times New Roman" w:eastAsia="Times New Roman" w:hAnsi="Times New Roman"/>
        </w:rPr>
        <w:t xml:space="preserve">5.4  Limitations</w:t>
      </w:r>
    </w:p>
    <w:p>
      <w:pPr>
        <w:pStyle w:val="ListParagraph"/>
        <w:numPr>
          <w:ilvl w:val="0"/>
          <w:numId w:val="2"/>
        </w:numPr>
        <w:spacing w:after="60" w:line="276"/>
      </w:pPr>
      <w:r>
        <w:rPr>
          <w:rFonts w:ascii="Times New Roman" w:cs="Times New Roman" w:eastAsia="Times New Roman" w:hAnsi="Times New Roman"/>
          <w:sz w:val="22"/>
          <w:szCs w:val="22"/>
        </w:rPr>
        <w:t xml:space="preserve">The references are produced by a commercial model rather than by human annotators, so agreement is not accuracy; a human-annotated subset would allow both to be measured. </w:t>
      </w:r>
      <w:r>
        <w:rPr>
          <w:rFonts w:ascii="Times New Roman" w:cs="Times New Roman" w:eastAsia="Times New Roman" w:hAnsi="Times New Roman"/>
          <w:sz w:val="22"/>
          <w:szCs w:val="22"/>
          <w:highlight w:val="yellow"/>
          <w:highlightCs w:val="yellow"/>
        </w:rPr>
        <w:t xml:space="preserve">[VERIFY: is a human-annotated subset planned?]</w:t>
      </w:r>
    </w:p>
    <w:p>
      <w:pPr>
        <w:pStyle w:val="ListParagraph"/>
        <w:numPr>
          <w:ilvl w:val="0"/>
          <w:numId w:val="2"/>
        </w:numPr>
        <w:spacing w:after="60" w:line="276"/>
      </w:pPr>
      <w:r>
        <w:rPr>
          <w:rFonts w:ascii="Times New Roman" w:cs="Times New Roman" w:eastAsia="Times New Roman" w:hAnsi="Times New Roman"/>
          <w:sz w:val="22"/>
          <w:szCs w:val="22"/>
        </w:rPr>
        <w:t xml:space="preserve">All videos come from one city, one year and one genre (local news and community events).</w:t>
      </w:r>
    </w:p>
    <w:p>
      <w:pPr>
        <w:pStyle w:val="ListParagraph"/>
        <w:numPr>
          <w:ilvl w:val="0"/>
          <w:numId w:val="2"/>
        </w:numPr>
        <w:spacing w:after="60" w:line="276"/>
      </w:pPr>
      <w:r>
        <w:rPr>
          <w:rFonts w:ascii="Times New Roman" w:cs="Times New Roman" w:eastAsia="Times New Roman" w:hAnsi="Times New Roman"/>
          <w:sz w:val="22"/>
          <w:szCs w:val="22"/>
        </w:rPr>
        <w:t xml:space="preserve">We use a single prompt for all models. It was refined on six scenes from two videos during development, which may favour the model used at that stage (InternVL3.5-1B).</w:t>
      </w:r>
    </w:p>
    <w:p>
      <w:pPr>
        <w:pStyle w:val="ListParagraph"/>
        <w:numPr>
          <w:ilvl w:val="0"/>
          <w:numId w:val="2"/>
        </w:numPr>
        <w:spacing w:after="60" w:line="276"/>
      </w:pPr>
      <w:r>
        <w:rPr>
          <w:rFonts w:ascii="Times New Roman" w:cs="Times New Roman" w:eastAsia="Times New Roman" w:hAnsi="Times New Roman"/>
          <w:sz w:val="22"/>
          <w:szCs w:val="22"/>
        </w:rPr>
        <w:t xml:space="preserve">Frames are capped at 16 per scene, whereas the references used all frames at 1 fps; long scenes are therefore seen more sparsely by the small models.</w:t>
      </w:r>
    </w:p>
    <w:p>
      <w:pPr>
        <w:pStyle w:val="ListParagraph"/>
        <w:numPr>
          <w:ilvl w:val="0"/>
          <w:numId w:val="2"/>
        </w:numPr>
        <w:spacing w:after="60" w:line="276"/>
      </w:pPr>
      <w:r>
        <w:rPr>
          <w:rFonts w:ascii="Times New Roman" w:cs="Times New Roman" w:eastAsia="Times New Roman" w:hAnsi="Times New Roman"/>
          <w:sz w:val="22"/>
          <w:szCs w:val="22"/>
        </w:rPr>
        <w:t xml:space="preserve">Only one quantization library (bitsandbytes) is tested. Other methods, such as FP8 inference or GPTQ/AWQ checkpoints, may give different speed and quality trade-offs.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2026-10-02T14:10:25.429Z</dcterms:created>
  <dcterms:modified xsi:type="dcterms:W3CDTF">2026-10-02T14:10:25.429Z</dcterms:modified>
</cp:coreProperties>
</file>

<file path=docProps/custom.xml><?xml version="1.0" encoding="utf-8"?>
<Properties xmlns="http://schemas.openxmlformats.org/officeDocument/2006/custom-properties" xmlns:vt="http://schemas.openxmlformats.org/officeDocument/2006/docPropsVTypes"/>
</file>