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w="http://schemas.openxmlformats.org/wordprocessingml/2006/main" xmlns:w14="http://schemas.microsoft.com/office/word/2010/wordml" xmlns:r="http://schemas.openxmlformats.org/officeDocument/2006/relationships">
  <w:body>
    <w:p>
      <w:pPr>
        <w:pStyle w:val="Title"/>
      </w:pPr>
      <w:r>
        <w:t>SmartDQC — 6-Day Development Timeline</w:t>
      </w:r>
    </w:p>
    <w:p>
      <w:pPr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New standalone repo. Full UI built from scratch. AI features layered on migrated data pipeline. Deployed as a single Docker image. Daily testing on SE’s laptop (RTX 5060, 8GB VRAM).</w:t>
      </w:r>
    </w:p>
    <w:p>
      <w:pPr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Current state: 8 of 16 features complete (Data portion). 8 remaining (full AI portion). Available time: 6 days × 6 hours = 36 hours.</w:t>
      </w:r>
    </w:p>
    <w:p>
      <w:pPr>
        <w:pStyle w:val="Heading1"/>
      </w:pPr>
      <w:r>
        <w:t>Day 1 — Foundation &amp; Architecture</w:t>
      </w:r>
    </w:p>
    <w:p>
      <w:pPr>
        <w:jc w:val="both"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Goal:</w:t>
      </w:r>
      <w:r>
        <w:rPr>
          <w:rFonts w:ascii="Segoe UI" w:hAnsi="Segoe UI" w:cs="Segoe UI"/>
          <w:sz w:val="20"/>
        </w:rPr>
        <w:t xml:space="preserve"> New repo initialised, SLM confirmed working within VRAM budget, existing backend migrated, persistence layer built, documentation written.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Initialise new SmartDQC git repo; migrate backend from data-cleaning-tool-new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MyVASS multi-file merge built-in — migrated backend supports uploading N MyVASS files: merge → deduplicate by IC (keep latest DOSE_DATE) → remove null rows. Endpoints: /upload/merge-preview, /eda/run-merged, /download/cleaned-merged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Docker skeleton — frontend, backend, SLM model server, database containers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Select and test SLM model (&lt;4B params) on RTX 5060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Implement persistence layer — dataset library, session history, historical data store, cross-dataset linkage, audit trail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Write architecture.md, decisions.md, known_issues.md, workflows.md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Daily test (SE laptop):</w:t>
      </w:r>
      <w:r>
        <w:rPr>
          <w:rFonts w:ascii="Segoe UI" w:hAnsi="Segoe UI" w:cs="Segoe UI"/>
          <w:sz w:val="20"/>
        </w:rPr>
        <w:t xml:space="preserve"> Features #1–8 pass, dataset persists to history, SLM within VRAM budget. ⚠ Decision gate — do not proceed to Day 2 without confirmed SLM.</w:t>
      </w:r>
    </w:p>
    <w:p>
      <w:pPr>
        <w:pStyle w:val="Heading1"/>
      </w:pPr>
      <w:r>
        <w:t>Day 2 — AI Core: Insights, Recommendations &amp; NLQ</w:t>
      </w:r>
    </w:p>
    <w:p>
      <w:pPr>
        <w:jc w:val="both"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Goal:</w:t>
      </w:r>
      <w:r>
        <w:rPr>
          <w:rFonts w:ascii="Segoe UI" w:hAnsi="Segoe UI" w:cs="Segoe UI"/>
          <w:sz w:val="20"/>
        </w:rPr>
        <w:t xml:space="preserve"> LLM wired into the analysis pipeline, producing BM/English 5W1H-structured output. NLQ working end-to-end.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Features #9 + #10 (merged): AI narrative module — single LLM call post-analysis producing executive summary + per-indicator insights + recommendations, structured on 5W1H framework (Who, What, When, Where, Why, How)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Explainability wired in — every AI output states why, not just what (Bahasa Malaysia + English)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Feature #13: Natural Language Querying — BM/English query → pandas → answer + auto-generated chart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Daily test (SE laptop):</w:t>
      </w:r>
      <w:r>
        <w:rPr>
          <w:rFonts w:ascii="Segoe UI" w:hAnsi="Segoe UI" w:cs="Segoe UI"/>
          <w:sz w:val="20"/>
        </w:rPr>
        <w:t xml:space="preserve"> Narrative quality, BM + English accuracy, NLQ on 5 sample queries, response time on SE hardware</w:t>
      </w:r>
    </w:p>
    <w:p>
      <w:pPr>
        <w:pStyle w:val="Heading1"/>
      </w:pPr>
      <w:r>
        <w:t>Day 3 — Data Correction &amp; Report Generation</w:t>
      </w:r>
    </w:p>
    <w:p>
      <w:pPr>
        <w:jc w:val="both"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Goal:</w:t>
      </w:r>
      <w:r>
        <w:rPr>
          <w:rFonts w:ascii="Segoe UI" w:hAnsi="Segoe UI" w:cs="Segoe UI"/>
          <w:sz w:val="20"/>
        </w:rPr>
        <w:t xml:space="preserve"> ML correction detection working. One-click PDF and PPTX report export live.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Feature #12: ML-based Smart Data Correction Suggestions — decimal shifts, transpositions, column swaps; classifies outliers as entry error vs clinical vs equipment; built as extension of existing cleaning pipeline. Row-level editing UI: users can accept, reject, or manually override each suggestion inline; all edits logged to audit trail.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Feature #15: Automated Report Generation — reuses Day 2 AI narratives (no duplicate LLM calls); renders MOH-style PDF + PPTX with tables, charts, recommendations, methodology appendix; also auto-generates 9-tab Excel quality report (Executive Summary, Cleaning Rules, Records Dropped, WAZ/HAZ/BAZ × Negeri/Daerah pivots — KPM uses BMI category tabs instead of z-score tabs)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Daily test (SE laptop):</w:t>
      </w:r>
      <w:r>
        <w:rPr>
          <w:rFonts w:ascii="Segoe UI" w:hAnsi="Segoe UI" w:cs="Segoe UI"/>
          <w:sz w:val="20"/>
        </w:rPr>
        <w:t xml:space="preserve"> Corrections visible in report, PDF/PPTX opens cleanly on SE machine, no duplicate LLM calls</w:t>
      </w:r>
    </w:p>
    <w:p>
      <w:pPr>
        <w:pStyle w:val="Heading1"/>
      </w:pPr>
      <w:r>
        <w:t>Day 4 — Predictive Analytics &amp; Benchmarking</w:t>
      </w:r>
    </w:p>
    <w:p>
      <w:pPr>
        <w:jc w:val="both"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Goal:</w:t>
      </w:r>
      <w:r>
        <w:rPr>
          <w:rFonts w:ascii="Segoe UI" w:hAnsi="Segoe UI" w:cs="Segoe UI"/>
          <w:sz w:val="20"/>
        </w:rPr>
        <w:t xml:space="preserve"> Risk scoring live per child and per district. Benchmarking dashboard tracking KPIs.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Feature #11: Predictive Risk Scoring — child-level malnutrition risk using historical Z-scores + demographics; district-level early warning for next-quarter threshold breaches; outputs risk score column + Senarai Kanak-kanak Berisiko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Feature #16: Benchmarking &amp; Target Tracking — district/state vs national KPIs + WHO targets; traffic-light dashboard (On Track / At Risk / Off Track); AI trajectory narrative per area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Daily test (SE laptop):</w:t>
      </w:r>
      <w:r>
        <w:rPr>
          <w:rFonts w:ascii="Segoe UI" w:hAnsi="Segoe UI" w:cs="Segoe UI"/>
          <w:sz w:val="20"/>
        </w:rPr>
        <w:t xml:space="preserve"> Threshold logic, alert generation, AI narrative accuracy; full pipeline: upload → clean → predict → benchmark</w:t>
      </w:r>
    </w:p>
    <w:p>
      <w:pPr>
        <w:pStyle w:val="Heading1"/>
      </w:pPr>
      <w:r>
        <w:t>Day 5 — Entity Resolution, Multi-Dataset Analysis &amp; Schema AI</w:t>
      </w:r>
    </w:p>
    <w:p>
      <w:pPr>
        <w:jc w:val="both"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Goal:</w:t>
      </w:r>
      <w:r>
        <w:rPr>
          <w:rFonts w:ascii="Segoe UI" w:hAnsi="Segoe UI" w:cs="Segoe UI"/>
          <w:sz w:val="20"/>
        </w:rPr>
        <w:t xml:space="preserve"> MVP entity resolution working. User-facing multi-dataset analysis workflow live. Column mapping handling all 3 schema scenarios with AI. Full integration passes.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Feature #14 (MVP): Cross-Dataset Entity Resolution — IC + DOB match across MyVASS + NCDC + KKM; contradiction detection; unified longitudinal profile per child. Full probabilistic matching is post-v1.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Multi-Dataset Analysis Workflow — dataset library UI: user browses all past uploads, selects 2+ datasets, triggers a combined/comparative analysis; pipeline handles multiple simultaneous inputs; results show side-by-side comparison, trend deltas, and cross-dataset quality differences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Feature #2 upgrade: AI-powered schema validation — replace thefuzz with true AI handling all 3 scenarios (exact match / unknown schema / schema drift)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Daily test (SE laptop):</w:t>
      </w:r>
      <w:r>
        <w:rPr>
          <w:rFonts w:ascii="Segoe UI" w:hAnsi="Segoe UI" w:cs="Segoe UI"/>
          <w:sz w:val="20"/>
        </w:rPr>
        <w:t xml:space="preserve"> Upload 2 datasets in separate sessions, open dataset library, select both, run combined analysis, verify comparative output. Full end-to-end across all 16 features. If integration passes early, begin UI work.</w:t>
      </w:r>
    </w:p>
    <w:p>
      <w:pPr>
        <w:pStyle w:val="Heading1"/>
      </w:pPr>
      <w:r>
        <w:t>Day 6 — Docker, UI (From Scratch) &amp; Final Testing</w:t>
      </w:r>
    </w:p>
    <w:p>
      <w:pPr>
        <w:jc w:val="both"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Goal:</w:t>
      </w:r>
      <w:r>
        <w:rPr>
          <w:rFonts w:ascii="Segoe UI" w:hAnsi="Segoe UI" w:cs="Segoe UI"/>
          <w:sz w:val="20"/>
        </w:rPr>
        <w:t xml:space="preserve"> Shippable Docker image. Fresh KKM-branded UI live. Full clean end-to-end pass on SE laptop.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Full Docker containerisation — frontend, backend, SLM, database in one image; no source code exposed; remote maintenance hook for versioned updates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UI built from scratch — KKM branding + colour scheme, light/dark mode, chatbot interface wired to NLQ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Final test (SE laptop):</w:t>
      </w:r>
      <w:r>
        <w:rPr>
          <w:rFonts w:ascii="Segoe UI" w:hAnsi="Segoe UI" w:cs="Segoe UI"/>
          <w:sz w:val="20"/>
        </w:rPr>
        <w:t xml:space="preserve"> Pull Docker image, SE runs full KKM staff workflow end-to-end. Bug fixes only. Tag v1.0.</w:t>
      </w:r>
    </w:p>
    <w:p>
      <w:pPr>
        <w:pStyle w:val="Heading1"/>
      </w:pPr>
      <w:r>
        <w:t>Key Risks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SLM VRAM (Day 1 gate):</w:t>
      </w:r>
      <w:r>
        <w:rPr>
          <w:rFonts w:ascii="Segoe UI" w:hAnsi="Segoe UI" w:cs="Segoe UI"/>
          <w:sz w:val="20"/>
        </w:rPr>
        <w:t xml:space="preserve"> Must confirm model fits 8GB before Day 2. Swap model if needed.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Entity Resolution (Day 5):</w:t>
      </w:r>
      <w:r>
        <w:rPr>
          <w:rFonts w:ascii="Segoe UI" w:hAnsi="Segoe UI" w:cs="Segoe UI"/>
          <w:sz w:val="20"/>
        </w:rPr>
        <w:t xml:space="preserve"> Highest-complexity feature. Scoped to MVP (IC + DOB only). Full probabilistic matching is post-v1.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UI from scratch (Day 6):</w:t>
      </w:r>
      <w:r>
        <w:rPr>
          <w:rFonts w:ascii="Segoe UI" w:hAnsi="Segoe UI" w:cs="Segoe UI"/>
          <w:sz w:val="20"/>
        </w:rPr>
        <w:t xml:space="preserve"> Tight timeline. Begin UI work on Day 5 afternoon if integration testing finishes early.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b/>
          <w:sz w:val="20"/>
        </w:rPr>
        <w:t>Data source coverage: v1 targets 4 of 10 sources. Remaining 6 (NHMS, JKN, Parliament, DDSM, Admin Data (1), Admin Data (2)) are post-v1. Note: KPM is v1-supported via clean_kpm() — BMI-based classification (Kurus/Normal/Berlebihan Berat Badan/Obes), not WHO z-scores.</w:t>
      </w:r>
      <w:r>
        <w:rPr>
          <w:rFonts w:ascii="Segoe UI" w:hAnsi="Segoe UI" w:cs="Segoe UI"/>
          <w:sz w:val="20"/>
        </w:rPr>
      </w:r>
    </w:p>
    <w:p>
      <w:pPr>
        <w:pStyle w:val="Heading1"/>
      </w:pPr>
      <w:r>
        <w:t>Open Items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SLM model selection (blocks Day 1)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Client predefined business rules — full list not yet received (blocks Feature #5 completeness)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KKM design assets and branding files (blocks Day 6 UI)</w:t>
      </w:r>
    </w:p>
    <w:p>
      <w:pPr>
        <w:numPr>
          <w:ilvl w:val="0"/>
          <w:numId w:val="1"/>
        </w:numPr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Feature count confirmation — 16 in document vs 18 stated verbally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pc="http://schemas.microsoft.com/office/word/2010/wordprocessingCanvas"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w14="http://schemas.microsoft.com/office/word/2010/wordml">
  <w:style w:type="paragraph" w:styleId="Normal">
    <w:name w:val="Normal"/>
    <w:pPr>
      <w:spacing w:after="160"/>
    </w:pPr>
    <w:rPr>
      <w:rFonts w:ascii="Segoe UI" w:hAnsi="Segoe UI" w:cs="Segoe UI"/>
      <w:sz w:val="20"/>
      <w:szCs w:val="20"/>
    </w:rPr>
  </w:style>
  <w:style w:type="paragraph" w:styleId="Title">
    <w:name w:val="Title"/>
    <w:basedOn w:val="Normal"/>
    <w:pPr>
      <w:spacing w:before="240" w:after="240"/>
    </w:pPr>
    <w:rPr>
      <w:rFonts w:ascii="Segoe UI" w:hAnsi="Segoe UI" w:cs="Segoe UI"/>
      <w:b/>
      <w:sz w:val="40"/>
      <w:szCs w:val="40"/>
      <w:color w:val="1F3864"/>
    </w:rPr>
  </w:style>
  <w:style w:type="paragraph" w:styleId="Heading1">
    <w:name w:val="heading 1"/>
    <w:basedOn w:val="Normal"/>
    <w:pPr>
      <w:spacing w:before="360" w:after="120"/>
    </w:pPr>
    <w:rPr>
      <w:rFonts w:ascii="Segoe UI" w:hAnsi="Segoe UI" w:cs="Segoe UI"/>
      <w:b/>
      <w:sz w:val="26"/>
      <w:szCs w:val="26"/>
      <w:color w:val="2E74B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