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2FC3" w14:textId="77777777" w:rsidR="007277F7" w:rsidRPr="000F7B39" w:rsidRDefault="00C11BC8">
      <w:pPr>
        <w:spacing w:after="6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32"/>
        </w:rPr>
        <w:t>SmartDQC — Feature Coverage Matrix by Dataset</w:t>
      </w:r>
    </w:p>
    <w:p w14:paraId="52D90802" w14:textId="33733CA9" w:rsidR="007277F7" w:rsidRPr="000F7B39" w:rsidRDefault="00C11BC8">
      <w:pPr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i/>
          <w:color w:val="787878"/>
          <w:sz w:val="20"/>
        </w:rPr>
        <w:t xml:space="preserve">Data Quality Check &amp; Cleaning Tool  </w:t>
      </w:r>
    </w:p>
    <w:p w14:paraId="6B150918" w14:textId="77777777" w:rsidR="007277F7" w:rsidRPr="000F7B39" w:rsidRDefault="00C11BC8">
      <w:pPr>
        <w:spacing w:after="120"/>
        <w:rPr>
          <w:rFonts w:ascii="Times New Roman" w:hAnsi="Times New Roman" w:cs="Times New Roman"/>
        </w:rPr>
      </w:pPr>
      <w:r w:rsidRPr="000F7B39">
        <w:rPr>
          <w:rFonts w:ascii="Segoe UI Emoji" w:hAnsi="Segoe UI Emoji" w:cs="Segoe UI Emoji"/>
          <w:color w:val="3C3C3C"/>
          <w:sz w:val="20"/>
        </w:rPr>
        <w:t>✅</w:t>
      </w:r>
      <w:r w:rsidRPr="000F7B39">
        <w:rPr>
          <w:rFonts w:ascii="Times New Roman" w:hAnsi="Times New Roman" w:cs="Times New Roman"/>
          <w:color w:val="3C3C3C"/>
          <w:sz w:val="20"/>
        </w:rPr>
        <w:t xml:space="preserve">  Supported     </w:t>
      </w:r>
      <w:r w:rsidRPr="000F7B39">
        <w:rPr>
          <w:rFonts w:ascii="Segoe UI Emoji" w:hAnsi="Segoe UI Emoji" w:cs="Segoe UI Emoji"/>
          <w:color w:val="3C3C3C"/>
          <w:sz w:val="20"/>
        </w:rPr>
        <w:t>⚠</w:t>
      </w:r>
      <w:r w:rsidRPr="000F7B39">
        <w:rPr>
          <w:rFonts w:ascii="Segoe UI Emoji" w:hAnsi="Segoe UI Emoji" w:cs="Segoe UI Emoji"/>
          <w:color w:val="3C3C3C"/>
          <w:sz w:val="20"/>
        </w:rPr>
        <w:t>️</w:t>
      </w:r>
      <w:r w:rsidRPr="000F7B39">
        <w:rPr>
          <w:rFonts w:ascii="Times New Roman" w:hAnsi="Times New Roman" w:cs="Times New Roman"/>
          <w:color w:val="3C3C3C"/>
          <w:sz w:val="20"/>
        </w:rPr>
        <w:t xml:space="preserve">  Partial     </w:t>
      </w:r>
      <w:r w:rsidRPr="000F7B39">
        <w:rPr>
          <w:rFonts w:ascii="Segoe UI Emoji" w:hAnsi="Segoe UI Emoji" w:cs="Segoe UI Emoji"/>
          <w:color w:val="3C3C3C"/>
          <w:sz w:val="20"/>
        </w:rPr>
        <w:t>❌</w:t>
      </w:r>
      <w:r w:rsidRPr="000F7B39">
        <w:rPr>
          <w:rFonts w:ascii="Times New Roman" w:hAnsi="Times New Roman" w:cs="Times New Roman"/>
          <w:color w:val="3C3C3C"/>
          <w:sz w:val="20"/>
        </w:rPr>
        <w:t xml:space="preserve">  Not applicable</w:t>
      </w:r>
    </w:p>
    <w:p w14:paraId="210ACBCA" w14:textId="77777777" w:rsidR="007277F7" w:rsidRPr="000F7B39" w:rsidRDefault="00C11BC8">
      <w:pPr>
        <w:spacing w:before="60" w:after="60"/>
        <w:ind w:left="227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KPM:  </w:t>
      </w:r>
      <w:r w:rsidRPr="000F7B39">
        <w:rPr>
          <w:rFonts w:ascii="Times New Roman" w:hAnsi="Times New Roman" w:cs="Times New Roman"/>
          <w:color w:val="3C3C3C"/>
          <w:sz w:val="20"/>
        </w:rPr>
        <w:t>Includes the KKM BeratTinggi 7-year-old sub-dataset (clean_kkm_data.py), which runs as a standalone Tkinter desktop script rather than through the main API. Where behaviour differs between KPM standard and the sub-dataset, this is noted in the Notes column.</w:t>
      </w:r>
    </w:p>
    <w:p w14:paraId="3638D7C7" w14:textId="77777777" w:rsidR="007277F7" w:rsidRPr="000F7B39" w:rsidRDefault="00C11BC8">
      <w:pPr>
        <w:spacing w:before="60" w:after="60"/>
        <w:ind w:left="227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Other Source:  </w:t>
      </w:r>
      <w:r w:rsidRPr="000F7B39">
        <w:rPr>
          <w:rFonts w:ascii="Times New Roman" w:hAnsi="Times New Roman" w:cs="Times New Roman"/>
          <w:color w:val="3C3C3C"/>
          <w:sz w:val="20"/>
        </w:rPr>
        <w:t>When an uploaded file does not match any recognised schema (MyVASS, NCDC, KPM), the AI fallback triggers — it scans the columns, infers types, and builds a compatible schema dynamically. Dataset-specific derived fields (Z-scores, BMI categories, indicator flags) are unavailable until the schema is confirmed.</w:t>
      </w:r>
    </w:p>
    <w:p w14:paraId="3DBACD80" w14:textId="77777777" w:rsidR="007277F7" w:rsidRPr="000F7B39" w:rsidRDefault="007277F7">
      <w:pPr>
        <w:spacing w:after="120"/>
        <w:rPr>
          <w:rFonts w:ascii="Times New Roman" w:hAnsi="Times New Roman" w:cs="Times New Roman"/>
        </w:rPr>
      </w:pPr>
    </w:p>
    <w:p w14:paraId="426A8A08" w14:textId="77777777" w:rsidR="007277F7" w:rsidRPr="000F7B39" w:rsidRDefault="00C11BC8">
      <w:pPr>
        <w:spacing w:before="200" w:after="8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3"/>
        </w:rPr>
        <w:t>Non-AI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031"/>
        <w:gridCol w:w="977"/>
        <w:gridCol w:w="765"/>
        <w:gridCol w:w="675"/>
        <w:gridCol w:w="915"/>
        <w:gridCol w:w="2758"/>
      </w:tblGrid>
      <w:tr w:rsidR="007277F7" w:rsidRPr="000F7B39" w14:paraId="1A7EA4B1" w14:textId="77777777">
        <w:trPr>
          <w:trHeight w:val="482"/>
        </w:trPr>
        <w:tc>
          <w:tcPr>
            <w:tcW w:w="454" w:type="dxa"/>
            <w:shd w:val="clear" w:color="auto" w:fill="1F3864"/>
            <w:vAlign w:val="center"/>
          </w:tcPr>
          <w:p w14:paraId="0C3E294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47C2508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Feature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049711D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MyVASS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32937E8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NCDC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5F69E7B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KPM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7CEA6BA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Other</w:t>
            </w: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br/>
              <w:t>Source</w:t>
            </w:r>
          </w:p>
        </w:tc>
        <w:tc>
          <w:tcPr>
            <w:tcW w:w="3288" w:type="dxa"/>
            <w:shd w:val="clear" w:color="auto" w:fill="1F3864"/>
            <w:vAlign w:val="center"/>
          </w:tcPr>
          <w:p w14:paraId="4830FD9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Notes</w:t>
            </w:r>
          </w:p>
        </w:tc>
      </w:tr>
      <w:tr w:rsidR="007277F7" w:rsidRPr="000F7B39" w14:paraId="4C7F0D36" w14:textId="77777777">
        <w:tc>
          <w:tcPr>
            <w:tcW w:w="454" w:type="dxa"/>
            <w:shd w:val="clear" w:color="auto" w:fill="FFFFFF"/>
            <w:vAlign w:val="center"/>
          </w:tcPr>
          <w:p w14:paraId="0780CB4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304413B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Data Input &amp; Detection — CSV / XLSX / XLS, auto-detect schema on upload, multi-sheet support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54762B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EA361C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CEB9BF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5CBFA5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D4F0BA9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KPM: BeratTinggi sub-dataset runs as standalone Tkinter app — outside the main API upload pipeline. Other Source: upload works; schema detection returns no match and fallback triggers.</w:t>
            </w:r>
          </w:p>
        </w:tc>
      </w:tr>
      <w:tr w:rsidR="007277F7" w:rsidRPr="000F7B39" w14:paraId="15F895DC" w14:textId="77777777">
        <w:tc>
          <w:tcPr>
            <w:tcW w:w="454" w:type="dxa"/>
            <w:shd w:val="clear" w:color="auto" w:fill="EEF2F7"/>
            <w:vAlign w:val="center"/>
          </w:tcPr>
          <w:p w14:paraId="412AC10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2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203B5540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Column Mapping — auto-map suggestions, manual drag-drop, critical field warnings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1F4244D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4C5744E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4AFBC54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37CC5A2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35ABAC2A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KPM: standard path auto-maps school columns; BeratTinggi sub-dataset does column normalisation only — no full mapping step. Other Source: no pre-built map — user manually assigns columns after AI inference.</w:t>
            </w:r>
          </w:p>
        </w:tc>
      </w:tr>
      <w:tr w:rsidR="007277F7" w:rsidRPr="000F7B39" w14:paraId="11FDCA62" w14:textId="77777777">
        <w:tc>
          <w:tcPr>
            <w:tcW w:w="454" w:type="dxa"/>
            <w:shd w:val="clear" w:color="auto" w:fill="FFFFFF"/>
            <w:vAlign w:val="center"/>
          </w:tcPr>
          <w:p w14:paraId="7C99E12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3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365F72E7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Data Cleaning — IC validation, gender/income normalisation, null handling, date validation, outlier detection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6C7EAC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E8591A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530AB1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71FCCB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79FDA05B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generic null handling and type validation only — no schema-specific rules applied.</w:t>
            </w:r>
          </w:p>
        </w:tc>
      </w:tr>
      <w:tr w:rsidR="007277F7" w:rsidRPr="000F7B39" w14:paraId="7B46BA33" w14:textId="77777777">
        <w:tc>
          <w:tcPr>
            <w:tcW w:w="454" w:type="dxa"/>
            <w:shd w:val="clear" w:color="auto" w:fill="EEF2F7"/>
            <w:vAlign w:val="center"/>
          </w:tcPr>
          <w:p w14:paraId="5049C6E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4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395F5ED6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Derived Field Computation — age, BMI, geo mapping, indicator flags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1AC5FAF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383939D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066D70E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2F905E4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507D8AE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no derived fields computed until schema is confirmed and mapped to a known type.</w:t>
            </w:r>
          </w:p>
        </w:tc>
      </w:tr>
      <w:tr w:rsidR="007277F7" w:rsidRPr="000F7B39" w14:paraId="29D4960C" w14:textId="77777777">
        <w:tc>
          <w:tcPr>
            <w:tcW w:w="454" w:type="dxa"/>
            <w:shd w:val="clear" w:color="auto" w:fill="FFFFFF"/>
            <w:vAlign w:val="center"/>
          </w:tcPr>
          <w:p w14:paraId="6362212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5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69E9AED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Data Quality Assessment — 7-dimension score, business rules, missing and duplicate analysis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4DAA540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A6794C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2C2404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4129867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711766ED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completeness and validity checks only — no predefined business rules available.</w:t>
            </w:r>
          </w:p>
        </w:tc>
      </w:tr>
      <w:tr w:rsidR="007277F7" w:rsidRPr="000F7B39" w14:paraId="5BBDEE12" w14:textId="77777777">
        <w:tc>
          <w:tcPr>
            <w:tcW w:w="454" w:type="dxa"/>
            <w:shd w:val="clear" w:color="auto" w:fill="EEF2F7"/>
            <w:vAlign w:val="center"/>
          </w:tcPr>
          <w:p w14:paraId="5B8D1F4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6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4FF4D2BC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Statistical Analysis — descriptive stats, prevalence by geo level, gender and income cross-cuts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7E45532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44931B3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5A87DB2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28EE6C2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5DB74AD0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generic descriptive statistics only — no indicator prevalence or geo cross-cuts.</w:t>
            </w:r>
          </w:p>
        </w:tc>
      </w:tr>
      <w:tr w:rsidR="007277F7" w:rsidRPr="000F7B39" w14:paraId="3FD31835" w14:textId="77777777">
        <w:tc>
          <w:tcPr>
            <w:tcW w:w="454" w:type="dxa"/>
            <w:shd w:val="clear" w:color="auto" w:fill="FFFFFF"/>
            <w:vAlign w:val="center"/>
          </w:tcPr>
          <w:p w14:paraId="2063009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7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11A1804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Visualisation — 16+ chart types (histogram, scatter, pie, boxplot, line, bar)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1181AA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4C38AA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CAA160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41C1F0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45E01003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basic charts available — Z-score and BMI-specific chart types are not applicable.</w:t>
            </w:r>
          </w:p>
        </w:tc>
      </w:tr>
      <w:tr w:rsidR="007277F7" w:rsidRPr="000F7B39" w14:paraId="0260A2BC" w14:textId="77777777">
        <w:tc>
          <w:tcPr>
            <w:tcW w:w="454" w:type="dxa"/>
            <w:shd w:val="clear" w:color="auto" w:fill="EEF2F7"/>
            <w:vAlign w:val="center"/>
          </w:tcPr>
          <w:p w14:paraId="2054904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8a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672FEAA1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Export — Cleaned Data (CSV / Excel)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3448FF7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6F7DAEC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43A60E3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547CF1D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585650A5" w14:textId="77777777" w:rsidR="007277F7" w:rsidRPr="000F7B39" w:rsidRDefault="007277F7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  <w:tr w:rsidR="007277F7" w:rsidRPr="000F7B39" w14:paraId="1D1DF00F" w14:textId="77777777">
        <w:tc>
          <w:tcPr>
            <w:tcW w:w="454" w:type="dxa"/>
            <w:shd w:val="clear" w:color="auto" w:fill="FFFFFF"/>
            <w:vAlign w:val="center"/>
          </w:tcPr>
          <w:p w14:paraId="504FC32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lastRenderedPageBreak/>
              <w:t>8b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EFE0271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Export — Tableau Aggregation Table (indicator × geo × demographic × year)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1B062A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36C62E1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BE3C8E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C9F32D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26F2653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KPM: available for KPM standard only — BeratTinggi sub-dataset excluded (no matching indicator structure). Other Source: no indicator structure to flatten for Tableau.</w:t>
            </w:r>
          </w:p>
        </w:tc>
      </w:tr>
      <w:tr w:rsidR="007277F7" w:rsidRPr="000F7B39" w14:paraId="0219B8EE" w14:textId="77777777">
        <w:tc>
          <w:tcPr>
            <w:tcW w:w="454" w:type="dxa"/>
            <w:shd w:val="clear" w:color="auto" w:fill="EEF2F7"/>
            <w:vAlign w:val="center"/>
          </w:tcPr>
          <w:p w14:paraId="208F21E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8c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2E137195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Export — Data Dictionary (30+ derived fields)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3AF9277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036CAF6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7B91660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1403ADB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6C2C7F3A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only inferred column types documented — no derived fields included.</w:t>
            </w:r>
          </w:p>
        </w:tc>
      </w:tr>
      <w:tr w:rsidR="007277F7" w:rsidRPr="000F7B39" w14:paraId="015496A5" w14:textId="77777777">
        <w:tc>
          <w:tcPr>
            <w:tcW w:w="454" w:type="dxa"/>
            <w:shd w:val="clear" w:color="auto" w:fill="FFFFFF"/>
            <w:vAlign w:val="center"/>
          </w:tcPr>
          <w:p w14:paraId="2FD8227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16a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1AEAB7D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Benchmarking — traffic-light display vs national KPIs and WHO targets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4F5A1B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E4ACCD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6A2283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5ED3EA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988D4B3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no known indicators available to benchmark against KPIs or WHO targets.</w:t>
            </w:r>
          </w:p>
        </w:tc>
      </w:tr>
    </w:tbl>
    <w:p w14:paraId="2523F396" w14:textId="77777777" w:rsidR="007277F7" w:rsidRPr="000F7B39" w:rsidRDefault="007277F7">
      <w:pPr>
        <w:spacing w:after="80"/>
        <w:rPr>
          <w:rFonts w:ascii="Times New Roman" w:hAnsi="Times New Roman" w:cs="Times New Roman"/>
        </w:rPr>
      </w:pPr>
    </w:p>
    <w:p w14:paraId="6F448B72" w14:textId="77777777" w:rsidR="007277F7" w:rsidRPr="000F7B39" w:rsidRDefault="00C11BC8">
      <w:pPr>
        <w:spacing w:before="200" w:after="8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3"/>
        </w:rPr>
        <w:t>AI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"/>
        <w:gridCol w:w="3022"/>
        <w:gridCol w:w="977"/>
        <w:gridCol w:w="765"/>
        <w:gridCol w:w="674"/>
        <w:gridCol w:w="907"/>
        <w:gridCol w:w="2765"/>
      </w:tblGrid>
      <w:tr w:rsidR="007277F7" w:rsidRPr="000F7B39" w14:paraId="27C06BF3" w14:textId="77777777">
        <w:trPr>
          <w:trHeight w:val="482"/>
        </w:trPr>
        <w:tc>
          <w:tcPr>
            <w:tcW w:w="454" w:type="dxa"/>
            <w:shd w:val="clear" w:color="auto" w:fill="1F3864"/>
            <w:vAlign w:val="center"/>
          </w:tcPr>
          <w:p w14:paraId="33A6847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1634CEF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Feature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02F52F6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MyVASS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132943F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NCDC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312011C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KPM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3656C3A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Other</w:t>
            </w: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br/>
              <w:t>Source</w:t>
            </w:r>
          </w:p>
        </w:tc>
        <w:tc>
          <w:tcPr>
            <w:tcW w:w="3288" w:type="dxa"/>
            <w:shd w:val="clear" w:color="auto" w:fill="1F3864"/>
            <w:vAlign w:val="center"/>
          </w:tcPr>
          <w:p w14:paraId="399BC42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Notes</w:t>
            </w:r>
          </w:p>
        </w:tc>
      </w:tr>
      <w:tr w:rsidR="007277F7" w:rsidRPr="000F7B39" w14:paraId="52DEC12F" w14:textId="77777777">
        <w:tc>
          <w:tcPr>
            <w:tcW w:w="454" w:type="dxa"/>
            <w:shd w:val="clear" w:color="auto" w:fill="FFFFFF"/>
            <w:vAlign w:val="center"/>
          </w:tcPr>
          <w:p w14:paraId="1BFA1F1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2ai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586CE8D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Schema Mapping AI Confirm — LLM validates ambiguous or drifted column names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FAEEF5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520703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787E9E6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C9022A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308E0190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KPM: standard path uses AI confirm; BeratTinggi sub-dataset runs standalone and bypasses the AI confirm step. Other Source: AI is the primary mechanism — scans columns and builds schema dynamically.</w:t>
            </w:r>
          </w:p>
        </w:tc>
      </w:tr>
      <w:tr w:rsidR="007277F7" w:rsidRPr="000F7B39" w14:paraId="3F7DE436" w14:textId="77777777">
        <w:tc>
          <w:tcPr>
            <w:tcW w:w="454" w:type="dxa"/>
            <w:shd w:val="clear" w:color="auto" w:fill="EEF2F7"/>
            <w:vAlign w:val="center"/>
          </w:tcPr>
          <w:p w14:paraId="46A61A0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9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6D41D609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AI Insight Generation — automated executive summary in BM and English, per-indicator district narrative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11BD006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1AC4F68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1132C96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6466246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3D8F5A09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generic data quality summary only — no indicator-specific narrative produced.</w:t>
            </w:r>
          </w:p>
        </w:tc>
      </w:tr>
      <w:tr w:rsidR="007277F7" w:rsidRPr="000F7B39" w14:paraId="7F3505A9" w14:textId="77777777">
        <w:tc>
          <w:tcPr>
            <w:tcW w:w="454" w:type="dxa"/>
            <w:shd w:val="clear" w:color="auto" w:fill="FFFFFF"/>
            <w:vAlign w:val="center"/>
          </w:tcPr>
          <w:p w14:paraId="5BA8B66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10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26A252B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Smart Recommendations Engine — prioritised guidance at clinic and district level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D20D2B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F40862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9667D2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BDB05F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C81EB84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generic data quality recommendations only — no domain-specific guidance.</w:t>
            </w:r>
          </w:p>
        </w:tc>
      </w:tr>
      <w:tr w:rsidR="007277F7" w:rsidRPr="000F7B39" w14:paraId="2D49A51B" w14:textId="77777777">
        <w:tc>
          <w:tcPr>
            <w:tcW w:w="454" w:type="dxa"/>
            <w:shd w:val="clear" w:color="auto" w:fill="EEF2F7"/>
            <w:vAlign w:val="center"/>
          </w:tcPr>
          <w:p w14:paraId="3027150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11a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665DEE3A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Predictive Risk Scoring — Child level (malnutrition risk from Z-scores and demographics)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3C89149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71E8BA4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0840121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1D01AD7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64690DF7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Requires a known schema with Z-score or BMI indicators — not available for KPM or Other Source.</w:t>
            </w:r>
          </w:p>
        </w:tc>
      </w:tr>
      <w:tr w:rsidR="007277F7" w:rsidRPr="000F7B39" w14:paraId="4C8CE54C" w14:textId="77777777">
        <w:tc>
          <w:tcPr>
            <w:tcW w:w="454" w:type="dxa"/>
            <w:shd w:val="clear" w:color="auto" w:fill="FFFFFF"/>
            <w:vAlign w:val="center"/>
          </w:tcPr>
          <w:p w14:paraId="7D4FD79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11b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B0FCE4B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Predictive Risk Scoring — District level (early warning for threshold breaches)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86A03D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6230F6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A138FC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B7FB49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D3EC809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requires known indicator thresholds — not available without a confirmed schema.</w:t>
            </w:r>
          </w:p>
        </w:tc>
      </w:tr>
      <w:tr w:rsidR="007277F7" w:rsidRPr="000F7B39" w14:paraId="6D964589" w14:textId="77777777">
        <w:tc>
          <w:tcPr>
            <w:tcW w:w="454" w:type="dxa"/>
            <w:shd w:val="clear" w:color="auto" w:fill="EEF2F7"/>
            <w:vAlign w:val="center"/>
          </w:tcPr>
          <w:p w14:paraId="5445814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12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097C82FE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Smart Data Correction Suggestions — ML detection of decimal shifts, transpositions, column swaps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08B9FEB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626DDEB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2C06E93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202D42F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⚠</w:t>
            </w: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️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036FA840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KPM: not implemented — no correction model trained on school anthropometry data. Other Source: entry error detection (decimal shifts, transpositions) may apply to numeric columns.</w:t>
            </w:r>
          </w:p>
        </w:tc>
      </w:tr>
      <w:tr w:rsidR="007277F7" w:rsidRPr="000F7B39" w14:paraId="2E5A1F2A" w14:textId="77777777">
        <w:tc>
          <w:tcPr>
            <w:tcW w:w="454" w:type="dxa"/>
            <w:shd w:val="clear" w:color="auto" w:fill="FFFFFF"/>
            <w:vAlign w:val="center"/>
          </w:tcPr>
          <w:p w14:paraId="38F6920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13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64C064E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Natural Language Querying — BM and English query to answer and chart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0D9AC54A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58F716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AFDC41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2457CFF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7D20016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Works on any dataset once columns are mapped.</w:t>
            </w:r>
          </w:p>
        </w:tc>
      </w:tr>
      <w:tr w:rsidR="007277F7" w:rsidRPr="000F7B39" w14:paraId="1E696360" w14:textId="77777777">
        <w:tc>
          <w:tcPr>
            <w:tcW w:w="454" w:type="dxa"/>
            <w:shd w:val="clear" w:color="auto" w:fill="EEF2F7"/>
            <w:vAlign w:val="center"/>
          </w:tcPr>
          <w:p w14:paraId="526A598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14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54FAB1D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Cross-Dataset Entity Resolution — probabilistic IC, DOB, and location matching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30857EB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0C5B04C1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1AD2248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0ACFFC4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680EE4B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Requires confirmed IC and DOB fields — unavailable for KPM (no IC field) and unconfirmed schemas.</w:t>
            </w:r>
          </w:p>
        </w:tc>
      </w:tr>
      <w:tr w:rsidR="007277F7" w:rsidRPr="000F7B39" w14:paraId="1AAAB6E1" w14:textId="77777777">
        <w:tc>
          <w:tcPr>
            <w:tcW w:w="454" w:type="dxa"/>
            <w:shd w:val="clear" w:color="auto" w:fill="FFFFFF"/>
            <w:vAlign w:val="center"/>
          </w:tcPr>
          <w:p w14:paraId="4C162F5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lastRenderedPageBreak/>
              <w:t>15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A240CA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Automated MOH Report — PDF and PPTX with AI summary, charts, and recommendations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240644E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1F8E0A6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27325CB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21B10D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73623C2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requires a known indicator structure to produce MOH report format.</w:t>
            </w:r>
          </w:p>
        </w:tc>
      </w:tr>
      <w:tr w:rsidR="007277F7" w:rsidRPr="000F7B39" w14:paraId="6BD45E14" w14:textId="77777777">
        <w:tc>
          <w:tcPr>
            <w:tcW w:w="454" w:type="dxa"/>
            <w:shd w:val="clear" w:color="auto" w:fill="EEF2F7"/>
            <w:vAlign w:val="center"/>
          </w:tcPr>
          <w:p w14:paraId="2236A26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16b</w:t>
            </w:r>
          </w:p>
        </w:tc>
        <w:tc>
          <w:tcPr>
            <w:tcW w:w="3628" w:type="dxa"/>
            <w:shd w:val="clear" w:color="auto" w:fill="EEF2F7"/>
            <w:vAlign w:val="center"/>
          </w:tcPr>
          <w:p w14:paraId="2500A933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Benchmarking AI Narrative — trajectory commentary per district</w:t>
            </w:r>
          </w:p>
        </w:tc>
        <w:tc>
          <w:tcPr>
            <w:tcW w:w="794" w:type="dxa"/>
            <w:shd w:val="clear" w:color="auto" w:fill="EEF2F7"/>
            <w:vAlign w:val="center"/>
          </w:tcPr>
          <w:p w14:paraId="2567DF52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1CEF25C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680" w:type="dxa"/>
            <w:shd w:val="clear" w:color="auto" w:fill="EEF2F7"/>
            <w:vAlign w:val="center"/>
          </w:tcPr>
          <w:p w14:paraId="1D8A2196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✅</w:t>
            </w:r>
          </w:p>
        </w:tc>
        <w:tc>
          <w:tcPr>
            <w:tcW w:w="964" w:type="dxa"/>
            <w:shd w:val="clear" w:color="auto" w:fill="EEF2F7"/>
            <w:vAlign w:val="center"/>
          </w:tcPr>
          <w:p w14:paraId="5737317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Segoe UI Emoji" w:hAnsi="Segoe UI Emoji" w:cs="Segoe UI Emoji"/>
                <w:color w:val="1E1E1E"/>
                <w:sz w:val="19"/>
              </w:rPr>
              <w:t>❌</w:t>
            </w:r>
          </w:p>
        </w:tc>
        <w:tc>
          <w:tcPr>
            <w:tcW w:w="3288" w:type="dxa"/>
            <w:shd w:val="clear" w:color="auto" w:fill="EEF2F7"/>
            <w:vAlign w:val="center"/>
          </w:tcPr>
          <w:p w14:paraId="7B725283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Other Source: no known indicators available to track against targets.</w:t>
            </w:r>
          </w:p>
        </w:tc>
      </w:tr>
    </w:tbl>
    <w:p w14:paraId="4D2A1416" w14:textId="77777777" w:rsidR="007277F7" w:rsidRPr="000F7B39" w:rsidRDefault="007277F7">
      <w:pPr>
        <w:spacing w:after="80"/>
        <w:rPr>
          <w:rFonts w:ascii="Times New Roman" w:hAnsi="Times New Roman" w:cs="Times New Roman"/>
        </w:rPr>
      </w:pPr>
    </w:p>
    <w:p w14:paraId="62515C58" w14:textId="77777777" w:rsidR="007277F7" w:rsidRPr="000F7B39" w:rsidRDefault="00C11BC8">
      <w:pPr>
        <w:spacing w:before="200" w:after="8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3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1247"/>
        <w:gridCol w:w="1247"/>
        <w:gridCol w:w="1247"/>
        <w:gridCol w:w="1474"/>
      </w:tblGrid>
      <w:tr w:rsidR="007277F7" w:rsidRPr="000F7B39" w14:paraId="18D5523F" w14:textId="77777777">
        <w:tc>
          <w:tcPr>
            <w:tcW w:w="2608" w:type="dxa"/>
            <w:shd w:val="clear" w:color="auto" w:fill="1F3864"/>
            <w:vAlign w:val="center"/>
          </w:tcPr>
          <w:p w14:paraId="66507954" w14:textId="77777777" w:rsidR="007277F7" w:rsidRPr="000F7B39" w:rsidRDefault="007277F7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shd w:val="clear" w:color="auto" w:fill="1F3864"/>
            <w:vAlign w:val="center"/>
          </w:tcPr>
          <w:p w14:paraId="384B71CB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MyVASS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41595043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NCDC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1A68FA2D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KPM</w:t>
            </w:r>
          </w:p>
        </w:tc>
        <w:tc>
          <w:tcPr>
            <w:tcW w:w="1474" w:type="dxa"/>
            <w:shd w:val="clear" w:color="auto" w:fill="1F3864"/>
            <w:vAlign w:val="center"/>
          </w:tcPr>
          <w:p w14:paraId="4852500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t>Other</w:t>
            </w:r>
            <w:r w:rsidRPr="000F7B39">
              <w:rPr>
                <w:rFonts w:ascii="Times New Roman" w:hAnsi="Times New Roman" w:cs="Times New Roman"/>
                <w:b/>
                <w:color w:val="FFFFFF"/>
                <w:sz w:val="19"/>
              </w:rPr>
              <w:br/>
              <w:t>Source</w:t>
            </w:r>
          </w:p>
        </w:tc>
      </w:tr>
      <w:tr w:rsidR="007277F7" w:rsidRPr="000F7B39" w14:paraId="2B18F52F" w14:textId="77777777">
        <w:tc>
          <w:tcPr>
            <w:tcW w:w="2608" w:type="dxa"/>
            <w:shd w:val="clear" w:color="auto" w:fill="FFFFFF"/>
            <w:vAlign w:val="center"/>
          </w:tcPr>
          <w:p w14:paraId="4AC100B8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Non-AI features supported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94577C5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11 / 11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910B41C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11 / 11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0DA4D1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10 / 11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51CC710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8 / 11</w:t>
            </w:r>
          </w:p>
        </w:tc>
      </w:tr>
      <w:tr w:rsidR="007277F7" w:rsidRPr="000F7B39" w14:paraId="74DB7780" w14:textId="77777777">
        <w:tc>
          <w:tcPr>
            <w:tcW w:w="2608" w:type="dxa"/>
            <w:shd w:val="clear" w:color="auto" w:fill="EEF2F7"/>
            <w:vAlign w:val="center"/>
          </w:tcPr>
          <w:p w14:paraId="7782D0A1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AI features supported</w:t>
            </w:r>
          </w:p>
        </w:tc>
        <w:tc>
          <w:tcPr>
            <w:tcW w:w="1247" w:type="dxa"/>
            <w:shd w:val="clear" w:color="auto" w:fill="EEF2F7"/>
            <w:vAlign w:val="center"/>
          </w:tcPr>
          <w:p w14:paraId="708AB868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9 / 9</w:t>
            </w:r>
          </w:p>
        </w:tc>
        <w:tc>
          <w:tcPr>
            <w:tcW w:w="1247" w:type="dxa"/>
            <w:shd w:val="clear" w:color="auto" w:fill="EEF2F7"/>
            <w:vAlign w:val="center"/>
          </w:tcPr>
          <w:p w14:paraId="14D15ACE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9 / 9</w:t>
            </w:r>
          </w:p>
        </w:tc>
        <w:tc>
          <w:tcPr>
            <w:tcW w:w="1247" w:type="dxa"/>
            <w:shd w:val="clear" w:color="auto" w:fill="EEF2F7"/>
            <w:vAlign w:val="center"/>
          </w:tcPr>
          <w:p w14:paraId="3E954F67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7 / 9</w:t>
            </w:r>
          </w:p>
        </w:tc>
        <w:tc>
          <w:tcPr>
            <w:tcW w:w="1474" w:type="dxa"/>
            <w:shd w:val="clear" w:color="auto" w:fill="EEF2F7"/>
            <w:vAlign w:val="center"/>
          </w:tcPr>
          <w:p w14:paraId="0113EF9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color w:val="1E1E1E"/>
                <w:sz w:val="19"/>
              </w:rPr>
              <w:t>5 / 9</w:t>
            </w:r>
          </w:p>
        </w:tc>
      </w:tr>
      <w:tr w:rsidR="007277F7" w:rsidRPr="000F7B39" w14:paraId="3DD4A3A4" w14:textId="77777777">
        <w:tc>
          <w:tcPr>
            <w:tcW w:w="2608" w:type="dxa"/>
            <w:shd w:val="clear" w:color="auto" w:fill="FFFFFF"/>
            <w:vAlign w:val="center"/>
          </w:tcPr>
          <w:p w14:paraId="22846F2D" w14:textId="77777777" w:rsidR="007277F7" w:rsidRPr="000F7B39" w:rsidRDefault="00C11BC8">
            <w:pPr>
              <w:spacing w:before="40" w:after="40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Total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DA9D229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20 / 20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6F04D4F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20 / 20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BD27E14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17 / 20</w:t>
            </w:r>
          </w:p>
        </w:tc>
        <w:tc>
          <w:tcPr>
            <w:tcW w:w="1474" w:type="dxa"/>
            <w:shd w:val="clear" w:color="auto" w:fill="FFFFFF"/>
            <w:vAlign w:val="center"/>
          </w:tcPr>
          <w:p w14:paraId="653BAFD0" w14:textId="77777777" w:rsidR="007277F7" w:rsidRPr="000F7B39" w:rsidRDefault="00C11BC8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0F7B39">
              <w:rPr>
                <w:rFonts w:ascii="Times New Roman" w:hAnsi="Times New Roman" w:cs="Times New Roman"/>
                <w:b/>
                <w:color w:val="1E1E1E"/>
                <w:sz w:val="19"/>
              </w:rPr>
              <w:t>13 / 20</w:t>
            </w:r>
          </w:p>
        </w:tc>
      </w:tr>
    </w:tbl>
    <w:p w14:paraId="2196A5B1" w14:textId="77777777" w:rsidR="007277F7" w:rsidRPr="000F7B39" w:rsidRDefault="007277F7">
      <w:pPr>
        <w:spacing w:after="80"/>
        <w:rPr>
          <w:rFonts w:ascii="Times New Roman" w:hAnsi="Times New Roman" w:cs="Times New Roman"/>
        </w:rPr>
      </w:pPr>
    </w:p>
    <w:p w14:paraId="2B5F4C59" w14:textId="77777777" w:rsidR="007277F7" w:rsidRPr="000F7B39" w:rsidRDefault="00C11BC8">
      <w:pPr>
        <w:spacing w:before="80" w:after="4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KPM gaps:  </w:t>
      </w:r>
      <w:r w:rsidRPr="000F7B39">
        <w:rPr>
          <w:rFonts w:ascii="Times New Roman" w:hAnsi="Times New Roman" w:cs="Times New Roman"/>
          <w:color w:val="3C3C3C"/>
          <w:sz w:val="20"/>
        </w:rPr>
        <w:t>No child-level risk scoring (no Z-scores), no Smart Data Correction, no Entity Resolution (no IC/NRIC field).</w:t>
      </w:r>
    </w:p>
    <w:p w14:paraId="0200AC08" w14:textId="77777777" w:rsidR="007277F7" w:rsidRPr="000F7B39" w:rsidRDefault="00C11BC8">
      <w:pPr>
        <w:spacing w:before="40" w:after="4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KPM partial:  </w:t>
      </w:r>
      <w:r w:rsidRPr="000F7B39">
        <w:rPr>
          <w:rFonts w:ascii="Times New Roman" w:hAnsi="Times New Roman" w:cs="Times New Roman"/>
          <w:color w:val="3C3C3C"/>
          <w:sz w:val="20"/>
        </w:rPr>
        <w:t>Data input and column mapping differ between KPM standard (API) and KKM BeratTinggi sub-dataset (standalone Tkinter). Tableau export is available for KPM standard only.</w:t>
      </w:r>
    </w:p>
    <w:p w14:paraId="6ED45D22" w14:textId="77777777" w:rsidR="007277F7" w:rsidRPr="000F7B39" w:rsidRDefault="00C11BC8">
      <w:pPr>
        <w:spacing w:before="40" w:after="4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Other Source gaps:  </w:t>
      </w:r>
      <w:r w:rsidRPr="000F7B39">
        <w:rPr>
          <w:rFonts w:ascii="Times New Roman" w:hAnsi="Times New Roman" w:cs="Times New Roman"/>
          <w:color w:val="3C3C3C"/>
          <w:sz w:val="20"/>
        </w:rPr>
        <w:t>No derived field computation, Tableau export, benchmarking, predictive risk scoring, entity resolution, or MOH report — all require a confirmed schema with known indicators.</w:t>
      </w:r>
    </w:p>
    <w:p w14:paraId="5115488D" w14:textId="0F1EEBD8" w:rsidR="007277F7" w:rsidRPr="000F7B39" w:rsidRDefault="00C11BC8" w:rsidP="00346DE9">
      <w:pPr>
        <w:spacing w:before="40" w:after="40"/>
        <w:rPr>
          <w:rFonts w:ascii="Times New Roman" w:hAnsi="Times New Roman" w:cs="Times New Roman"/>
        </w:rPr>
      </w:pPr>
      <w:r w:rsidRPr="000F7B39">
        <w:rPr>
          <w:rFonts w:ascii="Times New Roman" w:hAnsi="Times New Roman" w:cs="Times New Roman"/>
          <w:b/>
          <w:color w:val="1F3864"/>
          <w:sz w:val="20"/>
        </w:rPr>
        <w:t xml:space="preserve">Other Source partial:  </w:t>
      </w:r>
      <w:r w:rsidRPr="000F7B39">
        <w:rPr>
          <w:rFonts w:ascii="Times New Roman" w:hAnsi="Times New Roman" w:cs="Times New Roman"/>
          <w:color w:val="3C3C3C"/>
          <w:sz w:val="20"/>
        </w:rPr>
        <w:t>Column mapping, data cleaning, quality assessment, statistical analysis, visualisation, and data dictionary are available in a reduced form until the schema is confirmed.</w:t>
      </w:r>
    </w:p>
    <w:sectPr w:rsidR="007277F7" w:rsidRPr="000F7B3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905868">
    <w:abstractNumId w:val="8"/>
  </w:num>
  <w:num w:numId="2" w16cid:durableId="27459641">
    <w:abstractNumId w:val="6"/>
  </w:num>
  <w:num w:numId="3" w16cid:durableId="817116949">
    <w:abstractNumId w:val="5"/>
  </w:num>
  <w:num w:numId="4" w16cid:durableId="593703825">
    <w:abstractNumId w:val="4"/>
  </w:num>
  <w:num w:numId="5" w16cid:durableId="1033846772">
    <w:abstractNumId w:val="7"/>
  </w:num>
  <w:num w:numId="6" w16cid:durableId="627004363">
    <w:abstractNumId w:val="3"/>
  </w:num>
  <w:num w:numId="7" w16cid:durableId="1834949230">
    <w:abstractNumId w:val="2"/>
  </w:num>
  <w:num w:numId="8" w16cid:durableId="168066010">
    <w:abstractNumId w:val="1"/>
  </w:num>
  <w:num w:numId="9" w16cid:durableId="179648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B39"/>
    <w:rsid w:val="0015074B"/>
    <w:rsid w:val="00241CC5"/>
    <w:rsid w:val="0029639D"/>
    <w:rsid w:val="00326F90"/>
    <w:rsid w:val="00346DE9"/>
    <w:rsid w:val="007277F7"/>
    <w:rsid w:val="00AA1D8D"/>
    <w:rsid w:val="00B47730"/>
    <w:rsid w:val="00BC052A"/>
    <w:rsid w:val="00C11B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63FEC6-A6C7-4D35-BA07-1CDE1D11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787</Words>
  <Characters>5108</Characters>
  <Application>Microsoft Office Word</Application>
  <DocSecurity>0</DocSecurity>
  <Lines>196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Luqman Zulkefli</cp:lastModifiedBy>
  <cp:revision>4</cp:revision>
  <dcterms:created xsi:type="dcterms:W3CDTF">2013-12-23T23:15:00Z</dcterms:created>
  <dcterms:modified xsi:type="dcterms:W3CDTF">2026-05-12T00:44:00Z</dcterms:modified>
  <cp:category/>
</cp:coreProperties>
</file>