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Data Handling Policy</w:t>
      </w:r>
    </w:p>
    <w:p>
      <w:r>
        <w:t>This is a synthetic document created for software demonstration. It describes a fictional company, Example Trading Co., and is not a real policy.</w:t>
      </w:r>
    </w:p>
    <w:p>
      <w:r>
        <w:t>Policy owner: Head of Information Security (fictional role).</w:t>
      </w:r>
    </w:p>
    <w:p>
      <w:r>
        <w:t>Effective date: 01/03/2026. Next review date: 01/03/2027.</w:t>
      </w:r>
    </w:p>
    <w:p>
      <w:pPr>
        <w:pStyle w:val="Heading1"/>
      </w:pPr>
      <w:r>
        <w:t>1. Purpose</w:t>
      </w:r>
    </w:p>
    <w:p>
      <w:r>
        <w:t>This policy sets expectations for how vendors handle data shared by Example Trading Co.</w:t>
      </w:r>
    </w:p>
    <w:p>
      <w:pPr>
        <w:pStyle w:val="Heading1"/>
      </w:pPr>
      <w:r>
        <w:t>2. Data retention</w:t>
      </w:r>
    </w:p>
    <w:p>
      <w:r>
        <w:t>Vendors keep shared data only for as long as the contract requires. Retention periods are listed in each data sharing schedule.</w:t>
      </w:r>
    </w:p>
    <w:p>
      <w:r>
        <w:t>At the end of the contract, vendors return or delete data within 30 days and confirm deletion in writing.</w:t>
      </w:r>
    </w:p>
    <w:p>
      <w:pPr>
        <w:pStyle w:val="Heading1"/>
      </w:pPr>
      <w:r>
        <w:t>3. Security incidents</w:t>
      </w:r>
    </w:p>
    <w:p>
      <w:r>
        <w:t>Vendors must notify Example Trading Co. of any security incident affecting shared data without undue delay.</w:t>
      </w:r>
    </w:p>
    <w:p>
      <w:r>
        <w:t>Our systems are 100% secure, so incidents are not expected.</w:t>
      </w:r>
    </w:p>
    <w:p>
      <w:pPr>
        <w:pStyle w:val="Heading1"/>
      </w:pPr>
      <w:r>
        <w:t>4. Subcontractors</w:t>
      </w:r>
    </w:p>
    <w:p>
      <w:r>
        <w:t>Vendors may use subcontractors only with prior written approval.</w:t>
      </w:r>
    </w:p>
    <w:p>
      <w:r>
        <w:t>سياسة تجريبية — محتوى توضيحي اصطناعي وليس إرشاداً قانونياً.</w:t>
      </w:r>
    </w:p>
    <w:p>
      <w:r>
        <w:t>مالك السياسة: رئيس أمن المعلومات (دور خيالي).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