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-500-historical-analysis-18712023"/>
    <w:p>
      <w:pPr>
        <w:pStyle w:val="Heading1"/>
      </w:pPr>
      <w:r>
        <w:t xml:space="preserve">S&amp;P 500 Historical Analysis (1871–2023)</w:t>
      </w:r>
    </w:p>
    <w:bookmarkStart w:id="20" w:name="X96b23c4fdd0d647539bb83bf6e11782430e4228"/>
    <w:p>
      <w:pPr>
        <w:pStyle w:val="Heading3"/>
      </w:pPr>
      <w:r>
        <w:t xml:space="preserve">Long-Term Market Behavior and Investment Implications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report analyzes historical data of the S&amp;P 500 from</w:t>
      </w:r>
      <w:r>
        <w:t xml:space="preserve"> </w:t>
      </w:r>
      <w:r>
        <w:rPr>
          <w:b/>
          <w:bCs/>
        </w:rPr>
        <w:t xml:space="preserve">1871 to 2023</w:t>
      </w:r>
      <w:r>
        <w:t xml:space="preserve">. The goal is to understand long‑term market behavior, valuation cycles, drawdowns, and macroeconomic relationships in order to support</w:t>
      </w:r>
      <w:r>
        <w:t xml:space="preserve"> </w:t>
      </w:r>
      <w:r>
        <w:rPr>
          <w:b/>
          <w:bCs/>
        </w:rPr>
        <w:t xml:space="preserve">data‑driven investment decisions</w:t>
      </w:r>
      <w:r>
        <w:t xml:space="preserve">.</w:t>
      </w:r>
    </w:p>
    <w:p>
      <w:pPr>
        <w:pStyle w:val="BodyText"/>
      </w:pPr>
      <w:r>
        <w:t xml:space="preserve">The analysis focuses on:</w:t>
      </w:r>
    </w:p>
    <w:p>
      <w:pPr>
        <w:pStyle w:val="Compact"/>
        <w:numPr>
          <w:ilvl w:val="0"/>
          <w:numId w:val="1001"/>
        </w:numPr>
      </w:pPr>
      <w:r>
        <w:t xml:space="preserve">Long‑term returns</w:t>
      </w:r>
    </w:p>
    <w:p>
      <w:pPr>
        <w:pStyle w:val="Compact"/>
        <w:numPr>
          <w:ilvl w:val="0"/>
          <w:numId w:val="1001"/>
        </w:numPr>
      </w:pPr>
      <w:r>
        <w:t xml:space="preserve">Market crashes and bear markets</w:t>
      </w:r>
    </w:p>
    <w:p>
      <w:pPr>
        <w:pStyle w:val="Compact"/>
        <w:numPr>
          <w:ilvl w:val="0"/>
          <w:numId w:val="1001"/>
        </w:numPr>
      </w:pPr>
      <w:r>
        <w:t xml:space="preserve">Decade‑level performance</w:t>
      </w:r>
    </w:p>
    <w:p>
      <w:pPr>
        <w:pStyle w:val="Compact"/>
        <w:numPr>
          <w:ilvl w:val="0"/>
          <w:numId w:val="1001"/>
        </w:numPr>
      </w:pPr>
      <w:r>
        <w:t xml:space="preserve">Shiller PE (PE10) valuation</w:t>
      </w:r>
    </w:p>
    <w:p>
      <w:pPr>
        <w:pStyle w:val="Compact"/>
        <w:numPr>
          <w:ilvl w:val="0"/>
          <w:numId w:val="1001"/>
        </w:numPr>
      </w:pPr>
      <w:r>
        <w:t xml:space="preserve">Interest rate effects</w:t>
      </w:r>
    </w:p>
    <w:p>
      <w:pPr>
        <w:pStyle w:val="Compact"/>
        <w:numPr>
          <w:ilvl w:val="0"/>
          <w:numId w:val="1001"/>
        </w:numPr>
      </w:pPr>
      <w:r>
        <w:t xml:space="preserve">Dividend and earnings yield trends</w:t>
      </w:r>
    </w:p>
    <w:p>
      <w:pPr>
        <w:pStyle w:val="Compact"/>
        <w:numPr>
          <w:ilvl w:val="0"/>
          <w:numId w:val="1001"/>
        </w:numPr>
      </w:pPr>
      <w:r>
        <w:t xml:space="preserve">Drawdown and recovery cycles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longterm-market-statistics"/>
    <w:p>
      <w:pPr>
        <w:pStyle w:val="Heading1"/>
      </w:pPr>
      <w:r>
        <w:t xml:space="preserve">2. Long‑Term Market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Real (Inflation Adjusted)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Annual Return</w:t>
            </w:r>
          </w:p>
        </w:tc>
        <w:tc>
          <w:tcPr/>
          <w:p>
            <w:pPr>
              <w:pStyle w:val="Compact"/>
            </w:pPr>
            <w:r>
              <w:t xml:space="preserve">8.45%</w:t>
            </w:r>
          </w:p>
        </w:tc>
        <w:tc>
          <w:tcPr/>
          <w:p>
            <w:pPr>
              <w:pStyle w:val="Compact"/>
            </w:pPr>
            <w:r>
              <w:t xml:space="preserve">6.78%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Annual Return</w:t>
            </w:r>
          </w:p>
        </w:tc>
        <w:tc>
          <w:tcPr/>
          <w:p>
            <w:pPr>
              <w:pStyle w:val="Compact"/>
            </w:pPr>
            <w:r>
              <w:t xml:space="preserve">10.64%</w:t>
            </w:r>
          </w:p>
        </w:tc>
        <w:tc>
          <w:tcPr/>
          <w:p>
            <w:pPr>
              <w:pStyle w:val="Compact"/>
            </w:pPr>
            <w:r>
              <w:t xml:space="preserve">8.92%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Year</w:t>
            </w:r>
          </w:p>
        </w:tc>
        <w:tc>
          <w:tcPr/>
          <w:p>
            <w:pPr>
              <w:pStyle w:val="Compact"/>
            </w:pPr>
            <w:r>
              <w:t xml:space="preserve">46.19% (1933)</w:t>
            </w:r>
          </w:p>
        </w:tc>
        <w:tc>
          <w:tcPr/>
          <w:p>
            <w:pPr>
              <w:pStyle w:val="Compact"/>
            </w:pPr>
            <w:r>
              <w:t xml:space="preserve">45.08% (1933)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Year</w:t>
            </w:r>
          </w:p>
        </w:tc>
        <w:tc>
          <w:tcPr/>
          <w:p>
            <w:pPr>
              <w:pStyle w:val="Compact"/>
            </w:pPr>
            <w:r>
              <w:t xml:space="preserve">-45.58% (1931)</w:t>
            </w:r>
          </w:p>
        </w:tc>
        <w:tc>
          <w:tcPr/>
          <w:p>
            <w:pPr>
              <w:pStyle w:val="Compact"/>
            </w:pPr>
            <w:r>
              <w:t xml:space="preserve">-41.25% (1917)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Years</w:t>
            </w:r>
          </w:p>
        </w:tc>
        <w:tc>
          <w:tcPr/>
          <w:p>
            <w:pPr>
              <w:pStyle w:val="Compact"/>
            </w:pPr>
            <w:r>
              <w:t xml:space="preserve">67.3%</w:t>
            </w:r>
          </w:p>
        </w:tc>
        <w:tc>
          <w:tcPr/>
          <w:p>
            <w:pPr>
              <w:pStyle w:val="Compact"/>
            </w:pPr>
            <w:r>
              <w:t xml:space="preserve">64.7%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Years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35.3%</w:t>
            </w:r>
          </w:p>
        </w:tc>
      </w:tr>
    </w:tbl>
    <w:bookmarkStart w:id="23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Over the long run, the market shows a</w:t>
      </w:r>
      <w:r>
        <w:t xml:space="preserve"> </w:t>
      </w:r>
      <w:r>
        <w:rPr>
          <w:b/>
          <w:bCs/>
        </w:rPr>
        <w:t xml:space="preserve">strong upward bias</w:t>
      </w:r>
      <w:r>
        <w:t xml:space="preserve">, with approximately</w:t>
      </w:r>
      <w:r>
        <w:t xml:space="preserve"> </w:t>
      </w:r>
      <w:r>
        <w:rPr>
          <w:b/>
          <w:bCs/>
        </w:rPr>
        <w:t xml:space="preserve">two‑thirds of all years producing positive returns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arket-cycles"/>
    <w:p>
      <w:pPr>
        <w:pStyle w:val="Heading1"/>
      </w:pPr>
      <w:r>
        <w:t xml:space="preserve">3. Market Cycles</w:t>
      </w:r>
    </w:p>
    <w:bookmarkStart w:id="25" w:name="Xf8df387052d0c475725f2c7e96db309b5ed41e2"/>
    <w:p>
      <w:pPr>
        <w:pStyle w:val="Heading2"/>
      </w:pPr>
      <w:r>
        <w:t xml:space="preserve">Major Crash Years (Declines Greater Than 30%)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Market Decline</w:t>
            </w:r>
          </w:p>
        </w:tc>
        <w:tc>
          <w:tcPr/>
          <w:p>
            <w:pPr>
              <w:pStyle w:val="Compact"/>
            </w:pPr>
            <w:r>
              <w:t xml:space="preserve">Primary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1931</w:t>
            </w:r>
          </w:p>
        </w:tc>
        <w:tc>
          <w:tcPr/>
          <w:p>
            <w:pPr>
              <w:pStyle w:val="Compact"/>
            </w:pPr>
            <w:r>
              <w:t xml:space="preserve">-45.6%</w:t>
            </w:r>
          </w:p>
        </w:tc>
        <w:tc>
          <w:tcPr/>
          <w:p>
            <w:pPr>
              <w:pStyle w:val="Compact"/>
            </w:pPr>
            <w:r>
              <w:t xml:space="preserve">Great 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-40.7%</w:t>
            </w:r>
          </w:p>
        </w:tc>
        <w:tc>
          <w:tcPr/>
          <w:p>
            <w:pPr>
              <w:pStyle w:val="Compact"/>
            </w:pPr>
            <w:r>
              <w:t xml:space="preserve">Global Financial Crisis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1937</w:t>
            </w:r>
          </w:p>
        </w:tc>
        <w:tc>
          <w:tcPr/>
          <w:p>
            <w:pPr>
              <w:pStyle w:val="Compact"/>
            </w:pPr>
            <w:r>
              <w:t xml:space="preserve">-35.4%</w:t>
            </w:r>
          </w:p>
        </w:tc>
        <w:tc>
          <w:tcPr/>
          <w:p>
            <w:pPr>
              <w:pStyle w:val="Compact"/>
            </w:pPr>
            <w:r>
              <w:t xml:space="preserve">Second Depression Shock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1907</w:t>
            </w:r>
          </w:p>
        </w:tc>
        <w:tc>
          <w:tcPr/>
          <w:p>
            <w:pPr>
              <w:pStyle w:val="Compact"/>
            </w:pPr>
            <w:r>
              <w:t xml:space="preserve">-33.2%</w:t>
            </w:r>
          </w:p>
        </w:tc>
        <w:tc>
          <w:tcPr/>
          <w:p>
            <w:pPr>
              <w:pStyle w:val="Compact"/>
            </w:pPr>
            <w:r>
              <w:t xml:space="preserve">Banking Panic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1917</w:t>
            </w:r>
          </w:p>
        </w:tc>
        <w:tc>
          <w:tcPr/>
          <w:p>
            <w:pPr>
              <w:pStyle w:val="Compact"/>
            </w:pPr>
            <w:r>
              <w:t xml:space="preserve">-30.6%</w:t>
            </w:r>
          </w:p>
        </w:tc>
        <w:tc>
          <w:tcPr/>
          <w:p>
            <w:pPr>
              <w:pStyle w:val="Compact"/>
            </w:pPr>
            <w:r>
              <w:t xml:space="preserve">World War I</w:t>
            </w:r>
          </w:p>
        </w:tc>
      </w:tr>
    </w:tbl>
    <w:bookmarkEnd w:id="25"/>
    <w:bookmarkStart w:id="27" w:name="bear-markets-1530-declines"/>
    <w:p>
      <w:pPr>
        <w:pStyle w:val="Heading2"/>
      </w:pPr>
      <w:r>
        <w:t xml:space="preserve">Bear Markets (15–30% Declines)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Decline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-29.2%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1930</w:t>
            </w:r>
          </w:p>
        </w:tc>
        <w:tc>
          <w:tcPr/>
          <w:p>
            <w:pPr>
              <w:pStyle w:val="Compact"/>
            </w:pPr>
            <w:r>
              <w:t xml:space="preserve">-27.5%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-23.7%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-21.5%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1893</w:t>
            </w:r>
          </w:p>
        </w:tc>
        <w:tc>
          <w:tcPr/>
          <w:p>
            <w:pPr>
              <w:pStyle w:val="Compact"/>
            </w:pPr>
            <w:r>
              <w:t xml:space="preserve">-19.9%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-19.3%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-16.3%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1941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</w:tr>
    </w:tbl>
    <w:bookmarkStart w:id="26" w:name="historical-pattern"/>
    <w:p>
      <w:pPr>
        <w:pStyle w:val="Heading3"/>
      </w:pPr>
      <w:r>
        <w:t xml:space="preserve">Historical Pattern</w:t>
      </w:r>
    </w:p>
    <w:p>
      <w:pPr>
        <w:pStyle w:val="Compact"/>
        <w:numPr>
          <w:ilvl w:val="0"/>
          <w:numId w:val="1002"/>
        </w:numPr>
      </w:pPr>
      <w:r>
        <w:t xml:space="preserve">Bear markets occur roughly</w:t>
      </w:r>
      <w:r>
        <w:t xml:space="preserve"> </w:t>
      </w:r>
      <w:r>
        <w:rPr>
          <w:b/>
          <w:bCs/>
        </w:rPr>
        <w:t xml:space="preserve">every 4–5 years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Major crashes occur approximately</w:t>
      </w:r>
      <w:r>
        <w:t xml:space="preserve"> </w:t>
      </w:r>
      <w:r>
        <w:rPr>
          <w:b/>
          <w:bCs/>
        </w:rPr>
        <w:t xml:space="preserve">every 15–20 years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decade-performance-analysis"/>
    <w:p>
      <w:pPr>
        <w:pStyle w:val="Heading1"/>
      </w:pPr>
      <w:r>
        <w:t xml:space="preserve">4. Decade Performance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Decade</w:t>
            </w:r>
          </w:p>
        </w:tc>
        <w:tc>
          <w:tcPr/>
          <w:p>
            <w:pPr>
              <w:pStyle w:val="Compact"/>
            </w:pPr>
            <w:r>
              <w:t xml:space="preserve">Avg Annual Return</w:t>
            </w:r>
          </w:p>
        </w:tc>
        <w:tc>
          <w:tcPr/>
          <w:p>
            <w:pPr>
              <w:pStyle w:val="Compact"/>
            </w:pPr>
            <w:r>
              <w:t xml:space="preserve">Starting PE10</w:t>
            </w:r>
          </w:p>
        </w:tc>
        <w:tc>
          <w:tcPr/>
          <w:p>
            <w:pPr>
              <w:pStyle w:val="Compact"/>
            </w:pPr>
            <w:r>
              <w:t xml:space="preserve">Ending PE10</w:t>
            </w:r>
          </w:p>
        </w:tc>
        <w:tc>
          <w:tcPr/>
          <w:p>
            <w:pPr>
              <w:pStyle w:val="Compact"/>
            </w:pPr>
            <w:r>
              <w:t xml:space="preserve">Market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1870–1880</w:t>
            </w:r>
          </w:p>
        </w:tc>
        <w:tc>
          <w:tcPr/>
          <w:p>
            <w:pPr>
              <w:pStyle w:val="Compact"/>
            </w:pPr>
            <w:r>
              <w:t xml:space="preserve">1.82%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Weak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1880–1890</w:t>
            </w:r>
          </w:p>
        </w:tc>
        <w:tc>
          <w:tcPr/>
          <w:p>
            <w:pPr>
              <w:pStyle w:val="Compact"/>
            </w:pPr>
            <w:r>
              <w:t xml:space="preserve">1.42%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Weak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1890–1900</w:t>
            </w:r>
          </w:p>
        </w:tc>
        <w:tc>
          <w:tcPr/>
          <w:p>
            <w:pPr>
              <w:pStyle w:val="Compact"/>
            </w:pPr>
            <w:r>
              <w:t xml:space="preserve">1.97%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24.9</w:t>
            </w:r>
          </w:p>
        </w:tc>
        <w:tc>
          <w:tcPr/>
          <w:p>
            <w:pPr>
              <w:pStyle w:val="Compact"/>
            </w:pPr>
            <w:r>
              <w:t xml:space="preserve">Weak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1900–1910</w:t>
            </w:r>
          </w:p>
        </w:tc>
        <w:tc>
          <w:tcPr/>
          <w:p>
            <w:pPr>
              <w:pStyle w:val="Compact"/>
            </w:pPr>
            <w:r>
              <w:t xml:space="preserve">7.53%</w:t>
            </w:r>
          </w:p>
        </w:tc>
        <w:tc>
          <w:tcPr/>
          <w:p>
            <w:pPr>
              <w:pStyle w:val="Compact"/>
            </w:pPr>
            <w:r>
              <w:t xml:space="preserve">24.9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1910–1920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War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1920–1930</w:t>
            </w:r>
          </w:p>
        </w:tc>
        <w:tc>
          <w:tcPr/>
          <w:p>
            <w:pPr>
              <w:pStyle w:val="Compact"/>
            </w:pPr>
            <w:r>
              <w:t xml:space="preserve">10.54%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Roaring 20s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1930–1940</w:t>
            </w:r>
          </w:p>
        </w:tc>
        <w:tc>
          <w:tcPr/>
          <w:p>
            <w:pPr>
              <w:pStyle w:val="Compact"/>
            </w:pPr>
            <w:r>
              <w:t xml:space="preserve">-0.44%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Great 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1940–1950</w:t>
            </w:r>
          </w:p>
        </w:tc>
        <w:tc>
          <w:tcPr/>
          <w:p>
            <w:pPr>
              <w:pStyle w:val="Compact"/>
            </w:pPr>
            <w:r>
              <w:t xml:space="preserve">4.06%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War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1950–1960</w:t>
            </w:r>
          </w:p>
        </w:tc>
        <w:tc>
          <w:tcPr/>
          <w:p>
            <w:pPr>
              <w:pStyle w:val="Compact"/>
            </w:pPr>
            <w:r>
              <w:t xml:space="preserve">14.74%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Strong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1960–1970</w:t>
            </w:r>
          </w:p>
        </w:tc>
        <w:tc>
          <w:tcPr/>
          <w:p>
            <w:pPr>
              <w:pStyle w:val="Compact"/>
            </w:pPr>
            <w:r>
              <w:t xml:space="preserve">5.38%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1970–1980</w:t>
            </w:r>
          </w:p>
        </w:tc>
        <w:tc>
          <w:tcPr/>
          <w:p>
            <w:pPr>
              <w:pStyle w:val="Compact"/>
            </w:pPr>
            <w:r>
              <w:t xml:space="preserve">3.34%</w:t>
            </w:r>
          </w:p>
        </w:tc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Stagflation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1980–1990</w:t>
            </w:r>
          </w:p>
        </w:tc>
        <w:tc>
          <w:tcPr/>
          <w:p>
            <w:pPr>
              <w:pStyle w:val="Compact"/>
            </w:pPr>
            <w:r>
              <w:t xml:space="preserve">13.09%</w:t>
            </w:r>
          </w:p>
        </w:tc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t xml:space="preserve">Bull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1990–2000</w:t>
            </w:r>
          </w:p>
        </w:tc>
        <w:tc>
          <w:tcPr/>
          <w:p>
            <w:pPr>
              <w:pStyle w:val="Compact"/>
            </w:pPr>
            <w:r>
              <w:t xml:space="preserve">15.84%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Dot‑com boom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2000–2010</w:t>
            </w:r>
          </w:p>
        </w:tc>
        <w:tc>
          <w:tcPr/>
          <w:p>
            <w:pPr>
              <w:pStyle w:val="Compact"/>
            </w:pPr>
            <w:r>
              <w:t xml:space="preserve">-0.34%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24.7</w:t>
            </w:r>
          </w:p>
        </w:tc>
        <w:tc>
          <w:tcPr/>
          <w:p>
            <w:pPr>
              <w:pStyle w:val="Compact"/>
            </w:pPr>
            <w:r>
              <w:t xml:space="preserve">Lost decade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2010–2020</w:t>
            </w:r>
          </w:p>
        </w:tc>
        <w:tc>
          <w:tcPr/>
          <w:p>
            <w:pPr>
              <w:pStyle w:val="Compact"/>
            </w:pPr>
            <w:r>
              <w:t xml:space="preserve">11.51%</w:t>
            </w:r>
          </w:p>
        </w:tc>
        <w:tc>
          <w:tcPr/>
          <w:p>
            <w:pPr>
              <w:pStyle w:val="Compact"/>
            </w:pPr>
            <w:r>
              <w:t xml:space="preserve">24.7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</w:p>
        </w:tc>
        <w:tc>
          <w:tcPr/>
          <w:p>
            <w:pPr>
              <w:pStyle w:val="Compact"/>
            </w:pPr>
            <w:r>
              <w:t xml:space="preserve">Tech growth</w:t>
            </w:r>
          </w:p>
        </w:tc>
      </w:tr>
    </w:tbl>
    <w:bookmarkStart w:id="29" w:name="key-observations"/>
    <w:p>
      <w:pPr>
        <w:pStyle w:val="Heading3"/>
      </w:pPr>
      <w:r>
        <w:t xml:space="preserve">Key Observations</w:t>
      </w:r>
    </w:p>
    <w:p>
      <w:pPr>
        <w:pStyle w:val="FirstParagraph"/>
      </w:pPr>
      <w:r>
        <w:t xml:space="preserve">Negative decades historically appear</w:t>
      </w:r>
      <w:r>
        <w:t xml:space="preserve"> </w:t>
      </w:r>
      <w:r>
        <w:rPr>
          <w:b/>
          <w:bCs/>
        </w:rPr>
        <w:t xml:space="preserve">every 30–40 years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hiller-pe-pe10-valuation-analysis"/>
    <w:p>
      <w:pPr>
        <w:pStyle w:val="Heading1"/>
      </w:pPr>
      <w:r>
        <w:t xml:space="preserve">5. Shiller PE (PE10) Valuation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Shiller PE ratio (CAPE)</w:t>
      </w:r>
      <w:r>
        <w:t xml:space="preserve"> </w:t>
      </w:r>
      <w:r>
        <w:t xml:space="preserve">compares price to the inflation‑adjusted average earnings of the past 10 years.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PE10 Range</w:t>
            </w:r>
          </w:p>
        </w:tc>
        <w:tc>
          <w:tcPr/>
          <w:p>
            <w:pPr>
              <w:pStyle w:val="Compact"/>
            </w:pPr>
            <w:r>
              <w:t xml:space="preserve">Valuation</w:t>
            </w:r>
          </w:p>
        </w:tc>
        <w:tc>
          <w:tcPr/>
          <w:p>
            <w:pPr>
              <w:pStyle w:val="Compact"/>
            </w:pPr>
            <w:r>
              <w:t xml:space="preserve">Investment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15</w:t>
            </w:r>
          </w:p>
        </w:tc>
        <w:tc>
          <w:tcPr/>
          <w:p>
            <w:pPr>
              <w:pStyle w:val="Compact"/>
            </w:pPr>
            <w:r>
              <w:t xml:space="preserve">Undervalued</w:t>
            </w:r>
          </w:p>
        </w:tc>
        <w:tc>
          <w:tcPr/>
          <w:p>
            <w:pPr>
              <w:pStyle w:val="Compact"/>
            </w:pPr>
            <w:r>
              <w:t xml:space="preserve">Strong buying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t xml:space="preserve">Fair value</w:t>
            </w:r>
          </w:p>
        </w:tc>
        <w:tc>
          <w:tcPr/>
          <w:p>
            <w:pPr>
              <w:pStyle w:val="Compact"/>
            </w:pPr>
            <w:r>
              <w:t xml:space="preserve">Normal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  <w:r>
              <w:t xml:space="preserve">Slightly expensive</w:t>
            </w:r>
          </w:p>
        </w:tc>
        <w:tc>
          <w:tcPr/>
          <w:p>
            <w:pPr>
              <w:pStyle w:val="Compact"/>
            </w:pPr>
            <w:r>
              <w:t xml:space="preserve">Caution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25–30</w:t>
            </w:r>
          </w:p>
        </w:tc>
        <w:tc>
          <w:tcPr/>
          <w:p>
            <w:pPr>
              <w:pStyle w:val="Compact"/>
            </w:pPr>
            <w:r>
              <w:t xml:space="preserve">Overvalued</w:t>
            </w:r>
          </w:p>
        </w:tc>
        <w:tc>
          <w:tcPr/>
          <w:p>
            <w:pPr>
              <w:pStyle w:val="Compact"/>
            </w:pPr>
            <w:r>
              <w:t xml:space="preserve">Reduce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30</w:t>
            </w:r>
          </w:p>
        </w:tc>
        <w:tc>
          <w:tcPr/>
          <w:p>
            <w:pPr>
              <w:pStyle w:val="Compact"/>
            </w:pPr>
            <w:r>
              <w:t xml:space="preserve">Extremely overvalued</w:t>
            </w:r>
          </w:p>
        </w:tc>
        <w:tc>
          <w:tcPr/>
          <w:p>
            <w:pPr>
              <w:pStyle w:val="Compact"/>
            </w:pPr>
            <w:r>
              <w:t xml:space="preserve">High risk</w:t>
            </w:r>
          </w:p>
        </w:tc>
      </w:tr>
    </w:tbl>
    <w:bookmarkStart w:id="31" w:name="current-valuation-2023"/>
    <w:p>
      <w:pPr>
        <w:pStyle w:val="Heading3"/>
      </w:pPr>
      <w:r>
        <w:t xml:space="preserve">Current Valuation (2023)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PE10: 33.25</w:t>
      </w:r>
    </w:p>
    <w:p>
      <w:pPr>
        <w:pStyle w:val="Compact"/>
        <w:numPr>
          <w:ilvl w:val="0"/>
          <w:numId w:val="1003"/>
        </w:numPr>
      </w:pPr>
      <w:r>
        <w:t xml:space="preserve">Historical average:</w:t>
      </w:r>
      <w:r>
        <w:t xml:space="preserve"> </w:t>
      </w:r>
      <w:r>
        <w:rPr>
          <w:b/>
          <w:bCs/>
        </w:rPr>
        <w:t xml:space="preserve">16.8</w:t>
      </w:r>
    </w:p>
    <w:p>
      <w:pPr>
        <w:pStyle w:val="Compact"/>
        <w:numPr>
          <w:ilvl w:val="0"/>
          <w:numId w:val="1003"/>
        </w:numPr>
      </w:pPr>
      <w:r>
        <w:t xml:space="preserve">Historical median:</w:t>
      </w:r>
      <w:r>
        <w:t xml:space="preserve"> </w:t>
      </w:r>
      <w:r>
        <w:rPr>
          <w:b/>
          <w:bCs/>
        </w:rPr>
        <w:t xml:space="preserve">15.9</w:t>
      </w:r>
    </w:p>
    <w:p>
      <w:pPr>
        <w:pStyle w:val="FirstParagraph"/>
      </w:pPr>
      <w:r>
        <w:t xml:space="preserve">This places the market in the</w:t>
      </w:r>
      <w:r>
        <w:t xml:space="preserve"> </w:t>
      </w:r>
      <w:r>
        <w:rPr>
          <w:b/>
          <w:bCs/>
        </w:rPr>
        <w:t xml:space="preserve">top decile of historical valuations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interest-rates-and-market-performance"/>
    <w:p>
      <w:pPr>
        <w:pStyle w:val="Heading1"/>
      </w:pPr>
      <w:r>
        <w:t xml:space="preserve">6. Interest Rates and Market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Interest Rate Environment</w:t>
            </w:r>
          </w:p>
        </w:tc>
        <w:tc>
          <w:tcPr/>
          <w:p>
            <w:pPr>
              <w:pStyle w:val="Compact"/>
            </w:pPr>
            <w:r>
              <w:t xml:space="preserve">Average Market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1871–1900</w:t>
            </w:r>
          </w:p>
        </w:tc>
        <w:tc>
          <w:tcPr/>
          <w:p>
            <w:pPr>
              <w:pStyle w:val="Compact"/>
            </w:pPr>
            <w:r>
              <w:t xml:space="preserve">3.5–4.5%</w:t>
            </w:r>
          </w:p>
        </w:tc>
        <w:tc>
          <w:tcPr/>
          <w:p>
            <w:pPr>
              <w:pStyle w:val="Compact"/>
            </w:pPr>
            <w:r>
              <w:t xml:space="preserve">2–4%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1901–1920</w:t>
            </w:r>
          </w:p>
        </w:tc>
        <w:tc>
          <w:tcPr/>
          <w:p>
            <w:pPr>
              <w:pStyle w:val="Compact"/>
            </w:pPr>
            <w:r>
              <w:t xml:space="preserve">3.5–5%</w:t>
            </w:r>
          </w:p>
        </w:tc>
        <w:tc>
          <w:tcPr/>
          <w:p>
            <w:pPr>
              <w:pStyle w:val="Compact"/>
            </w:pPr>
            <w:r>
              <w:t xml:space="preserve">3–5%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1921–1940</w:t>
            </w:r>
          </w:p>
        </w:tc>
        <w:tc>
          <w:tcPr/>
          <w:p>
            <w:pPr>
              <w:pStyle w:val="Compact"/>
            </w:pPr>
            <w:r>
              <w:t xml:space="preserve">2.5–3.5%</w:t>
            </w:r>
          </w:p>
        </w:tc>
        <w:tc>
          <w:tcPr/>
          <w:p>
            <w:pPr>
              <w:pStyle w:val="Compact"/>
            </w:pPr>
            <w:r>
              <w:t xml:space="preserve">4–6%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1941–1960</w:t>
            </w:r>
          </w:p>
        </w:tc>
        <w:tc>
          <w:tcPr/>
          <w:p>
            <w:pPr>
              <w:pStyle w:val="Compact"/>
            </w:pPr>
            <w:r>
              <w:t xml:space="preserve">2–3%</w:t>
            </w:r>
          </w:p>
        </w:tc>
        <w:tc>
          <w:tcPr/>
          <w:p>
            <w:pPr>
              <w:pStyle w:val="Compact"/>
            </w:pPr>
            <w:r>
              <w:t xml:space="preserve">10–14%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1961–1980</w:t>
            </w:r>
          </w:p>
        </w:tc>
        <w:tc>
          <w:tcPr/>
          <w:p>
            <w:pPr>
              <w:pStyle w:val="Compact"/>
            </w:pPr>
            <w:r>
              <w:t xml:space="preserve">4–8%</w:t>
            </w:r>
          </w:p>
        </w:tc>
        <w:tc>
          <w:tcPr/>
          <w:p>
            <w:pPr>
              <w:pStyle w:val="Compact"/>
            </w:pPr>
            <w:r>
              <w:t xml:space="preserve">5–7%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1981–2000</w:t>
            </w:r>
          </w:p>
        </w:tc>
        <w:tc>
          <w:tcPr/>
          <w:p>
            <w:pPr>
              <w:pStyle w:val="Compact"/>
            </w:pPr>
            <w:r>
              <w:t xml:space="preserve">8–13% → 5%</w:t>
            </w:r>
          </w:p>
        </w:tc>
        <w:tc>
          <w:tcPr/>
          <w:p>
            <w:pPr>
              <w:pStyle w:val="Compact"/>
            </w:pPr>
            <w:r>
              <w:t xml:space="preserve">13–16%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2001–2020</w:t>
            </w:r>
          </w:p>
        </w:tc>
        <w:tc>
          <w:tcPr/>
          <w:p>
            <w:pPr>
              <w:pStyle w:val="Compact"/>
            </w:pPr>
            <w:r>
              <w:t xml:space="preserve">1–5%</w:t>
            </w:r>
          </w:p>
        </w:tc>
        <w:tc>
          <w:tcPr/>
          <w:p>
            <w:pPr>
              <w:pStyle w:val="Compact"/>
            </w:pPr>
            <w:r>
              <w:t xml:space="preserve">4–6%</w:t>
            </w:r>
          </w:p>
        </w:tc>
      </w:tr>
    </w:tbl>
    <w:bookmarkStart w:id="33" w:name="observations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04"/>
        </w:numPr>
      </w:pPr>
      <w:r>
        <w:t xml:space="preserve">Falling interest rates historically correlate with</w:t>
      </w:r>
      <w:r>
        <w:t xml:space="preserve"> </w:t>
      </w:r>
      <w:r>
        <w:rPr>
          <w:b/>
          <w:bCs/>
        </w:rPr>
        <w:t xml:space="preserve">strong equity performance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Rapid rate increases often trigger</w:t>
      </w:r>
      <w:r>
        <w:t xml:space="preserve"> </w:t>
      </w:r>
      <w:r>
        <w:rPr>
          <w:b/>
          <w:bCs/>
        </w:rPr>
        <w:t xml:space="preserve">short‑term market declines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ividend-yield-trends"/>
    <w:p>
      <w:pPr>
        <w:pStyle w:val="Heading1"/>
      </w:pPr>
      <w:r>
        <w:t xml:space="preserve">7. Dividend Yield Trends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Average Dividend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1871–1900</w:t>
            </w:r>
          </w:p>
        </w:tc>
        <w:tc>
          <w:tcPr/>
          <w:p>
            <w:pPr>
              <w:pStyle w:val="Compact"/>
            </w:pPr>
            <w:r>
              <w:t xml:space="preserve">5–7%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1901–1940</w:t>
            </w:r>
          </w:p>
        </w:tc>
        <w:tc>
          <w:tcPr/>
          <w:p>
            <w:pPr>
              <w:pStyle w:val="Compact"/>
            </w:pPr>
            <w:r>
              <w:t xml:space="preserve">4–6%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1941–1970</w:t>
            </w:r>
          </w:p>
        </w:tc>
        <w:tc>
          <w:tcPr/>
          <w:p>
            <w:pPr>
              <w:pStyle w:val="Compact"/>
            </w:pPr>
            <w:r>
              <w:t xml:space="preserve">3–5%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1971–1990</w:t>
            </w:r>
          </w:p>
        </w:tc>
        <w:tc>
          <w:tcPr/>
          <w:p>
            <w:pPr>
              <w:pStyle w:val="Compact"/>
            </w:pPr>
            <w:r>
              <w:t xml:space="preserve">3–4%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1991–2000</w:t>
            </w:r>
          </w:p>
        </w:tc>
        <w:tc>
          <w:tcPr/>
          <w:p>
            <w:pPr>
              <w:pStyle w:val="Compact"/>
            </w:pPr>
            <w:r>
              <w:t xml:space="preserve">1.5–2.5%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2001–2023</w:t>
            </w:r>
          </w:p>
        </w:tc>
        <w:tc>
          <w:tcPr/>
          <w:p>
            <w:pPr>
              <w:pStyle w:val="Compact"/>
            </w:pPr>
            <w:r>
              <w:t xml:space="preserve">1.5–2%</w:t>
            </w:r>
          </w:p>
        </w:tc>
      </w:tr>
    </w:tbl>
    <w:p>
      <w:pPr>
        <w:pStyle w:val="BodyText"/>
      </w:pPr>
      <w:r>
        <w:t xml:space="preserve">Historically,</w:t>
      </w:r>
      <w:r>
        <w:t xml:space="preserve"> </w:t>
      </w:r>
      <w:r>
        <w:rPr>
          <w:b/>
          <w:bCs/>
        </w:rPr>
        <w:t xml:space="preserve">dividends contributed roughly 40% of total returns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7" w:name="major-drawdowns"/>
    <w:p>
      <w:pPr>
        <w:pStyle w:val="Heading1"/>
      </w:pPr>
      <w:r>
        <w:t xml:space="preserve">8. Major Drawdowns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Recovery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1929–1932</w:t>
            </w:r>
          </w:p>
        </w:tc>
        <w:tc>
          <w:tcPr/>
          <w:p>
            <w:pPr>
              <w:pStyle w:val="Compact"/>
            </w:pPr>
            <w:r>
              <w:t xml:space="preserve">-70%</w:t>
            </w:r>
          </w:p>
        </w:tc>
        <w:tc>
          <w:tcPr/>
          <w:p>
            <w:pPr>
              <w:pStyle w:val="Compact"/>
            </w:pPr>
            <w:r>
              <w:t xml:space="preserve">22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1937–1938</w:t>
            </w:r>
          </w:p>
        </w:tc>
        <w:tc>
          <w:tcPr/>
          <w:p>
            <w:pPr>
              <w:pStyle w:val="Compact"/>
            </w:pPr>
            <w:r>
              <w:t xml:space="preserve">-52%</w:t>
            </w:r>
          </w:p>
        </w:tc>
        <w:tc>
          <w:tcPr/>
          <w:p>
            <w:pPr>
              <w:pStyle w:val="Compact"/>
            </w:pPr>
            <w:r>
              <w:t xml:space="preserve">8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1973–1974</w:t>
            </w:r>
          </w:p>
        </w:tc>
        <w:tc>
          <w:tcPr/>
          <w:p>
            <w:pPr>
              <w:pStyle w:val="Compact"/>
            </w:pPr>
            <w:r>
              <w:t xml:space="preserve">-43%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2007–2009</w:t>
            </w:r>
          </w:p>
        </w:tc>
        <w:tc>
          <w:tcPr/>
          <w:p>
            <w:pPr>
              <w:pStyle w:val="Compact"/>
            </w:pPr>
            <w:r>
              <w:t xml:space="preserve">-41%</w:t>
            </w:r>
          </w:p>
        </w:tc>
        <w:tc>
          <w:tcPr/>
          <w:p>
            <w:pPr>
              <w:pStyle w:val="Compact"/>
            </w:pPr>
            <w:r>
              <w:t xml:space="preserve">6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2000–2002</w:t>
            </w:r>
          </w:p>
        </w:tc>
        <w:tc>
          <w:tcPr/>
          <w:p>
            <w:pPr>
              <w:pStyle w:val="Compact"/>
            </w:pPr>
            <w:r>
              <w:t xml:space="preserve">-37%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</w:tbl>
    <w:bookmarkStart w:id="36" w:name="average-recovery-time"/>
    <w:p>
      <w:pPr>
        <w:pStyle w:val="Heading3"/>
      </w:pPr>
      <w:r>
        <w:t xml:space="preserve">Average Recovery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Recovery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5–7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8–10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10–15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15–20 years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longterm-investment-probability"/>
    <w:p>
      <w:pPr>
        <w:pStyle w:val="Heading1"/>
      </w:pPr>
      <w:r>
        <w:t xml:space="preserve">9. Long‑Term Investment Probability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Investment Horizon</w:t>
            </w:r>
          </w:p>
        </w:tc>
        <w:tc>
          <w:tcPr/>
          <w:p>
            <w:pPr>
              <w:pStyle w:val="Compact"/>
            </w:pPr>
            <w:r>
              <w:t xml:space="preserve">Probability of Positive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years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years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years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</w:tr>
    </w:tbl>
    <w:p>
      <w:pPr>
        <w:pStyle w:val="BodyText"/>
      </w:pPr>
      <w:r>
        <w:t xml:space="preserve">This demonstrates the power of</w:t>
      </w:r>
      <w:r>
        <w:t xml:space="preserve"> </w:t>
      </w:r>
      <w:r>
        <w:rPr>
          <w:b/>
          <w:bCs/>
        </w:rPr>
        <w:t xml:space="preserve">long‑term compounding and market growth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strategic-asset-allocation-example"/>
    <w:p>
      <w:pPr>
        <w:pStyle w:val="Heading1"/>
      </w:pPr>
      <w:r>
        <w:t xml:space="preserve">10. Strategic Asset Allocation (Example)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Class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Equities</w:t>
            </w:r>
          </w:p>
        </w:tc>
        <w:tc>
          <w:tcPr/>
          <w:p>
            <w:pPr>
              <w:pStyle w:val="Compact"/>
            </w:pPr>
            <w:r>
              <w:t xml:space="preserve">30–40%</w:t>
            </w:r>
          </w:p>
        </w:tc>
        <w:tc>
          <w:tcPr/>
          <w:p>
            <w:pPr>
              <w:pStyle w:val="Compact"/>
            </w:pPr>
            <w:r>
              <w:t xml:space="preserve">High valuation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Equities</w:t>
            </w:r>
          </w:p>
        </w:tc>
        <w:tc>
          <w:tcPr/>
          <w:p>
            <w:pPr>
              <w:pStyle w:val="Compact"/>
            </w:pPr>
            <w:r>
              <w:t xml:space="preserve">20–30%</w:t>
            </w:r>
          </w:p>
        </w:tc>
        <w:tc>
          <w:tcPr/>
          <w:p>
            <w:pPr>
              <w:pStyle w:val="Compact"/>
            </w:pPr>
            <w:r>
              <w:t xml:space="preserve">Lower valuations globally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Bonds</w:t>
            </w:r>
          </w:p>
        </w:tc>
        <w:tc>
          <w:tcPr/>
          <w:p>
            <w:pPr>
              <w:pStyle w:val="Compact"/>
            </w:pPr>
            <w:r>
              <w:t xml:space="preserve">20–30%</w:t>
            </w:r>
          </w:p>
        </w:tc>
        <w:tc>
          <w:tcPr/>
          <w:p>
            <w:pPr>
              <w:pStyle w:val="Compact"/>
            </w:pPr>
            <w:r>
              <w:t xml:space="preserve">Income and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10–20%</w:t>
            </w:r>
          </w:p>
        </w:tc>
        <w:tc>
          <w:tcPr/>
          <w:p>
            <w:pPr>
              <w:pStyle w:val="Compact"/>
            </w:pPr>
            <w:r>
              <w:t xml:space="preserve">Liquidity for market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/ Commodities</w:t>
            </w:r>
          </w:p>
        </w:tc>
        <w:tc>
          <w:tcPr/>
          <w:p>
            <w:pPr>
              <w:pStyle w:val="Compact"/>
            </w:pPr>
            <w:r>
              <w:t xml:space="preserve">5–10%</w:t>
            </w:r>
          </w:p>
        </w:tc>
        <w:tc>
          <w:tcPr/>
          <w:p>
            <w:pPr>
              <w:pStyle w:val="Compact"/>
            </w:pPr>
            <w:r>
              <w:t xml:space="preserve">Diversification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xpected-market-returns-20232033"/>
    <w:p>
      <w:pPr>
        <w:pStyle w:val="Heading1"/>
      </w:pPr>
      <w:r>
        <w:t xml:space="preserve">11. Expected Market Returns (2023–2033)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Expected Annual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7–9%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4–6%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Pessimistic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1–3%</w:t>
            </w:r>
          </w:p>
        </w:tc>
      </w:tr>
    </w:tbl>
    <w:p>
      <w:pPr>
        <w:pStyle w:val="BodyText"/>
      </w:pPr>
      <w:r>
        <w:t xml:space="preserve">High starting valuations suggest</w:t>
      </w:r>
      <w:r>
        <w:t xml:space="preserve"> </w:t>
      </w:r>
      <w:r>
        <w:rPr>
          <w:b/>
          <w:bCs/>
        </w:rPr>
        <w:t xml:space="preserve">below‑average returns over the next decade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96ef4466c11b095048bcf67dc7d5a6cabe517e0"/>
    <w:p>
      <w:pPr>
        <w:pStyle w:val="Heading1"/>
      </w:pPr>
      <w:r>
        <w:t xml:space="preserve">12. Key Lessons from 150 Years of Market History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in the market beats timing the market.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Crashes create the best buying opportunities.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Valuation matters (PE10 indicator).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Dividends significantly contribute to long‑term returns.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Diversification reduces long‑term risk.</w:t>
      </w:r>
    </w:p>
    <w:p>
      <w:r>
        <w:pict>
          <v:rect style="width:0;height:1.5pt" o:hralign="center" o:hrstd="t" o:hr="t"/>
        </w:pict>
      </w:r>
    </w:p>
    <w:bookmarkEnd w:id="41"/>
    <w:bookmarkStart w:id="4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Over the past</w:t>
      </w:r>
      <w:r>
        <w:t xml:space="preserve"> </w:t>
      </w:r>
      <w:r>
        <w:rPr>
          <w:b/>
          <w:bCs/>
        </w:rPr>
        <w:t xml:space="preserve">150 years</w:t>
      </w:r>
      <w:r>
        <w:t xml:space="preserve">, the S&amp;P 500 has consistently rewarded long‑term investors despite wars, recessions, financial crises, and political shocks.</w:t>
      </w:r>
    </w:p>
    <w:p>
      <w:pPr>
        <w:pStyle w:val="BodyText"/>
      </w:pPr>
      <w:r>
        <w:t xml:space="preserve">While valuation levels can affect</w:t>
      </w:r>
      <w:r>
        <w:t xml:space="preserve"> </w:t>
      </w:r>
      <w:r>
        <w:rPr>
          <w:b/>
          <w:bCs/>
        </w:rPr>
        <w:t xml:space="preserve">short‑ and medium‑term returns</w:t>
      </w:r>
      <w:r>
        <w:t xml:space="preserve">, the broader historical trend strongly favors</w:t>
      </w:r>
      <w:r>
        <w:t xml:space="preserve"> </w:t>
      </w:r>
      <w:r>
        <w:rPr>
          <w:b/>
          <w:bCs/>
        </w:rPr>
        <w:t xml:space="preserve">long‑term equity investment combined with disciplined portfolio diversification</w:t>
      </w:r>
      <w:r>
        <w:t xml:space="preserve">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2026-03-05T03:31:24Z</dcterms:created>
  <dcterms:modified xsi:type="dcterms:W3CDTF">2026-03-05T03:31:24Z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