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2"/>
          <w:szCs w:val="32"/>
        </w:rPr>
        <w:t xml:space="preserve">UPDATED COMPARISON REPORT</w:t>
      </w:r>
    </w:p>
    <w:p>
      <w:pPr>
        <w:spacing w:after="40"/>
      </w:pPr>
      <w:r>
        <w:rPr>
          <w:color w:val="666666"/>
          <w:sz w:val="24"/>
          <w:szCs w:val="24"/>
        </w:rPr>
        <w:t xml:space="preserve">National Cyber Threat Intelligence Platform — Post-Phase 7</w:t>
      </w:r>
    </w:p>
    <w:p>
      <w:pPr>
        <w:pBdr>
          <w:bottom w:val="single" w:color="1F3864" w:sz="12" w:space="8"/>
        </w:pBdr>
        <w:spacing w:after="240"/>
      </w:pPr>
      <w:r>
        <w:rPr>
          <w:i/>
          <w:iCs/>
          <w:color w:val="666666"/>
          <w:sz w:val="20"/>
          <w:szCs w:val="20"/>
        </w:rPr>
        <w:t xml:space="preserve">Tayyab's updated build (Complete Project Report, Phases 0–7) vs. Muhim's Official Technical Verification &amp; System Architecture Report</w:t>
      </w:r>
    </w:p>
    <w:p>
      <w:pPr>
        <w:pStyle w:val="Heading1"/>
        <w:spacing w:after="160" w:before="320"/>
      </w:pPr>
      <w:r>
        <w:rPr>
          <w:b/>
          <w:bCs/>
        </w:rPr>
        <w:t xml:space="preserve">Verdict</w:t>
      </w:r>
    </w:p>
    <w:p>
      <w:pPr>
        <w:spacing w:after="240"/>
      </w:pPr>
      <w:r>
        <w:rPr>
          <w:b/>
          <w:bCs/>
          <w:color w:val="1F7A3D"/>
        </w:rPr>
        <w:t xml:space="preserve">Tayyab's build now wins outright — on functionality and on credibility. </w:t>
      </w:r>
      <w:r>
        <w:t xml:space="preserve">Phase 7 closed every feature gap that previously favored Muhim's report — SOAR playbooks, malware reputation scanning, STIX/TAXII interoperability, and dual-audience AI reports are now present and independently verified with real evidence. The two remaining items (production SIEM push, email alerting) are transparently reported as partially proven or externally blocked rather than claimed as complete.</w:t>
      </w:r>
    </w:p>
    <w:p>
      <w:pPr>
        <w:pStyle w:val="Heading1"/>
        <w:spacing w:after="160" w:before="320"/>
      </w:pPr>
      <w:r>
        <w:rPr>
          <w:b/>
          <w:bCs/>
        </w:rPr>
        <w:t xml:space="preserve">What Changed Since the Last Review</w:t>
      </w:r>
    </w:p>
    <w:p>
      <w:pPr>
        <w:pStyle w:val="ListParagraph"/>
        <w:numPr>
          <w:ilvl w:val="0"/>
          <w:numId w:val="2"/>
        </w:numPr>
        <w:spacing w:after="80"/>
      </w:pPr>
      <w:r>
        <w:t xml:space="preserve">Added a new Phase 7 covering automated response and extended integration, explicitly scoped to close the gap against a competing report.</w:t>
      </w:r>
    </w:p>
    <w:p>
      <w:pPr>
        <w:pStyle w:val="ListParagraph"/>
        <w:numPr>
          <w:ilvl w:val="0"/>
          <w:numId w:val="2"/>
        </w:numPr>
        <w:spacing w:after="80"/>
      </w:pPr>
      <w:r>
        <w:t xml:space="preserve">5 of 6 Phase 7 features are verified against real, observable evidence — actual database changes, real HTTP responses, real third-party API output — not just code existing.</w:t>
      </w:r>
    </w:p>
    <w:p>
      <w:pPr>
        <w:pStyle w:val="ListParagraph"/>
        <w:numPr>
          <w:ilvl w:val="0"/>
          <w:numId w:val="2"/>
        </w:numPr>
        <w:spacing w:after="80"/>
      </w:pPr>
      <w:r>
        <w:t xml:space="preserve">The one unverified item (email alerting) is reported as code-complete and blocked only on an external account activation step, not a code or design gap.</w:t>
      </w:r>
    </w:p>
    <w:p>
      <w:pPr>
        <w:pStyle w:val="ListParagraph"/>
        <w:numPr>
          <w:ilvl w:val="0"/>
          <w:numId w:val="2"/>
        </w:numPr>
        <w:spacing w:after="80"/>
      </w:pPr>
      <w:r>
        <w:t xml:space="preserve">The report documents its own verification methodology and cites specific bugs it caught — including a case where an earlier internal draft over-marked infrastructure-dependent features as verified, which was corrected to require real evidence for every status shown.</w:t>
      </w:r>
    </w:p>
    <w:p>
      <w:pPr>
        <w:pStyle w:val="Heading1"/>
        <w:spacing w:after="160" w:before="320"/>
      </w:pPr>
      <w:r>
        <w:rPr>
          <w:b/>
          <w:bCs/>
        </w:rPr>
        <w:t xml:space="preserve">Feature-by-Feature Comparison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400"/>
        <w:gridCol w:w="1300"/>
      </w:tblGrid>
      <w:tr>
        <w:trPr>
          <w:tblHeader/>
        </w:trPr>
        <w:tc>
          <w:tcPr>
            <w:tcW w:type="dxa" w:w="2200"/>
            <w:shd w:fill="1F3864" w:val="clear"/>
            <w:tcMar>
              <w:top w:type="dxa" w:w="100"/>
              <w:left w:type="dxa" w:w="120"/>
              <w:bottom w:type="dxa" w:w="100"/>
              <w:right w:type="dxa" w:w="120"/>
            </w:tcMar>
            <w:vAlign w:val="center"/>
          </w:tcPr>
          <w:p>
            <w:pPr>
              <w:jc w:val="left"/>
            </w:pPr>
            <w:r>
              <w:rPr>
                <w:b/>
                <w:bCs/>
                <w:color w:val="FFFFFF"/>
                <w:sz w:val="20"/>
                <w:szCs w:val="20"/>
              </w:rPr>
              <w:t xml:space="preserve">Feature</w:t>
            </w:r>
          </w:p>
        </w:tc>
        <w:tc>
          <w:tcPr>
            <w:tcW w:type="dxa" w:w="2900"/>
            <w:shd w:fill="1F3864" w:val="clear"/>
            <w:tcMar>
              <w:top w:type="dxa" w:w="100"/>
              <w:left w:type="dxa" w:w="120"/>
              <w:bottom w:type="dxa" w:w="100"/>
              <w:right w:type="dxa" w:w="120"/>
            </w:tcMar>
            <w:vAlign w:val="center"/>
          </w:tcPr>
          <w:p>
            <w:pPr>
              <w:jc w:val="left"/>
            </w:pPr>
            <w:r>
              <w:rPr>
                <w:b/>
                <w:bCs/>
                <w:color w:val="FFFFFF"/>
                <w:sz w:val="20"/>
                <w:szCs w:val="20"/>
              </w:rPr>
              <w:t xml:space="preserve">Tayyab (Updated — Phase 7)</w:t>
            </w:r>
          </w:p>
        </w:tc>
        <w:tc>
          <w:tcPr>
            <w:tcW w:type="dxa" w:w="2400"/>
            <w:shd w:fill="1F3864" w:val="clear"/>
            <w:tcMar>
              <w:top w:type="dxa" w:w="100"/>
              <w:left w:type="dxa" w:w="120"/>
              <w:bottom w:type="dxa" w:w="100"/>
              <w:right w:type="dxa" w:w="120"/>
            </w:tcMar>
            <w:vAlign w:val="center"/>
          </w:tcPr>
          <w:p>
            <w:pPr>
              <w:jc w:val="left"/>
            </w:pPr>
            <w:r>
              <w:rPr>
                <w:b/>
                <w:bCs/>
                <w:color w:val="FFFFFF"/>
                <w:sz w:val="20"/>
                <w:szCs w:val="20"/>
              </w:rPr>
              <w:t xml:space="preserve">Muhim</w:t>
            </w:r>
          </w:p>
        </w:tc>
        <w:tc>
          <w:tcPr>
            <w:tcW w:type="dxa" w:w="1300"/>
            <w:shd w:fill="1F3864" w:val="clear"/>
            <w:tcMar>
              <w:top w:type="dxa" w:w="100"/>
              <w:left w:type="dxa" w:w="120"/>
              <w:bottom w:type="dxa" w:w="100"/>
              <w:right w:type="dxa" w:w="120"/>
            </w:tcMar>
            <w:vAlign w:val="center"/>
          </w:tcPr>
          <w:p>
            <w:pPr>
              <w:jc w:val="center"/>
            </w:pPr>
            <w:r>
              <w:rPr>
                <w:b/>
                <w:bCs/>
                <w:color w:val="FFFFFF"/>
                <w:sz w:val="20"/>
                <w:szCs w:val="20"/>
              </w:rPr>
              <w:t xml:space="preserve">Edge</w:t>
            </w:r>
          </w:p>
        </w:tc>
      </w:tr>
      <w:tr>
        <w:tc>
          <w:tcPr>
            <w:tcW w:type="dxa" w:w="2200"/>
            <w:tcMar>
              <w:top w:type="dxa" w:w="100"/>
              <w:left w:type="dxa" w:w="120"/>
              <w:bottom w:type="dxa" w:w="100"/>
              <w:right w:type="dxa" w:w="120"/>
            </w:tcMar>
            <w:vAlign w:val="center"/>
          </w:tcPr>
          <w:p>
            <w:pPr>
              <w:jc w:val="left"/>
            </w:pPr>
            <w:r>
              <w:rPr>
                <w:b/>
                <w:bCs/>
                <w:sz w:val="20"/>
                <w:szCs w:val="20"/>
              </w:rPr>
              <w:t xml:space="preserve">SOAR automated response</w:t>
            </w:r>
          </w:p>
        </w:tc>
        <w:tc>
          <w:tcPr>
            <w:tcW w:type="dxa" w:w="2900"/>
            <w:tcMar>
              <w:top w:type="dxa" w:w="100"/>
              <w:left w:type="dxa" w:w="120"/>
              <w:bottom w:type="dxa" w:w="100"/>
              <w:right w:type="dxa" w:w="120"/>
            </w:tcMar>
            <w:vAlign w:val="center"/>
          </w:tcPr>
          <w:p>
            <w:pPr>
              <w:jc w:val="left"/>
            </w:pPr>
            <w:r>
              <w:rPr>
                <w:b w:val="false"/>
                <w:bCs w:val="false"/>
                <w:sz w:val="20"/>
                <w:szCs w:val="20"/>
              </w:rPr>
              <w:t xml:space="preserve">Verified — real Case created, severity escalated to CRITICAL, logged in PlaybookExecution table</w:t>
            </w:r>
          </w:p>
        </w:tc>
        <w:tc>
          <w:tcPr>
            <w:tcW w:type="dxa" w:w="2400"/>
            <w:tcMar>
              <w:top w:type="dxa" w:w="100"/>
              <w:left w:type="dxa" w:w="120"/>
              <w:bottom w:type="dxa" w:w="100"/>
              <w:right w:type="dxa" w:w="120"/>
            </w:tcMar>
            <w:vAlign w:val="center"/>
          </w:tcPr>
          <w:p>
            <w:pPr>
              <w:jc w:val="left"/>
            </w:pPr>
            <w:r>
              <w:rPr>
                <w:b w:val="false"/>
                <w:bCs w:val="false"/>
                <w:sz w:val="20"/>
                <w:szCs w:val="20"/>
              </w:rPr>
              <w:t xml:space="preserve">Claimed only — no evidence shown</w:t>
            </w:r>
          </w:p>
        </w:tc>
        <w:tc>
          <w:tcPr>
            <w:tcW w:type="dxa" w:w="1300"/>
            <w:tcMar>
              <w:top w:type="dxa" w:w="100"/>
              <w:left w:type="dxa" w:w="120"/>
              <w:bottom w:type="dxa" w:w="100"/>
              <w:right w:type="dxa" w:w="120"/>
            </w:tcMar>
            <w:vAlign w:val="center"/>
          </w:tcPr>
          <w:p>
            <w:pPr>
              <w:jc w:val="center"/>
            </w:pPr>
            <w:r>
              <w:rPr>
                <w:b/>
                <w:bCs/>
                <w:color w:val="1F7A3D"/>
                <w:sz w:val="20"/>
                <w:szCs w:val="20"/>
              </w:rPr>
              <w:t xml:space="preserve">Tayyab</w:t>
            </w:r>
          </w:p>
        </w:tc>
      </w:tr>
      <w:tr>
        <w:tc>
          <w:tcPr>
            <w:tcW w:type="dxa" w:w="2200"/>
            <w:tcMar>
              <w:top w:type="dxa" w:w="100"/>
              <w:left w:type="dxa" w:w="120"/>
              <w:bottom w:type="dxa" w:w="100"/>
              <w:right w:type="dxa" w:w="120"/>
            </w:tcMar>
            <w:vAlign w:val="center"/>
          </w:tcPr>
          <w:p>
            <w:pPr>
              <w:jc w:val="left"/>
            </w:pPr>
            <w:r>
              <w:rPr>
                <w:b/>
                <w:bCs/>
                <w:sz w:val="20"/>
                <w:szCs w:val="20"/>
              </w:rPr>
              <w:t xml:space="preserve">Malware reputation scanning</w:t>
            </w:r>
          </w:p>
        </w:tc>
        <w:tc>
          <w:tcPr>
            <w:tcW w:type="dxa" w:w="2900"/>
            <w:tcMar>
              <w:top w:type="dxa" w:w="100"/>
              <w:left w:type="dxa" w:w="120"/>
              <w:bottom w:type="dxa" w:w="100"/>
              <w:right w:type="dxa" w:w="120"/>
            </w:tcMar>
            <w:vAlign w:val="center"/>
          </w:tcPr>
          <w:p>
            <w:pPr>
              <w:jc w:val="left"/>
            </w:pPr>
            <w:r>
              <w:rPr>
                <w:b w:val="false"/>
                <w:bCs w:val="false"/>
                <w:sz w:val="20"/>
                <w:szCs w:val="20"/>
              </w:rPr>
              <w:t xml:space="preserve">Verified — real VirusTotal v3 response, 58/72 vendor detections</w:t>
            </w:r>
          </w:p>
        </w:tc>
        <w:tc>
          <w:tcPr>
            <w:tcW w:type="dxa" w:w="2400"/>
            <w:tcMar>
              <w:top w:type="dxa" w:w="100"/>
              <w:left w:type="dxa" w:w="120"/>
              <w:bottom w:type="dxa" w:w="100"/>
              <w:right w:type="dxa" w:w="120"/>
            </w:tcMar>
            <w:vAlign w:val="center"/>
          </w:tcPr>
          <w:p>
            <w:pPr>
              <w:jc w:val="left"/>
            </w:pPr>
            <w:r>
              <w:rPr>
                <w:b w:val="false"/>
                <w:bCs w:val="false"/>
                <w:sz w:val="20"/>
                <w:szCs w:val="20"/>
              </w:rPr>
              <w:t xml:space="preserve">Claimed — no output shown</w:t>
            </w:r>
          </w:p>
        </w:tc>
        <w:tc>
          <w:tcPr>
            <w:tcW w:type="dxa" w:w="1300"/>
            <w:tcMar>
              <w:top w:type="dxa" w:w="100"/>
              <w:left w:type="dxa" w:w="120"/>
              <w:bottom w:type="dxa" w:w="100"/>
              <w:right w:type="dxa" w:w="120"/>
            </w:tcMar>
            <w:vAlign w:val="center"/>
          </w:tcPr>
          <w:p>
            <w:pPr>
              <w:jc w:val="center"/>
            </w:pPr>
            <w:r>
              <w:rPr>
                <w:b/>
                <w:bCs/>
                <w:color w:val="1F7A3D"/>
                <w:sz w:val="20"/>
                <w:szCs w:val="20"/>
              </w:rPr>
              <w:t xml:space="preserve">Tayyab</w:t>
            </w:r>
          </w:p>
        </w:tc>
      </w:tr>
      <w:tr>
        <w:tc>
          <w:tcPr>
            <w:tcW w:type="dxa" w:w="2200"/>
            <w:tcMar>
              <w:top w:type="dxa" w:w="100"/>
              <w:left w:type="dxa" w:w="120"/>
              <w:bottom w:type="dxa" w:w="100"/>
              <w:right w:type="dxa" w:w="120"/>
            </w:tcMar>
            <w:vAlign w:val="center"/>
          </w:tcPr>
          <w:p>
            <w:pPr>
              <w:jc w:val="left"/>
            </w:pPr>
            <w:r>
              <w:rPr>
                <w:b/>
                <w:bCs/>
                <w:sz w:val="20"/>
                <w:szCs w:val="20"/>
              </w:rPr>
              <w:t xml:space="preserve">Threat-feed standard (STIX/TAXII)</w:t>
            </w:r>
          </w:p>
        </w:tc>
        <w:tc>
          <w:tcPr>
            <w:tcW w:type="dxa" w:w="2900"/>
            <w:tcMar>
              <w:top w:type="dxa" w:w="100"/>
              <w:left w:type="dxa" w:w="120"/>
              <w:bottom w:type="dxa" w:w="100"/>
              <w:right w:type="dxa" w:w="120"/>
            </w:tcMar>
            <w:vAlign w:val="center"/>
          </w:tcPr>
          <w:p>
            <w:pPr>
              <w:jc w:val="left"/>
            </w:pPr>
            <w:r>
              <w:rPr>
                <w:b w:val="false"/>
                <w:bCs w:val="false"/>
                <w:sz w:val="20"/>
                <w:szCs w:val="20"/>
              </w:rPr>
              <w:t xml:space="preserve">Verified — real discovery/collections endpoints, schema-valid STIX 2.1 bundle</w:t>
            </w:r>
          </w:p>
        </w:tc>
        <w:tc>
          <w:tcPr>
            <w:tcW w:type="dxa" w:w="2400"/>
            <w:tcMar>
              <w:top w:type="dxa" w:w="100"/>
              <w:left w:type="dxa" w:w="120"/>
              <w:bottom w:type="dxa" w:w="100"/>
              <w:right w:type="dxa" w:w="120"/>
            </w:tcMar>
            <w:vAlign w:val="center"/>
          </w:tcPr>
          <w:p>
            <w:pPr>
              <w:jc w:val="left"/>
            </w:pPr>
            <w:r>
              <w:rPr>
                <w:b w:val="false"/>
                <w:bCs w:val="false"/>
                <w:sz w:val="20"/>
                <w:szCs w:val="20"/>
              </w:rPr>
              <w:t xml:space="preserve">Claimed as part of normalizer, no evidence</w:t>
            </w:r>
          </w:p>
        </w:tc>
        <w:tc>
          <w:tcPr>
            <w:tcW w:type="dxa" w:w="1300"/>
            <w:tcMar>
              <w:top w:type="dxa" w:w="100"/>
              <w:left w:type="dxa" w:w="120"/>
              <w:bottom w:type="dxa" w:w="100"/>
              <w:right w:type="dxa" w:w="120"/>
            </w:tcMar>
            <w:vAlign w:val="center"/>
          </w:tcPr>
          <w:p>
            <w:pPr>
              <w:jc w:val="center"/>
            </w:pPr>
            <w:r>
              <w:rPr>
                <w:b/>
                <w:bCs/>
                <w:color w:val="1F7A3D"/>
                <w:sz w:val="20"/>
                <w:szCs w:val="20"/>
              </w:rPr>
              <w:t xml:space="preserve">Tayyab</w:t>
            </w:r>
          </w:p>
        </w:tc>
      </w:tr>
      <w:tr>
        <w:tc>
          <w:tcPr>
            <w:tcW w:type="dxa" w:w="2200"/>
            <w:tcMar>
              <w:top w:type="dxa" w:w="100"/>
              <w:left w:type="dxa" w:w="120"/>
              <w:bottom w:type="dxa" w:w="100"/>
              <w:right w:type="dxa" w:w="120"/>
            </w:tcMar>
            <w:vAlign w:val="center"/>
          </w:tcPr>
          <w:p>
            <w:pPr>
              <w:jc w:val="left"/>
            </w:pPr>
            <w:r>
              <w:rPr>
                <w:b/>
                <w:bCs/>
                <w:sz w:val="20"/>
                <w:szCs w:val="20"/>
              </w:rPr>
              <w:t xml:space="preserve">AI-generated incident reports</w:t>
            </w:r>
          </w:p>
        </w:tc>
        <w:tc>
          <w:tcPr>
            <w:tcW w:type="dxa" w:w="2900"/>
            <w:tcMar>
              <w:top w:type="dxa" w:w="100"/>
              <w:left w:type="dxa" w:w="120"/>
              <w:bottom w:type="dxa" w:w="100"/>
              <w:right w:type="dxa" w:w="120"/>
            </w:tcMar>
            <w:vAlign w:val="center"/>
          </w:tcPr>
          <w:p>
            <w:pPr>
              <w:jc w:val="left"/>
            </w:pPr>
            <w:r>
              <w:rPr>
                <w:b w:val="false"/>
                <w:bCs w:val="false"/>
                <w:sz w:val="20"/>
                <w:szCs w:val="20"/>
              </w:rPr>
              <w:t xml:space="preserve">Verified — real Groq output, exec (2,033 chars) + technical (2,571 chars)</w:t>
            </w:r>
          </w:p>
        </w:tc>
        <w:tc>
          <w:tcPr>
            <w:tcW w:type="dxa" w:w="2400"/>
            <w:tcMar>
              <w:top w:type="dxa" w:w="100"/>
              <w:left w:type="dxa" w:w="120"/>
              <w:bottom w:type="dxa" w:w="100"/>
              <w:right w:type="dxa" w:w="120"/>
            </w:tcMar>
            <w:vAlign w:val="center"/>
          </w:tcPr>
          <w:p>
            <w:pPr>
              <w:jc w:val="left"/>
            </w:pPr>
            <w:r>
              <w:rPr>
                <w:b w:val="false"/>
                <w:bCs w:val="false"/>
                <w:sz w:val="20"/>
                <w:szCs w:val="20"/>
              </w:rPr>
              <w:t xml:space="preserve">Claimed via unfamiliar 'Kimi 3 on Modal Cloud,' no output shown</w:t>
            </w:r>
          </w:p>
        </w:tc>
        <w:tc>
          <w:tcPr>
            <w:tcW w:type="dxa" w:w="1300"/>
            <w:tcMar>
              <w:top w:type="dxa" w:w="100"/>
              <w:left w:type="dxa" w:w="120"/>
              <w:bottom w:type="dxa" w:w="100"/>
              <w:right w:type="dxa" w:w="120"/>
            </w:tcMar>
            <w:vAlign w:val="center"/>
          </w:tcPr>
          <w:p>
            <w:pPr>
              <w:jc w:val="center"/>
            </w:pPr>
            <w:r>
              <w:rPr>
                <w:b/>
                <w:bCs/>
                <w:color w:val="1F7A3D"/>
                <w:sz w:val="20"/>
                <w:szCs w:val="20"/>
              </w:rPr>
              <w:t xml:space="preserve">Tayyab</w:t>
            </w:r>
          </w:p>
        </w:tc>
      </w:tr>
      <w:tr>
        <w:tc>
          <w:tcPr>
            <w:tcW w:type="dxa" w:w="2200"/>
            <w:tcMar>
              <w:top w:type="dxa" w:w="100"/>
              <w:left w:type="dxa" w:w="120"/>
              <w:bottom w:type="dxa" w:w="100"/>
              <w:right w:type="dxa" w:w="120"/>
            </w:tcMar>
            <w:vAlign w:val="center"/>
          </w:tcPr>
          <w:p>
            <w:pPr>
              <w:jc w:val="left"/>
            </w:pPr>
            <w:r>
              <w:rPr>
                <w:b/>
                <w:bCs/>
                <w:sz w:val="20"/>
                <w:szCs w:val="20"/>
              </w:rPr>
              <w:t xml:space="preserve">Live SIEM push (Splunk/Wazuh)</w:t>
            </w:r>
          </w:p>
        </w:tc>
        <w:tc>
          <w:tcPr>
            <w:tcW w:type="dxa" w:w="2900"/>
            <w:tcMar>
              <w:top w:type="dxa" w:w="100"/>
              <w:left w:type="dxa" w:w="120"/>
              <w:bottom w:type="dxa" w:w="100"/>
              <w:right w:type="dxa" w:w="120"/>
            </w:tcMar>
            <w:vAlign w:val="center"/>
          </w:tcPr>
          <w:p>
            <w:pPr>
              <w:jc w:val="left"/>
            </w:pPr>
            <w:r>
              <w:rPr>
                <w:b w:val="false"/>
                <w:bCs w:val="false"/>
                <w:sz w:val="20"/>
                <w:szCs w:val="20"/>
              </w:rPr>
              <w:t xml:space="preserve">Verified against dev-server endpoints (real 200 OK); explicitly not yet proven on production Splunk/Wazuh</w:t>
            </w:r>
          </w:p>
        </w:tc>
        <w:tc>
          <w:tcPr>
            <w:tcW w:type="dxa" w:w="2400"/>
            <w:tcMar>
              <w:top w:type="dxa" w:w="100"/>
              <w:left w:type="dxa" w:w="120"/>
              <w:bottom w:type="dxa" w:w="100"/>
              <w:right w:type="dxa" w:w="120"/>
            </w:tcMar>
            <w:vAlign w:val="center"/>
          </w:tcPr>
          <w:p>
            <w:pPr>
              <w:jc w:val="left"/>
            </w:pPr>
            <w:r>
              <w:rPr>
                <w:b w:val="false"/>
                <w:bCs w:val="false"/>
                <w:sz w:val="20"/>
                <w:szCs w:val="20"/>
              </w:rPr>
              <w:t xml:space="preserve">Claimed fully 'VERIFIED LIVE' against real Splunk/Wazuh, no evidence</w:t>
            </w:r>
          </w:p>
        </w:tc>
        <w:tc>
          <w:tcPr>
            <w:tcW w:type="dxa" w:w="1300"/>
            <w:tcMar>
              <w:top w:type="dxa" w:w="100"/>
              <w:left w:type="dxa" w:w="120"/>
              <w:bottom w:type="dxa" w:w="100"/>
              <w:right w:type="dxa" w:w="120"/>
            </w:tcMar>
            <w:vAlign w:val="center"/>
          </w:tcPr>
          <w:p>
            <w:pPr>
              <w:jc w:val="center"/>
            </w:pPr>
            <w:r>
              <w:rPr>
                <w:b/>
                <w:bCs/>
                <w:color w:val="1F7A3D"/>
                <w:sz w:val="20"/>
                <w:szCs w:val="20"/>
              </w:rPr>
              <w:t xml:space="preserve">Tayyab (more honest)</w:t>
            </w:r>
          </w:p>
        </w:tc>
      </w:tr>
      <w:tr>
        <w:tc>
          <w:tcPr>
            <w:tcW w:type="dxa" w:w="2200"/>
            <w:tcMar>
              <w:top w:type="dxa" w:w="100"/>
              <w:left w:type="dxa" w:w="120"/>
              <w:bottom w:type="dxa" w:w="100"/>
              <w:right w:type="dxa" w:w="120"/>
            </w:tcMar>
            <w:vAlign w:val="center"/>
          </w:tcPr>
          <w:p>
            <w:pPr>
              <w:jc w:val="left"/>
            </w:pPr>
            <w:r>
              <w:rPr>
                <w:b/>
                <w:bCs/>
                <w:sz w:val="20"/>
                <w:szCs w:val="20"/>
              </w:rPr>
              <w:t xml:space="preserve">Email alerting</w:t>
            </w:r>
          </w:p>
        </w:tc>
        <w:tc>
          <w:tcPr>
            <w:tcW w:type="dxa" w:w="2900"/>
            <w:tcMar>
              <w:top w:type="dxa" w:w="100"/>
              <w:left w:type="dxa" w:w="120"/>
              <w:bottom w:type="dxa" w:w="100"/>
              <w:right w:type="dxa" w:w="120"/>
            </w:tcMar>
            <w:vAlign w:val="center"/>
          </w:tcPr>
          <w:p>
            <w:pPr>
              <w:jc w:val="left"/>
            </w:pPr>
            <w:r>
              <w:rPr>
                <w:b w:val="false"/>
                <w:bCs w:val="false"/>
                <w:sz w:val="20"/>
                <w:szCs w:val="20"/>
              </w:rPr>
              <w:t xml:space="preserve">Code-complete; blocked only on Brevo account activation (external, not a code issue)</w:t>
            </w:r>
          </w:p>
        </w:tc>
        <w:tc>
          <w:tcPr>
            <w:tcW w:type="dxa" w:w="2400"/>
            <w:tcMar>
              <w:top w:type="dxa" w:w="100"/>
              <w:left w:type="dxa" w:w="120"/>
              <w:bottom w:type="dxa" w:w="100"/>
              <w:right w:type="dxa" w:w="120"/>
            </w:tcMar>
            <w:vAlign w:val="center"/>
          </w:tcPr>
          <w:p>
            <w:pPr>
              <w:jc w:val="left"/>
            </w:pPr>
            <w:r>
              <w:rPr>
                <w:b w:val="false"/>
                <w:bCs w:val="false"/>
                <w:sz w:val="20"/>
                <w:szCs w:val="20"/>
              </w:rPr>
              <w:t xml:space="preserve">Claimed 'VERIFIED LIVE'</w:t>
            </w:r>
          </w:p>
        </w:tc>
        <w:tc>
          <w:tcPr>
            <w:tcW w:type="dxa" w:w="1300"/>
            <w:tcMar>
              <w:top w:type="dxa" w:w="100"/>
              <w:left w:type="dxa" w:w="120"/>
              <w:bottom w:type="dxa" w:w="100"/>
              <w:right w:type="dxa" w:w="120"/>
            </w:tcMar>
            <w:vAlign w:val="center"/>
          </w:tcPr>
          <w:p>
            <w:pPr>
              <w:jc w:val="center"/>
            </w:pPr>
            <w:r>
              <w:rPr>
                <w:b/>
                <w:bCs/>
                <w:color w:val="1F7A3D"/>
                <w:sz w:val="20"/>
                <w:szCs w:val="20"/>
              </w:rPr>
              <w:t xml:space="preserve">Tayyab (more honest)</w:t>
            </w:r>
          </w:p>
        </w:tc>
      </w:tr>
      <w:tr>
        <w:tc>
          <w:tcPr>
            <w:tcW w:type="dxa" w:w="2200"/>
            <w:tcMar>
              <w:top w:type="dxa" w:w="100"/>
              <w:left w:type="dxa" w:w="120"/>
              <w:bottom w:type="dxa" w:w="100"/>
              <w:right w:type="dxa" w:w="120"/>
            </w:tcMar>
            <w:vAlign w:val="center"/>
          </w:tcPr>
          <w:p>
            <w:pPr>
              <w:jc w:val="left"/>
            </w:pPr>
            <w:r>
              <w:rPr>
                <w:b/>
                <w:bCs/>
                <w:sz w:val="20"/>
                <w:szCs w:val="20"/>
              </w:rPr>
              <w:t xml:space="preserve">Detection engine depth</w:t>
            </w:r>
          </w:p>
        </w:tc>
        <w:tc>
          <w:tcPr>
            <w:tcW w:type="dxa" w:w="2900"/>
            <w:tcMar>
              <w:top w:type="dxa" w:w="100"/>
              <w:left w:type="dxa" w:w="120"/>
              <w:bottom w:type="dxa" w:w="100"/>
              <w:right w:type="dxa" w:w="120"/>
            </w:tcMar>
            <w:vAlign w:val="center"/>
          </w:tcPr>
          <w:p>
            <w:pPr>
              <w:jc w:val="left"/>
            </w:pPr>
            <w:r>
              <w:rPr>
                <w:b w:val="false"/>
                <w:bCs w:val="false"/>
                <w:sz w:val="20"/>
                <w:szCs w:val="20"/>
              </w:rPr>
              <w:t xml:space="preserve">4 escalating tiers (SIMPLE/MULTI_CONDITION/THRESHOLD/CORRELATION) + dedup</w:t>
            </w:r>
          </w:p>
        </w:tc>
        <w:tc>
          <w:tcPr>
            <w:tcW w:type="dxa" w:w="2400"/>
            <w:tcMar>
              <w:top w:type="dxa" w:w="100"/>
              <w:left w:type="dxa" w:w="120"/>
              <w:bottom w:type="dxa" w:w="100"/>
              <w:right w:type="dxa" w:w="120"/>
            </w:tcMar>
            <w:vAlign w:val="center"/>
          </w:tcPr>
          <w:p>
            <w:pPr>
              <w:jc w:val="left"/>
            </w:pPr>
            <w:r>
              <w:rPr>
                <w:b w:val="false"/>
                <w:bCs w:val="false"/>
                <w:sz w:val="20"/>
                <w:szCs w:val="20"/>
              </w:rPr>
              <w:t xml:space="preserve">Not described beyond IOC/CVE search</w:t>
            </w:r>
          </w:p>
        </w:tc>
        <w:tc>
          <w:tcPr>
            <w:tcW w:type="dxa" w:w="1300"/>
            <w:tcMar>
              <w:top w:type="dxa" w:w="100"/>
              <w:left w:type="dxa" w:w="120"/>
              <w:bottom w:type="dxa" w:w="100"/>
              <w:right w:type="dxa" w:w="120"/>
            </w:tcMar>
            <w:vAlign w:val="center"/>
          </w:tcPr>
          <w:p>
            <w:pPr>
              <w:jc w:val="center"/>
            </w:pPr>
            <w:r>
              <w:rPr>
                <w:b/>
                <w:bCs/>
                <w:color w:val="1F7A3D"/>
                <w:sz w:val="20"/>
                <w:szCs w:val="20"/>
              </w:rPr>
              <w:t xml:space="preserve">Tayyab</w:t>
            </w:r>
          </w:p>
        </w:tc>
      </w:tr>
      <w:tr>
        <w:tc>
          <w:tcPr>
            <w:tcW w:type="dxa" w:w="2200"/>
            <w:tcMar>
              <w:top w:type="dxa" w:w="100"/>
              <w:left w:type="dxa" w:w="120"/>
              <w:bottom w:type="dxa" w:w="100"/>
              <w:right w:type="dxa" w:w="120"/>
            </w:tcMar>
            <w:vAlign w:val="center"/>
          </w:tcPr>
          <w:p>
            <w:pPr>
              <w:jc w:val="left"/>
            </w:pPr>
            <w:r>
              <w:rPr>
                <w:b/>
                <w:bCs/>
                <w:sz w:val="20"/>
                <w:szCs w:val="20"/>
              </w:rPr>
              <w:t xml:space="preserve">Feed ingestion breadth</w:t>
            </w:r>
          </w:p>
        </w:tc>
        <w:tc>
          <w:tcPr>
            <w:tcW w:type="dxa" w:w="2900"/>
            <w:tcMar>
              <w:top w:type="dxa" w:w="100"/>
              <w:left w:type="dxa" w:w="120"/>
              <w:bottom w:type="dxa" w:w="100"/>
              <w:right w:type="dxa" w:w="120"/>
            </w:tcMar>
            <w:vAlign w:val="center"/>
          </w:tcPr>
          <w:p>
            <w:pPr>
              <w:jc w:val="left"/>
            </w:pPr>
            <w:r>
              <w:rPr>
                <w:b w:val="false"/>
                <w:bCs w:val="false"/>
                <w:sz w:val="20"/>
                <w:szCs w:val="20"/>
              </w:rPr>
              <w:t xml:space="preserve">5 live collectors: OTX, NVD, FeodoTracker, MalwareBazaar, MISP</w:t>
            </w:r>
          </w:p>
        </w:tc>
        <w:tc>
          <w:tcPr>
            <w:tcW w:type="dxa" w:w="2400"/>
            <w:tcMar>
              <w:top w:type="dxa" w:w="100"/>
              <w:left w:type="dxa" w:w="120"/>
              <w:bottom w:type="dxa" w:w="100"/>
              <w:right w:type="dxa" w:w="120"/>
            </w:tcMar>
            <w:vAlign w:val="center"/>
          </w:tcPr>
          <w:p>
            <w:pPr>
              <w:jc w:val="left"/>
            </w:pPr>
            <w:r>
              <w:rPr>
                <w:b w:val="false"/>
                <w:bCs w:val="false"/>
                <w:sz w:val="20"/>
                <w:szCs w:val="20"/>
              </w:rPr>
              <w:t xml:space="preserve">3 named: MISP, URLhaus, NVD</w:t>
            </w:r>
          </w:p>
        </w:tc>
        <w:tc>
          <w:tcPr>
            <w:tcW w:type="dxa" w:w="1300"/>
            <w:tcMar>
              <w:top w:type="dxa" w:w="100"/>
              <w:left w:type="dxa" w:w="120"/>
              <w:bottom w:type="dxa" w:w="100"/>
              <w:right w:type="dxa" w:w="120"/>
            </w:tcMar>
            <w:vAlign w:val="center"/>
          </w:tcPr>
          <w:p>
            <w:pPr>
              <w:jc w:val="center"/>
            </w:pPr>
            <w:r>
              <w:rPr>
                <w:b/>
                <w:bCs/>
                <w:color w:val="1F7A3D"/>
                <w:sz w:val="20"/>
                <w:szCs w:val="20"/>
              </w:rPr>
              <w:t xml:space="preserve">Tayyab</w:t>
            </w:r>
          </w:p>
        </w:tc>
      </w:tr>
      <w:tr>
        <w:tc>
          <w:tcPr>
            <w:tcW w:type="dxa" w:w="2200"/>
            <w:tcMar>
              <w:top w:type="dxa" w:w="100"/>
              <w:left w:type="dxa" w:w="120"/>
              <w:bottom w:type="dxa" w:w="100"/>
              <w:right w:type="dxa" w:w="120"/>
            </w:tcMar>
            <w:vAlign w:val="center"/>
          </w:tcPr>
          <w:p>
            <w:pPr>
              <w:jc w:val="left"/>
            </w:pPr>
            <w:r>
              <w:rPr>
                <w:b/>
                <w:bCs/>
                <w:sz w:val="20"/>
                <w:szCs w:val="20"/>
              </w:rPr>
              <w:t xml:space="preserve">RBAC enforcement</w:t>
            </w:r>
          </w:p>
        </w:tc>
        <w:tc>
          <w:tcPr>
            <w:tcW w:type="dxa" w:w="2900"/>
            <w:tcMar>
              <w:top w:type="dxa" w:w="100"/>
              <w:left w:type="dxa" w:w="120"/>
              <w:bottom w:type="dxa" w:w="100"/>
              <w:right w:type="dxa" w:w="120"/>
            </w:tcMar>
            <w:vAlign w:val="center"/>
          </w:tcPr>
          <w:p>
            <w:pPr>
              <w:jc w:val="left"/>
            </w:pPr>
            <w:r>
              <w:rPr>
                <w:b w:val="false"/>
                <w:bCs w:val="false"/>
                <w:sz w:val="20"/>
                <w:szCs w:val="20"/>
              </w:rPr>
              <w:t xml:space="preserve">Explicit matrix + verified independently at UI and API layers (403 on direct requests)</w:t>
            </w:r>
          </w:p>
        </w:tc>
        <w:tc>
          <w:tcPr>
            <w:tcW w:type="dxa" w:w="2400"/>
            <w:tcMar>
              <w:top w:type="dxa" w:w="100"/>
              <w:left w:type="dxa" w:w="120"/>
              <w:bottom w:type="dxa" w:w="100"/>
              <w:right w:type="dxa" w:w="120"/>
            </w:tcMar>
            <w:vAlign w:val="center"/>
          </w:tcPr>
          <w:p>
            <w:pPr>
              <w:jc w:val="left"/>
            </w:pPr>
            <w:r>
              <w:rPr>
                <w:b w:val="false"/>
                <w:bCs w:val="false"/>
                <w:sz w:val="20"/>
                <w:szCs w:val="20"/>
              </w:rPr>
              <w:t xml:space="preserve">Roles named, no enforcement test described</w:t>
            </w:r>
          </w:p>
        </w:tc>
        <w:tc>
          <w:tcPr>
            <w:tcW w:type="dxa" w:w="1300"/>
            <w:tcMar>
              <w:top w:type="dxa" w:w="100"/>
              <w:left w:type="dxa" w:w="120"/>
              <w:bottom w:type="dxa" w:w="100"/>
              <w:right w:type="dxa" w:w="120"/>
            </w:tcMar>
            <w:vAlign w:val="center"/>
          </w:tcPr>
          <w:p>
            <w:pPr>
              <w:jc w:val="center"/>
            </w:pPr>
            <w:r>
              <w:rPr>
                <w:b/>
                <w:bCs/>
                <w:color w:val="1F7A3D"/>
                <w:sz w:val="20"/>
                <w:szCs w:val="20"/>
              </w:rPr>
              <w:t xml:space="preserve">Tayyab</w:t>
            </w:r>
          </w:p>
        </w:tc>
      </w:tr>
      <w:tr>
        <w:tc>
          <w:tcPr>
            <w:tcW w:type="dxa" w:w="2200"/>
            <w:tcMar>
              <w:top w:type="dxa" w:w="100"/>
              <w:left w:type="dxa" w:w="120"/>
              <w:bottom w:type="dxa" w:w="100"/>
              <w:right w:type="dxa" w:w="120"/>
            </w:tcMar>
            <w:vAlign w:val="center"/>
          </w:tcPr>
          <w:p>
            <w:pPr>
              <w:jc w:val="left"/>
            </w:pPr>
            <w:r>
              <w:rPr>
                <w:b/>
                <w:bCs/>
                <w:sz w:val="20"/>
                <w:szCs w:val="20"/>
              </w:rPr>
              <w:t xml:space="preserve">Digital forensics</w:t>
            </w:r>
          </w:p>
        </w:tc>
        <w:tc>
          <w:tcPr>
            <w:tcW w:type="dxa" w:w="2900"/>
            <w:tcMar>
              <w:top w:type="dxa" w:w="100"/>
              <w:left w:type="dxa" w:w="120"/>
              <w:bottom w:type="dxa" w:w="100"/>
              <w:right w:type="dxa" w:w="120"/>
            </w:tcMar>
            <w:vAlign w:val="center"/>
          </w:tcPr>
          <w:p>
            <w:pPr>
              <w:jc w:val="left"/>
            </w:pPr>
            <w:r>
              <w:rPr>
                <w:b w:val="false"/>
                <w:bCs w:val="false"/>
                <w:sz w:val="20"/>
                <w:szCs w:val="20"/>
              </w:rPr>
              <w:t xml:space="preserve">SHA-256 hashing, immutable append-only chain-of-custody, reject-at-API on edit/delete</w:t>
            </w:r>
          </w:p>
        </w:tc>
        <w:tc>
          <w:tcPr>
            <w:tcW w:type="dxa" w:w="2400"/>
            <w:tcMar>
              <w:top w:type="dxa" w:w="100"/>
              <w:left w:type="dxa" w:w="120"/>
              <w:bottom w:type="dxa" w:w="100"/>
              <w:right w:type="dxa" w:w="120"/>
            </w:tcMar>
            <w:vAlign w:val="center"/>
          </w:tcPr>
          <w:p>
            <w:pPr>
              <w:jc w:val="left"/>
            </w:pPr>
            <w:r>
              <w:rPr>
                <w:b w:val="false"/>
                <w:bCs w:val="false"/>
                <w:sz w:val="20"/>
                <w:szCs w:val="20"/>
              </w:rPr>
              <w:t xml:space="preserve">SHA-256 hashing, immutable chain-of-custody log</w:t>
            </w:r>
          </w:p>
        </w:tc>
        <w:tc>
          <w:tcPr>
            <w:tcW w:type="dxa" w:w="1300"/>
            <w:tcMar>
              <w:top w:type="dxa" w:w="100"/>
              <w:left w:type="dxa" w:w="120"/>
              <w:bottom w:type="dxa" w:w="100"/>
              <w:right w:type="dxa" w:w="120"/>
            </w:tcMar>
            <w:vAlign w:val="center"/>
          </w:tcPr>
          <w:p>
            <w:pPr>
              <w:jc w:val="center"/>
            </w:pPr>
            <w:r>
              <w:rPr>
                <w:b/>
                <w:bCs/>
                <w:color w:val="666666"/>
                <w:sz w:val="20"/>
                <w:szCs w:val="20"/>
              </w:rPr>
              <w:t xml:space="preserve">Tie</w:t>
            </w:r>
          </w:p>
        </w:tc>
      </w:tr>
      <w:tr>
        <w:tc>
          <w:tcPr>
            <w:tcW w:type="dxa" w:w="2200"/>
            <w:tcMar>
              <w:top w:type="dxa" w:w="100"/>
              <w:left w:type="dxa" w:w="120"/>
              <w:bottom w:type="dxa" w:w="100"/>
              <w:right w:type="dxa" w:w="120"/>
            </w:tcMar>
            <w:vAlign w:val="center"/>
          </w:tcPr>
          <w:p>
            <w:pPr>
              <w:jc w:val="left"/>
            </w:pPr>
            <w:r>
              <w:rPr>
                <w:b/>
                <w:bCs/>
                <w:sz w:val="20"/>
                <w:szCs w:val="20"/>
              </w:rPr>
              <w:t xml:space="preserve">Verification methodology</w:t>
            </w:r>
          </w:p>
        </w:tc>
        <w:tc>
          <w:tcPr>
            <w:tcW w:type="dxa" w:w="2900"/>
            <w:tcMar>
              <w:top w:type="dxa" w:w="100"/>
              <w:left w:type="dxa" w:w="120"/>
              <w:bottom w:type="dxa" w:w="100"/>
              <w:right w:type="dxa" w:w="120"/>
            </w:tcMar>
            <w:vAlign w:val="center"/>
          </w:tcPr>
          <w:p>
            <w:pPr>
              <w:jc w:val="left"/>
            </w:pPr>
            <w:r>
              <w:rPr>
                <w:b w:val="false"/>
                <w:bCs w:val="false"/>
                <w:sz w:val="20"/>
                <w:szCs w:val="20"/>
              </w:rPr>
              <w:t xml:space="preserve">Documents real evidence per feature; explicitly corrected a prior internal draft that over-marked infra-dependent features as verified</w:t>
            </w:r>
          </w:p>
        </w:tc>
        <w:tc>
          <w:tcPr>
            <w:tcW w:type="dxa" w:w="2400"/>
            <w:tcMar>
              <w:top w:type="dxa" w:w="100"/>
              <w:left w:type="dxa" w:w="120"/>
              <w:bottom w:type="dxa" w:w="100"/>
              <w:right w:type="dxa" w:w="120"/>
            </w:tcMar>
            <w:vAlign w:val="center"/>
          </w:tcPr>
          <w:p>
            <w:pPr>
              <w:jc w:val="left"/>
            </w:pPr>
            <w:r>
              <w:rPr>
                <w:b w:val="false"/>
                <w:bCs w:val="false"/>
                <w:sz w:val="20"/>
                <w:szCs w:val="20"/>
              </w:rPr>
              <w:t xml:space="preserve">Uniform 'VERIFIED LIVE' badge on every module, no methodology shown</w:t>
            </w:r>
          </w:p>
        </w:tc>
        <w:tc>
          <w:tcPr>
            <w:tcW w:type="dxa" w:w="1300"/>
            <w:tcMar>
              <w:top w:type="dxa" w:w="100"/>
              <w:left w:type="dxa" w:w="120"/>
              <w:bottom w:type="dxa" w:w="100"/>
              <w:right w:type="dxa" w:w="120"/>
            </w:tcMar>
            <w:vAlign w:val="center"/>
          </w:tcPr>
          <w:p>
            <w:pPr>
              <w:jc w:val="center"/>
            </w:pPr>
            <w:r>
              <w:rPr>
                <w:b/>
                <w:bCs/>
                <w:color w:val="1F7A3D"/>
                <w:sz w:val="20"/>
                <w:szCs w:val="20"/>
              </w:rPr>
              <w:t xml:space="preserve">Tayyab</w:t>
            </w:r>
          </w:p>
        </w:tc>
      </w:tr>
    </w:tbl>
    <w:p>
      <w:pPr>
        <w:spacing w:before="300"/>
      </w:pPr>
    </w:p>
    <w:p>
      <w:pPr>
        <w:pStyle w:val="Heading1"/>
        <w:spacing w:after="160" w:before="320"/>
      </w:pPr>
      <w:r>
        <w:rPr>
          <w:b/>
          <w:bCs/>
        </w:rPr>
        <w:t xml:space="preserve">Notes on Each Row</w:t>
      </w:r>
    </w:p>
    <w:p>
      <w:pPr>
        <w:pStyle w:val="ListParagraph"/>
        <w:numPr>
          <w:ilvl w:val="0"/>
          <w:numId w:val="2"/>
        </w:numPr>
        <w:spacing w:after="80"/>
      </w:pPr>
      <w:r>
        <w:rPr>
          <w:b/>
          <w:bCs/>
        </w:rPr>
        <w:t xml:space="preserve">SOAR automated response: </w:t>
      </w:r>
      <w:r>
        <w:t xml:space="preserve">Real execution trace beats an unproven claim.</w:t>
      </w:r>
    </w:p>
    <w:p>
      <w:pPr>
        <w:pStyle w:val="ListParagraph"/>
        <w:numPr>
          <w:ilvl w:val="0"/>
          <w:numId w:val="2"/>
        </w:numPr>
        <w:spacing w:after="80"/>
      </w:pPr>
      <w:r>
        <w:rPr>
          <w:b/>
          <w:bCs/>
        </w:rPr>
        <w:t xml:space="preserve">Malware reputation scanning: </w:t>
      </w:r>
      <w:r>
        <w:t xml:space="preserve">Actual API response beats an assertion.</w:t>
      </w:r>
    </w:p>
    <w:p>
      <w:pPr>
        <w:pStyle w:val="ListParagraph"/>
        <w:numPr>
          <w:ilvl w:val="0"/>
          <w:numId w:val="2"/>
        </w:numPr>
        <w:spacing w:after="80"/>
      </w:pPr>
      <w:r>
        <w:rPr>
          <w:b/>
          <w:bCs/>
        </w:rPr>
        <w:t xml:space="preserve">Threat-feed standard (STIX/TAXII): </w:t>
      </w:r>
      <w:r>
        <w:t xml:space="preserve">Schema-valid output is checkable; a claim isn't.</w:t>
      </w:r>
    </w:p>
    <w:p>
      <w:pPr>
        <w:pStyle w:val="ListParagraph"/>
        <w:numPr>
          <w:ilvl w:val="0"/>
          <w:numId w:val="2"/>
        </w:numPr>
        <w:spacing w:after="80"/>
      </w:pPr>
      <w:r>
        <w:rPr>
          <w:b/>
          <w:bCs/>
        </w:rPr>
        <w:t xml:space="preserve">AI-generated incident reports: </w:t>
      </w:r>
      <w:r>
        <w:t xml:space="preserve">Real generated text vs. an unverified engine name.</w:t>
      </w:r>
    </w:p>
    <w:p>
      <w:pPr>
        <w:pStyle w:val="ListParagraph"/>
        <w:numPr>
          <w:ilvl w:val="0"/>
          <w:numId w:val="2"/>
        </w:numPr>
        <w:spacing w:after="80"/>
      </w:pPr>
      <w:r>
        <w:rPr>
          <w:b/>
          <w:bCs/>
        </w:rPr>
        <w:t xml:space="preserve">Live SIEM push (Splunk/Wazuh): </w:t>
      </w:r>
      <w:r>
        <w:t xml:space="preserve">Same real capability claimed both places — only one side shows its work and flags the remaining gap.</w:t>
      </w:r>
    </w:p>
    <w:p>
      <w:pPr>
        <w:pStyle w:val="ListParagraph"/>
        <w:numPr>
          <w:ilvl w:val="0"/>
          <w:numId w:val="2"/>
        </w:numPr>
        <w:spacing w:after="80"/>
      </w:pPr>
      <w:r>
        <w:rPr>
          <w:b/>
          <w:bCs/>
        </w:rPr>
        <w:t xml:space="preserve">Email alerting: </w:t>
      </w:r>
      <w:r>
        <w:t xml:space="preserve">Transparent about the actual blocker vs. an unqualified claim.</w:t>
      </w:r>
    </w:p>
    <w:p>
      <w:pPr>
        <w:pStyle w:val="ListParagraph"/>
        <w:numPr>
          <w:ilvl w:val="0"/>
          <w:numId w:val="2"/>
        </w:numPr>
        <w:spacing w:after="80"/>
      </w:pPr>
      <w:r>
        <w:rPr>
          <w:b/>
          <w:bCs/>
        </w:rPr>
        <w:t xml:space="preserve">Detection engine depth: </w:t>
      </w:r>
      <w:r>
        <w:t xml:space="preserve">Unchanged from prior review.</w:t>
      </w:r>
    </w:p>
    <w:p>
      <w:pPr>
        <w:pStyle w:val="ListParagraph"/>
        <w:numPr>
          <w:ilvl w:val="0"/>
          <w:numId w:val="2"/>
        </w:numPr>
        <w:spacing w:after="80"/>
      </w:pPr>
      <w:r>
        <w:rPr>
          <w:b/>
          <w:bCs/>
        </w:rPr>
        <w:t xml:space="preserve">Feed ingestion breadth: </w:t>
      </w:r>
      <w:r>
        <w:t xml:space="preserve">Unchanged from prior review.</w:t>
      </w:r>
    </w:p>
    <w:p>
      <w:pPr>
        <w:pStyle w:val="ListParagraph"/>
        <w:numPr>
          <w:ilvl w:val="0"/>
          <w:numId w:val="2"/>
        </w:numPr>
        <w:spacing w:after="80"/>
      </w:pPr>
      <w:r>
        <w:rPr>
          <w:b/>
          <w:bCs/>
        </w:rPr>
        <w:t xml:space="preserve">RBAC enforcement: </w:t>
      </w:r>
      <w:r>
        <w:t xml:space="preserve">Enforcement testing, not just role definitions.</w:t>
      </w:r>
    </w:p>
    <w:p>
      <w:pPr>
        <w:pStyle w:val="ListParagraph"/>
        <w:numPr>
          <w:ilvl w:val="0"/>
          <w:numId w:val="2"/>
        </w:numPr>
        <w:spacing w:after="80"/>
      </w:pPr>
      <w:r>
        <w:rPr>
          <w:b/>
          <w:bCs/>
        </w:rPr>
        <w:t xml:space="preserve">Digital forensics: </w:t>
      </w:r>
      <w:r>
        <w:t xml:space="preserve">Materially the same claimed capability.</w:t>
      </w:r>
    </w:p>
    <w:p>
      <w:pPr>
        <w:pStyle w:val="ListParagraph"/>
        <w:numPr>
          <w:ilvl w:val="0"/>
          <w:numId w:val="2"/>
        </w:numPr>
        <w:spacing w:after="80"/>
      </w:pPr>
      <w:r>
        <w:rPr>
          <w:b/>
          <w:bCs/>
        </w:rPr>
        <w:t xml:space="preserve">Verification methodology: </w:t>
      </w:r>
      <w:r>
        <w:t xml:space="preserve">This is the decisive gap — process integrity, not just feature count.</w:t>
      </w:r>
    </w:p>
    <w:p>
      <w:pPr>
        <w:pStyle w:val="Heading1"/>
        <w:spacing w:after="160" w:before="320"/>
      </w:pPr>
      <w:r>
        <w:rPr>
          <w:b/>
          <w:bCs/>
        </w:rPr>
        <w:t xml:space="preserve">Why This Is More Than a Feature Count</w:t>
      </w:r>
    </w:p>
    <w:p>
      <w:pPr>
        <w:spacing w:after="160"/>
      </w:pPr>
      <w:r>
        <w:t xml:space="preserve">The functional gap is now closed almost entirely, but the more important shift is in how each side handles uncertainty. Tayyab's report distinguishes between what's verified against real production infrastructure and what's verified against a compatible stand-in, and states plainly when something is blocked by a factor outside the team's control. Muhim's report applies the same 'VERIFIED LIVE' label uniformly across every module regardless of what kind of evidence — if any — sits behind it. When two reports converge on similar feature claims, the one that shows its evidence and flags its own limits is the one worth trusting.</w:t>
      </w:r>
    </w:p>
    <w:p>
      <w:pPr>
        <w:pStyle w:val="Heading1"/>
        <w:spacing w:after="160" w:before="320"/>
      </w:pPr>
      <w:r>
        <w:rPr>
          <w:b/>
          <w:bCs/>
        </w:rPr>
        <w:t xml:space="preserve">Remaining Caveat</w:t>
      </w:r>
    </w:p>
    <w:p>
      <w:pPr>
        <w:spacing w:after="160"/>
      </w:pPr>
      <w:r>
        <w:t xml:space="preserve">This comparison is still a document review, not an independent audit of either running system. Muhim's claims remain unverified from the outside; the fair next step, as before, is a live demo of his SOAR playbooks, Splunk/Wazuh push, and VirusTotal scan to confirm whether his report's claims hold up the way Tayyab's now do.</w:t>
      </w:r>
    </w:p>
    <w:p>
      <w:pPr>
        <w:pBdr>
          <w:top w:val="single" w:color="CCCCCC" w:sz="6" w:space="8"/>
        </w:pBdr>
        <w:spacing w:before="400"/>
      </w:pPr>
      <w:r>
        <w:rPr>
          <w:i/>
          <w:iCs/>
          <w:color w:val="666666"/>
          <w:sz w:val="18"/>
          <w:szCs w:val="18"/>
        </w:rPr>
        <w:t xml:space="preserve">Prepared as a comparative document review — not a live security or performance audit of either system.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2026-08-08T17:37:47.066Z</dcterms:created>
  <dcterms:modified xsi:type="dcterms:W3CDTF">2026-08-08T17:37:47.105Z</dcterms:modified>
</cp:coreProperties>
</file>

<file path=docProps/custom.xml><?xml version="1.0" encoding="utf-8"?>
<Properties xmlns="http://schemas.openxmlformats.org/officeDocument/2006/custom-properties" xmlns:vt="http://schemas.openxmlformats.org/officeDocument/2006/docPropsVTypes"/>
</file>