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CREDIT MEMORANDUM</w:t>
      </w:r>
    </w:p>
    <w:p>
      <w:pPr>
        <w:jc w:val="center"/>
      </w:pPr>
      <w:r>
        <w:rPr>
          <w:sz w:val="20"/>
        </w:rPr>
        <w:t>Horizon Logistics Sp. z o.o.  |  APP-2024-00847  |  Prepared: 24 March 2026</w:t>
      </w:r>
    </w:p>
    <w:p>
      <w:pPr>
        <w:pBdr>
          <w:bottom w:val="single" w:sz="6" w:space="1" w:color="2E74B5"/>
        </w:pBdr>
        <w:spacing w:after="120"/>
      </w:pPr>
    </w:p>
    <w:p>
      <w:pPr>
        <w:spacing w:before="240" w:after="80"/>
      </w:pPr>
      <w:r>
        <w:rPr>
          <w:b/>
          <w:color w:val="1F497D"/>
          <w:sz w:val="28"/>
        </w:rPr>
        <w:t>1.  Application Summary</w:t>
      </w:r>
    </w:p>
    <w:tbl>
      <w:tblPr>
        <w:tblStyle w:val="TableGrid"/>
        <w:tblW w:type="auto" w:w="0"/>
        <w:tblLook w:firstColumn="1" w:firstRow="1" w:lastColumn="0" w:lastRow="0" w:noHBand="0" w:noVBand="1" w:val="04A0"/>
      </w:tblPr>
      <w:tblGrid>
        <w:gridCol w:w="4392"/>
        <w:gridCol w:w="4392"/>
      </w:tblGrid>
      <w:tr>
        <w:tc>
          <w:tcPr>
            <w:tcW w:type="dxa" w:w="4392"/>
            <w:shd w:val="clear" w:color="auto" w:fill="DEEAF1"/>
          </w:tcPr>
          <w:p>
            <w:r>
              <w:rPr>
                <w:sz w:val="20"/>
              </w:rPr>
              <w:t>Company</w:t>
            </w:r>
          </w:p>
        </w:tc>
        <w:tc>
          <w:tcPr>
            <w:tcW w:type="dxa" w:w="4392"/>
          </w:tcPr>
          <w:p>
            <w:r>
              <w:rPr>
                <w:sz w:val="20"/>
              </w:rPr>
              <w:t>Horizon Logistics Sp. z o.o.</w:t>
            </w:r>
          </w:p>
        </w:tc>
      </w:tr>
      <w:tr>
        <w:tc>
          <w:tcPr>
            <w:tcW w:type="dxa" w:w="4392"/>
            <w:shd w:val="clear" w:color="auto" w:fill="DEEAF1"/>
          </w:tcPr>
          <w:p>
            <w:r>
              <w:rPr>
                <w:sz w:val="20"/>
              </w:rPr>
              <w:t>Legal form</w:t>
            </w:r>
          </w:p>
        </w:tc>
        <w:tc>
          <w:tcPr>
            <w:tcW w:type="dxa" w:w="4392"/>
          </w:tcPr>
          <w:p>
            <w:r>
              <w:rPr>
                <w:sz w:val="20"/>
              </w:rPr>
              <w:t>Limited Liability Company</w:t>
            </w:r>
          </w:p>
        </w:tc>
      </w:tr>
      <w:tr>
        <w:tc>
          <w:tcPr>
            <w:tcW w:type="dxa" w:w="4392"/>
            <w:shd w:val="clear" w:color="auto" w:fill="DEEAF1"/>
          </w:tcPr>
          <w:p>
            <w:r>
              <w:rPr>
                <w:sz w:val="20"/>
              </w:rPr>
              <w:t>Industry</w:t>
            </w:r>
          </w:p>
        </w:tc>
        <w:tc>
          <w:tcPr>
            <w:tcW w:type="dxa" w:w="4392"/>
          </w:tcPr>
          <w:p>
            <w:r>
              <w:rPr>
                <w:sz w:val="20"/>
              </w:rPr>
              <w:t>Transportation &amp; Logistics</w:t>
            </w:r>
          </w:p>
        </w:tc>
      </w:tr>
      <w:tr>
        <w:tc>
          <w:tcPr>
            <w:tcW w:type="dxa" w:w="4392"/>
            <w:shd w:val="clear" w:color="auto" w:fill="DEEAF1"/>
          </w:tcPr>
          <w:p>
            <w:r>
              <w:rPr>
                <w:sz w:val="20"/>
              </w:rPr>
              <w:t>Incorporated</w:t>
            </w:r>
          </w:p>
        </w:tc>
        <w:tc>
          <w:tcPr>
            <w:tcW w:type="dxa" w:w="4392"/>
          </w:tcPr>
          <w:p>
            <w:r>
              <w:rPr>
                <w:sz w:val="20"/>
              </w:rPr>
              <w:t>2015-03-22</w:t>
            </w:r>
          </w:p>
        </w:tc>
      </w:tr>
      <w:tr>
        <w:tc>
          <w:tcPr>
            <w:tcW w:type="dxa" w:w="4392"/>
            <w:shd w:val="clear" w:color="auto" w:fill="DEEAF1"/>
          </w:tcPr>
          <w:p>
            <w:r>
              <w:rPr>
                <w:sz w:val="20"/>
              </w:rPr>
              <w:t>Account manager</w:t>
            </w:r>
          </w:p>
        </w:tc>
        <w:tc>
          <w:tcPr>
            <w:tcW w:type="dxa" w:w="4392"/>
          </w:tcPr>
          <w:p>
            <w:r>
              <w:rPr>
                <w:sz w:val="20"/>
              </w:rPr>
              <w:t>Anna Wisniewska</w:t>
            </w:r>
          </w:p>
        </w:tc>
      </w:tr>
      <w:tr>
        <w:tc>
          <w:tcPr>
            <w:tcW w:type="dxa" w:w="4392"/>
            <w:shd w:val="clear" w:color="auto" w:fill="DEEAF1"/>
          </w:tcPr>
          <w:p>
            <w:r>
              <w:rPr>
                <w:sz w:val="20"/>
              </w:rPr>
              <w:t>Product</w:t>
            </w:r>
          </w:p>
        </w:tc>
        <w:tc>
          <w:tcPr>
            <w:tcW w:type="dxa" w:w="4392"/>
          </w:tcPr>
          <w:p>
            <w:r>
              <w:rPr>
                <w:sz w:val="20"/>
              </w:rPr>
              <w:t>Working Capital Loan</w:t>
            </w:r>
          </w:p>
        </w:tc>
      </w:tr>
      <w:tr>
        <w:tc>
          <w:tcPr>
            <w:tcW w:type="dxa" w:w="4392"/>
            <w:shd w:val="clear" w:color="auto" w:fill="DEEAF1"/>
          </w:tcPr>
          <w:p>
            <w:r>
              <w:rPr>
                <w:sz w:val="20"/>
              </w:rPr>
              <w:t>Amount requested</w:t>
            </w:r>
          </w:p>
        </w:tc>
        <w:tc>
          <w:tcPr>
            <w:tcW w:type="dxa" w:w="4392"/>
          </w:tcPr>
          <w:p>
            <w:r>
              <w:rPr>
                <w:sz w:val="20"/>
              </w:rPr>
              <w:t>PLN 850,000</w:t>
            </w:r>
          </w:p>
        </w:tc>
      </w:tr>
      <w:tr>
        <w:tc>
          <w:tcPr>
            <w:tcW w:type="dxa" w:w="4392"/>
            <w:shd w:val="clear" w:color="auto" w:fill="DEEAF1"/>
          </w:tcPr>
          <w:p>
            <w:r>
              <w:rPr>
                <w:sz w:val="20"/>
              </w:rPr>
              <w:t>Term</w:t>
            </w:r>
          </w:p>
        </w:tc>
        <w:tc>
          <w:tcPr>
            <w:tcW w:type="dxa" w:w="4392"/>
          </w:tcPr>
          <w:p>
            <w:r>
              <w:rPr>
                <w:sz w:val="20"/>
              </w:rPr>
              <w:t>36 months</w:t>
            </w:r>
          </w:p>
        </w:tc>
      </w:tr>
      <w:tr>
        <w:tc>
          <w:tcPr>
            <w:tcW w:type="dxa" w:w="4392"/>
            <w:shd w:val="clear" w:color="auto" w:fill="DEEAF1"/>
          </w:tcPr>
          <w:p>
            <w:r>
              <w:rPr>
                <w:sz w:val="20"/>
              </w:rPr>
              <w:t>Repayment</w:t>
            </w:r>
          </w:p>
        </w:tc>
        <w:tc>
          <w:tcPr>
            <w:tcW w:type="dxa" w:w="4392"/>
          </w:tcPr>
          <w:p>
            <w:r>
              <w:rPr>
                <w:sz w:val="20"/>
              </w:rPr>
              <w:t>Monthly equal instalments</w:t>
            </w:r>
          </w:p>
        </w:tc>
      </w:tr>
      <w:tr>
        <w:tc>
          <w:tcPr>
            <w:tcW w:type="dxa" w:w="4392"/>
            <w:shd w:val="clear" w:color="auto" w:fill="DEEAF1"/>
          </w:tcPr>
          <w:p>
            <w:r>
              <w:rPr>
                <w:sz w:val="20"/>
              </w:rPr>
              <w:t>Purpose</w:t>
            </w:r>
          </w:p>
        </w:tc>
        <w:tc>
          <w:tcPr>
            <w:tcW w:type="dxa" w:w="4392"/>
          </w:tcPr>
          <w:p>
            <w:r>
              <w:rPr>
                <w:sz w:val="20"/>
              </w:rPr>
              <w:t>Fleet expansion — purchase of 4 refrigerated trucks to fulfil a new contract with a major retail chain</w:t>
            </w:r>
          </w:p>
        </w:tc>
      </w:tr>
    </w:tbl>
    <w:p/>
    <w:p>
      <w:pPr>
        <w:spacing w:before="240" w:after="80"/>
      </w:pPr>
      <w:r>
        <w:rPr>
          <w:b/>
          <w:color w:val="1F497D"/>
          <w:sz w:val="28"/>
        </w:rPr>
        <w:t>2.  Client Overview</w:t>
      </w:r>
    </w:p>
    <w:p>
      <w:r>
        <w:rPr>
          <w:sz w:val="20"/>
        </w:rPr>
        <w:t>Horizon Logistics Sp. z o.o. is a limited liability company incorporated in 2015, operating in the transportation and logistics industry, with a strong reputation and referral from a trusted partner. The company is led by CEO and founder Marek Kowalski, who has a strong industry reputation. Horizon Logistics has shown steady growth and a solid financial track record.</w:t>
      </w:r>
    </w:p>
    <w:p>
      <w:pPr>
        <w:spacing w:before="240" w:after="80"/>
      </w:pPr>
      <w:r>
        <w:rPr>
          <w:b/>
          <w:color w:val="1F497D"/>
          <w:sz w:val="28"/>
        </w:rPr>
        <w:t>3.  Loan Request</w:t>
      </w:r>
    </w:p>
    <w:p>
      <w:r>
        <w:rPr>
          <w:sz w:val="20"/>
        </w:rPr>
        <w:t>The company is requesting a working capital loan of PLN 850,000 to finance the purchase of four refrigerated trucks, which will enable them to fulfill a new contract with a major retail chain. This expansion is expected to increase revenue and profitability. The loan will be repaid over a term of 36 months.</w:t>
      </w:r>
    </w:p>
    <w:p>
      <w:pPr>
        <w:spacing w:before="240" w:after="80"/>
      </w:pPr>
      <w:r>
        <w:rPr>
          <w:b/>
          <w:color w:val="1F497D"/>
          <w:sz w:val="28"/>
        </w:rPr>
        <w:t>4.  Financial Analysis</w:t>
      </w:r>
    </w:p>
    <w:p>
      <w:pPr>
        <w:spacing w:before="240" w:after="80"/>
      </w:pPr>
      <w:r>
        <w:rPr>
          <w:b/>
          <w:color w:val="2E74B5"/>
          <w:sz w:val="22"/>
        </w:rPr>
        <w:t>Historical financials (PLN)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F497D"/>
          </w:tcPr>
          <w:p>
            <w:r>
              <w:rPr>
                <w:b/>
                <w:color w:val="FFFFFF"/>
                <w:sz w:val="20"/>
              </w:rPr>
            </w:r>
          </w:p>
        </w:tc>
        <w:tc>
          <w:tcPr>
            <w:tcW w:type="dxa" w:w="2196"/>
            <w:shd w:val="clear" w:color="auto" w:fill="1F497D"/>
          </w:tcPr>
          <w:p>
            <w:r>
              <w:rPr>
                <w:b/>
                <w:color w:val="FFFFFF"/>
                <w:sz w:val="20"/>
              </w:rPr>
              <w:t>2021</w:t>
            </w:r>
          </w:p>
        </w:tc>
        <w:tc>
          <w:tcPr>
            <w:tcW w:type="dxa" w:w="2196"/>
            <w:shd w:val="clear" w:color="auto" w:fill="1F497D"/>
          </w:tcPr>
          <w:p>
            <w:r>
              <w:rPr>
                <w:b/>
                <w:color w:val="FFFFFF"/>
                <w:sz w:val="20"/>
              </w:rPr>
              <w:t>2022</w:t>
            </w:r>
          </w:p>
        </w:tc>
        <w:tc>
          <w:tcPr>
            <w:tcW w:type="dxa" w:w="2196"/>
            <w:shd w:val="clear" w:color="auto" w:fill="1F497D"/>
          </w:tcPr>
          <w:p>
            <w:r>
              <w:rPr>
                <w:b/>
                <w:color w:val="FFFFFF"/>
                <w:sz w:val="20"/>
              </w:rPr>
              <w:t>2023</w:t>
            </w:r>
          </w:p>
        </w:tc>
      </w:tr>
      <w:tr>
        <w:tc>
          <w:tcPr>
            <w:tcW w:type="dxa" w:w="2196"/>
          </w:tcPr>
          <w:p>
            <w:r>
              <w:rPr>
                <w:sz w:val="20"/>
              </w:rPr>
              <w:t>Revenue</w:t>
            </w:r>
          </w:p>
        </w:tc>
        <w:tc>
          <w:tcPr>
            <w:tcW w:type="dxa" w:w="2196"/>
          </w:tcPr>
          <w:p>
            <w:r>
              <w:rPr>
                <w:sz w:val="20"/>
              </w:rPr>
              <w:t>2,980,000</w:t>
            </w:r>
          </w:p>
        </w:tc>
        <w:tc>
          <w:tcPr>
            <w:tcW w:type="dxa" w:w="2196"/>
          </w:tcPr>
          <w:p>
            <w:r>
              <w:rPr>
                <w:sz w:val="20"/>
              </w:rPr>
              <w:t>3,650,000</w:t>
            </w:r>
          </w:p>
        </w:tc>
        <w:tc>
          <w:tcPr>
            <w:tcW w:type="dxa" w:w="2196"/>
          </w:tcPr>
          <w:p>
            <w:r>
              <w:rPr>
                <w:sz w:val="20"/>
              </w:rPr>
              <w:t>4,200,000</w:t>
            </w:r>
          </w:p>
        </w:tc>
      </w:tr>
      <w:tr>
        <w:tc>
          <w:tcPr>
            <w:tcW w:type="dxa" w:w="2196"/>
          </w:tcPr>
          <w:p>
            <w:r>
              <w:rPr>
                <w:sz w:val="20"/>
              </w:rPr>
              <w:t>EBITDA</w:t>
            </w:r>
          </w:p>
        </w:tc>
        <w:tc>
          <w:tcPr>
            <w:tcW w:type="dxa" w:w="2196"/>
          </w:tcPr>
          <w:p>
            <w:r>
              <w:rPr>
                <w:sz w:val="20"/>
              </w:rPr>
              <w:t>390,000</w:t>
            </w:r>
          </w:p>
        </w:tc>
        <w:tc>
          <w:tcPr>
            <w:tcW w:type="dxa" w:w="2196"/>
          </w:tcPr>
          <w:p>
            <w:r>
              <w:rPr>
                <w:sz w:val="20"/>
              </w:rPr>
              <w:t>510,000</w:t>
            </w:r>
          </w:p>
        </w:tc>
        <w:tc>
          <w:tcPr>
            <w:tcW w:type="dxa" w:w="2196"/>
          </w:tcPr>
          <w:p>
            <w:r>
              <w:rPr>
                <w:sz w:val="20"/>
              </w:rPr>
              <w:t>630,000</w:t>
            </w:r>
          </w:p>
        </w:tc>
      </w:tr>
      <w:tr>
        <w:tc>
          <w:tcPr>
            <w:tcW w:type="dxa" w:w="2196"/>
          </w:tcPr>
          <w:p>
            <w:r>
              <w:rPr>
                <w:sz w:val="20"/>
              </w:rPr>
              <w:t>Net profit</w:t>
            </w:r>
          </w:p>
        </w:tc>
        <w:tc>
          <w:tcPr>
            <w:tcW w:type="dxa" w:w="2196"/>
          </w:tcPr>
          <w:p>
            <w:r>
              <w:rPr>
                <w:sz w:val="20"/>
              </w:rPr>
              <w:t>175,000</w:t>
            </w:r>
          </w:p>
        </w:tc>
        <w:tc>
          <w:tcPr>
            <w:tcW w:type="dxa" w:w="2196"/>
          </w:tcPr>
          <w:p>
            <w:r>
              <w:rPr>
                <w:sz w:val="20"/>
              </w:rPr>
              <w:t>240,000</w:t>
            </w:r>
          </w:p>
        </w:tc>
        <w:tc>
          <w:tcPr>
            <w:tcW w:type="dxa" w:w="2196"/>
          </w:tcPr>
          <w:p>
            <w:r>
              <w:rPr>
                <w:sz w:val="20"/>
              </w:rPr>
              <w:t>310,000</w:t>
            </w:r>
          </w:p>
        </w:tc>
      </w:tr>
      <w:tr>
        <w:tc>
          <w:tcPr>
            <w:tcW w:type="dxa" w:w="2196"/>
          </w:tcPr>
          <w:p>
            <w:r>
              <w:rPr>
                <w:sz w:val="20"/>
              </w:rPr>
              <w:t>Total debt</w:t>
            </w:r>
          </w:p>
        </w:tc>
        <w:tc>
          <w:tcPr>
            <w:tcW w:type="dxa" w:w="2196"/>
          </w:tcPr>
          <w:p>
            <w:r>
              <w:rPr>
                <w:sz w:val="20"/>
              </w:rPr>
              <w:t>880,000</w:t>
            </w:r>
          </w:p>
        </w:tc>
        <w:tc>
          <w:tcPr>
            <w:tcW w:type="dxa" w:w="2196"/>
          </w:tcPr>
          <w:p>
            <w:r>
              <w:rPr>
                <w:sz w:val="20"/>
              </w:rPr>
              <w:t>950,000</w:t>
            </w:r>
          </w:p>
        </w:tc>
        <w:tc>
          <w:tcPr>
            <w:tcW w:type="dxa" w:w="2196"/>
          </w:tcPr>
          <w:p>
            <w:r>
              <w:rPr>
                <w:sz w:val="20"/>
              </w:rPr>
              <w:t>1,100,000</w:t>
            </w:r>
          </w:p>
        </w:tc>
      </w:tr>
    </w:tbl>
    <w:p/>
    <w:p>
      <w:pPr>
        <w:spacing w:before="240" w:after="80"/>
      </w:pPr>
      <w:r>
        <w:rPr>
          <w:b/>
          <w:color w:val="2E74B5"/>
          <w:sz w:val="22"/>
        </w:rPr>
        <w:t>Key ratios (2023)</w:t>
      </w:r>
    </w:p>
    <w:tbl>
      <w:tblPr>
        <w:tblStyle w:val="TableGrid"/>
        <w:tblW w:type="auto" w:w="0"/>
        <w:tblLook w:firstColumn="1" w:firstRow="1" w:lastColumn="0" w:lastRow="0" w:noHBand="0" w:noVBand="1" w:val="04A0"/>
      </w:tblPr>
      <w:tblGrid>
        <w:gridCol w:w="4392"/>
        <w:gridCol w:w="4392"/>
      </w:tblGrid>
      <w:tr>
        <w:tc>
          <w:tcPr>
            <w:tcW w:type="dxa" w:w="4392"/>
            <w:shd w:val="clear" w:color="auto" w:fill="DEEAF1"/>
          </w:tcPr>
          <w:p>
            <w:r>
              <w:rPr>
                <w:sz w:val="20"/>
              </w:rPr>
              <w:t>Debt / EBITDA</w:t>
            </w:r>
          </w:p>
        </w:tc>
        <w:tc>
          <w:tcPr>
            <w:tcW w:type="dxa" w:w="4392"/>
          </w:tcPr>
          <w:p>
            <w:r>
              <w:rPr>
                <w:sz w:val="20"/>
              </w:rPr>
              <w:t>1.75x</w:t>
            </w:r>
          </w:p>
        </w:tc>
      </w:tr>
      <w:tr>
        <w:tc>
          <w:tcPr>
            <w:tcW w:type="dxa" w:w="4392"/>
            <w:shd w:val="clear" w:color="auto" w:fill="DEEAF1"/>
          </w:tcPr>
          <w:p>
            <w:r>
              <w:rPr>
                <w:sz w:val="20"/>
              </w:rPr>
              <w:t>EBITDA margin</w:t>
            </w:r>
          </w:p>
        </w:tc>
        <w:tc>
          <w:tcPr>
            <w:tcW w:type="dxa" w:w="4392"/>
          </w:tcPr>
          <w:p>
            <w:r>
              <w:rPr>
                <w:sz w:val="20"/>
              </w:rPr>
              <w:t>15.0%</w:t>
            </w:r>
          </w:p>
        </w:tc>
      </w:tr>
      <w:tr>
        <w:tc>
          <w:tcPr>
            <w:tcW w:type="dxa" w:w="4392"/>
            <w:shd w:val="clear" w:color="auto" w:fill="DEEAF1"/>
          </w:tcPr>
          <w:p>
            <w:r>
              <w:rPr>
                <w:sz w:val="20"/>
              </w:rPr>
              <w:t>Revenue growth YoY</w:t>
            </w:r>
          </w:p>
        </w:tc>
        <w:tc>
          <w:tcPr>
            <w:tcW w:type="dxa" w:w="4392"/>
          </w:tcPr>
          <w:p>
            <w:r>
              <w:rPr>
                <w:sz w:val="20"/>
              </w:rPr>
              <w:t>14.9%</w:t>
            </w:r>
          </w:p>
        </w:tc>
      </w:tr>
      <w:tr>
        <w:tc>
          <w:tcPr>
            <w:tcW w:type="dxa" w:w="4392"/>
            <w:shd w:val="clear" w:color="auto" w:fill="DEEAF1"/>
          </w:tcPr>
          <w:p>
            <w:r>
              <w:rPr>
                <w:sz w:val="20"/>
              </w:rPr>
              <w:t>Debt / Equity</w:t>
            </w:r>
          </w:p>
        </w:tc>
        <w:tc>
          <w:tcPr>
            <w:tcW w:type="dxa" w:w="4392"/>
          </w:tcPr>
          <w:p>
            <w:r>
              <w:rPr>
                <w:sz w:val="20"/>
              </w:rPr>
              <w:t>0.71x</w:t>
            </w:r>
          </w:p>
        </w:tc>
      </w:tr>
    </w:tbl>
    <w:p/>
    <w:p>
      <w:pPr>
        <w:spacing w:before="240" w:after="80"/>
      </w:pPr>
      <w:r>
        <w:rPr>
          <w:b/>
          <w:color w:val="2E74B5"/>
          <w:sz w:val="22"/>
        </w:rPr>
        <w:t>Financial commentary</w:t>
      </w:r>
    </w:p>
    <w:p>
      <w:r>
        <w:rPr>
          <w:sz w:val="20"/>
        </w:rPr>
        <w:t>Horizon Logistics has demonstrated a steady revenue growth trend, with revenues increasing from PLN 2,980,000 in 2021 to PLN 4,200,000 in 2023. The company's EBITDA margin has also improved, with a net profit of PLN 310,000 in 2023. The debt-to-equity ratio has remained relatively stable, with a total debt of PLN 1,100,000 and equity of PLN 1,540,000 in 2023. The company's leverage is moderate, with a debt-to-EBITDA ratio of 1.75.</w:t>
      </w:r>
    </w:p>
    <w:p>
      <w:pPr>
        <w:spacing w:before="240" w:after="80"/>
      </w:pPr>
      <w:r>
        <w:rPr>
          <w:b/>
          <w:color w:val="1F497D"/>
          <w:sz w:val="28"/>
        </w:rPr>
        <w:t>5.  Credit Assessment</w:t>
      </w:r>
    </w:p>
    <w:p>
      <w:pPr>
        <w:spacing w:before="240" w:after="80"/>
      </w:pPr>
      <w:r>
        <w:rPr>
          <w:b/>
          <w:color w:val="2E74B5"/>
          <w:sz w:val="22"/>
        </w:rPr>
        <w:t>Strengths</w:t>
      </w:r>
    </w:p>
    <w:p>
      <w:pPr>
        <w:pStyle w:val="ListBullet"/>
      </w:pPr>
      <w:r>
        <w:rPr>
          <w:sz w:val="20"/>
        </w:rPr>
        <w:t>Strong industry reputation of the CEO and founder</w:t>
      </w:r>
    </w:p>
    <w:p>
      <w:pPr>
        <w:pStyle w:val="ListBullet"/>
      </w:pPr>
      <w:r>
        <w:rPr>
          <w:sz w:val="20"/>
        </w:rPr>
        <w:t>Steady revenue growth trend</w:t>
      </w:r>
    </w:p>
    <w:p>
      <w:pPr>
        <w:pStyle w:val="ListBullet"/>
      </w:pPr>
      <w:r>
        <w:rPr>
          <w:sz w:val="20"/>
        </w:rPr>
        <w:t>No defaults or late payments in the past 36 months</w:t>
      </w:r>
    </w:p>
    <w:p>
      <w:pPr>
        <w:spacing w:before="240" w:after="80"/>
      </w:pPr>
      <w:r>
        <w:rPr>
          <w:b/>
          <w:color w:val="2E74B5"/>
          <w:sz w:val="22"/>
        </w:rPr>
        <w:t>Risks</w:t>
      </w:r>
    </w:p>
    <w:p>
      <w:pPr>
        <w:pStyle w:val="ListBullet"/>
      </w:pPr>
      <w:r>
        <w:rPr>
          <w:sz w:val="20"/>
        </w:rPr>
        <w:t>Moderate leverage</w:t>
      </w:r>
    </w:p>
    <w:p>
      <w:pPr>
        <w:pStyle w:val="ListBullet"/>
      </w:pPr>
      <w:r>
        <w:rPr>
          <w:sz w:val="20"/>
        </w:rPr>
        <w:t>Dependence on a single major retail chain client</w:t>
      </w:r>
    </w:p>
    <w:p>
      <w:pPr>
        <w:pStyle w:val="ListBullet"/>
      </w:pPr>
      <w:r>
        <w:rPr>
          <w:sz w:val="20"/>
        </w:rPr>
        <w:t>Potential fluctuations in the transportation and logistics industry</w:t>
      </w:r>
    </w:p>
    <w:p>
      <w:pPr>
        <w:spacing w:before="240" w:after="80"/>
      </w:pPr>
      <w:r>
        <w:rPr>
          <w:b/>
          <w:color w:val="1F497D"/>
          <w:sz w:val="28"/>
        </w:rPr>
        <w:t>6.  Collateral</w:t>
      </w:r>
    </w:p>
    <w:tbl>
      <w:tblPr>
        <w:tblStyle w:val="TableGrid"/>
        <w:tblW w:type="auto" w:w="0"/>
        <w:tblLook w:firstColumn="1" w:firstRow="1" w:lastColumn="0" w:lastRow="0" w:noHBand="0" w:noVBand="1" w:val="04A0"/>
      </w:tblPr>
      <w:tblGrid>
        <w:gridCol w:w="4392"/>
        <w:gridCol w:w="4392"/>
      </w:tblGrid>
      <w:tr>
        <w:tc>
          <w:tcPr>
            <w:tcW w:type="dxa" w:w="4392"/>
            <w:shd w:val="clear" w:color="auto" w:fill="DEEAF1"/>
          </w:tcPr>
          <w:p>
            <w:r>
              <w:rPr>
                <w:sz w:val="20"/>
              </w:rPr>
              <w:t>Collateral offered</w:t>
            </w:r>
          </w:p>
        </w:tc>
        <w:tc>
          <w:tcPr>
            <w:tcW w:type="dxa" w:w="4392"/>
          </w:tcPr>
          <w:p>
            <w:r>
              <w:rPr>
                <w:sz w:val="20"/>
              </w:rPr>
              <w:t>Fiduciary transfer of purchased vehicles + personal guarantee of majority shareholder</w:t>
            </w:r>
          </w:p>
        </w:tc>
      </w:tr>
    </w:tbl>
    <w:p/>
    <w:p>
      <w:r>
        <w:rPr>
          <w:sz w:val="20"/>
        </w:rPr>
        <w:t>The collateral offered, consisting of a fiduciary transfer of the purchased vehicles and a personal guarantee of the majority shareholder, provides a moderate level of security for the loan. However, the value of the vehicles may depreciate over time, and the personal guarantee may not be sufficient to cover the full amount of the loan in the event of default.</w:t>
      </w:r>
    </w:p>
    <w:p>
      <w:pPr>
        <w:pBdr>
          <w:bottom w:val="single" w:sz="6" w:space="1" w:color="2E74B5"/>
        </w:pBdr>
        <w:spacing w:after="120"/>
      </w:pPr>
    </w:p>
    <w:p>
      <w:pPr>
        <w:spacing w:before="240" w:after="80"/>
      </w:pPr>
      <w:r>
        <w:rPr>
          <w:b/>
          <w:color w:val="1F497D"/>
          <w:sz w:val="28"/>
        </w:rPr>
        <w:t>7.  Recommendation</w:t>
      </w:r>
    </w:p>
    <w:p>
      <w:pPr>
        <w:jc w:val="center"/>
      </w:pPr>
      <w:r>
        <w:rPr>
          <w:b/>
          <w:color w:val="1E7E34"/>
          <w:sz w:val="32"/>
        </w:rPr>
        <w:t xml:space="preserve">  APPROVE  </w:t>
      </w:r>
    </w:p>
    <w:p>
      <w:r>
        <w:rPr>
          <w:sz w:val="20"/>
        </w:rPr>
        <w:t>Based on the company's strong financial track record, steady revenue growth, and moderate leverage, the loan request is recommended for approval. The collateral offered provides a moderate level of security, and the company's industry reputation and referral from a trusted partner support the creditworthiness of the borrower. However, close monitoring of the company's financial performance and industry trends is recommended.</w:t>
      </w:r>
    </w:p>
    <w:p>
      <w:pPr>
        <w:spacing w:before="240" w:after="80"/>
      </w:pPr>
      <w:r>
        <w:rPr>
          <w:b/>
          <w:color w:val="2E74B5"/>
          <w:sz w:val="22"/>
        </w:rPr>
        <w:t>Conditions</w:t>
      </w:r>
    </w:p>
    <w:p>
      <w:pPr>
        <w:pStyle w:val="ListBullet"/>
      </w:pPr>
      <w:r>
        <w:rPr>
          <w:sz w:val="20"/>
        </w:rPr>
        <w:t>Regular financial reporting and monitoring</w:t>
      </w:r>
    </w:p>
    <w:p>
      <w:pPr>
        <w:pStyle w:val="ListBullet"/>
      </w:pPr>
      <w:r>
        <w:rPr>
          <w:sz w:val="20"/>
        </w:rPr>
        <w:t>Maintenance of a minimum debt-to-EBITDA ratio of 2.0</w:t>
      </w:r>
    </w:p>
    <w:p>
      <w:pPr>
        <w:pStyle w:val="ListBullet"/>
      </w:pPr>
      <w:r>
        <w:rPr>
          <w:sz w:val="20"/>
        </w:rPr>
        <w:t>Notification of any material changes in the company's operations or financial condition</w:t>
      </w:r>
    </w:p>
    <w:p>
      <w:pPr>
        <w:pBdr>
          <w:bottom w:val="single" w:sz="6" w:space="1" w:color="2E74B5"/>
        </w:pBdr>
        <w:spacing w:after="120"/>
      </w:pPr>
    </w:p>
    <w:p>
      <w:r>
        <w:rPr>
          <w:color w:val="808080"/>
          <w:sz w:val="16"/>
        </w:rPr>
        <w:t>This memorandum was prepared by Anna Wisniewska on 24 March 2026 using FinServe AI Credit Memo Generator. It is intended for internal use by the credit committee only.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