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MONTHLY PORTFOLIO REPORT</w:t>
      </w:r>
    </w:p>
    <w:p>
      <w:pPr>
        <w:jc w:val="center"/>
      </w:pPr>
      <w:r>
        <w:rPr>
          <w:sz w:val="20"/>
        </w:rPr>
        <w:t>November 2024  |  Generated: 24 March 2026</w:t>
      </w:r>
    </w:p>
    <w:p>
      <w:pPr>
        <w:pBdr>
          <w:bottom w:val="single" w:sz="6" w:space="1" w:color="2E74B5"/>
        </w:pBdr>
        <w:spacing w:after="80"/>
      </w:pPr>
    </w:p>
    <w:p>
      <w:pPr>
        <w:spacing w:before="200" w:after="80"/>
      </w:pPr>
      <w:r>
        <w:rPr>
          <w:b/>
          <w:color w:val="1F497D"/>
          <w:sz w:val="26"/>
        </w:rPr>
        <w:t>1.  Executive Summary</w:t>
      </w:r>
    </w:p>
    <w:p>
      <w:r>
        <w:rPr>
          <w:sz w:val="20"/>
        </w:rPr>
        <w:t>The portfolio size increased by 0.95% to PLN 42,500,000, with 12 new loans disbursed and PLN 3,200,000 disbursed this month. The total overdue amount increased by 21.43% to PLN 1,870,000, with a PAR30 ratio of 4.4% and an NPL ratio of 0.75%. The collection rate was 60.38%, and the average interest rate remained at 8.75%. The portfolio growth and new loan disbursements are positive signs, but the increase in overdue amounts is a concern.</w:t>
      </w:r>
    </w:p>
    <w:p>
      <w:pPr>
        <w:spacing w:before="200" w:after="80"/>
      </w:pPr>
      <w:r>
        <w:rPr>
          <w:b/>
          <w:color w:val="1F497D"/>
          <w:sz w:val="26"/>
        </w:rPr>
        <w:t>2.  Portfolio Overview</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EEAF1"/>
          </w:tcPr>
          <w:p>
            <w:r>
              <w:rPr>
                <w:sz w:val="20"/>
              </w:rPr>
              <w:t>Total portfolio value</w:t>
            </w:r>
          </w:p>
        </w:tc>
        <w:tc>
          <w:tcPr>
            <w:tcW w:type="dxa" w:w="2928"/>
          </w:tcPr>
          <w:p>
            <w:r>
              <w:rPr>
                <w:sz w:val="20"/>
              </w:rPr>
              <w:t>PLN 42,500,000</w:t>
            </w:r>
          </w:p>
        </w:tc>
        <w:tc>
          <w:tcPr>
            <w:tcW w:type="dxa" w:w="2928"/>
          </w:tcPr>
          <w:p>
            <w:r>
              <w:rPr>
                <w:sz w:val="20"/>
              </w:rPr>
              <w:t>+0.9% MoM</w:t>
            </w:r>
          </w:p>
        </w:tc>
      </w:tr>
      <w:tr>
        <w:tc>
          <w:tcPr>
            <w:tcW w:type="dxa" w:w="2928"/>
            <w:shd w:val="clear" w:color="auto" w:fill="DEEAF1"/>
          </w:tcPr>
          <w:p>
            <w:r>
              <w:rPr>
                <w:sz w:val="20"/>
              </w:rPr>
              <w:t>Active loans</w:t>
            </w:r>
          </w:p>
        </w:tc>
        <w:tc>
          <w:tcPr>
            <w:tcW w:type="dxa" w:w="2928"/>
          </w:tcPr>
          <w:p>
            <w:r>
              <w:rPr>
                <w:sz w:val="20"/>
              </w:rPr>
              <w:t>148</w:t>
            </w:r>
          </w:p>
        </w:tc>
        <w:tc>
          <w:tcPr>
            <w:tcW w:type="dxa" w:w="2928"/>
          </w:tcPr>
          <w:p>
            <w:r>
              <w:rPr>
                <w:sz w:val="20"/>
              </w:rPr>
              <w:t>+7 vs prior month</w:t>
            </w:r>
          </w:p>
        </w:tc>
      </w:tr>
      <w:tr>
        <w:tc>
          <w:tcPr>
            <w:tcW w:type="dxa" w:w="2928"/>
            <w:shd w:val="clear" w:color="auto" w:fill="DEEAF1"/>
          </w:tcPr>
          <w:p>
            <w:r>
              <w:rPr>
                <w:sz w:val="20"/>
              </w:rPr>
              <w:t>New loans this month</w:t>
            </w:r>
          </w:p>
        </w:tc>
        <w:tc>
          <w:tcPr>
            <w:tcW w:type="dxa" w:w="2928"/>
          </w:tcPr>
          <w:p>
            <w:r>
              <w:rPr>
                <w:sz w:val="20"/>
              </w:rPr>
              <w:t>12</w:t>
            </w:r>
          </w:p>
        </w:tc>
        <w:tc>
          <w:tcPr>
            <w:tcW w:type="dxa" w:w="2928"/>
          </w:tcPr>
          <w:p>
            <w:r>
              <w:rPr>
                <w:sz w:val="20"/>
              </w:rPr>
              <w:t>prev: 10</w:t>
            </w:r>
          </w:p>
        </w:tc>
      </w:tr>
      <w:tr>
        <w:tc>
          <w:tcPr>
            <w:tcW w:type="dxa" w:w="2928"/>
            <w:shd w:val="clear" w:color="auto" w:fill="DEEAF1"/>
          </w:tcPr>
          <w:p>
            <w:r>
              <w:rPr>
                <w:sz w:val="20"/>
              </w:rPr>
              <w:t>Disbursed this month</w:t>
            </w:r>
          </w:p>
        </w:tc>
        <w:tc>
          <w:tcPr>
            <w:tcW w:type="dxa" w:w="2928"/>
          </w:tcPr>
          <w:p>
            <w:r>
              <w:rPr>
                <w:sz w:val="20"/>
              </w:rPr>
              <w:t>PLN 3,200,000</w:t>
            </w:r>
          </w:p>
        </w:tc>
        <w:tc>
          <w:tcPr>
            <w:tcW w:type="dxa" w:w="2928"/>
          </w:tcPr>
          <w:p>
            <w:r>
              <w:rPr>
                <w:sz w:val="20"/>
              </w:rPr>
              <w:t>+10.3% MoM</w:t>
            </w:r>
          </w:p>
        </w:tc>
      </w:tr>
      <w:tr>
        <w:tc>
          <w:tcPr>
            <w:tcW w:type="dxa" w:w="2928"/>
            <w:shd w:val="clear" w:color="auto" w:fill="DEEAF1"/>
          </w:tcPr>
          <w:p>
            <w:r>
              <w:rPr>
                <w:sz w:val="20"/>
              </w:rPr>
              <w:t>Repaid this month</w:t>
            </w:r>
          </w:p>
        </w:tc>
        <w:tc>
          <w:tcPr>
            <w:tcW w:type="dxa" w:w="2928"/>
          </w:tcPr>
          <w:p>
            <w:r>
              <w:rPr>
                <w:sz w:val="20"/>
              </w:rPr>
              <w:t>PLN 2,850,000</w:t>
            </w:r>
          </w:p>
        </w:tc>
        <w:tc>
          <w:tcPr>
            <w:tcW w:type="dxa" w:w="2928"/>
          </w:tcPr>
          <w:p>
            <w:r>
              <w:rPr>
                <w:sz w:val="20"/>
              </w:rPr>
            </w:r>
          </w:p>
        </w:tc>
      </w:tr>
      <w:tr>
        <w:tc>
          <w:tcPr>
            <w:tcW w:type="dxa" w:w="2928"/>
            <w:shd w:val="clear" w:color="auto" w:fill="DEEAF1"/>
          </w:tcPr>
          <w:p>
            <w:r>
              <w:rPr>
                <w:sz w:val="20"/>
              </w:rPr>
              <w:t>Average loan size</w:t>
            </w:r>
          </w:p>
        </w:tc>
        <w:tc>
          <w:tcPr>
            <w:tcW w:type="dxa" w:w="2928"/>
          </w:tcPr>
          <w:p>
            <w:r>
              <w:rPr>
                <w:sz w:val="20"/>
              </w:rPr>
              <w:t>PLN 287,162</w:t>
            </w:r>
          </w:p>
        </w:tc>
        <w:tc>
          <w:tcPr>
            <w:tcW w:type="dxa" w:w="2928"/>
          </w:tcPr>
          <w:p>
            <w:r>
              <w:rPr>
                <w:sz w:val="20"/>
              </w:rPr>
            </w:r>
          </w:p>
        </w:tc>
      </w:tr>
      <w:tr>
        <w:tc>
          <w:tcPr>
            <w:tcW w:type="dxa" w:w="2928"/>
            <w:shd w:val="clear" w:color="auto" w:fill="DEEAF1"/>
          </w:tcPr>
          <w:p>
            <w:r>
              <w:rPr>
                <w:sz w:val="20"/>
              </w:rPr>
              <w:t>Average interest rate</w:t>
            </w:r>
          </w:p>
        </w:tc>
        <w:tc>
          <w:tcPr>
            <w:tcW w:type="dxa" w:w="2928"/>
          </w:tcPr>
          <w:p>
            <w:r>
              <w:rPr>
                <w:sz w:val="20"/>
              </w:rPr>
              <w:t>8.75%</w:t>
            </w:r>
          </w:p>
        </w:tc>
        <w:tc>
          <w:tcPr>
            <w:tcW w:type="dxa" w:w="2928"/>
          </w:tcPr>
          <w:p>
            <w:r>
              <w:rPr>
                <w:sz w:val="20"/>
              </w:rPr>
            </w:r>
          </w:p>
        </w:tc>
      </w:tr>
      <w:tr>
        <w:tc>
          <w:tcPr>
            <w:tcW w:type="dxa" w:w="2928"/>
            <w:shd w:val="clear" w:color="auto" w:fill="DEEAF1"/>
          </w:tcPr>
          <w:p>
            <w:r>
              <w:rPr>
                <w:sz w:val="20"/>
              </w:rPr>
              <w:t>Active clients</w:t>
            </w:r>
          </w:p>
        </w:tc>
        <w:tc>
          <w:tcPr>
            <w:tcW w:type="dxa" w:w="2928"/>
          </w:tcPr>
          <w:p>
            <w:r>
              <w:rPr>
                <w:sz w:val="20"/>
              </w:rPr>
              <w:t>134</w:t>
            </w:r>
          </w:p>
        </w:tc>
        <w:tc>
          <w:tcPr>
            <w:tcW w:type="dxa" w:w="2928"/>
          </w:tcPr>
          <w:p>
            <w:r>
              <w:rPr>
                <w:sz w:val="20"/>
              </w:rPr>
              <w:t>+9 new this month</w:t>
            </w:r>
          </w:p>
        </w:tc>
      </w:tr>
      <w:tr>
        <w:tc>
          <w:tcPr>
            <w:tcW w:type="dxa" w:w="2928"/>
            <w:shd w:val="clear" w:color="auto" w:fill="DEEAF1"/>
          </w:tcPr>
          <w:p>
            <w:r>
              <w:rPr>
                <w:sz w:val="20"/>
              </w:rPr>
              <w:t>Pipeline</w:t>
            </w:r>
          </w:p>
        </w:tc>
        <w:tc>
          <w:tcPr>
            <w:tcW w:type="dxa" w:w="2928"/>
          </w:tcPr>
          <w:p>
            <w:r>
              <w:rPr>
                <w:sz w:val="20"/>
              </w:rPr>
              <w:t>PLN 8,400,000</w:t>
            </w:r>
          </w:p>
        </w:tc>
        <w:tc>
          <w:tcPr>
            <w:tcW w:type="dxa" w:w="2928"/>
          </w:tcPr>
          <w:p>
            <w:r>
              <w:rPr>
                <w:sz w:val="20"/>
              </w:rPr>
              <w:t>31 deals</w:t>
            </w:r>
          </w:p>
        </w:tc>
      </w:tr>
    </w:tbl>
    <w:p/>
    <w:p>
      <w:pPr>
        <w:spacing w:before="200" w:after="80"/>
      </w:pPr>
      <w:r>
        <w:rPr>
          <w:b/>
          <w:color w:val="1F497D"/>
          <w:sz w:val="26"/>
        </w:rPr>
        <w:t>3.  Portfolio by Product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sz w:val="20"/>
              </w:rPr>
              <w:t>Product</w:t>
            </w:r>
          </w:p>
        </w:tc>
        <w:tc>
          <w:tcPr>
            <w:tcW w:type="dxa" w:w="2928"/>
            <w:shd w:val="clear" w:color="auto" w:fill="1F497D"/>
          </w:tcPr>
          <w:p>
            <w:r>
              <w:rPr>
                <w:b/>
                <w:color w:val="FFFFFF"/>
                <w:sz w:val="20"/>
              </w:rPr>
              <w:t>No. of Loans</w:t>
            </w:r>
          </w:p>
        </w:tc>
        <w:tc>
          <w:tcPr>
            <w:tcW w:type="dxa" w:w="2928"/>
            <w:shd w:val="clear" w:color="auto" w:fill="1F497D"/>
          </w:tcPr>
          <w:p>
            <w:r>
              <w:rPr>
                <w:b/>
                <w:color w:val="FFFFFF"/>
                <w:sz w:val="20"/>
              </w:rPr>
              <w:t>Outstanding (PLN)</w:t>
            </w:r>
          </w:p>
        </w:tc>
      </w:tr>
      <w:tr>
        <w:tc>
          <w:tcPr>
            <w:tcW w:type="dxa" w:w="2928"/>
            <w:shd w:val="clear" w:color="auto" w:fill="F5F9FC"/>
          </w:tcPr>
          <w:p>
            <w:r>
              <w:rPr>
                <w:sz w:val="20"/>
              </w:rPr>
              <w:t>Working Capital Loan</w:t>
            </w:r>
          </w:p>
        </w:tc>
        <w:tc>
          <w:tcPr>
            <w:tcW w:type="dxa" w:w="2928"/>
            <w:shd w:val="clear" w:color="auto" w:fill="F5F9FC"/>
          </w:tcPr>
          <w:p>
            <w:r>
              <w:rPr>
                <w:sz w:val="20"/>
              </w:rPr>
              <w:t>82</w:t>
            </w:r>
          </w:p>
        </w:tc>
        <w:tc>
          <w:tcPr>
            <w:tcW w:type="dxa" w:w="2928"/>
            <w:shd w:val="clear" w:color="auto" w:fill="F5F9FC"/>
          </w:tcPr>
          <w:p>
            <w:r>
              <w:rPr>
                <w:sz w:val="20"/>
              </w:rPr>
              <w:t>24,500,000</w:t>
            </w:r>
          </w:p>
        </w:tc>
      </w:tr>
      <w:tr>
        <w:tc>
          <w:tcPr>
            <w:tcW w:type="dxa" w:w="2928"/>
          </w:tcPr>
          <w:p>
            <w:r>
              <w:rPr>
                <w:sz w:val="20"/>
              </w:rPr>
              <w:t>Equipment Finance</w:t>
            </w:r>
          </w:p>
        </w:tc>
        <w:tc>
          <w:tcPr>
            <w:tcW w:type="dxa" w:w="2928"/>
          </w:tcPr>
          <w:p>
            <w:r>
              <w:rPr>
                <w:sz w:val="20"/>
              </w:rPr>
              <w:t>41</w:t>
            </w:r>
          </w:p>
        </w:tc>
        <w:tc>
          <w:tcPr>
            <w:tcW w:type="dxa" w:w="2928"/>
          </w:tcPr>
          <w:p>
            <w:r>
              <w:rPr>
                <w:sz w:val="20"/>
              </w:rPr>
              <w:t>12,300,000</w:t>
            </w:r>
          </w:p>
        </w:tc>
      </w:tr>
      <w:tr>
        <w:tc>
          <w:tcPr>
            <w:tcW w:type="dxa" w:w="2928"/>
            <w:shd w:val="clear" w:color="auto" w:fill="F5F9FC"/>
          </w:tcPr>
          <w:p>
            <w:r>
              <w:rPr>
                <w:sz w:val="20"/>
              </w:rPr>
              <w:t>Trade Finance</w:t>
            </w:r>
          </w:p>
        </w:tc>
        <w:tc>
          <w:tcPr>
            <w:tcW w:type="dxa" w:w="2928"/>
            <w:shd w:val="clear" w:color="auto" w:fill="F5F9FC"/>
          </w:tcPr>
          <w:p>
            <w:r>
              <w:rPr>
                <w:sz w:val="20"/>
              </w:rPr>
              <w:t>25</w:t>
            </w:r>
          </w:p>
        </w:tc>
        <w:tc>
          <w:tcPr>
            <w:tcW w:type="dxa" w:w="2928"/>
            <w:shd w:val="clear" w:color="auto" w:fill="F5F9FC"/>
          </w:tcPr>
          <w:p>
            <w:r>
              <w:rPr>
                <w:sz w:val="20"/>
              </w:rPr>
              <w:t>5,700,000</w:t>
            </w:r>
          </w:p>
        </w:tc>
      </w:tr>
    </w:tbl>
    <w:p/>
    <w:p>
      <w:pPr>
        <w:spacing w:before="200" w:after="80"/>
      </w:pPr>
      <w:r>
        <w:rPr>
          <w:b/>
          <w:color w:val="1F497D"/>
          <w:sz w:val="26"/>
        </w:rPr>
        <w:t>4.  Portfolio by Sector</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sz w:val="20"/>
              </w:rPr>
              <w:t>Sector</w:t>
            </w:r>
          </w:p>
        </w:tc>
        <w:tc>
          <w:tcPr>
            <w:tcW w:type="dxa" w:w="2928"/>
            <w:shd w:val="clear" w:color="auto" w:fill="1F497D"/>
          </w:tcPr>
          <w:p>
            <w:r>
              <w:rPr>
                <w:b/>
                <w:color w:val="FFFFFF"/>
                <w:sz w:val="20"/>
              </w:rPr>
              <w:t>Clients</w:t>
            </w:r>
          </w:p>
        </w:tc>
        <w:tc>
          <w:tcPr>
            <w:tcW w:type="dxa" w:w="2928"/>
            <w:shd w:val="clear" w:color="auto" w:fill="1F497D"/>
          </w:tcPr>
          <w:p>
            <w:r>
              <w:rPr>
                <w:b/>
                <w:color w:val="FFFFFF"/>
                <w:sz w:val="20"/>
              </w:rPr>
              <w:t>Portfolio Value (PLN)</w:t>
            </w:r>
          </w:p>
        </w:tc>
      </w:tr>
      <w:tr>
        <w:tc>
          <w:tcPr>
            <w:tcW w:type="dxa" w:w="2928"/>
            <w:shd w:val="clear" w:color="auto" w:fill="F5F9FC"/>
          </w:tcPr>
          <w:p>
            <w:r>
              <w:rPr>
                <w:sz w:val="20"/>
              </w:rPr>
              <w:t>Transportation &amp; Logistics</w:t>
            </w:r>
          </w:p>
        </w:tc>
        <w:tc>
          <w:tcPr>
            <w:tcW w:type="dxa" w:w="2928"/>
            <w:shd w:val="clear" w:color="auto" w:fill="F5F9FC"/>
          </w:tcPr>
          <w:p>
            <w:r>
              <w:rPr>
                <w:sz w:val="20"/>
              </w:rPr>
              <w:t>28</w:t>
            </w:r>
          </w:p>
        </w:tc>
        <w:tc>
          <w:tcPr>
            <w:tcW w:type="dxa" w:w="2928"/>
            <w:shd w:val="clear" w:color="auto" w:fill="F5F9FC"/>
          </w:tcPr>
          <w:p>
            <w:r>
              <w:rPr>
                <w:sz w:val="20"/>
              </w:rPr>
              <w:t>9,200,000</w:t>
            </w:r>
          </w:p>
        </w:tc>
      </w:tr>
      <w:tr>
        <w:tc>
          <w:tcPr>
            <w:tcW w:type="dxa" w:w="2928"/>
          </w:tcPr>
          <w:p>
            <w:r>
              <w:rPr>
                <w:sz w:val="20"/>
              </w:rPr>
              <w:t>Manufacturing</w:t>
            </w:r>
          </w:p>
        </w:tc>
        <w:tc>
          <w:tcPr>
            <w:tcW w:type="dxa" w:w="2928"/>
          </w:tcPr>
          <w:p>
            <w:r>
              <w:rPr>
                <w:sz w:val="20"/>
              </w:rPr>
              <w:t>24</w:t>
            </w:r>
          </w:p>
        </w:tc>
        <w:tc>
          <w:tcPr>
            <w:tcW w:type="dxa" w:w="2928"/>
          </w:tcPr>
          <w:p>
            <w:r>
              <w:rPr>
                <w:sz w:val="20"/>
              </w:rPr>
              <w:t>8,400,000</w:t>
            </w:r>
          </w:p>
        </w:tc>
      </w:tr>
      <w:tr>
        <w:tc>
          <w:tcPr>
            <w:tcW w:type="dxa" w:w="2928"/>
            <w:shd w:val="clear" w:color="auto" w:fill="F5F9FC"/>
          </w:tcPr>
          <w:p>
            <w:r>
              <w:rPr>
                <w:sz w:val="20"/>
              </w:rPr>
              <w:t>Retail &amp; Distribution</w:t>
            </w:r>
          </w:p>
        </w:tc>
        <w:tc>
          <w:tcPr>
            <w:tcW w:type="dxa" w:w="2928"/>
            <w:shd w:val="clear" w:color="auto" w:fill="F5F9FC"/>
          </w:tcPr>
          <w:p>
            <w:r>
              <w:rPr>
                <w:sz w:val="20"/>
              </w:rPr>
              <w:t>31</w:t>
            </w:r>
          </w:p>
        </w:tc>
        <w:tc>
          <w:tcPr>
            <w:tcW w:type="dxa" w:w="2928"/>
            <w:shd w:val="clear" w:color="auto" w:fill="F5F9FC"/>
          </w:tcPr>
          <w:p>
            <w:r>
              <w:rPr>
                <w:sz w:val="20"/>
              </w:rPr>
              <w:t>11,200,000</w:t>
            </w:r>
          </w:p>
        </w:tc>
      </w:tr>
      <w:tr>
        <w:tc>
          <w:tcPr>
            <w:tcW w:type="dxa" w:w="2928"/>
          </w:tcPr>
          <w:p>
            <w:r>
              <w:rPr>
                <w:sz w:val="20"/>
              </w:rPr>
              <w:t>Construction</w:t>
            </w:r>
          </w:p>
        </w:tc>
        <w:tc>
          <w:tcPr>
            <w:tcW w:type="dxa" w:w="2928"/>
          </w:tcPr>
          <w:p>
            <w:r>
              <w:rPr>
                <w:sz w:val="20"/>
              </w:rPr>
              <w:t>19</w:t>
            </w:r>
          </w:p>
        </w:tc>
        <w:tc>
          <w:tcPr>
            <w:tcW w:type="dxa" w:w="2928"/>
          </w:tcPr>
          <w:p>
            <w:r>
              <w:rPr>
                <w:sz w:val="20"/>
              </w:rPr>
              <w:t>7,100,000</w:t>
            </w:r>
          </w:p>
        </w:tc>
      </w:tr>
      <w:tr>
        <w:tc>
          <w:tcPr>
            <w:tcW w:type="dxa" w:w="2928"/>
            <w:shd w:val="clear" w:color="auto" w:fill="F5F9FC"/>
          </w:tcPr>
          <w:p>
            <w:r>
              <w:rPr>
                <w:sz w:val="20"/>
              </w:rPr>
              <w:t>Technology</w:t>
            </w:r>
          </w:p>
        </w:tc>
        <w:tc>
          <w:tcPr>
            <w:tcW w:type="dxa" w:w="2928"/>
            <w:shd w:val="clear" w:color="auto" w:fill="F5F9FC"/>
          </w:tcPr>
          <w:p>
            <w:r>
              <w:rPr>
                <w:sz w:val="20"/>
              </w:rPr>
              <w:t>15</w:t>
            </w:r>
          </w:p>
        </w:tc>
        <w:tc>
          <w:tcPr>
            <w:tcW w:type="dxa" w:w="2928"/>
            <w:shd w:val="clear" w:color="auto" w:fill="F5F9FC"/>
          </w:tcPr>
          <w:p>
            <w:r>
              <w:rPr>
                <w:sz w:val="20"/>
              </w:rPr>
              <w:t>4,200,000</w:t>
            </w:r>
          </w:p>
        </w:tc>
      </w:tr>
      <w:tr>
        <w:tc>
          <w:tcPr>
            <w:tcW w:type="dxa" w:w="2928"/>
          </w:tcPr>
          <w:p>
            <w:r>
              <w:rPr>
                <w:sz w:val="20"/>
              </w:rPr>
              <w:t>Other</w:t>
            </w:r>
          </w:p>
        </w:tc>
        <w:tc>
          <w:tcPr>
            <w:tcW w:type="dxa" w:w="2928"/>
          </w:tcPr>
          <w:p>
            <w:r>
              <w:rPr>
                <w:sz w:val="20"/>
              </w:rPr>
              <w:t>17</w:t>
            </w:r>
          </w:p>
        </w:tc>
        <w:tc>
          <w:tcPr>
            <w:tcW w:type="dxa" w:w="2928"/>
          </w:tcPr>
          <w:p>
            <w:r>
              <w:rPr>
                <w:sz w:val="20"/>
              </w:rPr>
              <w:t>2,400,000</w:t>
            </w:r>
          </w:p>
        </w:tc>
      </w:tr>
    </w:tbl>
    <w:p/>
    <w:p>
      <w:pPr>
        <w:spacing w:before="200" w:after="80"/>
      </w:pPr>
      <w:r>
        <w:rPr>
          <w:b/>
          <w:color w:val="1F497D"/>
          <w:sz w:val="26"/>
        </w:rPr>
        <w:t>5.  Credit Quality &amp; Risk Metrics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DEEAF1"/>
          </w:tcPr>
          <w:p>
            <w:r>
              <w:rPr>
                <w:sz w:val="20"/>
              </w:rPr>
              <w:t>PAR30 (Portfolio at Risk)</w:t>
            </w:r>
          </w:p>
        </w:tc>
        <w:tc>
          <w:tcPr>
            <w:tcW w:type="dxa" w:w="2928"/>
          </w:tcPr>
          <w:p>
            <w:r>
              <w:rPr>
                <w:sz w:val="20"/>
              </w:rPr>
              <w:t>4.4%</w:t>
            </w:r>
          </w:p>
        </w:tc>
        <w:tc>
          <w:tcPr>
            <w:tcW w:type="dxa" w:w="2928"/>
          </w:tcPr>
          <w:p>
            <w:r>
              <w:rPr>
                <w:sz w:val="20"/>
              </w:rPr>
              <w:t>overdue change: +21.4% MoM</w:t>
            </w:r>
          </w:p>
        </w:tc>
      </w:tr>
      <w:tr>
        <w:tc>
          <w:tcPr>
            <w:tcW w:type="dxa" w:w="2928"/>
            <w:shd w:val="clear" w:color="auto" w:fill="DEEAF1"/>
          </w:tcPr>
          <w:p>
            <w:r>
              <w:rPr>
                <w:sz w:val="20"/>
              </w:rPr>
              <w:t>NPL ratio</w:t>
            </w:r>
          </w:p>
        </w:tc>
        <w:tc>
          <w:tcPr>
            <w:tcW w:type="dxa" w:w="2928"/>
          </w:tcPr>
          <w:p>
            <w:r>
              <w:rPr>
                <w:sz w:val="20"/>
              </w:rPr>
              <w:t>0.75%</w:t>
            </w:r>
          </w:p>
        </w:tc>
        <w:tc>
          <w:tcPr>
            <w:tcW w:type="dxa" w:w="2928"/>
          </w:tcPr>
          <w:p>
            <w:r>
              <w:rPr>
                <w:sz w:val="20"/>
              </w:rPr>
            </w:r>
          </w:p>
        </w:tc>
      </w:tr>
      <w:tr>
        <w:tc>
          <w:tcPr>
            <w:tcW w:type="dxa" w:w="2928"/>
            <w:shd w:val="clear" w:color="auto" w:fill="DEEAF1"/>
          </w:tcPr>
          <w:p>
            <w:r>
              <w:rPr>
                <w:sz w:val="20"/>
              </w:rPr>
              <w:t>Collection rate</w:t>
            </w:r>
          </w:p>
        </w:tc>
        <w:tc>
          <w:tcPr>
            <w:tcW w:type="dxa" w:w="2928"/>
          </w:tcPr>
          <w:p>
            <w:r>
              <w:rPr>
                <w:sz w:val="20"/>
              </w:rPr>
              <w:t>60.38%</w:t>
            </w:r>
          </w:p>
        </w:tc>
        <w:tc>
          <w:tcPr>
            <w:tcW w:type="dxa" w:w="2928"/>
          </w:tcPr>
          <w:p>
            <w:r>
              <w:rPr>
                <w:sz w:val="20"/>
              </w:rPr>
            </w:r>
          </w:p>
        </w:tc>
      </w:tr>
      <w:tr>
        <w:tc>
          <w:tcPr>
            <w:tcW w:type="dxa" w:w="2928"/>
            <w:shd w:val="clear" w:color="auto" w:fill="DEEAF1"/>
          </w:tcPr>
          <w:p>
            <w:r>
              <w:rPr>
                <w:sz w:val="20"/>
              </w:rPr>
              <w:t>Total overdue</w:t>
            </w:r>
          </w:p>
        </w:tc>
        <w:tc>
          <w:tcPr>
            <w:tcW w:type="dxa" w:w="2928"/>
          </w:tcPr>
          <w:p>
            <w:r>
              <w:rPr>
                <w:sz w:val="20"/>
              </w:rPr>
              <w:t>PLN 1,870,000</w:t>
            </w:r>
          </w:p>
        </w:tc>
        <w:tc>
          <w:tcPr>
            <w:tcW w:type="dxa" w:w="2928"/>
          </w:tcPr>
          <w:p>
            <w:r>
              <w:rPr>
                <w:sz w:val="20"/>
              </w:rPr>
              <w:t>prev: PLN 1,540,000</w:t>
            </w:r>
          </w:p>
        </w:tc>
      </w:tr>
      <w:tr>
        <w:tc>
          <w:tcPr>
            <w:tcW w:type="dxa" w:w="2928"/>
            <w:shd w:val="clear" w:color="auto" w:fill="DEEAF1"/>
          </w:tcPr>
          <w:p>
            <w:r>
              <w:rPr>
                <w:sz w:val="20"/>
              </w:rPr>
              <w:t>Written off this month</w:t>
            </w:r>
          </w:p>
        </w:tc>
        <w:tc>
          <w:tcPr>
            <w:tcW w:type="dxa" w:w="2928"/>
          </w:tcPr>
          <w:p>
            <w:r>
              <w:rPr>
                <w:sz w:val="20"/>
              </w:rPr>
              <w:t>PLN 320,000</w:t>
            </w:r>
          </w:p>
        </w:tc>
        <w:tc>
          <w:tcPr>
            <w:tcW w:type="dxa" w:w="2928"/>
          </w:tcPr>
          <w:p>
            <w:r>
              <w:rPr>
                <w:sz w:val="20"/>
              </w:rPr>
            </w:r>
          </w:p>
        </w:tc>
      </w:tr>
      <w:tr>
        <w:tc>
          <w:tcPr>
            <w:tcW w:type="dxa" w:w="2928"/>
            <w:shd w:val="clear" w:color="auto" w:fill="DEEAF1"/>
          </w:tcPr>
          <w:p>
            <w:r>
              <w:rPr>
                <w:sz w:val="20"/>
              </w:rPr>
              <w:t>Clients in restructuring</w:t>
            </w:r>
          </w:p>
        </w:tc>
        <w:tc>
          <w:tcPr>
            <w:tcW w:type="dxa" w:w="2928"/>
          </w:tcPr>
          <w:p>
            <w:r>
              <w:rPr>
                <w:sz w:val="20"/>
              </w:rPr>
              <w:t>4</w:t>
            </w:r>
          </w:p>
        </w:tc>
        <w:tc>
          <w:tcPr>
            <w:tcW w:type="dxa" w:w="2928"/>
          </w:tcPr>
          <w:p>
            <w:r>
              <w:rPr>
                <w:sz w:val="20"/>
              </w:rPr>
            </w:r>
          </w:p>
        </w:tc>
      </w:tr>
      <w:tr>
        <w:tc>
          <w:tcPr>
            <w:tcW w:type="dxa" w:w="2928"/>
            <w:shd w:val="clear" w:color="auto" w:fill="DEEAF1"/>
          </w:tcPr>
          <w:p>
            <w:r>
              <w:rPr>
                <w:sz w:val="20"/>
              </w:rPr>
              <w:t>Clients flagged for review</w:t>
            </w:r>
          </w:p>
        </w:tc>
        <w:tc>
          <w:tcPr>
            <w:tcW w:type="dxa" w:w="2928"/>
          </w:tcPr>
          <w:p>
            <w:r>
              <w:rPr>
                <w:sz w:val="20"/>
              </w:rPr>
              <w:t>7</w:t>
            </w:r>
          </w:p>
        </w:tc>
        <w:tc>
          <w:tcPr>
            <w:tcW w:type="dxa" w:w="2928"/>
          </w:tcPr>
          <w:p>
            <w:r>
              <w:rPr>
                <w:sz w:val="20"/>
              </w:rPr>
            </w:r>
          </w:p>
        </w:tc>
      </w:tr>
    </w:tbl>
    <w:p/>
    <w:p>
      <w:pPr>
        <w:spacing w:before="200" w:after="80"/>
      </w:pPr>
      <w:r>
        <w:rPr>
          <w:b/>
          <w:color w:val="2E74B5"/>
          <w:sz w:val="22"/>
        </w:rPr>
        <w:t>Overdue buckets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sz w:val="20"/>
              </w:rPr>
              <w:t>Bucket</w:t>
            </w:r>
          </w:p>
        </w:tc>
        <w:tc>
          <w:tcPr>
            <w:tcW w:type="dxa" w:w="2928"/>
            <w:shd w:val="clear" w:color="auto" w:fill="1F497D"/>
          </w:tcPr>
          <w:p>
            <w:r>
              <w:rPr>
                <w:b/>
                <w:color w:val="FFFFFF"/>
                <w:sz w:val="20"/>
              </w:rPr>
              <w:t>No. of Loans</w:t>
            </w:r>
          </w:p>
        </w:tc>
        <w:tc>
          <w:tcPr>
            <w:tcW w:type="dxa" w:w="2928"/>
            <w:shd w:val="clear" w:color="auto" w:fill="1F497D"/>
          </w:tcPr>
          <w:p>
            <w:r>
              <w:rPr>
                <w:b/>
                <w:color w:val="FFFFFF"/>
                <w:sz w:val="20"/>
              </w:rPr>
              <w:t>Value (PLN)</w:t>
            </w:r>
          </w:p>
        </w:tc>
      </w:tr>
      <w:tr>
        <w:tc>
          <w:tcPr>
            <w:tcW w:type="dxa" w:w="2928"/>
            <w:shd w:val="clear" w:color="auto" w:fill="F5F9FC"/>
          </w:tcPr>
          <w:p>
            <w:r>
              <w:rPr>
                <w:sz w:val="20"/>
              </w:rPr>
              <w:t>1-30 days</w:t>
            </w:r>
          </w:p>
        </w:tc>
        <w:tc>
          <w:tcPr>
            <w:tcW w:type="dxa" w:w="2928"/>
            <w:shd w:val="clear" w:color="auto" w:fill="F5F9FC"/>
          </w:tcPr>
          <w:p>
            <w:r>
              <w:rPr>
                <w:sz w:val="20"/>
              </w:rPr>
              <w:t>8</w:t>
            </w:r>
          </w:p>
        </w:tc>
        <w:tc>
          <w:tcPr>
            <w:tcW w:type="dxa" w:w="2928"/>
            <w:shd w:val="clear" w:color="auto" w:fill="F5F9FC"/>
          </w:tcPr>
          <w:p>
            <w:r>
              <w:rPr>
                <w:sz w:val="20"/>
              </w:rPr>
              <w:t>920,000</w:t>
            </w:r>
          </w:p>
        </w:tc>
      </w:tr>
      <w:tr>
        <w:tc>
          <w:tcPr>
            <w:tcW w:type="dxa" w:w="2928"/>
          </w:tcPr>
          <w:p>
            <w:r>
              <w:rPr>
                <w:sz w:val="20"/>
              </w:rPr>
              <w:t>31-60 days</w:t>
            </w:r>
          </w:p>
        </w:tc>
        <w:tc>
          <w:tcPr>
            <w:tcW w:type="dxa" w:w="2928"/>
          </w:tcPr>
          <w:p>
            <w:r>
              <w:rPr>
                <w:sz w:val="20"/>
              </w:rPr>
              <w:t>5</w:t>
            </w:r>
          </w:p>
        </w:tc>
        <w:tc>
          <w:tcPr>
            <w:tcW w:type="dxa" w:w="2928"/>
          </w:tcPr>
          <w:p>
            <w:r>
              <w:rPr>
                <w:sz w:val="20"/>
              </w:rPr>
              <w:t>610,000</w:t>
            </w:r>
          </w:p>
        </w:tc>
      </w:tr>
      <w:tr>
        <w:tc>
          <w:tcPr>
            <w:tcW w:type="dxa" w:w="2928"/>
            <w:shd w:val="clear" w:color="auto" w:fill="F5F9FC"/>
          </w:tcPr>
          <w:p>
            <w:r>
              <w:rPr>
                <w:sz w:val="20"/>
              </w:rPr>
              <w:t>61-90 days</w:t>
            </w:r>
          </w:p>
        </w:tc>
        <w:tc>
          <w:tcPr>
            <w:tcW w:type="dxa" w:w="2928"/>
            <w:shd w:val="clear" w:color="auto" w:fill="F5F9FC"/>
          </w:tcPr>
          <w:p>
            <w:r>
              <w:rPr>
                <w:sz w:val="20"/>
              </w:rPr>
              <w:t>3</w:t>
            </w:r>
          </w:p>
        </w:tc>
        <w:tc>
          <w:tcPr>
            <w:tcW w:type="dxa" w:w="2928"/>
            <w:shd w:val="clear" w:color="auto" w:fill="F5F9FC"/>
          </w:tcPr>
          <w:p>
            <w:r>
              <w:rPr>
                <w:sz w:val="20"/>
              </w:rPr>
              <w:t>340,000</w:t>
            </w:r>
          </w:p>
        </w:tc>
      </w:tr>
      <w:tr>
        <w:tc>
          <w:tcPr>
            <w:tcW w:type="dxa" w:w="2928"/>
          </w:tcPr>
          <w:p>
            <w:r>
              <w:rPr>
                <w:sz w:val="20"/>
              </w:rPr>
              <w:t>90+ days</w:t>
            </w:r>
          </w:p>
        </w:tc>
        <w:tc>
          <w:tcPr>
            <w:tcW w:type="dxa" w:w="2928"/>
          </w:tcPr>
          <w:p>
            <w:r>
              <w:rPr>
                <w:sz w:val="20"/>
              </w:rPr>
              <w:t>2</w:t>
            </w:r>
          </w:p>
        </w:tc>
        <w:tc>
          <w:tcPr>
            <w:tcW w:type="dxa" w:w="2928"/>
          </w:tcPr>
          <w:p>
            <w:r>
              <w:rPr>
                <w:sz w:val="20"/>
              </w:rPr>
              <w:t>—</w:t>
            </w:r>
          </w:p>
        </w:tc>
      </w:tr>
    </w:tbl>
    <w:p/>
    <w:p>
      <w:pPr>
        <w:spacing w:before="200" w:after="80"/>
      </w:pPr>
      <w:r>
        <w:rPr>
          <w:b/>
          <w:color w:val="1F497D"/>
          <w:sz w:val="26"/>
        </w:rPr>
        <w:t>6.  Top Exposures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sz w:val="20"/>
              </w:rPr>
              <w:t>Client</w:t>
            </w:r>
          </w:p>
        </w:tc>
        <w:tc>
          <w:tcPr>
            <w:tcW w:type="dxa" w:w="2196"/>
            <w:shd w:val="clear" w:color="auto" w:fill="1F497D"/>
          </w:tcPr>
          <w:p>
            <w:r>
              <w:rPr>
                <w:b/>
                <w:color w:val="FFFFFF"/>
                <w:sz w:val="20"/>
              </w:rPr>
              <w:t>Loan ID</w:t>
            </w:r>
          </w:p>
        </w:tc>
        <w:tc>
          <w:tcPr>
            <w:tcW w:type="dxa" w:w="2196"/>
            <w:shd w:val="clear" w:color="auto" w:fill="1F497D"/>
          </w:tcPr>
          <w:p>
            <w:r>
              <w:rPr>
                <w:b/>
                <w:color w:val="FFFFFF"/>
                <w:sz w:val="20"/>
              </w:rPr>
              <w:t>Outstanding (PLN)</w:t>
            </w:r>
          </w:p>
        </w:tc>
        <w:tc>
          <w:tcPr>
            <w:tcW w:type="dxa" w:w="2196"/>
            <w:shd w:val="clear" w:color="auto" w:fill="1F497D"/>
          </w:tcPr>
          <w:p>
            <w:r>
              <w:rPr>
                <w:b/>
                <w:color w:val="FFFFFF"/>
                <w:sz w:val="20"/>
              </w:rPr>
              <w:t>Status</w:t>
            </w:r>
          </w:p>
        </w:tc>
      </w:tr>
      <w:tr>
        <w:tc>
          <w:tcPr>
            <w:tcW w:type="dxa" w:w="2196"/>
            <w:shd w:val="clear" w:color="auto" w:fill="F5F9FC"/>
          </w:tcPr>
          <w:p>
            <w:r>
              <w:rPr>
                <w:sz w:val="20"/>
              </w:rPr>
              <w:t>Horizon Logistics Sp. z o.o.</w:t>
            </w:r>
          </w:p>
        </w:tc>
        <w:tc>
          <w:tcPr>
            <w:tcW w:type="dxa" w:w="2196"/>
            <w:shd w:val="clear" w:color="auto" w:fill="F5F9FC"/>
          </w:tcPr>
          <w:p>
            <w:r>
              <w:rPr>
                <w:sz w:val="20"/>
              </w:rPr>
              <w:t>LN-2024-00847</w:t>
            </w:r>
          </w:p>
        </w:tc>
        <w:tc>
          <w:tcPr>
            <w:tcW w:type="dxa" w:w="2196"/>
            <w:shd w:val="clear" w:color="auto" w:fill="F5F9FC"/>
          </w:tcPr>
          <w:p>
            <w:r>
              <w:rPr>
                <w:sz w:val="20"/>
              </w:rPr>
              <w:t>850,000</w:t>
            </w:r>
          </w:p>
        </w:tc>
        <w:tc>
          <w:tcPr>
            <w:tcW w:type="dxa" w:w="2196"/>
            <w:shd w:val="clear" w:color="auto" w:fill="F5F9FC"/>
          </w:tcPr>
          <w:p>
            <w:r>
              <w:rPr>
                <w:sz w:val="20"/>
              </w:rPr>
              <w:t>Current</w:t>
            </w:r>
          </w:p>
        </w:tc>
      </w:tr>
      <w:tr>
        <w:tc>
          <w:tcPr>
            <w:tcW w:type="dxa" w:w="2196"/>
          </w:tcPr>
          <w:p>
            <w:r>
              <w:rPr>
                <w:sz w:val="20"/>
              </w:rPr>
              <w:t>BuildPro Sp. z o.o.</w:t>
            </w:r>
          </w:p>
        </w:tc>
        <w:tc>
          <w:tcPr>
            <w:tcW w:type="dxa" w:w="2196"/>
          </w:tcPr>
          <w:p>
            <w:r>
              <w:rPr>
                <w:sz w:val="20"/>
              </w:rPr>
              <w:t>LN-2024-00612</w:t>
            </w:r>
          </w:p>
        </w:tc>
        <w:tc>
          <w:tcPr>
            <w:tcW w:type="dxa" w:w="2196"/>
          </w:tcPr>
          <w:p>
            <w:r>
              <w:rPr>
                <w:sz w:val="20"/>
              </w:rPr>
              <w:t>720,000</w:t>
            </w:r>
          </w:p>
        </w:tc>
        <w:tc>
          <w:tcPr>
            <w:tcW w:type="dxa" w:w="2196"/>
          </w:tcPr>
          <w:p>
            <w:r>
              <w:rPr>
                <w:sz w:val="20"/>
              </w:rPr>
              <w:t>Current</w:t>
            </w:r>
          </w:p>
        </w:tc>
      </w:tr>
      <w:tr>
        <w:tc>
          <w:tcPr>
            <w:tcW w:type="dxa" w:w="2196"/>
            <w:shd w:val="clear" w:color="auto" w:fill="F5F9FC"/>
          </w:tcPr>
          <w:p>
            <w:r>
              <w:rPr>
                <w:sz w:val="20"/>
              </w:rPr>
              <w:t>Grabowski Manufacturing Sp. z o.o.</w:t>
            </w:r>
          </w:p>
        </w:tc>
        <w:tc>
          <w:tcPr>
            <w:tcW w:type="dxa" w:w="2196"/>
            <w:shd w:val="clear" w:color="auto" w:fill="F5F9FC"/>
          </w:tcPr>
          <w:p>
            <w:r>
              <w:rPr>
                <w:sz w:val="20"/>
              </w:rPr>
              <w:t>LN-2023-00389</w:t>
            </w:r>
          </w:p>
        </w:tc>
        <w:tc>
          <w:tcPr>
            <w:tcW w:type="dxa" w:w="2196"/>
            <w:shd w:val="clear" w:color="auto" w:fill="F5F9FC"/>
          </w:tcPr>
          <w:p>
            <w:r>
              <w:rPr>
                <w:sz w:val="20"/>
              </w:rPr>
              <w:t>680,000</w:t>
            </w:r>
          </w:p>
        </w:tc>
        <w:tc>
          <w:tcPr>
            <w:tcW w:type="dxa" w:w="2196"/>
            <w:shd w:val="clear" w:color="auto" w:fill="F5F9FC"/>
          </w:tcPr>
          <w:p>
            <w:r>
              <w:rPr>
                <w:sz w:val="20"/>
              </w:rPr>
              <w:t>Restructured</w:t>
            </w:r>
          </w:p>
        </w:tc>
      </w:tr>
      <w:tr>
        <w:tc>
          <w:tcPr>
            <w:tcW w:type="dxa" w:w="2196"/>
          </w:tcPr>
          <w:p>
            <w:r>
              <w:rPr>
                <w:sz w:val="20"/>
              </w:rPr>
              <w:t>Retail Group Sp. z o.o.</w:t>
            </w:r>
          </w:p>
        </w:tc>
        <w:tc>
          <w:tcPr>
            <w:tcW w:type="dxa" w:w="2196"/>
          </w:tcPr>
          <w:p>
            <w:r>
              <w:rPr>
                <w:sz w:val="20"/>
              </w:rPr>
              <w:t>LN-2024-00701</w:t>
            </w:r>
          </w:p>
        </w:tc>
        <w:tc>
          <w:tcPr>
            <w:tcW w:type="dxa" w:w="2196"/>
          </w:tcPr>
          <w:p>
            <w:r>
              <w:rPr>
                <w:sz w:val="20"/>
              </w:rPr>
              <w:t>540,000</w:t>
            </w:r>
          </w:p>
        </w:tc>
        <w:tc>
          <w:tcPr>
            <w:tcW w:type="dxa" w:w="2196"/>
          </w:tcPr>
          <w:p>
            <w:r>
              <w:rPr>
                <w:sz w:val="20"/>
              </w:rPr>
              <w:t>Current</w:t>
            </w:r>
          </w:p>
        </w:tc>
      </w:tr>
      <w:tr>
        <w:tc>
          <w:tcPr>
            <w:tcW w:type="dxa" w:w="2196"/>
            <w:shd w:val="clear" w:color="auto" w:fill="F5F9FC"/>
          </w:tcPr>
          <w:p>
            <w:r>
              <w:rPr>
                <w:sz w:val="20"/>
              </w:rPr>
              <w:t>TechStartup S.A.</w:t>
            </w:r>
          </w:p>
        </w:tc>
        <w:tc>
          <w:tcPr>
            <w:tcW w:type="dxa" w:w="2196"/>
            <w:shd w:val="clear" w:color="auto" w:fill="F5F9FC"/>
          </w:tcPr>
          <w:p>
            <w:r>
              <w:rPr>
                <w:sz w:val="20"/>
              </w:rPr>
              <w:t>LN-2023-00445</w:t>
            </w:r>
          </w:p>
        </w:tc>
        <w:tc>
          <w:tcPr>
            <w:tcW w:type="dxa" w:w="2196"/>
            <w:shd w:val="clear" w:color="auto" w:fill="F5F9FC"/>
          </w:tcPr>
          <w:p>
            <w:r>
              <w:rPr>
                <w:sz w:val="20"/>
              </w:rPr>
              <w:t>490,000</w:t>
            </w:r>
          </w:p>
        </w:tc>
        <w:tc>
          <w:tcPr>
            <w:tcW w:type="dxa" w:w="2196"/>
            <w:shd w:val="clear" w:color="auto" w:fill="F5F9FC"/>
          </w:tcPr>
          <w:p>
            <w:r>
              <w:rPr>
                <w:sz w:val="20"/>
              </w:rPr>
              <w:t>Overdue 31-60</w:t>
            </w:r>
          </w:p>
        </w:tc>
      </w:tr>
    </w:tbl>
    <w:p/>
    <w:p>
      <w:pPr>
        <w:spacing w:before="200" w:after="80"/>
      </w:pPr>
      <w:r>
        <w:rPr>
          <w:b/>
          <w:color w:val="1F497D"/>
          <w:sz w:val="26"/>
        </w:rPr>
        <w:t>7.  Key Findings</w:t>
      </w:r>
    </w:p>
    <w:p>
      <w:pPr>
        <w:pStyle w:val="ListBullet"/>
      </w:pPr>
      <w:r>
        <w:rPr>
          <w:sz w:val="20"/>
        </w:rPr>
        <w:t>Portfolio growth of 0.95% month-over-month</w:t>
      </w:r>
    </w:p>
    <w:p>
      <w:pPr>
        <w:pStyle w:val="ListBullet"/>
      </w:pPr>
      <w:r>
        <w:rPr>
          <w:sz w:val="20"/>
        </w:rPr>
        <w:t>Increase in total overdue amount by 21.43%</w:t>
      </w:r>
    </w:p>
    <w:p>
      <w:pPr>
        <w:pStyle w:val="ListBullet"/>
      </w:pPr>
      <w:r>
        <w:rPr>
          <w:sz w:val="20"/>
        </w:rPr>
        <w:t>New loan disbursements of PLN 3,200,000</w:t>
      </w:r>
    </w:p>
    <w:p>
      <w:pPr>
        <w:pStyle w:val="ListBullet"/>
      </w:pPr>
      <w:r>
        <w:rPr>
          <w:sz w:val="20"/>
        </w:rPr>
        <w:t>Collection rate of 60.38%</w:t>
      </w:r>
    </w:p>
    <w:p>
      <w:pPr>
        <w:spacing w:before="200" w:after="80"/>
      </w:pPr>
      <w:r>
        <w:rPr>
          <w:b/>
          <w:color w:val="1F497D"/>
          <w:sz w:val="26"/>
        </w:rPr>
        <w:t>8.  Risk Flags</w:t>
      </w:r>
    </w:p>
    <w:p>
      <w:r>
        <w:rPr>
          <w:color w:val="C82333"/>
          <w:sz w:val="20"/>
        </w:rPr>
        <w:t xml:space="preserve">  Increasing overdue amounts</w:t>
      </w:r>
    </w:p>
    <w:p>
      <w:r>
        <w:rPr>
          <w:color w:val="C82333"/>
          <w:sz w:val="20"/>
        </w:rPr>
        <w:t xml:space="preserve">  High NPL ratio</w:t>
      </w:r>
    </w:p>
    <w:p>
      <w:r>
        <w:rPr>
          <w:color w:val="C82333"/>
          <w:sz w:val="20"/>
        </w:rPr>
        <w:t xml:space="preserve">  Potential credit risk due to rising overdue amounts</w:t>
      </w:r>
    </w:p>
    <w:p>
      <w:pPr>
        <w:spacing w:before="200" w:after="80"/>
      </w:pPr>
      <w:r>
        <w:rPr>
          <w:b/>
          <w:color w:val="1F497D"/>
          <w:sz w:val="26"/>
        </w:rPr>
        <w:t>9.  Recommendations</w:t>
      </w:r>
    </w:p>
    <w:p>
      <w:pPr>
        <w:pStyle w:val="ListBullet"/>
      </w:pPr>
      <w:r>
        <w:rPr>
          <w:sz w:val="20"/>
        </w:rPr>
        <w:t>Enhance collection efforts to reduce overdue amounts</w:t>
      </w:r>
    </w:p>
    <w:p>
      <w:pPr>
        <w:pStyle w:val="ListBullet"/>
      </w:pPr>
      <w:r>
        <w:rPr>
          <w:sz w:val="20"/>
        </w:rPr>
        <w:t>Conduct thorough credit risk assessments for new loans</w:t>
      </w:r>
    </w:p>
    <w:p>
      <w:pPr>
        <w:pStyle w:val="ListBullet"/>
      </w:pPr>
      <w:r>
        <w:rPr>
          <w:sz w:val="20"/>
        </w:rPr>
        <w:t>Monitor portfolio performance closely to identify potential risks</w:t>
      </w:r>
    </w:p>
    <w:p>
      <w:pPr>
        <w:spacing w:before="200" w:after="80"/>
      </w:pPr>
      <w:r>
        <w:rPr>
          <w:b/>
          <w:color w:val="1F497D"/>
          <w:sz w:val="26"/>
        </w:rPr>
        <w:t>10.  Outlook</w:t>
      </w:r>
    </w:p>
    <w:p>
      <w:r>
        <w:rPr>
          <w:sz w:val="20"/>
        </w:rPr>
        <w:t>The portfolio is expected to continue growing, but the increasing overdue amounts pose a risk to the overall performance. It is essential to focus on enhancing collection efforts and conducting thorough credit risk assessments to mitigate potential risks. The pipeline value of PLN 8,400,000 and 31 deals in progress indicate a positive outlook for future growth.</w:t>
      </w:r>
    </w:p>
    <w:p>
      <w:pPr>
        <w:pBdr>
          <w:bottom w:val="single" w:sz="6" w:space="1" w:color="2E74B5"/>
        </w:pBdr>
        <w:spacing w:after="80"/>
      </w:pPr>
    </w:p>
    <w:p>
      <w:r>
        <w:rPr>
          <w:color w:val="808080"/>
          <w:sz w:val="16"/>
        </w:rPr>
        <w:t>This report was automatically generated by FinServe AI Reporting Pipeline on 24 March 2026. For internal use only. Please review before distribution.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