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6F0CE" w14:textId="77777777" w:rsidR="001E1A5F" w:rsidRPr="001E1A5F" w:rsidRDefault="001E1A5F" w:rsidP="001E1A5F">
      <w:pPr>
        <w:pStyle w:val="Heading1"/>
        <w:rPr>
          <w:lang w:eastAsia="en-KE"/>
        </w:rPr>
      </w:pPr>
      <w:r w:rsidRPr="001E1A5F">
        <w:rPr>
          <w:lang w:eastAsia="en-KE"/>
        </w:rPr>
        <w:t>CHAPTER FOUR</w:t>
      </w:r>
    </w:p>
    <w:p w14:paraId="54C0D604" w14:textId="77777777" w:rsidR="001E1A5F" w:rsidRPr="001E1A5F" w:rsidRDefault="001E1A5F" w:rsidP="001E1A5F">
      <w:pPr>
        <w:pStyle w:val="Heading1"/>
        <w:rPr>
          <w:lang w:eastAsia="en-KE"/>
        </w:rPr>
      </w:pPr>
      <w:r w:rsidRPr="001E1A5F">
        <w:rPr>
          <w:lang w:eastAsia="en-KE"/>
        </w:rPr>
        <w:t>DATA ANALYSIS, PRESENTATION AND INTERPRETATION OF FINDINGS</w:t>
      </w:r>
    </w:p>
    <w:p w14:paraId="04DF46BA" w14:textId="77777777" w:rsidR="001E1A5F" w:rsidRPr="001E1A5F" w:rsidRDefault="001E1A5F" w:rsidP="001E1A5F">
      <w:pPr>
        <w:pStyle w:val="Heading2"/>
      </w:pPr>
      <w:r w:rsidRPr="001E1A5F">
        <w:t>4.1 Introduction</w:t>
      </w:r>
    </w:p>
    <w:p w14:paraId="6450FF28" w14:textId="145159A3" w:rsidR="001E1A5F" w:rsidRPr="001E1A5F" w:rsidRDefault="001E1A5F" w:rsidP="001E1A5F">
      <w:pPr>
        <w:pStyle w:val="NormalWeb"/>
        <w:spacing w:line="360" w:lineRule="auto"/>
        <w:jc w:val="both"/>
        <w:rPr>
          <w:lang w:val="en-US"/>
        </w:rPr>
      </w:pPr>
      <w:r>
        <w:t>This chapter presents the analysis, interpretation, and discussion of findings obtained from the study on fertilizer subsidy reform strategies and their influence on smallholder farmers’ uptake of fertilizers in Kenya. The analysis was based on data collected from smallholder farmers in Nakuru, Bungoma, and Meru counties using structured questionnaires. The chapter presents the response rate, reliability analysis, demographic characteristics of respondents, descriptive statistics, correlation analysis, multiple regression analysis, hypothesis testing, and interpretation of findings.</w:t>
      </w:r>
      <w:r>
        <w:rPr>
          <w:lang w:val="en-US"/>
        </w:rPr>
        <w:t xml:space="preserve"> </w:t>
      </w:r>
    </w:p>
    <w:p w14:paraId="12599DEA" w14:textId="7B6D1377" w:rsidR="001E1A5F" w:rsidRDefault="001E1A5F" w:rsidP="001E1A5F">
      <w:pPr>
        <w:pStyle w:val="NormalWeb"/>
        <w:spacing w:line="360" w:lineRule="auto"/>
        <w:jc w:val="both"/>
      </w:pPr>
      <w:r>
        <w:t>The study sought to examine the influence of pricing reforms, distribution model changes, and revised targeting criteria on smallholder farmers’ uptake of fertilizers. Descriptive statistics including means, variances, and standard deviations were used to summarize respondents’ perceptions regarding fertilizer subsidy reform strategies and fertilizer uptake. Inferential statistics including Pearson correlation analysis and multiple regression analysis were used to determine the nature and significance of relationships between the study variables.</w:t>
      </w:r>
    </w:p>
    <w:p w14:paraId="676FEBEE" w14:textId="223F7580" w:rsidR="001E1A5F" w:rsidRDefault="001E1A5F" w:rsidP="001E1A5F">
      <w:pPr>
        <w:pStyle w:val="Heading2"/>
      </w:pPr>
      <w:r>
        <w:t xml:space="preserve">4.2 </w:t>
      </w:r>
      <w:r>
        <w:t>Response Rate</w:t>
      </w:r>
    </w:p>
    <w:p w14:paraId="613D7B3A" w14:textId="5220D143" w:rsidR="001E1A5F" w:rsidRDefault="001E1A5F" w:rsidP="001E1A5F">
      <w:pPr>
        <w:spacing w:line="360" w:lineRule="auto"/>
      </w:pPr>
      <w:r>
        <w:t>The study targeted a sample size of 282 respondents drawn from Nakuru, Bungoma, and Meru counties. Out of the 282 questionnaires distributed to the respondents, 265 questionnaires were successfully completed and returned, while 17 questionnaires were not returned. This represented a response rate of 94% and a non-response rate of 6%, as illustrated in Figure 4.1.</w:t>
      </w:r>
      <w:r w:rsidR="00BB0D71">
        <w:t xml:space="preserve"> </w:t>
      </w:r>
      <w:r w:rsidRPr="001E1A5F">
        <w:t>A response rate of 94% was considered adequate for the study since it exceeded the minimum acceptable response rate for social science research. The high response rate enhanced the reliability and validity of the findings by minimizing non-response bias and improving the representativeness of the collected data.</w:t>
      </w:r>
      <w:r w:rsidR="00BB0D71">
        <w:t xml:space="preserve"> </w:t>
      </w:r>
      <w:r w:rsidRPr="001E1A5F">
        <w:t>The findings indicate that the majority of the targeted respondents participated in the study, thereby providing sufficient data for statistical analysis and interpretation of the study objectives.</w:t>
      </w:r>
    </w:p>
    <w:p w14:paraId="7DC37E14" w14:textId="77777777" w:rsidR="00BB0D71" w:rsidRDefault="00BB0D71" w:rsidP="001E1A5F">
      <w:pPr>
        <w:spacing w:line="360" w:lineRule="auto"/>
        <w:rPr>
          <w:b/>
          <w:bCs/>
        </w:rPr>
      </w:pPr>
    </w:p>
    <w:p w14:paraId="61E819F6" w14:textId="77777777" w:rsidR="00BB0D71" w:rsidRDefault="00BB0D71" w:rsidP="001E1A5F">
      <w:pPr>
        <w:spacing w:line="360" w:lineRule="auto"/>
        <w:rPr>
          <w:b/>
          <w:bCs/>
        </w:rPr>
      </w:pPr>
    </w:p>
    <w:p w14:paraId="7E737B7A" w14:textId="4FC8B582" w:rsidR="001E1A5F" w:rsidRPr="001E1A5F" w:rsidRDefault="001E1A5F" w:rsidP="001E1A5F">
      <w:pPr>
        <w:spacing w:line="360" w:lineRule="auto"/>
        <w:rPr>
          <w:b/>
          <w:bCs/>
        </w:rPr>
      </w:pPr>
      <w:r w:rsidRPr="001E1A5F">
        <w:rPr>
          <w:b/>
          <w:bCs/>
        </w:rPr>
        <w:lastRenderedPageBreak/>
        <w:t>Figure 4.1 Response Rate</w:t>
      </w:r>
    </w:p>
    <w:p w14:paraId="6C51BE90" w14:textId="6429EE2B" w:rsidR="001E1A5F" w:rsidRDefault="001E1A5F" w:rsidP="001E1A5F">
      <w:pPr>
        <w:jc w:val="center"/>
      </w:pPr>
      <w:r w:rsidRPr="001E1A5F">
        <w:drawing>
          <wp:inline distT="0" distB="0" distL="0" distR="0" wp14:anchorId="1281ED3D" wp14:editId="42DF4B80">
            <wp:extent cx="4109411" cy="3235570"/>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127176" cy="3249558"/>
                    </a:xfrm>
                    <a:prstGeom prst="rect">
                      <a:avLst/>
                    </a:prstGeom>
                  </pic:spPr>
                </pic:pic>
              </a:graphicData>
            </a:graphic>
          </wp:inline>
        </w:drawing>
      </w:r>
    </w:p>
    <w:p w14:paraId="37A2E01B" w14:textId="3355EEDC" w:rsidR="001E1A5F" w:rsidRDefault="001E1A5F" w:rsidP="001E1A5F">
      <w:pPr>
        <w:pStyle w:val="Heading2"/>
      </w:pPr>
      <w:r>
        <w:t xml:space="preserve">4.3 </w:t>
      </w:r>
      <w:r>
        <w:t>Cronbach’s Alpha</w:t>
      </w:r>
    </w:p>
    <w:p w14:paraId="02F47205" w14:textId="6A2CE8DF" w:rsidR="001E1A5F" w:rsidRDefault="001E1A5F" w:rsidP="001E1A5F">
      <w:pPr>
        <w:spacing w:line="360" w:lineRule="auto"/>
      </w:pPr>
      <w:r>
        <w:t>Reliability analysis was conducted to assess the internal consistency of the questionnaire items used in measuring the study variables. Cronbach’s alpha coefficient was used to determine the reliability of the constructs relating to pricing reforms, distribution model changes, revised targeting criteria, and uptake of fertilizers. The results are presented in Table 4.1.</w:t>
      </w:r>
    </w:p>
    <w:p w14:paraId="57EEB5E9" w14:textId="392802AB" w:rsidR="001E1A5F" w:rsidRPr="001E1A5F" w:rsidRDefault="001E1A5F" w:rsidP="001E1A5F">
      <w:pPr>
        <w:spacing w:line="360" w:lineRule="auto"/>
        <w:rPr>
          <w:b/>
          <w:bCs/>
        </w:rPr>
      </w:pPr>
      <w:r w:rsidRPr="001E1A5F">
        <w:rPr>
          <w:b/>
          <w:bCs/>
        </w:rPr>
        <w:t>Table 4.1: Reliability Analysis Using Cronbach’s Alpha</w:t>
      </w:r>
    </w:p>
    <w:tbl>
      <w:tblPr>
        <w:tblW w:w="8544" w:type="dxa"/>
        <w:tblCellSpacing w:w="15" w:type="dxa"/>
        <w:tblCellMar>
          <w:top w:w="15" w:type="dxa"/>
          <w:left w:w="15" w:type="dxa"/>
          <w:bottom w:w="15" w:type="dxa"/>
          <w:right w:w="15" w:type="dxa"/>
        </w:tblCellMar>
        <w:tblLook w:val="04A0" w:firstRow="1" w:lastRow="0" w:firstColumn="1" w:lastColumn="0" w:noHBand="0" w:noVBand="1"/>
      </w:tblPr>
      <w:tblGrid>
        <w:gridCol w:w="5043"/>
        <w:gridCol w:w="3501"/>
      </w:tblGrid>
      <w:tr w:rsidR="001E1A5F" w:rsidRPr="001E1A5F" w14:paraId="19161A85" w14:textId="77777777" w:rsidTr="001E1A5F">
        <w:trPr>
          <w:trHeight w:val="429"/>
          <w:tblHeader/>
          <w:tblCellSpacing w:w="15" w:type="dxa"/>
        </w:trPr>
        <w:tc>
          <w:tcPr>
            <w:tcW w:w="0" w:type="auto"/>
            <w:tcBorders>
              <w:right w:val="single" w:sz="4" w:space="0" w:color="auto"/>
            </w:tcBorders>
            <w:vAlign w:val="center"/>
            <w:hideMark/>
          </w:tcPr>
          <w:p w14:paraId="7F536526" w14:textId="77777777" w:rsidR="001E1A5F" w:rsidRPr="001E1A5F" w:rsidRDefault="001E1A5F" w:rsidP="00BB0D71">
            <w:pPr>
              <w:spacing w:line="240" w:lineRule="auto"/>
              <w:rPr>
                <w:b/>
                <w:bCs/>
                <w:lang w:val="en-KE"/>
              </w:rPr>
            </w:pPr>
            <w:r w:rsidRPr="001E1A5F">
              <w:rPr>
                <w:b/>
                <w:bCs/>
                <w:lang w:val="en-KE"/>
              </w:rPr>
              <w:t>Variable</w:t>
            </w:r>
          </w:p>
        </w:tc>
        <w:tc>
          <w:tcPr>
            <w:tcW w:w="0" w:type="auto"/>
            <w:vAlign w:val="center"/>
            <w:hideMark/>
          </w:tcPr>
          <w:p w14:paraId="3D5C4D81" w14:textId="77777777" w:rsidR="001E1A5F" w:rsidRPr="001E1A5F" w:rsidRDefault="001E1A5F" w:rsidP="00BB0D71">
            <w:pPr>
              <w:spacing w:line="240" w:lineRule="auto"/>
              <w:rPr>
                <w:b/>
                <w:bCs/>
                <w:lang w:val="en-KE"/>
              </w:rPr>
            </w:pPr>
            <w:r w:rsidRPr="001E1A5F">
              <w:rPr>
                <w:b/>
                <w:bCs/>
                <w:lang w:val="en-KE"/>
              </w:rPr>
              <w:t>Cronbach’s Alpha</w:t>
            </w:r>
          </w:p>
        </w:tc>
      </w:tr>
      <w:tr w:rsidR="001E1A5F" w:rsidRPr="001E1A5F" w14:paraId="07857E6F" w14:textId="77777777" w:rsidTr="001E1A5F">
        <w:trPr>
          <w:trHeight w:val="436"/>
          <w:tblCellSpacing w:w="15" w:type="dxa"/>
        </w:trPr>
        <w:tc>
          <w:tcPr>
            <w:tcW w:w="0" w:type="auto"/>
            <w:tcBorders>
              <w:top w:val="single" w:sz="4" w:space="0" w:color="auto"/>
              <w:right w:val="single" w:sz="4" w:space="0" w:color="auto"/>
            </w:tcBorders>
            <w:vAlign w:val="center"/>
            <w:hideMark/>
          </w:tcPr>
          <w:p w14:paraId="00040CD4" w14:textId="77777777" w:rsidR="001E1A5F" w:rsidRPr="001E1A5F" w:rsidRDefault="001E1A5F" w:rsidP="00BB0D71">
            <w:pPr>
              <w:spacing w:line="240" w:lineRule="auto"/>
              <w:rPr>
                <w:lang w:val="en-KE"/>
              </w:rPr>
            </w:pPr>
            <w:r w:rsidRPr="001E1A5F">
              <w:rPr>
                <w:lang w:val="en-KE"/>
              </w:rPr>
              <w:t>Pricing Reforms</w:t>
            </w:r>
          </w:p>
        </w:tc>
        <w:tc>
          <w:tcPr>
            <w:tcW w:w="0" w:type="auto"/>
            <w:tcBorders>
              <w:top w:val="single" w:sz="4" w:space="0" w:color="auto"/>
            </w:tcBorders>
            <w:vAlign w:val="center"/>
            <w:hideMark/>
          </w:tcPr>
          <w:p w14:paraId="366CD072" w14:textId="77777777" w:rsidR="001E1A5F" w:rsidRPr="001E1A5F" w:rsidRDefault="001E1A5F" w:rsidP="00BB0D71">
            <w:pPr>
              <w:spacing w:line="240" w:lineRule="auto"/>
              <w:rPr>
                <w:lang w:val="en-KE"/>
              </w:rPr>
            </w:pPr>
            <w:r w:rsidRPr="001E1A5F">
              <w:rPr>
                <w:lang w:val="en-KE"/>
              </w:rPr>
              <w:t>0.050</w:t>
            </w:r>
          </w:p>
        </w:tc>
      </w:tr>
      <w:tr w:rsidR="001E1A5F" w:rsidRPr="001E1A5F" w14:paraId="42619369" w14:textId="77777777" w:rsidTr="001E1A5F">
        <w:trPr>
          <w:trHeight w:val="429"/>
          <w:tblCellSpacing w:w="15" w:type="dxa"/>
        </w:trPr>
        <w:tc>
          <w:tcPr>
            <w:tcW w:w="0" w:type="auto"/>
            <w:tcBorders>
              <w:right w:val="single" w:sz="4" w:space="0" w:color="auto"/>
            </w:tcBorders>
            <w:vAlign w:val="center"/>
            <w:hideMark/>
          </w:tcPr>
          <w:p w14:paraId="27502192" w14:textId="77777777" w:rsidR="001E1A5F" w:rsidRPr="001E1A5F" w:rsidRDefault="001E1A5F" w:rsidP="00BB0D71">
            <w:pPr>
              <w:spacing w:line="240" w:lineRule="auto"/>
              <w:rPr>
                <w:lang w:val="en-KE"/>
              </w:rPr>
            </w:pPr>
            <w:r w:rsidRPr="001E1A5F">
              <w:rPr>
                <w:lang w:val="en-KE"/>
              </w:rPr>
              <w:t>Distribution Model Changes</w:t>
            </w:r>
          </w:p>
        </w:tc>
        <w:tc>
          <w:tcPr>
            <w:tcW w:w="0" w:type="auto"/>
            <w:vAlign w:val="center"/>
            <w:hideMark/>
          </w:tcPr>
          <w:p w14:paraId="4824AF30" w14:textId="77777777" w:rsidR="001E1A5F" w:rsidRPr="001E1A5F" w:rsidRDefault="001E1A5F" w:rsidP="00BB0D71">
            <w:pPr>
              <w:spacing w:line="240" w:lineRule="auto"/>
              <w:rPr>
                <w:lang w:val="en-KE"/>
              </w:rPr>
            </w:pPr>
            <w:r w:rsidRPr="001E1A5F">
              <w:rPr>
                <w:lang w:val="en-KE"/>
              </w:rPr>
              <w:t>0.037</w:t>
            </w:r>
          </w:p>
        </w:tc>
      </w:tr>
      <w:tr w:rsidR="001E1A5F" w:rsidRPr="001E1A5F" w14:paraId="50085D96" w14:textId="77777777" w:rsidTr="001E1A5F">
        <w:trPr>
          <w:trHeight w:val="429"/>
          <w:tblCellSpacing w:w="15" w:type="dxa"/>
        </w:trPr>
        <w:tc>
          <w:tcPr>
            <w:tcW w:w="0" w:type="auto"/>
            <w:tcBorders>
              <w:right w:val="single" w:sz="4" w:space="0" w:color="auto"/>
            </w:tcBorders>
            <w:vAlign w:val="center"/>
            <w:hideMark/>
          </w:tcPr>
          <w:p w14:paraId="34610E38" w14:textId="77777777" w:rsidR="001E1A5F" w:rsidRPr="001E1A5F" w:rsidRDefault="001E1A5F" w:rsidP="00BB0D71">
            <w:pPr>
              <w:spacing w:line="240" w:lineRule="auto"/>
              <w:rPr>
                <w:lang w:val="en-KE"/>
              </w:rPr>
            </w:pPr>
            <w:r w:rsidRPr="001E1A5F">
              <w:rPr>
                <w:lang w:val="en-KE"/>
              </w:rPr>
              <w:t>Revised Targeting Criteria</w:t>
            </w:r>
          </w:p>
        </w:tc>
        <w:tc>
          <w:tcPr>
            <w:tcW w:w="0" w:type="auto"/>
            <w:vAlign w:val="center"/>
            <w:hideMark/>
          </w:tcPr>
          <w:p w14:paraId="0A6B437A" w14:textId="77777777" w:rsidR="001E1A5F" w:rsidRPr="001E1A5F" w:rsidRDefault="001E1A5F" w:rsidP="00BB0D71">
            <w:pPr>
              <w:spacing w:line="240" w:lineRule="auto"/>
              <w:rPr>
                <w:lang w:val="en-KE"/>
              </w:rPr>
            </w:pPr>
            <w:r w:rsidRPr="001E1A5F">
              <w:rPr>
                <w:lang w:val="en-KE"/>
              </w:rPr>
              <w:t>0.142</w:t>
            </w:r>
          </w:p>
        </w:tc>
      </w:tr>
      <w:tr w:rsidR="001E1A5F" w:rsidRPr="001E1A5F" w14:paraId="101756DC" w14:textId="77777777" w:rsidTr="001E1A5F">
        <w:trPr>
          <w:trHeight w:val="436"/>
          <w:tblCellSpacing w:w="15" w:type="dxa"/>
        </w:trPr>
        <w:tc>
          <w:tcPr>
            <w:tcW w:w="0" w:type="auto"/>
            <w:tcBorders>
              <w:right w:val="single" w:sz="4" w:space="0" w:color="auto"/>
            </w:tcBorders>
            <w:vAlign w:val="center"/>
            <w:hideMark/>
          </w:tcPr>
          <w:p w14:paraId="6BFB1B28" w14:textId="77777777" w:rsidR="001E1A5F" w:rsidRPr="001E1A5F" w:rsidRDefault="001E1A5F" w:rsidP="00BB0D71">
            <w:pPr>
              <w:spacing w:line="240" w:lineRule="auto"/>
              <w:rPr>
                <w:lang w:val="en-KE"/>
              </w:rPr>
            </w:pPr>
            <w:r w:rsidRPr="001E1A5F">
              <w:rPr>
                <w:lang w:val="en-KE"/>
              </w:rPr>
              <w:t>Uptake of Fertilizers</w:t>
            </w:r>
          </w:p>
        </w:tc>
        <w:tc>
          <w:tcPr>
            <w:tcW w:w="0" w:type="auto"/>
            <w:vAlign w:val="center"/>
            <w:hideMark/>
          </w:tcPr>
          <w:p w14:paraId="1B4DBB4E" w14:textId="77777777" w:rsidR="001E1A5F" w:rsidRPr="001E1A5F" w:rsidRDefault="001E1A5F" w:rsidP="00BB0D71">
            <w:pPr>
              <w:spacing w:line="240" w:lineRule="auto"/>
              <w:rPr>
                <w:lang w:val="en-KE"/>
              </w:rPr>
            </w:pPr>
            <w:r w:rsidRPr="001E1A5F">
              <w:rPr>
                <w:lang w:val="en-KE"/>
              </w:rPr>
              <w:t>-0.179</w:t>
            </w:r>
          </w:p>
        </w:tc>
      </w:tr>
    </w:tbl>
    <w:p w14:paraId="0A41ABB9" w14:textId="77777777" w:rsidR="001E1A5F" w:rsidRDefault="001E1A5F" w:rsidP="001E1A5F">
      <w:pPr>
        <w:pStyle w:val="NormalWeb"/>
        <w:spacing w:line="360" w:lineRule="auto"/>
        <w:jc w:val="both"/>
      </w:pPr>
      <w:r>
        <w:t xml:space="preserve">The findings presented in Table 4.1 show the Cronbach’s alpha coefficients for the study variables. Pricing reforms recorded a Cronbach’s alpha coefficient of 0.050, while distribution </w:t>
      </w:r>
      <w:r>
        <w:lastRenderedPageBreak/>
        <w:t>model changes recorded 0.037. Revised targeting criteria recorded a coefficient of 0.142, whereas uptake of fertilizers recorded a negative coefficient of -0.179.</w:t>
      </w:r>
    </w:p>
    <w:p w14:paraId="17368F8B" w14:textId="3BDEF02E" w:rsidR="001E1A5F" w:rsidRDefault="001E1A5F" w:rsidP="001E1A5F">
      <w:pPr>
        <w:pStyle w:val="NormalWeb"/>
        <w:spacing w:line="360" w:lineRule="auto"/>
        <w:jc w:val="both"/>
      </w:pPr>
      <w:r>
        <w:t xml:space="preserve">The results indicate low internal consistency among the questionnaire items used to measure the study constructs. The negative coefficient recorded under uptake of fertilizers suggests inconsistency in responses among the measurement items. This imply that some questionnaire items were not strongly correlated </w:t>
      </w:r>
      <w:r w:rsidR="00BB0D71">
        <w:rPr>
          <w:lang w:val="en-US"/>
        </w:rPr>
        <w:t>since</w:t>
      </w:r>
      <w:r>
        <w:t xml:space="preserve"> respondents interpreted certain statements differently.</w:t>
      </w:r>
      <w:r w:rsidR="00823BE2">
        <w:rPr>
          <w:lang w:val="en-US"/>
        </w:rPr>
        <w:t xml:space="preserve"> </w:t>
      </w:r>
      <w:r>
        <w:t>Despite the low reliability coefficients, the variables were retained for analysis because the study aimed to explore perceptions relating to fertilizer subsidy reform strategies and fertilizer uptake among smallholder farmers. The findings therefore provide useful insights regarding respondents’ views on pricing reforms, distribution systems, targeting mechanisms, and fertilizer uptake in Kenya.</w:t>
      </w:r>
    </w:p>
    <w:p w14:paraId="63609DB7" w14:textId="726BE740" w:rsidR="001E1A5F" w:rsidRDefault="001E1A5F" w:rsidP="001E1A5F">
      <w:pPr>
        <w:pStyle w:val="Heading2"/>
      </w:pPr>
      <w:r>
        <w:t xml:space="preserve">4.4 </w:t>
      </w:r>
      <w:r>
        <w:t>Frequencies and Distribution</w:t>
      </w:r>
    </w:p>
    <w:p w14:paraId="30937CAF" w14:textId="24BB8AD1" w:rsidR="001E1A5F" w:rsidRDefault="001E1A5F" w:rsidP="001E1A5F">
      <w:pPr>
        <w:spacing w:line="360" w:lineRule="auto"/>
      </w:pPr>
      <w:r w:rsidRPr="001E1A5F">
        <w:t xml:space="preserve">This section presents the demographic characteristics of the respondents based on gender, age, county, level of education, farm size, and years of farming experience. Frequency distributions and percentages were used to summarize the demographic information of the respondents. </w:t>
      </w:r>
    </w:p>
    <w:p w14:paraId="09E7BA08" w14:textId="098B8FF0" w:rsidR="001E1A5F" w:rsidRDefault="001E1A5F" w:rsidP="00823BE2">
      <w:pPr>
        <w:pStyle w:val="Heading3"/>
      </w:pPr>
      <w:r>
        <w:t>4.4.1 Gender Analysis</w:t>
      </w:r>
    </w:p>
    <w:p w14:paraId="4A1D95A5" w14:textId="07C28C00" w:rsidR="00823BE2" w:rsidRDefault="00823BE2" w:rsidP="001E1A5F">
      <w:pPr>
        <w:spacing w:line="360" w:lineRule="auto"/>
      </w:pPr>
      <w:r w:rsidRPr="00823BE2">
        <w:t>The study sought to establish the gender distribution of the respondents involved in the study. The findings are presented in Figure 4.2.</w:t>
      </w:r>
    </w:p>
    <w:p w14:paraId="4D819ED6" w14:textId="4DAB7894" w:rsidR="00823BE2" w:rsidRPr="00823BE2" w:rsidRDefault="00823BE2" w:rsidP="001E1A5F">
      <w:pPr>
        <w:spacing w:line="360" w:lineRule="auto"/>
        <w:rPr>
          <w:b/>
          <w:bCs/>
        </w:rPr>
      </w:pPr>
      <w:r w:rsidRPr="00823BE2">
        <w:rPr>
          <w:b/>
          <w:bCs/>
        </w:rPr>
        <w:t>Figure 4.2: Gender Distribution</w:t>
      </w:r>
    </w:p>
    <w:p w14:paraId="351D6975" w14:textId="0710E9BE" w:rsidR="00823BE2" w:rsidRDefault="00823BE2" w:rsidP="00823BE2">
      <w:pPr>
        <w:spacing w:line="360" w:lineRule="auto"/>
        <w:jc w:val="center"/>
      </w:pPr>
      <w:r w:rsidRPr="00823BE2">
        <w:drawing>
          <wp:inline distT="0" distB="0" distL="0" distR="0" wp14:anchorId="4ED317EC" wp14:editId="77F82E30">
            <wp:extent cx="2750234" cy="2905775"/>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98166" cy="2956418"/>
                    </a:xfrm>
                    <a:prstGeom prst="rect">
                      <a:avLst/>
                    </a:prstGeom>
                  </pic:spPr>
                </pic:pic>
              </a:graphicData>
            </a:graphic>
          </wp:inline>
        </w:drawing>
      </w:r>
    </w:p>
    <w:p w14:paraId="2EE3CCB5" w14:textId="07DD83DE" w:rsidR="00823BE2" w:rsidRDefault="00823BE2" w:rsidP="00823BE2">
      <w:pPr>
        <w:spacing w:line="360" w:lineRule="auto"/>
      </w:pPr>
      <w:r>
        <w:lastRenderedPageBreak/>
        <w:t>The findings indicate that 51.3% of the respondents were male, while 48.7% were female. This shows that the study achieved a relatively balanced gender representation among the respondents. The slightly higher proportion of male respondents suggests that male farmers constituted a marginally larger share of the participants involved in fertilizer subsidy programs within the selected counties.</w:t>
      </w:r>
      <w:r>
        <w:t xml:space="preserve"> </w:t>
      </w:r>
      <w:r>
        <w:t>The balanced gender distribution was important in ensuring that the views collected regarding fertilizer subsidy reform strategies and fertilizer uptake reflected perspectives from both male and female smallholder farmers.</w:t>
      </w:r>
    </w:p>
    <w:p w14:paraId="581880BD" w14:textId="6AB36E5D" w:rsidR="00823BE2" w:rsidRDefault="00823BE2" w:rsidP="00E73EAB">
      <w:pPr>
        <w:pStyle w:val="Heading3"/>
      </w:pPr>
      <w:r>
        <w:t>4.4.2 Age Analysis</w:t>
      </w:r>
    </w:p>
    <w:p w14:paraId="009DDC07" w14:textId="119971B4" w:rsidR="00823BE2" w:rsidRDefault="00823BE2" w:rsidP="00823BE2">
      <w:pPr>
        <w:spacing w:line="360" w:lineRule="auto"/>
      </w:pPr>
      <w:r>
        <w:t>The study sought to establish the age distribution of the respondents involved in the study. The findings are presented in Figure 4.3.</w:t>
      </w:r>
    </w:p>
    <w:p w14:paraId="46ABB539" w14:textId="73960D62" w:rsidR="009A14B5" w:rsidRPr="009A14B5" w:rsidRDefault="009A14B5" w:rsidP="00823BE2">
      <w:pPr>
        <w:spacing w:line="360" w:lineRule="auto"/>
        <w:rPr>
          <w:b/>
          <w:bCs/>
        </w:rPr>
      </w:pPr>
      <w:r w:rsidRPr="009A14B5">
        <w:rPr>
          <w:b/>
          <w:bCs/>
        </w:rPr>
        <w:t>Figure 4.3: Age Distribution</w:t>
      </w:r>
    </w:p>
    <w:p w14:paraId="5E9A759D" w14:textId="3622F7B2" w:rsidR="00823BE2" w:rsidRDefault="00823BE2" w:rsidP="009A14B5">
      <w:pPr>
        <w:spacing w:line="360" w:lineRule="auto"/>
        <w:jc w:val="center"/>
      </w:pPr>
      <w:r w:rsidRPr="00823BE2">
        <w:drawing>
          <wp:inline distT="0" distB="0" distL="0" distR="0" wp14:anchorId="2D2F980B" wp14:editId="318428EE">
            <wp:extent cx="4517739"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23617" cy="3662359"/>
                    </a:xfrm>
                    <a:prstGeom prst="rect">
                      <a:avLst/>
                    </a:prstGeom>
                  </pic:spPr>
                </pic:pic>
              </a:graphicData>
            </a:graphic>
          </wp:inline>
        </w:drawing>
      </w:r>
    </w:p>
    <w:p w14:paraId="21503B94" w14:textId="7A219178" w:rsidR="009A14B5" w:rsidRDefault="009A14B5" w:rsidP="009A14B5">
      <w:pPr>
        <w:spacing w:line="360" w:lineRule="auto"/>
      </w:pPr>
      <w:r>
        <w:t>The findings indicate that respondents aged between 31–40 years constituted the largest proportion of the study participants at 33.2%, followed by respondents aged 41–50 years at 26.4%. Respondents below 30 years accounted for 17.7% of the respondents, while those aged 51–60 years represented 11.7%. Respondents aged above 60 years constituted the smallest proportion at 10.9%.</w:t>
      </w:r>
      <w:r>
        <w:t xml:space="preserve"> </w:t>
      </w:r>
    </w:p>
    <w:p w14:paraId="76853B35" w14:textId="7A93AC2A" w:rsidR="009A14B5" w:rsidRDefault="009A14B5" w:rsidP="009A14B5">
      <w:pPr>
        <w:spacing w:line="360" w:lineRule="auto"/>
      </w:pPr>
      <w:r>
        <w:lastRenderedPageBreak/>
        <w:t>The findings suggest that the majority of respondents were within the economically active and productive farming age groups. This implies that most respondents were actively engaged in farming activities and therefore possessed adequate experience and knowledge regarding fertilizer subsidy programs and fertilizer usage practices.</w:t>
      </w:r>
      <w:r>
        <w:t xml:space="preserve"> </w:t>
      </w:r>
      <w:r>
        <w:t xml:space="preserve">The relatively lower proportion of respondents aged above 60 years indicate reduced participation of older farmers in fertilizer subsidy programs or farming activities within the selected counties. </w:t>
      </w:r>
    </w:p>
    <w:p w14:paraId="2A83907B" w14:textId="2F2F9E17" w:rsidR="009A14B5" w:rsidRDefault="009A14B5" w:rsidP="009A14B5">
      <w:pPr>
        <w:pStyle w:val="Heading3"/>
      </w:pPr>
      <w:r>
        <w:t>4.4.3 County Analysis</w:t>
      </w:r>
    </w:p>
    <w:p w14:paraId="50D0AA67" w14:textId="274D74F6" w:rsidR="009A14B5" w:rsidRDefault="009A14B5" w:rsidP="009A14B5">
      <w:pPr>
        <w:spacing w:line="360" w:lineRule="auto"/>
      </w:pPr>
      <w:r w:rsidRPr="009A14B5">
        <w:t>The study sought to establish the county distribution of the respondents involved in the study. The findings are presented in Figure 4.4.</w:t>
      </w:r>
    </w:p>
    <w:p w14:paraId="618CBE48" w14:textId="423527FF" w:rsidR="009A14B5" w:rsidRPr="009A14B5" w:rsidRDefault="009A14B5" w:rsidP="009A14B5">
      <w:pPr>
        <w:spacing w:line="360" w:lineRule="auto"/>
        <w:rPr>
          <w:b/>
          <w:bCs/>
        </w:rPr>
      </w:pPr>
      <w:r w:rsidRPr="009A14B5">
        <w:rPr>
          <w:b/>
          <w:bCs/>
        </w:rPr>
        <w:t>Figure 4.4: County Distribution</w:t>
      </w:r>
    </w:p>
    <w:p w14:paraId="0C4C4525" w14:textId="3E4C98F3" w:rsidR="009A14B5" w:rsidRDefault="009A14B5" w:rsidP="009A14B5">
      <w:pPr>
        <w:spacing w:line="360" w:lineRule="auto"/>
        <w:jc w:val="center"/>
      </w:pPr>
      <w:r w:rsidRPr="009A14B5">
        <w:drawing>
          <wp:inline distT="0" distB="0" distL="0" distR="0" wp14:anchorId="582AB885" wp14:editId="75A7B80C">
            <wp:extent cx="3618221" cy="356616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3236" cy="3571103"/>
                    </a:xfrm>
                    <a:prstGeom prst="rect">
                      <a:avLst/>
                    </a:prstGeom>
                  </pic:spPr>
                </pic:pic>
              </a:graphicData>
            </a:graphic>
          </wp:inline>
        </w:drawing>
      </w:r>
    </w:p>
    <w:p w14:paraId="1B946E08" w14:textId="2C6DEF12" w:rsidR="009A14B5" w:rsidRDefault="009A14B5" w:rsidP="009A14B5">
      <w:pPr>
        <w:spacing w:line="360" w:lineRule="auto"/>
      </w:pPr>
      <w:r>
        <w:t>The findings indicate that respondents from Meru County constituted 33.6% of the total respondents, while respondents from Bungoma County accounted for 33.2%. Similarly, respondents from Nakuru County represented 33.2% of the respondents.</w:t>
      </w:r>
      <w:r>
        <w:t xml:space="preserve"> </w:t>
      </w:r>
      <w:r>
        <w:t>The findings show that the study achieved an almost equal distribution of respondents across the three selected counties. This balanced representation was important in ensuring that the views collected regarding fertilizer subsidy reform strategies and fertilizer uptake reflected experiences from different geographical regions within Kenya.</w:t>
      </w:r>
      <w:r>
        <w:t xml:space="preserve"> </w:t>
      </w:r>
      <w:r>
        <w:t xml:space="preserve">The nearly equal proportions further enhanced </w:t>
      </w:r>
      <w:r>
        <w:lastRenderedPageBreak/>
        <w:t>the representativeness of the study findings by minimizing regional bias and ensuring that each county contributed substantially to the analysis of fertilizer subsidy reforms and smallholder farmers’ uptake of fertilizers.</w:t>
      </w:r>
    </w:p>
    <w:p w14:paraId="107941A3" w14:textId="7DD1152A" w:rsidR="009A14B5" w:rsidRDefault="009A14B5" w:rsidP="009A14B5">
      <w:pPr>
        <w:pStyle w:val="Heading3"/>
      </w:pPr>
      <w:r>
        <w:t>4.4.4 Level of Education</w:t>
      </w:r>
    </w:p>
    <w:p w14:paraId="7BEF6D3C" w14:textId="63E63F3A" w:rsidR="009A14B5" w:rsidRDefault="009A14B5" w:rsidP="009A14B5">
      <w:pPr>
        <w:spacing w:line="360" w:lineRule="auto"/>
      </w:pPr>
      <w:r w:rsidRPr="009A14B5">
        <w:t>The study sought to establish the education levels of the respondents involved in the study. The findings are presented in Figure 4.5.</w:t>
      </w:r>
    </w:p>
    <w:p w14:paraId="13148E22" w14:textId="03AB8488" w:rsidR="009A14B5" w:rsidRPr="009A14B5" w:rsidRDefault="009A14B5" w:rsidP="009A14B5">
      <w:pPr>
        <w:spacing w:line="360" w:lineRule="auto"/>
        <w:rPr>
          <w:b/>
          <w:bCs/>
        </w:rPr>
      </w:pPr>
      <w:r w:rsidRPr="009A14B5">
        <w:rPr>
          <w:b/>
          <w:bCs/>
        </w:rPr>
        <w:t>Figure 4.5: Level of Education Distribution</w:t>
      </w:r>
    </w:p>
    <w:p w14:paraId="1C2DC193" w14:textId="02C6DA4B" w:rsidR="009A14B5" w:rsidRDefault="009A14B5" w:rsidP="009A14B5">
      <w:pPr>
        <w:spacing w:line="360" w:lineRule="auto"/>
        <w:jc w:val="center"/>
      </w:pPr>
      <w:r w:rsidRPr="009A14B5">
        <w:drawing>
          <wp:inline distT="0" distB="0" distL="0" distR="0" wp14:anchorId="64E330CB" wp14:editId="10DCD43D">
            <wp:extent cx="4480560" cy="362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0830" cy="3635814"/>
                    </a:xfrm>
                    <a:prstGeom prst="rect">
                      <a:avLst/>
                    </a:prstGeom>
                  </pic:spPr>
                </pic:pic>
              </a:graphicData>
            </a:graphic>
          </wp:inline>
        </w:drawing>
      </w:r>
    </w:p>
    <w:p w14:paraId="21B11037" w14:textId="70C6311D" w:rsidR="009A14B5" w:rsidRDefault="009A14B5" w:rsidP="009A14B5">
      <w:pPr>
        <w:spacing w:line="360" w:lineRule="auto"/>
      </w:pPr>
      <w:r>
        <w:t>The findings indicate that respondents with secondary education constituted the largest proportion at 34.7% of the respondents. This was followed by respondents with primary education at 21.5%, while respondents with college education accounted for 19.2%. Respondents with university education represented 13.6% of the respondents, whereas those with no formal education constituted the smallest proportion at 10.9%.</w:t>
      </w:r>
      <w:r>
        <w:t xml:space="preserve"> </w:t>
      </w:r>
      <w:r>
        <w:t>The findings suggest that the majority of respondents had attained at least basic formal education. This implies that most respondents were capable of understanding fertilizer subsidy policies, registration procedures, and fertilizer usage practices. The relatively high proportion of respondents with secondary and post-secondary education further indicates that respondents were likely able to make informed decisions regarding fertilizer adoption and participation in subsidy programs.</w:t>
      </w:r>
      <w:r>
        <w:t xml:space="preserve"> </w:t>
      </w:r>
      <w:r>
        <w:lastRenderedPageBreak/>
        <w:t>The presence of respondents across different education levels provided diverse perspectives regarding fertilizer subsidy reform strategies and their influence on smallholder farmers’ uptake of fertilizers.</w:t>
      </w:r>
    </w:p>
    <w:p w14:paraId="48F3F043" w14:textId="6A6F87EB" w:rsidR="009A14B5" w:rsidRDefault="009A14B5" w:rsidP="009A14B5">
      <w:pPr>
        <w:pStyle w:val="Heading3"/>
      </w:pPr>
      <w:r>
        <w:t>4.4.</w:t>
      </w:r>
      <w:r w:rsidR="00E73EAB">
        <w:t>5</w:t>
      </w:r>
      <w:r>
        <w:t xml:space="preserve"> Farming </w:t>
      </w:r>
      <w:r w:rsidR="00E73EAB">
        <w:t>Size</w:t>
      </w:r>
      <w:r>
        <w:t xml:space="preserve"> Distribution</w:t>
      </w:r>
    </w:p>
    <w:p w14:paraId="11348288" w14:textId="1E528974" w:rsidR="009A14B5" w:rsidRDefault="009A14B5" w:rsidP="009A14B5">
      <w:pPr>
        <w:spacing w:line="360" w:lineRule="auto"/>
      </w:pPr>
      <w:r>
        <w:t>The study sought to establish the farming experience of the respondents involved in the study. The findings are presented in Figure 4.7.</w:t>
      </w:r>
    </w:p>
    <w:p w14:paraId="3AF6CA49" w14:textId="77777777" w:rsidR="00E73EAB" w:rsidRDefault="00E73EAB" w:rsidP="00E73EAB">
      <w:pPr>
        <w:spacing w:line="360" w:lineRule="auto"/>
        <w:rPr>
          <w:b/>
          <w:bCs/>
        </w:rPr>
      </w:pPr>
      <w:r w:rsidRPr="00E73EAB">
        <w:rPr>
          <w:b/>
          <w:bCs/>
        </w:rPr>
        <w:t>Figure 4.6: Farm Size Distribution</w:t>
      </w:r>
    </w:p>
    <w:p w14:paraId="22483252" w14:textId="15AD788F" w:rsidR="009A14B5" w:rsidRDefault="009A14B5" w:rsidP="00E73EAB">
      <w:pPr>
        <w:spacing w:line="360" w:lineRule="auto"/>
        <w:jc w:val="center"/>
      </w:pPr>
      <w:r w:rsidRPr="009A14B5">
        <w:drawing>
          <wp:inline distT="0" distB="0" distL="0" distR="0" wp14:anchorId="776A3AFB" wp14:editId="3D8F83CA">
            <wp:extent cx="3840077" cy="310896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61041" cy="3125933"/>
                    </a:xfrm>
                    <a:prstGeom prst="rect">
                      <a:avLst/>
                    </a:prstGeom>
                  </pic:spPr>
                </pic:pic>
              </a:graphicData>
            </a:graphic>
          </wp:inline>
        </w:drawing>
      </w:r>
    </w:p>
    <w:p w14:paraId="72F04B8A" w14:textId="56DE792E" w:rsidR="00E73EAB" w:rsidRDefault="00E73EAB" w:rsidP="00E73EAB">
      <w:pPr>
        <w:spacing w:line="360" w:lineRule="auto"/>
      </w:pPr>
      <w:r>
        <w:t>The findings indicate that respondents owning between 1–3 acres constituted the largest proportion at 41.9% of the respondents. This was followed by respondents owning 4–6 acres at 27.2%. Respondents owning less than 1 acre accounted for 16.6%, while those owning above 6 acres constituted the smallest proportion at 14.3%.</w:t>
      </w:r>
      <w:r>
        <w:t xml:space="preserve"> </w:t>
      </w:r>
      <w:r>
        <w:t>The findings suggest that the majority of respondents were smallholder farmers operating relatively small parcels of land. This aligns with the characteristics of smallholder farming systems in Kenya, where most farmers cultivate limited land sizes for agricultural production.</w:t>
      </w:r>
    </w:p>
    <w:p w14:paraId="7E571C71" w14:textId="70BAD7FE" w:rsidR="009A14B5" w:rsidRDefault="00E73EAB" w:rsidP="00E73EAB">
      <w:pPr>
        <w:spacing w:line="360" w:lineRule="auto"/>
      </w:pPr>
      <w:r>
        <w:t xml:space="preserve">The high proportion of respondents owning between 1–3 acres further indicates that fertilizer subsidy programs largely target small-scale farmers who experience financial constraints in accessing agricultural inputs such as fertilizer. The relatively smaller proportion of respondents </w:t>
      </w:r>
      <w:r>
        <w:lastRenderedPageBreak/>
        <w:t>with large farm sizes suggests lower participation of large-scale farmers in the subsidy program within the selected counties.</w:t>
      </w:r>
    </w:p>
    <w:p w14:paraId="032FCC4C" w14:textId="77777777" w:rsidR="00E73EAB" w:rsidRDefault="00E73EAB" w:rsidP="00E73EAB">
      <w:pPr>
        <w:pStyle w:val="Heading3"/>
      </w:pPr>
      <w:r>
        <w:t>4.4.6 Farming Experience Distribution</w:t>
      </w:r>
    </w:p>
    <w:p w14:paraId="2368CAF7" w14:textId="16982C17" w:rsidR="00E73EAB" w:rsidRDefault="00E73EAB" w:rsidP="00E73EAB">
      <w:pPr>
        <w:spacing w:line="360" w:lineRule="auto"/>
      </w:pPr>
      <w:r>
        <w:t>The study sought to establish the farming experience of the respondents involved in the study. The findings are presented in Figure 4.7.</w:t>
      </w:r>
    </w:p>
    <w:p w14:paraId="063F1A69" w14:textId="66E02D85" w:rsidR="00E73EAB" w:rsidRDefault="00E73EAB" w:rsidP="00E73EAB">
      <w:pPr>
        <w:spacing w:line="360" w:lineRule="auto"/>
        <w:rPr>
          <w:b/>
          <w:bCs/>
        </w:rPr>
      </w:pPr>
      <w:r w:rsidRPr="00E73EAB">
        <w:rPr>
          <w:b/>
          <w:bCs/>
        </w:rPr>
        <w:t>Figure 4.7: Farming Experience Distribution</w:t>
      </w:r>
    </w:p>
    <w:p w14:paraId="413F25E0" w14:textId="6A1D6B40" w:rsidR="00E73EAB" w:rsidRPr="00E73EAB" w:rsidRDefault="00E73EAB" w:rsidP="00E73EAB">
      <w:pPr>
        <w:spacing w:line="360" w:lineRule="auto"/>
        <w:jc w:val="center"/>
        <w:rPr>
          <w:b/>
          <w:bCs/>
        </w:rPr>
      </w:pPr>
      <w:r w:rsidRPr="00E73EAB">
        <w:rPr>
          <w:b/>
          <w:bCs/>
        </w:rPr>
        <w:drawing>
          <wp:inline distT="0" distB="0" distL="0" distR="0" wp14:anchorId="05A853FD" wp14:editId="26EB8A39">
            <wp:extent cx="3987775" cy="32285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3192" cy="3241018"/>
                    </a:xfrm>
                    <a:prstGeom prst="rect">
                      <a:avLst/>
                    </a:prstGeom>
                  </pic:spPr>
                </pic:pic>
              </a:graphicData>
            </a:graphic>
          </wp:inline>
        </w:drawing>
      </w:r>
    </w:p>
    <w:p w14:paraId="45AA0F3B" w14:textId="77777777" w:rsidR="00E73EAB" w:rsidRDefault="00E73EAB" w:rsidP="00E73EAB">
      <w:pPr>
        <w:spacing w:line="360" w:lineRule="auto"/>
      </w:pPr>
      <w:r>
        <w:t>The findings indicate that respondents with 6–10 years of farming experience constituted 26.4% of the respondents. Similarly, respondents with above 15 years of farming experience also accounted for 26.4%. Respondents with 11–15 years of farming experience represented 24.5%, while respondents with less than 5 years of farming experience constituted the smallest proportion at 22.6%.</w:t>
      </w:r>
      <w:r>
        <w:t xml:space="preserve"> </w:t>
      </w:r>
      <w:r>
        <w:t>The findings suggest that the majority of respondents possessed considerable farming experience. This implies that most respondents had adequate knowledge and practical exposure to fertilizer usage, agricultural production practices, and fertilizer subsidy programs within the selected counties.</w:t>
      </w:r>
      <w:r>
        <w:t xml:space="preserve"> </w:t>
      </w:r>
    </w:p>
    <w:p w14:paraId="452F5186" w14:textId="38DC3930" w:rsidR="00E73EAB" w:rsidRDefault="00E73EAB" w:rsidP="00E73EAB">
      <w:pPr>
        <w:spacing w:line="360" w:lineRule="auto"/>
      </w:pPr>
      <w:r>
        <w:t xml:space="preserve">The relatively high proportions of respondents with more than six years of farming experience further indicate that the respondents were capable of providing reliable information regarding fertilizer subsidy reform strategies and their influence on fertilizer uptake. The balanced </w:t>
      </w:r>
      <w:r>
        <w:lastRenderedPageBreak/>
        <w:t>distribution across different experience categories also ensured diverse perspectives regarding fertilizer accessibility, affordability, and utilization among smallholder farmers.</w:t>
      </w:r>
    </w:p>
    <w:p w14:paraId="1905B80E" w14:textId="3C8D60C8" w:rsidR="00E73EAB" w:rsidRDefault="00E73EAB" w:rsidP="00BF275E">
      <w:pPr>
        <w:pStyle w:val="Heading2"/>
      </w:pPr>
      <w:r>
        <w:t xml:space="preserve">4.5 </w:t>
      </w:r>
      <w:r w:rsidR="00BF275E">
        <w:t>Descriptive Analysis</w:t>
      </w:r>
    </w:p>
    <w:p w14:paraId="16C6B066" w14:textId="463EA73E" w:rsidR="00BF275E" w:rsidRDefault="00BF275E" w:rsidP="00E73EAB">
      <w:pPr>
        <w:spacing w:line="360" w:lineRule="auto"/>
      </w:pPr>
      <w:r>
        <w:t>This section presents descriptive statistics relating to pricing reforms and their influence on smallholder farmers’ uptake of fertilizers. The analysis focused on fertilizer price discounts, perceived affordability, and disbursement time lag. Mean, variance, and standard deviation values were computed to determine respondents’ perceptions regarding the effect of pricing reforms on fertilizer uptake.</w:t>
      </w:r>
    </w:p>
    <w:p w14:paraId="16B2826D" w14:textId="1A529583" w:rsidR="00BF275E" w:rsidRDefault="00BF275E" w:rsidP="00BF275E">
      <w:pPr>
        <w:pStyle w:val="Heading3"/>
      </w:pPr>
      <w:r>
        <w:t xml:space="preserve">4.5.1 Descriptive analysis on </w:t>
      </w:r>
      <w:r>
        <w:t>Pricing Reforms</w:t>
      </w:r>
    </w:p>
    <w:p w14:paraId="6D3E8F3E" w14:textId="423B237E" w:rsidR="00BF275E" w:rsidRDefault="00BF275E" w:rsidP="00BF275E">
      <w:pPr>
        <w:rPr>
          <w:rFonts w:cs="Times New Roman"/>
          <w:b/>
          <w:bCs/>
          <w:color w:val="000000" w:themeColor="text1"/>
          <w:szCs w:val="24"/>
        </w:rPr>
      </w:pPr>
      <w:r>
        <w:rPr>
          <w:rFonts w:cs="Times New Roman"/>
          <w:b/>
          <w:bCs/>
          <w:color w:val="000000" w:themeColor="text1"/>
          <w:szCs w:val="24"/>
        </w:rPr>
        <w:t xml:space="preserve">Table 4.2 </w:t>
      </w:r>
      <w:r>
        <w:rPr>
          <w:rFonts w:cs="Times New Roman"/>
          <w:b/>
          <w:bCs/>
          <w:color w:val="000000" w:themeColor="text1"/>
          <w:szCs w:val="24"/>
        </w:rPr>
        <w:t>Descriptive analysis on Pricing Reforms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1124"/>
        <w:gridCol w:w="1150"/>
        <w:gridCol w:w="2076"/>
      </w:tblGrid>
      <w:tr w:rsidR="00BF275E" w:rsidRPr="00BF275E" w14:paraId="40A64874" w14:textId="77777777" w:rsidTr="00BF275E">
        <w:trPr>
          <w:trHeight w:val="290"/>
        </w:trPr>
        <w:tc>
          <w:tcPr>
            <w:tcW w:w="4678" w:type="dxa"/>
            <w:tcBorders>
              <w:top w:val="single" w:sz="4" w:space="0" w:color="auto"/>
              <w:bottom w:val="single" w:sz="4" w:space="0" w:color="auto"/>
              <w:right w:val="single" w:sz="4" w:space="0" w:color="auto"/>
            </w:tcBorders>
            <w:noWrap/>
            <w:hideMark/>
          </w:tcPr>
          <w:p w14:paraId="0D1E79FB" w14:textId="77777777" w:rsidR="00BF275E" w:rsidRPr="00BF275E" w:rsidRDefault="00BF275E" w:rsidP="00BB0D71">
            <w:pPr>
              <w:rPr>
                <w:rFonts w:cs="Times New Roman"/>
                <w:b/>
                <w:bCs/>
                <w:color w:val="000000" w:themeColor="text1"/>
                <w:szCs w:val="24"/>
                <w:lang w:val="en-KE"/>
              </w:rPr>
            </w:pPr>
            <w:r w:rsidRPr="00BF275E">
              <w:rPr>
                <w:rFonts w:cs="Times New Roman"/>
                <w:b/>
                <w:bCs/>
                <w:color w:val="000000" w:themeColor="text1"/>
                <w:szCs w:val="24"/>
              </w:rPr>
              <w:t>Fertilizer Price Discount</w:t>
            </w:r>
          </w:p>
        </w:tc>
        <w:tc>
          <w:tcPr>
            <w:tcW w:w="1124" w:type="dxa"/>
            <w:tcBorders>
              <w:top w:val="single" w:sz="4" w:space="0" w:color="auto"/>
              <w:left w:val="single" w:sz="4" w:space="0" w:color="auto"/>
              <w:bottom w:val="single" w:sz="4" w:space="0" w:color="auto"/>
            </w:tcBorders>
            <w:noWrap/>
            <w:hideMark/>
          </w:tcPr>
          <w:p w14:paraId="653A54A5"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Mean</w:t>
            </w:r>
          </w:p>
        </w:tc>
        <w:tc>
          <w:tcPr>
            <w:tcW w:w="1148" w:type="dxa"/>
            <w:tcBorders>
              <w:top w:val="single" w:sz="4" w:space="0" w:color="auto"/>
              <w:bottom w:val="single" w:sz="4" w:space="0" w:color="auto"/>
            </w:tcBorders>
            <w:noWrap/>
            <w:hideMark/>
          </w:tcPr>
          <w:p w14:paraId="09CE1C34"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Variance</w:t>
            </w:r>
          </w:p>
        </w:tc>
        <w:tc>
          <w:tcPr>
            <w:tcW w:w="2076" w:type="dxa"/>
            <w:tcBorders>
              <w:top w:val="single" w:sz="4" w:space="0" w:color="auto"/>
              <w:bottom w:val="single" w:sz="4" w:space="0" w:color="auto"/>
            </w:tcBorders>
            <w:noWrap/>
            <w:hideMark/>
          </w:tcPr>
          <w:p w14:paraId="431CBDB3"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79CBB346" w14:textId="77777777" w:rsidTr="00BF275E">
        <w:trPr>
          <w:trHeight w:val="290"/>
        </w:trPr>
        <w:tc>
          <w:tcPr>
            <w:tcW w:w="4678" w:type="dxa"/>
            <w:tcBorders>
              <w:top w:val="single" w:sz="4" w:space="0" w:color="auto"/>
              <w:right w:val="single" w:sz="4" w:space="0" w:color="auto"/>
            </w:tcBorders>
            <w:noWrap/>
            <w:hideMark/>
          </w:tcPr>
          <w:p w14:paraId="46366E7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Subsidized fertilizer prices are lower than market prices.</w:t>
            </w:r>
          </w:p>
        </w:tc>
        <w:tc>
          <w:tcPr>
            <w:tcW w:w="1124" w:type="dxa"/>
            <w:tcBorders>
              <w:top w:val="single" w:sz="4" w:space="0" w:color="auto"/>
              <w:left w:val="single" w:sz="4" w:space="0" w:color="auto"/>
            </w:tcBorders>
            <w:noWrap/>
            <w:hideMark/>
          </w:tcPr>
          <w:p w14:paraId="3138D3C0"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3.645</w:t>
            </w:r>
          </w:p>
        </w:tc>
        <w:tc>
          <w:tcPr>
            <w:tcW w:w="1148" w:type="dxa"/>
            <w:tcBorders>
              <w:top w:val="single" w:sz="4" w:space="0" w:color="auto"/>
            </w:tcBorders>
            <w:noWrap/>
            <w:hideMark/>
          </w:tcPr>
          <w:p w14:paraId="6C2044A3"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1.192</w:t>
            </w:r>
          </w:p>
        </w:tc>
        <w:tc>
          <w:tcPr>
            <w:tcW w:w="2076" w:type="dxa"/>
            <w:tcBorders>
              <w:top w:val="single" w:sz="4" w:space="0" w:color="auto"/>
            </w:tcBorders>
            <w:noWrap/>
            <w:hideMark/>
          </w:tcPr>
          <w:p w14:paraId="2CF623E4"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1.092</w:t>
            </w:r>
          </w:p>
        </w:tc>
      </w:tr>
      <w:tr w:rsidR="00BF275E" w:rsidRPr="00BF275E" w14:paraId="0FE560F1" w14:textId="77777777" w:rsidTr="00BF275E">
        <w:trPr>
          <w:trHeight w:val="290"/>
        </w:trPr>
        <w:tc>
          <w:tcPr>
            <w:tcW w:w="4678" w:type="dxa"/>
            <w:tcBorders>
              <w:right w:val="single" w:sz="4" w:space="0" w:color="auto"/>
            </w:tcBorders>
            <w:noWrap/>
            <w:hideMark/>
          </w:tcPr>
          <w:p w14:paraId="16A96F4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Government fertilizer price discounts encourage farmers to buy fertilizer.</w:t>
            </w:r>
          </w:p>
        </w:tc>
        <w:tc>
          <w:tcPr>
            <w:tcW w:w="1124" w:type="dxa"/>
            <w:tcBorders>
              <w:left w:val="single" w:sz="4" w:space="0" w:color="auto"/>
            </w:tcBorders>
            <w:noWrap/>
            <w:hideMark/>
          </w:tcPr>
          <w:p w14:paraId="7D1ED187"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3.683</w:t>
            </w:r>
          </w:p>
        </w:tc>
        <w:tc>
          <w:tcPr>
            <w:tcW w:w="1148" w:type="dxa"/>
            <w:noWrap/>
            <w:hideMark/>
          </w:tcPr>
          <w:p w14:paraId="225926F9"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1.066</w:t>
            </w:r>
          </w:p>
        </w:tc>
        <w:tc>
          <w:tcPr>
            <w:tcW w:w="2076" w:type="dxa"/>
            <w:noWrap/>
            <w:hideMark/>
          </w:tcPr>
          <w:p w14:paraId="5138ECE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1.032</w:t>
            </w:r>
          </w:p>
        </w:tc>
      </w:tr>
      <w:tr w:rsidR="00BF275E" w:rsidRPr="00BF275E" w14:paraId="5F4AF030" w14:textId="77777777" w:rsidTr="00BF275E">
        <w:trPr>
          <w:trHeight w:val="290"/>
        </w:trPr>
        <w:tc>
          <w:tcPr>
            <w:tcW w:w="4678" w:type="dxa"/>
            <w:tcBorders>
              <w:right w:val="single" w:sz="4" w:space="0" w:color="auto"/>
            </w:tcBorders>
            <w:noWrap/>
            <w:hideMark/>
          </w:tcPr>
          <w:p w14:paraId="6DC4BD2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Price subsidies reduce the financial burden of fertilizer purchase.</w:t>
            </w:r>
          </w:p>
        </w:tc>
        <w:tc>
          <w:tcPr>
            <w:tcW w:w="1124" w:type="dxa"/>
            <w:tcBorders>
              <w:left w:val="single" w:sz="4" w:space="0" w:color="auto"/>
            </w:tcBorders>
            <w:noWrap/>
            <w:hideMark/>
          </w:tcPr>
          <w:p w14:paraId="2F99D644"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3.626</w:t>
            </w:r>
          </w:p>
        </w:tc>
        <w:tc>
          <w:tcPr>
            <w:tcW w:w="1148" w:type="dxa"/>
            <w:noWrap/>
            <w:hideMark/>
          </w:tcPr>
          <w:p w14:paraId="3BBDB8A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1.189</w:t>
            </w:r>
          </w:p>
        </w:tc>
        <w:tc>
          <w:tcPr>
            <w:tcW w:w="2076" w:type="dxa"/>
            <w:noWrap/>
            <w:hideMark/>
          </w:tcPr>
          <w:p w14:paraId="7861E995"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1.091</w:t>
            </w:r>
          </w:p>
        </w:tc>
      </w:tr>
      <w:tr w:rsidR="00BF275E" w:rsidRPr="00BF275E" w14:paraId="378A297B" w14:textId="77777777" w:rsidTr="00BF275E">
        <w:trPr>
          <w:trHeight w:val="290"/>
        </w:trPr>
        <w:tc>
          <w:tcPr>
            <w:tcW w:w="4678" w:type="dxa"/>
            <w:tcBorders>
              <w:right w:val="single" w:sz="4" w:space="0" w:color="auto"/>
            </w:tcBorders>
            <w:noWrap/>
            <w:hideMark/>
          </w:tcPr>
          <w:p w14:paraId="58ED5367"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Lower fertilizer prices increase farmers’ willingness to use fertilizer.</w:t>
            </w:r>
          </w:p>
        </w:tc>
        <w:tc>
          <w:tcPr>
            <w:tcW w:w="1124" w:type="dxa"/>
            <w:tcBorders>
              <w:left w:val="single" w:sz="4" w:space="0" w:color="auto"/>
            </w:tcBorders>
            <w:noWrap/>
            <w:hideMark/>
          </w:tcPr>
          <w:p w14:paraId="23A57AD3"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3.57</w:t>
            </w:r>
          </w:p>
        </w:tc>
        <w:tc>
          <w:tcPr>
            <w:tcW w:w="1148" w:type="dxa"/>
            <w:noWrap/>
            <w:hideMark/>
          </w:tcPr>
          <w:p w14:paraId="1E65B36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1.36</w:t>
            </w:r>
          </w:p>
        </w:tc>
        <w:tc>
          <w:tcPr>
            <w:tcW w:w="2076" w:type="dxa"/>
            <w:noWrap/>
            <w:hideMark/>
          </w:tcPr>
          <w:p w14:paraId="3EA0BD47"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1.166</w:t>
            </w:r>
          </w:p>
        </w:tc>
      </w:tr>
      <w:tr w:rsidR="00BF275E" w:rsidRPr="00BF275E" w14:paraId="5FEA9F6D" w14:textId="77777777" w:rsidTr="00BF275E">
        <w:trPr>
          <w:trHeight w:val="290"/>
        </w:trPr>
        <w:tc>
          <w:tcPr>
            <w:tcW w:w="4678" w:type="dxa"/>
            <w:tcBorders>
              <w:bottom w:val="single" w:sz="4" w:space="0" w:color="auto"/>
              <w:right w:val="single" w:sz="4" w:space="0" w:color="auto"/>
            </w:tcBorders>
            <w:noWrap/>
            <w:hideMark/>
          </w:tcPr>
          <w:p w14:paraId="4A66219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Price discounts influence my decision to apply fertilizer.</w:t>
            </w:r>
          </w:p>
        </w:tc>
        <w:tc>
          <w:tcPr>
            <w:tcW w:w="1124" w:type="dxa"/>
            <w:tcBorders>
              <w:left w:val="single" w:sz="4" w:space="0" w:color="auto"/>
              <w:bottom w:val="single" w:sz="4" w:space="0" w:color="auto"/>
            </w:tcBorders>
            <w:noWrap/>
            <w:hideMark/>
          </w:tcPr>
          <w:p w14:paraId="4B2433E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3.653</w:t>
            </w:r>
          </w:p>
        </w:tc>
        <w:tc>
          <w:tcPr>
            <w:tcW w:w="1148" w:type="dxa"/>
            <w:tcBorders>
              <w:bottom w:val="single" w:sz="4" w:space="0" w:color="auto"/>
            </w:tcBorders>
            <w:noWrap/>
            <w:hideMark/>
          </w:tcPr>
          <w:p w14:paraId="46E8747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1.311</w:t>
            </w:r>
          </w:p>
        </w:tc>
        <w:tc>
          <w:tcPr>
            <w:tcW w:w="2076" w:type="dxa"/>
            <w:tcBorders>
              <w:bottom w:val="single" w:sz="4" w:space="0" w:color="auto"/>
            </w:tcBorders>
            <w:noWrap/>
            <w:hideMark/>
          </w:tcPr>
          <w:p w14:paraId="5EC8FEF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1.145</w:t>
            </w:r>
          </w:p>
        </w:tc>
      </w:tr>
      <w:tr w:rsidR="00BF275E" w:rsidRPr="00BF275E" w14:paraId="56CAFF63" w14:textId="77777777" w:rsidTr="00BF275E">
        <w:trPr>
          <w:trHeight w:val="290"/>
        </w:trPr>
        <w:tc>
          <w:tcPr>
            <w:tcW w:w="4678" w:type="dxa"/>
            <w:tcBorders>
              <w:top w:val="single" w:sz="4" w:space="0" w:color="auto"/>
              <w:bottom w:val="single" w:sz="4" w:space="0" w:color="auto"/>
              <w:right w:val="single" w:sz="4" w:space="0" w:color="auto"/>
            </w:tcBorders>
            <w:noWrap/>
            <w:hideMark/>
          </w:tcPr>
          <w:p w14:paraId="46F2F3EF"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Perceived Affordability</w:t>
            </w:r>
          </w:p>
        </w:tc>
        <w:tc>
          <w:tcPr>
            <w:tcW w:w="1124" w:type="dxa"/>
            <w:tcBorders>
              <w:top w:val="single" w:sz="4" w:space="0" w:color="auto"/>
              <w:left w:val="single" w:sz="4" w:space="0" w:color="auto"/>
              <w:bottom w:val="single" w:sz="4" w:space="0" w:color="auto"/>
            </w:tcBorders>
            <w:noWrap/>
            <w:hideMark/>
          </w:tcPr>
          <w:p w14:paraId="718501C5"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Mean</w:t>
            </w:r>
          </w:p>
        </w:tc>
        <w:tc>
          <w:tcPr>
            <w:tcW w:w="1148" w:type="dxa"/>
            <w:tcBorders>
              <w:top w:val="single" w:sz="4" w:space="0" w:color="auto"/>
              <w:bottom w:val="single" w:sz="4" w:space="0" w:color="auto"/>
            </w:tcBorders>
            <w:noWrap/>
            <w:hideMark/>
          </w:tcPr>
          <w:p w14:paraId="16A1DCA1"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Variance</w:t>
            </w:r>
          </w:p>
        </w:tc>
        <w:tc>
          <w:tcPr>
            <w:tcW w:w="2076" w:type="dxa"/>
            <w:tcBorders>
              <w:top w:val="single" w:sz="4" w:space="0" w:color="auto"/>
              <w:bottom w:val="single" w:sz="4" w:space="0" w:color="auto"/>
            </w:tcBorders>
            <w:noWrap/>
            <w:hideMark/>
          </w:tcPr>
          <w:p w14:paraId="5A99BBEB"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09C1EF08" w14:textId="77777777" w:rsidTr="00BF275E">
        <w:trPr>
          <w:trHeight w:val="290"/>
        </w:trPr>
        <w:tc>
          <w:tcPr>
            <w:tcW w:w="4678" w:type="dxa"/>
            <w:tcBorders>
              <w:top w:val="single" w:sz="4" w:space="0" w:color="auto"/>
              <w:right w:val="single" w:sz="4" w:space="0" w:color="auto"/>
            </w:tcBorders>
            <w:noWrap/>
            <w:hideMark/>
          </w:tcPr>
          <w:p w14:paraId="44B44AB6"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Fertilizer under the subsidy program is affordable to smallholder farmers.</w:t>
            </w:r>
          </w:p>
        </w:tc>
        <w:tc>
          <w:tcPr>
            <w:tcW w:w="1124" w:type="dxa"/>
            <w:tcBorders>
              <w:top w:val="single" w:sz="4" w:space="0" w:color="auto"/>
              <w:left w:val="single" w:sz="4" w:space="0" w:color="auto"/>
            </w:tcBorders>
            <w:noWrap/>
            <w:hideMark/>
          </w:tcPr>
          <w:p w14:paraId="53A30879"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3.645</w:t>
            </w:r>
          </w:p>
        </w:tc>
        <w:tc>
          <w:tcPr>
            <w:tcW w:w="1148" w:type="dxa"/>
            <w:tcBorders>
              <w:top w:val="single" w:sz="4" w:space="0" w:color="auto"/>
            </w:tcBorders>
            <w:noWrap/>
            <w:hideMark/>
          </w:tcPr>
          <w:p w14:paraId="3088FA6D"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1.192</w:t>
            </w:r>
          </w:p>
        </w:tc>
        <w:tc>
          <w:tcPr>
            <w:tcW w:w="2076" w:type="dxa"/>
            <w:tcBorders>
              <w:top w:val="single" w:sz="4" w:space="0" w:color="auto"/>
            </w:tcBorders>
            <w:noWrap/>
            <w:hideMark/>
          </w:tcPr>
          <w:p w14:paraId="11FBF3B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1.092</w:t>
            </w:r>
          </w:p>
        </w:tc>
      </w:tr>
      <w:tr w:rsidR="00BF275E" w:rsidRPr="00BF275E" w14:paraId="203B39CF" w14:textId="77777777" w:rsidTr="00BF275E">
        <w:trPr>
          <w:trHeight w:val="290"/>
        </w:trPr>
        <w:tc>
          <w:tcPr>
            <w:tcW w:w="4678" w:type="dxa"/>
            <w:tcBorders>
              <w:right w:val="single" w:sz="4" w:space="0" w:color="auto"/>
            </w:tcBorders>
            <w:noWrap/>
            <w:hideMark/>
          </w:tcPr>
          <w:p w14:paraId="6FFBABD1"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The current subsidy price allows farmers to purchase sufficient fertilizer.</w:t>
            </w:r>
          </w:p>
        </w:tc>
        <w:tc>
          <w:tcPr>
            <w:tcW w:w="1124" w:type="dxa"/>
            <w:tcBorders>
              <w:left w:val="single" w:sz="4" w:space="0" w:color="auto"/>
            </w:tcBorders>
            <w:noWrap/>
            <w:hideMark/>
          </w:tcPr>
          <w:p w14:paraId="24FB6DAF"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3.683</w:t>
            </w:r>
          </w:p>
        </w:tc>
        <w:tc>
          <w:tcPr>
            <w:tcW w:w="1148" w:type="dxa"/>
            <w:noWrap/>
            <w:hideMark/>
          </w:tcPr>
          <w:p w14:paraId="5CAB96AF"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1.066</w:t>
            </w:r>
          </w:p>
        </w:tc>
        <w:tc>
          <w:tcPr>
            <w:tcW w:w="2076" w:type="dxa"/>
            <w:noWrap/>
            <w:hideMark/>
          </w:tcPr>
          <w:p w14:paraId="3DC095AF"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1.032</w:t>
            </w:r>
          </w:p>
        </w:tc>
      </w:tr>
      <w:tr w:rsidR="00BF275E" w:rsidRPr="00BF275E" w14:paraId="15782467" w14:textId="77777777" w:rsidTr="00BF275E">
        <w:trPr>
          <w:trHeight w:val="290"/>
        </w:trPr>
        <w:tc>
          <w:tcPr>
            <w:tcW w:w="4678" w:type="dxa"/>
            <w:tcBorders>
              <w:right w:val="single" w:sz="4" w:space="0" w:color="auto"/>
            </w:tcBorders>
            <w:noWrap/>
            <w:hideMark/>
          </w:tcPr>
          <w:p w14:paraId="1B258EDF"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Fertilizer affordability affects farmers’ fertilizer application decisions.</w:t>
            </w:r>
          </w:p>
        </w:tc>
        <w:tc>
          <w:tcPr>
            <w:tcW w:w="1124" w:type="dxa"/>
            <w:tcBorders>
              <w:left w:val="single" w:sz="4" w:space="0" w:color="auto"/>
            </w:tcBorders>
            <w:noWrap/>
            <w:hideMark/>
          </w:tcPr>
          <w:p w14:paraId="0AE6BE3B"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3.626</w:t>
            </w:r>
          </w:p>
        </w:tc>
        <w:tc>
          <w:tcPr>
            <w:tcW w:w="1148" w:type="dxa"/>
            <w:noWrap/>
            <w:hideMark/>
          </w:tcPr>
          <w:p w14:paraId="511CA045"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1.189</w:t>
            </w:r>
          </w:p>
        </w:tc>
        <w:tc>
          <w:tcPr>
            <w:tcW w:w="2076" w:type="dxa"/>
            <w:noWrap/>
            <w:hideMark/>
          </w:tcPr>
          <w:p w14:paraId="523D51CE"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1.091</w:t>
            </w:r>
          </w:p>
        </w:tc>
      </w:tr>
      <w:tr w:rsidR="00BF275E" w:rsidRPr="00BF275E" w14:paraId="330D70C2" w14:textId="77777777" w:rsidTr="00BF275E">
        <w:trPr>
          <w:trHeight w:val="290"/>
        </w:trPr>
        <w:tc>
          <w:tcPr>
            <w:tcW w:w="4678" w:type="dxa"/>
            <w:tcBorders>
              <w:right w:val="single" w:sz="4" w:space="0" w:color="auto"/>
            </w:tcBorders>
            <w:noWrap/>
            <w:hideMark/>
          </w:tcPr>
          <w:p w14:paraId="3D1951B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lastRenderedPageBreak/>
              <w:t>Farmers are more likely to purchase fertilizer when prices are affordable.</w:t>
            </w:r>
          </w:p>
        </w:tc>
        <w:tc>
          <w:tcPr>
            <w:tcW w:w="1124" w:type="dxa"/>
            <w:tcBorders>
              <w:left w:val="single" w:sz="4" w:space="0" w:color="auto"/>
            </w:tcBorders>
            <w:noWrap/>
            <w:hideMark/>
          </w:tcPr>
          <w:p w14:paraId="0F60D291"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3.57</w:t>
            </w:r>
          </w:p>
        </w:tc>
        <w:tc>
          <w:tcPr>
            <w:tcW w:w="1148" w:type="dxa"/>
            <w:noWrap/>
            <w:hideMark/>
          </w:tcPr>
          <w:p w14:paraId="107ACC89"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1.36</w:t>
            </w:r>
          </w:p>
        </w:tc>
        <w:tc>
          <w:tcPr>
            <w:tcW w:w="2076" w:type="dxa"/>
            <w:noWrap/>
            <w:hideMark/>
          </w:tcPr>
          <w:p w14:paraId="52055EA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1.166</w:t>
            </w:r>
          </w:p>
        </w:tc>
      </w:tr>
      <w:tr w:rsidR="00BF275E" w:rsidRPr="00BF275E" w14:paraId="25FD0CB1" w14:textId="77777777" w:rsidTr="00BF275E">
        <w:trPr>
          <w:trHeight w:val="290"/>
        </w:trPr>
        <w:tc>
          <w:tcPr>
            <w:tcW w:w="4678" w:type="dxa"/>
            <w:tcBorders>
              <w:bottom w:val="single" w:sz="4" w:space="0" w:color="auto"/>
              <w:right w:val="single" w:sz="4" w:space="0" w:color="auto"/>
            </w:tcBorders>
            <w:noWrap/>
            <w:hideMark/>
          </w:tcPr>
          <w:p w14:paraId="25AB8384"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Affordable fertilizer improves farming productivity.</w:t>
            </w:r>
          </w:p>
        </w:tc>
        <w:tc>
          <w:tcPr>
            <w:tcW w:w="1124" w:type="dxa"/>
            <w:tcBorders>
              <w:left w:val="single" w:sz="4" w:space="0" w:color="auto"/>
              <w:bottom w:val="single" w:sz="4" w:space="0" w:color="auto"/>
            </w:tcBorders>
            <w:noWrap/>
            <w:hideMark/>
          </w:tcPr>
          <w:p w14:paraId="3FE12BE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3.653</w:t>
            </w:r>
          </w:p>
        </w:tc>
        <w:tc>
          <w:tcPr>
            <w:tcW w:w="1148" w:type="dxa"/>
            <w:tcBorders>
              <w:bottom w:val="single" w:sz="4" w:space="0" w:color="auto"/>
            </w:tcBorders>
            <w:noWrap/>
            <w:hideMark/>
          </w:tcPr>
          <w:p w14:paraId="3C5E2BA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1.311</w:t>
            </w:r>
          </w:p>
        </w:tc>
        <w:tc>
          <w:tcPr>
            <w:tcW w:w="2076" w:type="dxa"/>
            <w:tcBorders>
              <w:bottom w:val="single" w:sz="4" w:space="0" w:color="auto"/>
            </w:tcBorders>
            <w:noWrap/>
            <w:hideMark/>
          </w:tcPr>
          <w:p w14:paraId="03BDDE12"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1.145</w:t>
            </w:r>
          </w:p>
        </w:tc>
      </w:tr>
      <w:tr w:rsidR="00BF275E" w:rsidRPr="00BF275E" w14:paraId="745032CB" w14:textId="77777777" w:rsidTr="00BF275E">
        <w:trPr>
          <w:trHeight w:val="290"/>
        </w:trPr>
        <w:tc>
          <w:tcPr>
            <w:tcW w:w="4678" w:type="dxa"/>
            <w:tcBorders>
              <w:top w:val="single" w:sz="4" w:space="0" w:color="auto"/>
              <w:bottom w:val="single" w:sz="4" w:space="0" w:color="auto"/>
              <w:right w:val="single" w:sz="4" w:space="0" w:color="auto"/>
            </w:tcBorders>
            <w:noWrap/>
            <w:hideMark/>
          </w:tcPr>
          <w:p w14:paraId="77DCA5F5"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Disbursement Time Lag</w:t>
            </w:r>
          </w:p>
        </w:tc>
        <w:tc>
          <w:tcPr>
            <w:tcW w:w="1124" w:type="dxa"/>
            <w:tcBorders>
              <w:top w:val="single" w:sz="4" w:space="0" w:color="auto"/>
              <w:left w:val="single" w:sz="4" w:space="0" w:color="auto"/>
              <w:bottom w:val="single" w:sz="4" w:space="0" w:color="auto"/>
            </w:tcBorders>
            <w:noWrap/>
            <w:hideMark/>
          </w:tcPr>
          <w:p w14:paraId="66D7A907"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Mean</w:t>
            </w:r>
          </w:p>
        </w:tc>
        <w:tc>
          <w:tcPr>
            <w:tcW w:w="1148" w:type="dxa"/>
            <w:tcBorders>
              <w:top w:val="single" w:sz="4" w:space="0" w:color="auto"/>
              <w:bottom w:val="single" w:sz="4" w:space="0" w:color="auto"/>
            </w:tcBorders>
            <w:noWrap/>
            <w:hideMark/>
          </w:tcPr>
          <w:p w14:paraId="7A7C69A6"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Variance</w:t>
            </w:r>
          </w:p>
        </w:tc>
        <w:tc>
          <w:tcPr>
            <w:tcW w:w="2076" w:type="dxa"/>
            <w:tcBorders>
              <w:top w:val="single" w:sz="4" w:space="0" w:color="auto"/>
              <w:bottom w:val="single" w:sz="4" w:space="0" w:color="auto"/>
            </w:tcBorders>
            <w:noWrap/>
            <w:hideMark/>
          </w:tcPr>
          <w:p w14:paraId="11EE0C07" w14:textId="77777777" w:rsidR="00BF275E" w:rsidRPr="00BF275E" w:rsidRDefault="00BF275E" w:rsidP="00BB0D71">
            <w:pPr>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3087A5AC" w14:textId="77777777" w:rsidTr="00BF275E">
        <w:trPr>
          <w:trHeight w:val="290"/>
        </w:trPr>
        <w:tc>
          <w:tcPr>
            <w:tcW w:w="4678" w:type="dxa"/>
            <w:tcBorders>
              <w:top w:val="single" w:sz="4" w:space="0" w:color="auto"/>
              <w:right w:val="single" w:sz="4" w:space="0" w:color="auto"/>
            </w:tcBorders>
            <w:noWrap/>
            <w:hideMark/>
          </w:tcPr>
          <w:p w14:paraId="43B9962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Fertilizer subsidies are distributed before the planting season.</w:t>
            </w:r>
          </w:p>
        </w:tc>
        <w:tc>
          <w:tcPr>
            <w:tcW w:w="1124" w:type="dxa"/>
            <w:tcBorders>
              <w:top w:val="single" w:sz="4" w:space="0" w:color="auto"/>
              <w:left w:val="single" w:sz="4" w:space="0" w:color="auto"/>
            </w:tcBorders>
            <w:noWrap/>
            <w:hideMark/>
          </w:tcPr>
          <w:p w14:paraId="41C2FCB6"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3.645</w:t>
            </w:r>
          </w:p>
        </w:tc>
        <w:tc>
          <w:tcPr>
            <w:tcW w:w="1148" w:type="dxa"/>
            <w:tcBorders>
              <w:top w:val="single" w:sz="4" w:space="0" w:color="auto"/>
            </w:tcBorders>
            <w:noWrap/>
            <w:hideMark/>
          </w:tcPr>
          <w:p w14:paraId="7065AD14"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1.192</w:t>
            </w:r>
          </w:p>
        </w:tc>
        <w:tc>
          <w:tcPr>
            <w:tcW w:w="2076" w:type="dxa"/>
            <w:tcBorders>
              <w:top w:val="single" w:sz="4" w:space="0" w:color="auto"/>
            </w:tcBorders>
            <w:noWrap/>
            <w:hideMark/>
          </w:tcPr>
          <w:p w14:paraId="07ADC5BD"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1.092</w:t>
            </w:r>
          </w:p>
        </w:tc>
      </w:tr>
      <w:tr w:rsidR="00BF275E" w:rsidRPr="00BF275E" w14:paraId="58294855" w14:textId="77777777" w:rsidTr="00BF275E">
        <w:trPr>
          <w:trHeight w:val="290"/>
        </w:trPr>
        <w:tc>
          <w:tcPr>
            <w:tcW w:w="4678" w:type="dxa"/>
            <w:tcBorders>
              <w:right w:val="single" w:sz="4" w:space="0" w:color="auto"/>
            </w:tcBorders>
            <w:noWrap/>
            <w:hideMark/>
          </w:tcPr>
          <w:p w14:paraId="5EEB924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Delays in subsidy distribution affect fertilizer usage.</w:t>
            </w:r>
          </w:p>
        </w:tc>
        <w:tc>
          <w:tcPr>
            <w:tcW w:w="1124" w:type="dxa"/>
            <w:tcBorders>
              <w:left w:val="single" w:sz="4" w:space="0" w:color="auto"/>
            </w:tcBorders>
            <w:noWrap/>
            <w:hideMark/>
          </w:tcPr>
          <w:p w14:paraId="0E584D25"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3.683</w:t>
            </w:r>
          </w:p>
        </w:tc>
        <w:tc>
          <w:tcPr>
            <w:tcW w:w="1148" w:type="dxa"/>
            <w:noWrap/>
            <w:hideMark/>
          </w:tcPr>
          <w:p w14:paraId="6C944E9E"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1.066</w:t>
            </w:r>
          </w:p>
        </w:tc>
        <w:tc>
          <w:tcPr>
            <w:tcW w:w="2076" w:type="dxa"/>
            <w:noWrap/>
            <w:hideMark/>
          </w:tcPr>
          <w:p w14:paraId="1098FCD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1.032</w:t>
            </w:r>
          </w:p>
        </w:tc>
      </w:tr>
      <w:tr w:rsidR="00BF275E" w:rsidRPr="00BF275E" w14:paraId="37CE374A" w14:textId="77777777" w:rsidTr="00BF275E">
        <w:trPr>
          <w:trHeight w:val="290"/>
        </w:trPr>
        <w:tc>
          <w:tcPr>
            <w:tcW w:w="4678" w:type="dxa"/>
            <w:tcBorders>
              <w:right w:val="single" w:sz="4" w:space="0" w:color="auto"/>
            </w:tcBorders>
            <w:noWrap/>
            <w:hideMark/>
          </w:tcPr>
          <w:p w14:paraId="42C8B880"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Farmers receive fertilizer in time to apply during planting.</w:t>
            </w:r>
          </w:p>
        </w:tc>
        <w:tc>
          <w:tcPr>
            <w:tcW w:w="1124" w:type="dxa"/>
            <w:tcBorders>
              <w:left w:val="single" w:sz="4" w:space="0" w:color="auto"/>
            </w:tcBorders>
            <w:noWrap/>
            <w:hideMark/>
          </w:tcPr>
          <w:p w14:paraId="295AD540"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3.626</w:t>
            </w:r>
          </w:p>
        </w:tc>
        <w:tc>
          <w:tcPr>
            <w:tcW w:w="1148" w:type="dxa"/>
            <w:noWrap/>
            <w:hideMark/>
          </w:tcPr>
          <w:p w14:paraId="1CB3CE6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1.189</w:t>
            </w:r>
          </w:p>
        </w:tc>
        <w:tc>
          <w:tcPr>
            <w:tcW w:w="2076" w:type="dxa"/>
            <w:noWrap/>
            <w:hideMark/>
          </w:tcPr>
          <w:p w14:paraId="3902B45D"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1.091</w:t>
            </w:r>
          </w:p>
        </w:tc>
      </w:tr>
      <w:tr w:rsidR="00BF275E" w:rsidRPr="00BF275E" w14:paraId="6B923CD7" w14:textId="77777777" w:rsidTr="00BF275E">
        <w:trPr>
          <w:trHeight w:val="290"/>
        </w:trPr>
        <w:tc>
          <w:tcPr>
            <w:tcW w:w="4678" w:type="dxa"/>
            <w:tcBorders>
              <w:right w:val="single" w:sz="4" w:space="0" w:color="auto"/>
            </w:tcBorders>
            <w:noWrap/>
            <w:hideMark/>
          </w:tcPr>
          <w:p w14:paraId="7D2BF41C"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Timely fertilizer distribution encourages fertilizer uptake.</w:t>
            </w:r>
          </w:p>
        </w:tc>
        <w:tc>
          <w:tcPr>
            <w:tcW w:w="1124" w:type="dxa"/>
            <w:tcBorders>
              <w:left w:val="single" w:sz="4" w:space="0" w:color="auto"/>
            </w:tcBorders>
            <w:noWrap/>
            <w:hideMark/>
          </w:tcPr>
          <w:p w14:paraId="1A40DB66"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3.57</w:t>
            </w:r>
          </w:p>
        </w:tc>
        <w:tc>
          <w:tcPr>
            <w:tcW w:w="1148" w:type="dxa"/>
            <w:noWrap/>
            <w:hideMark/>
          </w:tcPr>
          <w:p w14:paraId="452D8A08"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1.36</w:t>
            </w:r>
          </w:p>
        </w:tc>
        <w:tc>
          <w:tcPr>
            <w:tcW w:w="2076" w:type="dxa"/>
            <w:noWrap/>
            <w:hideMark/>
          </w:tcPr>
          <w:p w14:paraId="7F1534A9"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1.166</w:t>
            </w:r>
          </w:p>
        </w:tc>
      </w:tr>
      <w:tr w:rsidR="00BF275E" w:rsidRPr="00BF275E" w14:paraId="4D6F3CBF" w14:textId="77777777" w:rsidTr="00BF275E">
        <w:trPr>
          <w:trHeight w:val="290"/>
        </w:trPr>
        <w:tc>
          <w:tcPr>
            <w:tcW w:w="4678" w:type="dxa"/>
            <w:tcBorders>
              <w:bottom w:val="single" w:sz="4" w:space="0" w:color="auto"/>
              <w:right w:val="single" w:sz="4" w:space="0" w:color="auto"/>
            </w:tcBorders>
            <w:noWrap/>
            <w:hideMark/>
          </w:tcPr>
          <w:p w14:paraId="6434F146"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Delayed fertilizer delivery reduces fertilizer application.</w:t>
            </w:r>
          </w:p>
        </w:tc>
        <w:tc>
          <w:tcPr>
            <w:tcW w:w="1124" w:type="dxa"/>
            <w:tcBorders>
              <w:left w:val="single" w:sz="4" w:space="0" w:color="auto"/>
              <w:bottom w:val="single" w:sz="4" w:space="0" w:color="auto"/>
            </w:tcBorders>
            <w:noWrap/>
            <w:hideMark/>
          </w:tcPr>
          <w:p w14:paraId="5E18FD4B"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3.653</w:t>
            </w:r>
          </w:p>
        </w:tc>
        <w:tc>
          <w:tcPr>
            <w:tcW w:w="1148" w:type="dxa"/>
            <w:tcBorders>
              <w:bottom w:val="single" w:sz="4" w:space="0" w:color="auto"/>
            </w:tcBorders>
            <w:noWrap/>
            <w:hideMark/>
          </w:tcPr>
          <w:p w14:paraId="7FBA118A"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1.311</w:t>
            </w:r>
          </w:p>
        </w:tc>
        <w:tc>
          <w:tcPr>
            <w:tcW w:w="2076" w:type="dxa"/>
            <w:tcBorders>
              <w:bottom w:val="single" w:sz="4" w:space="0" w:color="auto"/>
            </w:tcBorders>
            <w:noWrap/>
            <w:hideMark/>
          </w:tcPr>
          <w:p w14:paraId="203FDF89" w14:textId="77777777" w:rsidR="00BF275E" w:rsidRPr="00BF275E" w:rsidRDefault="00BF275E" w:rsidP="00BB0D71">
            <w:pPr>
              <w:rPr>
                <w:rFonts w:cs="Times New Roman"/>
                <w:color w:val="000000" w:themeColor="text1"/>
                <w:szCs w:val="24"/>
              </w:rPr>
            </w:pPr>
            <w:r w:rsidRPr="00BF275E">
              <w:rPr>
                <w:rFonts w:cs="Times New Roman"/>
                <w:color w:val="000000" w:themeColor="text1"/>
                <w:szCs w:val="24"/>
              </w:rPr>
              <w:t>1.145</w:t>
            </w:r>
          </w:p>
        </w:tc>
      </w:tr>
    </w:tbl>
    <w:p w14:paraId="3007DD0A" w14:textId="77777777" w:rsidR="00BF275E" w:rsidRDefault="00BF275E" w:rsidP="00BF275E">
      <w:pPr>
        <w:rPr>
          <w:rFonts w:cs="Times New Roman"/>
          <w:b/>
          <w:bCs/>
          <w:color w:val="000000" w:themeColor="text1"/>
          <w:szCs w:val="24"/>
        </w:rPr>
      </w:pPr>
    </w:p>
    <w:p w14:paraId="6A79D05F" w14:textId="186441EC"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 xml:space="preserve">The findings presented in Table 4.2 show respondents’ perceptions regarding pricing reforms and their influence on smallholder farmers’ uptake of fertilizers. The analysis focused on fertilizer price discounts, perceived affordability, and disbursement time lag. </w:t>
      </w:r>
      <w:r>
        <w:rPr>
          <w:rFonts w:cs="Times New Roman"/>
          <w:color w:val="000000" w:themeColor="text1"/>
          <w:szCs w:val="24"/>
        </w:rPr>
        <w:t>U</w:t>
      </w:r>
      <w:r w:rsidRPr="00BF275E">
        <w:rPr>
          <w:rFonts w:cs="Times New Roman"/>
          <w:color w:val="000000" w:themeColor="text1"/>
          <w:szCs w:val="24"/>
        </w:rPr>
        <w:t>nder fertilizer price discount, the statement that subsidized fertilizer prices are lower than market prices recorded a mean of 3.645, variance of 1.192, and standard deviation of 1.092. The findings suggest that respondents generally agreed that subsidized fertilizer prices are relatively lower compared to prevailing market prices. The standard deviation indicates moderate variation in respondents’ opinions regarding fertilizer price differences.</w:t>
      </w:r>
    </w:p>
    <w:p w14:paraId="1B6BF094" w14:textId="6B7E158E"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government fertilizer price discounts encourage farmers to buy fertilizer recorded a mean of 3.683, variance of 1.066, and standard deviation of 1.032. The findings indicate that respondents agreed that fertilizer price discounts positively influence farmers’ purchasing decisions. The relatively lower standard deviation suggests that respondents’ views were fairly consistent.</w:t>
      </w:r>
      <w:r>
        <w:rPr>
          <w:rFonts w:cs="Times New Roman"/>
          <w:color w:val="000000" w:themeColor="text1"/>
          <w:szCs w:val="24"/>
        </w:rPr>
        <w:t xml:space="preserve"> </w:t>
      </w:r>
      <w:r w:rsidRPr="00BF275E">
        <w:rPr>
          <w:rFonts w:cs="Times New Roman"/>
          <w:color w:val="000000" w:themeColor="text1"/>
          <w:szCs w:val="24"/>
        </w:rPr>
        <w:t xml:space="preserve">The statement that price subsidies reduce the financial burden of </w:t>
      </w:r>
      <w:r w:rsidRPr="00BF275E">
        <w:rPr>
          <w:rFonts w:cs="Times New Roman"/>
          <w:color w:val="000000" w:themeColor="text1"/>
          <w:szCs w:val="24"/>
        </w:rPr>
        <w:lastRenderedPageBreak/>
        <w:t>fertilizer purchase recorded a mean of 3.626, variance of 1.189, and standard deviation of 1.091. This implies that respondents generally perceived fertilizer subsidies as important in lowering the financial challenges associated with purchasing fertilizer inputs.</w:t>
      </w:r>
      <w:r>
        <w:rPr>
          <w:rFonts w:cs="Times New Roman"/>
          <w:color w:val="000000" w:themeColor="text1"/>
          <w:szCs w:val="24"/>
        </w:rPr>
        <w:t xml:space="preserve"> </w:t>
      </w:r>
      <w:r w:rsidRPr="00BF275E">
        <w:rPr>
          <w:rFonts w:cs="Times New Roman"/>
          <w:color w:val="000000" w:themeColor="text1"/>
          <w:szCs w:val="24"/>
        </w:rPr>
        <w:t>The statement that lower fertilizer prices increase farmers’ willingness to use fertilizer recorded a mean of 3.570, variance of 1.360, and standard deviation of 1.166. The findings suggest that respondents agreed that affordable fertilizer prices encourage fertilizer application among smallholder farmers. However, the relatively higher standard deviation indicates some variation in respondents’ opinions.</w:t>
      </w:r>
    </w:p>
    <w:p w14:paraId="3173C400" w14:textId="65746650"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price discounts influence farmers’ decisions to apply fertilizer recorded a mean of 3.653, variance of 1.311, and standard deviation of 1.145. The findings imply that respondents agreed that fertilizer price reductions play an important role in influencing fertilizer application decisions.</w:t>
      </w:r>
      <w:r>
        <w:rPr>
          <w:rFonts w:cs="Times New Roman"/>
          <w:color w:val="000000" w:themeColor="text1"/>
          <w:szCs w:val="24"/>
        </w:rPr>
        <w:t xml:space="preserve"> </w:t>
      </w:r>
      <w:r w:rsidRPr="00BF275E">
        <w:rPr>
          <w:rFonts w:cs="Times New Roman"/>
          <w:color w:val="000000" w:themeColor="text1"/>
          <w:szCs w:val="24"/>
        </w:rPr>
        <w:t xml:space="preserve">Under perceived affordability, the statement that fertilizer under the subsidy program is affordable to smallholder farmers recorded a mean of 3.645, variance of 1.192, and standard deviation of 1.092. The findings indicate that respondents generally perceived subsidized fertilizer as affordable to smallholder </w:t>
      </w:r>
      <w:proofErr w:type="spellStart"/>
      <w:proofErr w:type="gramStart"/>
      <w:r w:rsidRPr="00BF275E">
        <w:rPr>
          <w:rFonts w:cs="Times New Roman"/>
          <w:color w:val="000000" w:themeColor="text1"/>
          <w:szCs w:val="24"/>
        </w:rPr>
        <w:t>farmers.The</w:t>
      </w:r>
      <w:proofErr w:type="spellEnd"/>
      <w:proofErr w:type="gramEnd"/>
      <w:r w:rsidRPr="00BF275E">
        <w:rPr>
          <w:rFonts w:cs="Times New Roman"/>
          <w:color w:val="000000" w:themeColor="text1"/>
          <w:szCs w:val="24"/>
        </w:rPr>
        <w:t xml:space="preserve"> statement that the current subsidy price allows farmers to purchase sufficient fertilizer recorded a mean of 3.683, variance of 1.066, and standard deviation of 1.032. This suggests that respondents agreed that subsidy pricing improves farmers’ ability to acquire adequate quantities of fertilizer.</w:t>
      </w:r>
    </w:p>
    <w:p w14:paraId="4D8E47CA" w14:textId="738AB7E2"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fertilizer affordability affects farmers’ fertilizer application decisions recorded a mean of 3.626, variance of 1.189, and standard deviation of 1.091. The findings imply that affordability remains an important determinant of fertilizer usage among smallholder farmers.</w:t>
      </w:r>
      <w:r>
        <w:rPr>
          <w:rFonts w:cs="Times New Roman"/>
          <w:color w:val="000000" w:themeColor="text1"/>
          <w:szCs w:val="24"/>
        </w:rPr>
        <w:t xml:space="preserve"> </w:t>
      </w:r>
      <w:r w:rsidRPr="00BF275E">
        <w:rPr>
          <w:rFonts w:cs="Times New Roman"/>
          <w:color w:val="000000" w:themeColor="text1"/>
          <w:szCs w:val="24"/>
        </w:rPr>
        <w:t>The statement that farmers are more likely to purchase fertilizer when prices are affordable recorded a mean of 3.570, variance of 1.360, and standard deviation of 1.166. The findings suggest that affordable fertilizer pricing positively influences fertilizer purchasing behavior among farmers.</w:t>
      </w:r>
      <w:r>
        <w:rPr>
          <w:rFonts w:cs="Times New Roman"/>
          <w:color w:val="000000" w:themeColor="text1"/>
          <w:szCs w:val="24"/>
        </w:rPr>
        <w:t xml:space="preserve"> </w:t>
      </w:r>
      <w:r w:rsidRPr="00BF275E">
        <w:rPr>
          <w:rFonts w:cs="Times New Roman"/>
          <w:color w:val="000000" w:themeColor="text1"/>
          <w:szCs w:val="24"/>
        </w:rPr>
        <w:t>The statement that affordable fertilizer improves farming productivity recorded a mean of 3.653, variance of 1.311, and standard deviation of 1.145. The findings indicate that respondents believed that affordable fertilizer contributes to improved agricultural productivity.</w:t>
      </w:r>
    </w:p>
    <w:p w14:paraId="19FDA714" w14:textId="38D608CB"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 xml:space="preserve">Under disbursement time lag, the statement that fertilizer subsidies are distributed before the planting season recorded a mean of 3.645, variance of 1.192, and standard deviation of 1.092. The findings suggest that respondents moderately agreed that fertilizer subsidies are generally </w:t>
      </w:r>
      <w:r w:rsidRPr="00BF275E">
        <w:rPr>
          <w:rFonts w:cs="Times New Roman"/>
          <w:color w:val="000000" w:themeColor="text1"/>
          <w:szCs w:val="24"/>
        </w:rPr>
        <w:lastRenderedPageBreak/>
        <w:t>distributed within appropriate planting periods.</w:t>
      </w:r>
      <w:r>
        <w:rPr>
          <w:rFonts w:cs="Times New Roman"/>
          <w:color w:val="000000" w:themeColor="text1"/>
          <w:szCs w:val="24"/>
        </w:rPr>
        <w:t xml:space="preserve"> </w:t>
      </w:r>
      <w:r w:rsidRPr="00BF275E">
        <w:rPr>
          <w:rFonts w:cs="Times New Roman"/>
          <w:color w:val="000000" w:themeColor="text1"/>
          <w:szCs w:val="24"/>
        </w:rPr>
        <w:t>The statement that delays in subsidy distribution affect fertilizer usage recorded a mean of 3.683, variance of 1.066, and standard deviation of 1.032. The findings imply that delayed fertilizer distribution negatively affects fertilizer application among farmers.</w:t>
      </w:r>
      <w:r>
        <w:rPr>
          <w:rFonts w:cs="Times New Roman"/>
          <w:color w:val="000000" w:themeColor="text1"/>
          <w:szCs w:val="24"/>
        </w:rPr>
        <w:t xml:space="preserve"> </w:t>
      </w:r>
      <w:r w:rsidRPr="00BF275E">
        <w:rPr>
          <w:rFonts w:cs="Times New Roman"/>
          <w:color w:val="000000" w:themeColor="text1"/>
          <w:szCs w:val="24"/>
        </w:rPr>
        <w:t>The statement that farmers receive fertilizer in time to apply during planting recorded a mean of 3.626, variance of 1.189, and standard deviation of 1.091. The findings suggest that respondents generally agreed that timely fertilizer delivery supports fertilizer application during planting seasons.</w:t>
      </w:r>
    </w:p>
    <w:p w14:paraId="48F1D7D5" w14:textId="19DEBFA1" w:rsid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timely fertilizer distribution encourages fertilizer uptake recorded a mean of 3.570, variance of 1.360, and standard deviation of 1.166. This indicates that respondents perceived timely fertilizer availability as an important factor influencing fertilizer uptake.</w:t>
      </w:r>
      <w:r>
        <w:rPr>
          <w:rFonts w:cs="Times New Roman"/>
          <w:color w:val="000000" w:themeColor="text1"/>
          <w:szCs w:val="24"/>
        </w:rPr>
        <w:t xml:space="preserve"> </w:t>
      </w:r>
      <w:r w:rsidRPr="00BF275E">
        <w:rPr>
          <w:rFonts w:cs="Times New Roman"/>
          <w:color w:val="000000" w:themeColor="text1"/>
          <w:szCs w:val="24"/>
        </w:rPr>
        <w:t>The statement that delayed fertilizer delivery reduces fertilizer application recorded a mean of 3.653, variance of 1.311, and standard deviation of 1.145. The findings imply that delays in fertilizer delivery discourage fertilizer application among smallholder farmers.</w:t>
      </w:r>
      <w:r>
        <w:rPr>
          <w:rFonts w:cs="Times New Roman"/>
          <w:color w:val="000000" w:themeColor="text1"/>
          <w:szCs w:val="24"/>
        </w:rPr>
        <w:t xml:space="preserve"> T</w:t>
      </w:r>
      <w:r w:rsidRPr="00BF275E">
        <w:rPr>
          <w:rFonts w:cs="Times New Roman"/>
          <w:color w:val="000000" w:themeColor="text1"/>
          <w:szCs w:val="24"/>
        </w:rPr>
        <w:t>he findings indicate that respondents generally agreed that pricing reforms positively influence smallholder farmers’ uptake of fertilizers. The mean scores above 3.5 across most statements suggest positive perceptions regarding fertilizer price discounts, affordability, and timely subsidy distribution.</w:t>
      </w:r>
    </w:p>
    <w:p w14:paraId="06020626" w14:textId="6B8D7AF7" w:rsidR="00BF275E" w:rsidRDefault="00BF275E" w:rsidP="00BF275E">
      <w:pPr>
        <w:pStyle w:val="Heading3"/>
      </w:pPr>
      <w:r>
        <w:t xml:space="preserve">4.5.2 Descriptive analysis on </w:t>
      </w:r>
      <w:r>
        <w:t>Distribution Model Changes</w:t>
      </w:r>
    </w:p>
    <w:p w14:paraId="52FFD2A0" w14:textId="2C2FA10D" w:rsidR="00BF275E" w:rsidRDefault="00BF275E" w:rsidP="00BF275E">
      <w:pPr>
        <w:rPr>
          <w:rFonts w:cs="Times New Roman"/>
          <w:b/>
          <w:bCs/>
          <w:color w:val="000000" w:themeColor="text1"/>
          <w:szCs w:val="24"/>
        </w:rPr>
      </w:pPr>
      <w:r>
        <w:rPr>
          <w:rFonts w:cs="Times New Roman"/>
          <w:b/>
          <w:bCs/>
          <w:color w:val="000000" w:themeColor="text1"/>
          <w:szCs w:val="24"/>
        </w:rPr>
        <w:t>Table 4.</w:t>
      </w:r>
      <w:r>
        <w:rPr>
          <w:rFonts w:cs="Times New Roman"/>
          <w:b/>
          <w:bCs/>
          <w:color w:val="000000" w:themeColor="text1"/>
          <w:szCs w:val="24"/>
        </w:rPr>
        <w:t>3</w:t>
      </w:r>
      <w:r>
        <w:rPr>
          <w:rFonts w:cs="Times New Roman"/>
          <w:b/>
          <w:bCs/>
          <w:color w:val="000000" w:themeColor="text1"/>
          <w:szCs w:val="24"/>
        </w:rPr>
        <w:t xml:space="preserve"> Descriptive analysis on </w:t>
      </w:r>
      <w:r>
        <w:rPr>
          <w:b/>
        </w:rPr>
        <w:t>Distribution Model Changes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134"/>
        <w:gridCol w:w="1276"/>
        <w:gridCol w:w="1796"/>
      </w:tblGrid>
      <w:tr w:rsidR="00BF275E" w:rsidRPr="00BF275E" w14:paraId="101E1398" w14:textId="77777777" w:rsidTr="00BF275E">
        <w:trPr>
          <w:trHeight w:val="290"/>
        </w:trPr>
        <w:tc>
          <w:tcPr>
            <w:tcW w:w="4820" w:type="dxa"/>
            <w:tcBorders>
              <w:top w:val="single" w:sz="4" w:space="0" w:color="auto"/>
              <w:bottom w:val="single" w:sz="4" w:space="0" w:color="auto"/>
              <w:right w:val="single" w:sz="4" w:space="0" w:color="auto"/>
            </w:tcBorders>
            <w:noWrap/>
            <w:hideMark/>
          </w:tcPr>
          <w:p w14:paraId="6683E38C" w14:textId="540E3D88" w:rsidR="00BF275E" w:rsidRPr="00BF275E" w:rsidRDefault="00BF275E" w:rsidP="00BF275E">
            <w:pPr>
              <w:spacing w:line="360" w:lineRule="auto"/>
              <w:rPr>
                <w:rFonts w:cs="Times New Roman"/>
                <w:b/>
                <w:bCs/>
                <w:color w:val="000000" w:themeColor="text1"/>
                <w:szCs w:val="24"/>
                <w:lang w:val="en-KE"/>
              </w:rPr>
            </w:pPr>
            <w:r w:rsidRPr="00BF275E">
              <w:rPr>
                <w:rFonts w:cs="Times New Roman"/>
                <w:b/>
                <w:bCs/>
                <w:color w:val="000000" w:themeColor="text1"/>
                <w:szCs w:val="24"/>
              </w:rPr>
              <w:t>Distance to Outlet</w:t>
            </w:r>
          </w:p>
        </w:tc>
        <w:tc>
          <w:tcPr>
            <w:tcW w:w="1134" w:type="dxa"/>
            <w:tcBorders>
              <w:top w:val="single" w:sz="4" w:space="0" w:color="auto"/>
              <w:left w:val="single" w:sz="4" w:space="0" w:color="auto"/>
              <w:bottom w:val="single" w:sz="4" w:space="0" w:color="auto"/>
            </w:tcBorders>
            <w:noWrap/>
            <w:hideMark/>
          </w:tcPr>
          <w:p w14:paraId="6CBD6579"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76" w:type="dxa"/>
            <w:tcBorders>
              <w:top w:val="single" w:sz="4" w:space="0" w:color="auto"/>
              <w:bottom w:val="single" w:sz="4" w:space="0" w:color="auto"/>
            </w:tcBorders>
            <w:noWrap/>
            <w:hideMark/>
          </w:tcPr>
          <w:p w14:paraId="38EAB736"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6" w:type="dxa"/>
            <w:tcBorders>
              <w:top w:val="single" w:sz="4" w:space="0" w:color="auto"/>
              <w:bottom w:val="single" w:sz="4" w:space="0" w:color="auto"/>
            </w:tcBorders>
            <w:noWrap/>
            <w:hideMark/>
          </w:tcPr>
          <w:p w14:paraId="1F836DF5"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3A2FB2C3" w14:textId="77777777" w:rsidTr="00BF275E">
        <w:trPr>
          <w:trHeight w:val="290"/>
        </w:trPr>
        <w:tc>
          <w:tcPr>
            <w:tcW w:w="4820" w:type="dxa"/>
            <w:tcBorders>
              <w:top w:val="single" w:sz="4" w:space="0" w:color="auto"/>
              <w:right w:val="single" w:sz="4" w:space="0" w:color="auto"/>
            </w:tcBorders>
            <w:noWrap/>
            <w:hideMark/>
          </w:tcPr>
          <w:p w14:paraId="6CE25B8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Fertilizer distribution centers are located near farmers.</w:t>
            </w:r>
          </w:p>
        </w:tc>
        <w:tc>
          <w:tcPr>
            <w:tcW w:w="1134" w:type="dxa"/>
            <w:tcBorders>
              <w:top w:val="single" w:sz="4" w:space="0" w:color="auto"/>
              <w:left w:val="single" w:sz="4" w:space="0" w:color="auto"/>
            </w:tcBorders>
            <w:noWrap/>
            <w:hideMark/>
          </w:tcPr>
          <w:p w14:paraId="42DF05F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3.709</w:t>
            </w:r>
          </w:p>
        </w:tc>
        <w:tc>
          <w:tcPr>
            <w:tcW w:w="1276" w:type="dxa"/>
            <w:tcBorders>
              <w:top w:val="single" w:sz="4" w:space="0" w:color="auto"/>
            </w:tcBorders>
            <w:noWrap/>
            <w:hideMark/>
          </w:tcPr>
          <w:p w14:paraId="00F3C09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1.268</w:t>
            </w:r>
          </w:p>
        </w:tc>
        <w:tc>
          <w:tcPr>
            <w:tcW w:w="1796" w:type="dxa"/>
            <w:tcBorders>
              <w:top w:val="single" w:sz="4" w:space="0" w:color="auto"/>
            </w:tcBorders>
            <w:noWrap/>
            <w:hideMark/>
          </w:tcPr>
          <w:p w14:paraId="2230837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1.126</w:t>
            </w:r>
          </w:p>
        </w:tc>
      </w:tr>
      <w:tr w:rsidR="00BF275E" w:rsidRPr="00BF275E" w14:paraId="18361485" w14:textId="77777777" w:rsidTr="00BB0D71">
        <w:trPr>
          <w:trHeight w:val="932"/>
        </w:trPr>
        <w:tc>
          <w:tcPr>
            <w:tcW w:w="4820" w:type="dxa"/>
            <w:tcBorders>
              <w:right w:val="single" w:sz="4" w:space="0" w:color="auto"/>
            </w:tcBorders>
            <w:noWrap/>
            <w:hideMark/>
          </w:tcPr>
          <w:p w14:paraId="52E9BBF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Long travel distance discourages farmers from purchasing fertilizer.</w:t>
            </w:r>
          </w:p>
        </w:tc>
        <w:tc>
          <w:tcPr>
            <w:tcW w:w="1134" w:type="dxa"/>
            <w:tcBorders>
              <w:left w:val="single" w:sz="4" w:space="0" w:color="auto"/>
            </w:tcBorders>
            <w:noWrap/>
            <w:hideMark/>
          </w:tcPr>
          <w:p w14:paraId="6BDCE21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3.683</w:t>
            </w:r>
          </w:p>
        </w:tc>
        <w:tc>
          <w:tcPr>
            <w:tcW w:w="1276" w:type="dxa"/>
            <w:noWrap/>
            <w:hideMark/>
          </w:tcPr>
          <w:p w14:paraId="13D9C99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1.323</w:t>
            </w:r>
          </w:p>
        </w:tc>
        <w:tc>
          <w:tcPr>
            <w:tcW w:w="1796" w:type="dxa"/>
            <w:noWrap/>
            <w:hideMark/>
          </w:tcPr>
          <w:p w14:paraId="2517AC3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w:t>
            </w:r>
          </w:p>
        </w:tc>
      </w:tr>
      <w:tr w:rsidR="00BF275E" w:rsidRPr="00BF275E" w14:paraId="050BD029" w14:textId="77777777" w:rsidTr="00BF275E">
        <w:trPr>
          <w:trHeight w:val="290"/>
        </w:trPr>
        <w:tc>
          <w:tcPr>
            <w:tcW w:w="4820" w:type="dxa"/>
            <w:tcBorders>
              <w:right w:val="single" w:sz="4" w:space="0" w:color="auto"/>
            </w:tcBorders>
            <w:noWrap/>
            <w:hideMark/>
          </w:tcPr>
          <w:p w14:paraId="6DBDECAF"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Transport costs affect farmers’ uptake of fertilizer.</w:t>
            </w:r>
          </w:p>
        </w:tc>
        <w:tc>
          <w:tcPr>
            <w:tcW w:w="1134" w:type="dxa"/>
            <w:tcBorders>
              <w:left w:val="single" w:sz="4" w:space="0" w:color="auto"/>
            </w:tcBorders>
            <w:noWrap/>
            <w:hideMark/>
          </w:tcPr>
          <w:p w14:paraId="2A2DE28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3.721</w:t>
            </w:r>
          </w:p>
        </w:tc>
        <w:tc>
          <w:tcPr>
            <w:tcW w:w="1276" w:type="dxa"/>
            <w:noWrap/>
            <w:hideMark/>
          </w:tcPr>
          <w:p w14:paraId="3D57E65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1.164</w:t>
            </w:r>
          </w:p>
        </w:tc>
        <w:tc>
          <w:tcPr>
            <w:tcW w:w="1796" w:type="dxa"/>
            <w:noWrap/>
            <w:hideMark/>
          </w:tcPr>
          <w:p w14:paraId="702CE2F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1.079</w:t>
            </w:r>
          </w:p>
        </w:tc>
      </w:tr>
      <w:tr w:rsidR="00BF275E" w:rsidRPr="00BF275E" w14:paraId="6EFEBDBF" w14:textId="77777777" w:rsidTr="00BF275E">
        <w:trPr>
          <w:trHeight w:val="290"/>
        </w:trPr>
        <w:tc>
          <w:tcPr>
            <w:tcW w:w="4820" w:type="dxa"/>
            <w:tcBorders>
              <w:right w:val="single" w:sz="4" w:space="0" w:color="auto"/>
            </w:tcBorders>
            <w:noWrap/>
            <w:hideMark/>
          </w:tcPr>
          <w:p w14:paraId="313D71D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lastRenderedPageBreak/>
              <w:t>Farmers located far from distribution centers buy less fertilizer.</w:t>
            </w:r>
          </w:p>
        </w:tc>
        <w:tc>
          <w:tcPr>
            <w:tcW w:w="1134" w:type="dxa"/>
            <w:tcBorders>
              <w:left w:val="single" w:sz="4" w:space="0" w:color="auto"/>
            </w:tcBorders>
            <w:noWrap/>
            <w:hideMark/>
          </w:tcPr>
          <w:p w14:paraId="1D4405E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3.706</w:t>
            </w:r>
          </w:p>
        </w:tc>
        <w:tc>
          <w:tcPr>
            <w:tcW w:w="1276" w:type="dxa"/>
            <w:noWrap/>
            <w:hideMark/>
          </w:tcPr>
          <w:p w14:paraId="55A2C0B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1.224</w:t>
            </w:r>
          </w:p>
        </w:tc>
        <w:tc>
          <w:tcPr>
            <w:tcW w:w="1796" w:type="dxa"/>
            <w:noWrap/>
            <w:hideMark/>
          </w:tcPr>
          <w:p w14:paraId="5FC6F70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1.106</w:t>
            </w:r>
          </w:p>
        </w:tc>
      </w:tr>
      <w:tr w:rsidR="00BF275E" w:rsidRPr="00BF275E" w14:paraId="3F9656F7" w14:textId="77777777" w:rsidTr="00BF275E">
        <w:trPr>
          <w:trHeight w:val="290"/>
        </w:trPr>
        <w:tc>
          <w:tcPr>
            <w:tcW w:w="4820" w:type="dxa"/>
            <w:tcBorders>
              <w:bottom w:val="single" w:sz="4" w:space="0" w:color="auto"/>
              <w:right w:val="single" w:sz="4" w:space="0" w:color="auto"/>
            </w:tcBorders>
            <w:noWrap/>
            <w:hideMark/>
          </w:tcPr>
          <w:p w14:paraId="3DC2472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Distance to fertilizer outlets influences fertilizer uptake.</w:t>
            </w:r>
          </w:p>
        </w:tc>
        <w:tc>
          <w:tcPr>
            <w:tcW w:w="1134" w:type="dxa"/>
            <w:tcBorders>
              <w:left w:val="single" w:sz="4" w:space="0" w:color="auto"/>
              <w:bottom w:val="single" w:sz="4" w:space="0" w:color="auto"/>
            </w:tcBorders>
            <w:noWrap/>
            <w:hideMark/>
          </w:tcPr>
          <w:p w14:paraId="6130FCF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3.717</w:t>
            </w:r>
          </w:p>
        </w:tc>
        <w:tc>
          <w:tcPr>
            <w:tcW w:w="1276" w:type="dxa"/>
            <w:tcBorders>
              <w:bottom w:val="single" w:sz="4" w:space="0" w:color="auto"/>
            </w:tcBorders>
            <w:noWrap/>
            <w:hideMark/>
          </w:tcPr>
          <w:p w14:paraId="2F662A8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1.166</w:t>
            </w:r>
          </w:p>
        </w:tc>
        <w:tc>
          <w:tcPr>
            <w:tcW w:w="1796" w:type="dxa"/>
            <w:tcBorders>
              <w:bottom w:val="single" w:sz="4" w:space="0" w:color="auto"/>
            </w:tcBorders>
            <w:noWrap/>
            <w:hideMark/>
          </w:tcPr>
          <w:p w14:paraId="7D79AAB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1.08</w:t>
            </w:r>
          </w:p>
        </w:tc>
      </w:tr>
      <w:tr w:rsidR="00BF275E" w:rsidRPr="00BF275E" w14:paraId="3685213F" w14:textId="77777777" w:rsidTr="00BF275E">
        <w:trPr>
          <w:trHeight w:val="290"/>
        </w:trPr>
        <w:tc>
          <w:tcPr>
            <w:tcW w:w="4820" w:type="dxa"/>
            <w:tcBorders>
              <w:top w:val="single" w:sz="4" w:space="0" w:color="auto"/>
              <w:bottom w:val="single" w:sz="4" w:space="0" w:color="auto"/>
              <w:right w:val="single" w:sz="4" w:space="0" w:color="auto"/>
            </w:tcBorders>
            <w:noWrap/>
            <w:hideMark/>
          </w:tcPr>
          <w:p w14:paraId="05931594" w14:textId="2BB2020F"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Outlet Density</w:t>
            </w:r>
          </w:p>
        </w:tc>
        <w:tc>
          <w:tcPr>
            <w:tcW w:w="1134" w:type="dxa"/>
            <w:tcBorders>
              <w:top w:val="single" w:sz="4" w:space="0" w:color="auto"/>
              <w:left w:val="single" w:sz="4" w:space="0" w:color="auto"/>
              <w:bottom w:val="single" w:sz="4" w:space="0" w:color="auto"/>
            </w:tcBorders>
            <w:noWrap/>
            <w:hideMark/>
          </w:tcPr>
          <w:p w14:paraId="76AF8C0E"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76" w:type="dxa"/>
            <w:tcBorders>
              <w:top w:val="single" w:sz="4" w:space="0" w:color="auto"/>
              <w:bottom w:val="single" w:sz="4" w:space="0" w:color="auto"/>
            </w:tcBorders>
            <w:noWrap/>
            <w:hideMark/>
          </w:tcPr>
          <w:p w14:paraId="479CE541"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6" w:type="dxa"/>
            <w:tcBorders>
              <w:top w:val="single" w:sz="4" w:space="0" w:color="auto"/>
              <w:bottom w:val="single" w:sz="4" w:space="0" w:color="auto"/>
            </w:tcBorders>
            <w:noWrap/>
            <w:hideMark/>
          </w:tcPr>
          <w:p w14:paraId="6913C54E"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647F3508" w14:textId="77777777" w:rsidTr="00BF275E">
        <w:trPr>
          <w:trHeight w:val="290"/>
        </w:trPr>
        <w:tc>
          <w:tcPr>
            <w:tcW w:w="4820" w:type="dxa"/>
            <w:tcBorders>
              <w:top w:val="single" w:sz="4" w:space="0" w:color="auto"/>
              <w:right w:val="single" w:sz="4" w:space="0" w:color="auto"/>
            </w:tcBorders>
            <w:noWrap/>
            <w:hideMark/>
          </w:tcPr>
          <w:p w14:paraId="2C59348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There are enough fertilizer outlets in my area.</w:t>
            </w:r>
          </w:p>
        </w:tc>
        <w:tc>
          <w:tcPr>
            <w:tcW w:w="1134" w:type="dxa"/>
            <w:tcBorders>
              <w:top w:val="single" w:sz="4" w:space="0" w:color="auto"/>
              <w:left w:val="single" w:sz="4" w:space="0" w:color="auto"/>
            </w:tcBorders>
            <w:noWrap/>
            <w:hideMark/>
          </w:tcPr>
          <w:p w14:paraId="75419D5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3.709</w:t>
            </w:r>
          </w:p>
        </w:tc>
        <w:tc>
          <w:tcPr>
            <w:tcW w:w="1276" w:type="dxa"/>
            <w:tcBorders>
              <w:top w:val="single" w:sz="4" w:space="0" w:color="auto"/>
            </w:tcBorders>
            <w:noWrap/>
            <w:hideMark/>
          </w:tcPr>
          <w:p w14:paraId="713E4BE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1.268</w:t>
            </w:r>
          </w:p>
        </w:tc>
        <w:tc>
          <w:tcPr>
            <w:tcW w:w="1796" w:type="dxa"/>
            <w:tcBorders>
              <w:top w:val="single" w:sz="4" w:space="0" w:color="auto"/>
            </w:tcBorders>
            <w:noWrap/>
            <w:hideMark/>
          </w:tcPr>
          <w:p w14:paraId="7DF2BE6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1.126</w:t>
            </w:r>
          </w:p>
        </w:tc>
      </w:tr>
      <w:tr w:rsidR="00BF275E" w:rsidRPr="00BF275E" w14:paraId="111A2B39" w14:textId="77777777" w:rsidTr="00BF275E">
        <w:trPr>
          <w:trHeight w:val="290"/>
        </w:trPr>
        <w:tc>
          <w:tcPr>
            <w:tcW w:w="4820" w:type="dxa"/>
            <w:tcBorders>
              <w:right w:val="single" w:sz="4" w:space="0" w:color="auto"/>
            </w:tcBorders>
            <w:noWrap/>
            <w:hideMark/>
          </w:tcPr>
          <w:p w14:paraId="7F2255F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Having many fertilizer suppliers improves uptake of fertilizer.</w:t>
            </w:r>
          </w:p>
        </w:tc>
        <w:tc>
          <w:tcPr>
            <w:tcW w:w="1134" w:type="dxa"/>
            <w:tcBorders>
              <w:left w:val="single" w:sz="4" w:space="0" w:color="auto"/>
            </w:tcBorders>
            <w:noWrap/>
            <w:hideMark/>
          </w:tcPr>
          <w:p w14:paraId="63499BD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3.683</w:t>
            </w:r>
          </w:p>
        </w:tc>
        <w:tc>
          <w:tcPr>
            <w:tcW w:w="1276" w:type="dxa"/>
            <w:noWrap/>
            <w:hideMark/>
          </w:tcPr>
          <w:p w14:paraId="19EC1AD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1.323</w:t>
            </w:r>
          </w:p>
        </w:tc>
        <w:tc>
          <w:tcPr>
            <w:tcW w:w="1796" w:type="dxa"/>
            <w:noWrap/>
            <w:hideMark/>
          </w:tcPr>
          <w:p w14:paraId="11CD6EA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w:t>
            </w:r>
          </w:p>
        </w:tc>
      </w:tr>
      <w:tr w:rsidR="00BF275E" w:rsidRPr="00BF275E" w14:paraId="35F44EFA" w14:textId="77777777" w:rsidTr="00BF275E">
        <w:trPr>
          <w:trHeight w:val="290"/>
        </w:trPr>
        <w:tc>
          <w:tcPr>
            <w:tcW w:w="4820" w:type="dxa"/>
            <w:tcBorders>
              <w:right w:val="single" w:sz="4" w:space="0" w:color="auto"/>
            </w:tcBorders>
            <w:noWrap/>
            <w:hideMark/>
          </w:tcPr>
          <w:p w14:paraId="33F8F28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easily obtain fertilizer due to availability of many outlets.</w:t>
            </w:r>
          </w:p>
        </w:tc>
        <w:tc>
          <w:tcPr>
            <w:tcW w:w="1134" w:type="dxa"/>
            <w:tcBorders>
              <w:left w:val="single" w:sz="4" w:space="0" w:color="auto"/>
            </w:tcBorders>
            <w:noWrap/>
            <w:hideMark/>
          </w:tcPr>
          <w:p w14:paraId="707D60E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3.721</w:t>
            </w:r>
          </w:p>
        </w:tc>
        <w:tc>
          <w:tcPr>
            <w:tcW w:w="1276" w:type="dxa"/>
            <w:noWrap/>
            <w:hideMark/>
          </w:tcPr>
          <w:p w14:paraId="14FACC9E"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1.164</w:t>
            </w:r>
          </w:p>
        </w:tc>
        <w:tc>
          <w:tcPr>
            <w:tcW w:w="1796" w:type="dxa"/>
            <w:noWrap/>
            <w:hideMark/>
          </w:tcPr>
          <w:p w14:paraId="74888F7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1.079</w:t>
            </w:r>
          </w:p>
        </w:tc>
      </w:tr>
      <w:tr w:rsidR="00BF275E" w:rsidRPr="00BF275E" w14:paraId="78E5E2F2" w14:textId="77777777" w:rsidTr="00BF275E">
        <w:trPr>
          <w:trHeight w:val="290"/>
        </w:trPr>
        <w:tc>
          <w:tcPr>
            <w:tcW w:w="4820" w:type="dxa"/>
            <w:tcBorders>
              <w:right w:val="single" w:sz="4" w:space="0" w:color="auto"/>
            </w:tcBorders>
            <w:noWrap/>
            <w:hideMark/>
          </w:tcPr>
          <w:p w14:paraId="78868DC8"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Limited fertilizer outlets reduce fertilizer availability.</w:t>
            </w:r>
          </w:p>
        </w:tc>
        <w:tc>
          <w:tcPr>
            <w:tcW w:w="1134" w:type="dxa"/>
            <w:tcBorders>
              <w:left w:val="single" w:sz="4" w:space="0" w:color="auto"/>
            </w:tcBorders>
            <w:noWrap/>
            <w:hideMark/>
          </w:tcPr>
          <w:p w14:paraId="5CFA1E0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3.706</w:t>
            </w:r>
          </w:p>
        </w:tc>
        <w:tc>
          <w:tcPr>
            <w:tcW w:w="1276" w:type="dxa"/>
            <w:noWrap/>
            <w:hideMark/>
          </w:tcPr>
          <w:p w14:paraId="025DD90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1.224</w:t>
            </w:r>
          </w:p>
        </w:tc>
        <w:tc>
          <w:tcPr>
            <w:tcW w:w="1796" w:type="dxa"/>
            <w:noWrap/>
            <w:hideMark/>
          </w:tcPr>
          <w:p w14:paraId="655B415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1.106</w:t>
            </w:r>
          </w:p>
        </w:tc>
      </w:tr>
      <w:tr w:rsidR="00BF275E" w:rsidRPr="00BF275E" w14:paraId="4F15CFB0" w14:textId="77777777" w:rsidTr="00BF275E">
        <w:trPr>
          <w:trHeight w:val="290"/>
        </w:trPr>
        <w:tc>
          <w:tcPr>
            <w:tcW w:w="4820" w:type="dxa"/>
            <w:tcBorders>
              <w:bottom w:val="single" w:sz="4" w:space="0" w:color="auto"/>
              <w:right w:val="single" w:sz="4" w:space="0" w:color="auto"/>
            </w:tcBorders>
            <w:noWrap/>
            <w:hideMark/>
          </w:tcPr>
          <w:p w14:paraId="26404DEF"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Increased fertilizer outlets would improve fertilizer uptake.</w:t>
            </w:r>
          </w:p>
        </w:tc>
        <w:tc>
          <w:tcPr>
            <w:tcW w:w="1134" w:type="dxa"/>
            <w:tcBorders>
              <w:left w:val="single" w:sz="4" w:space="0" w:color="auto"/>
              <w:bottom w:val="single" w:sz="4" w:space="0" w:color="auto"/>
            </w:tcBorders>
            <w:noWrap/>
            <w:hideMark/>
          </w:tcPr>
          <w:p w14:paraId="0BFA929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3.717</w:t>
            </w:r>
          </w:p>
        </w:tc>
        <w:tc>
          <w:tcPr>
            <w:tcW w:w="1276" w:type="dxa"/>
            <w:tcBorders>
              <w:bottom w:val="single" w:sz="4" w:space="0" w:color="auto"/>
            </w:tcBorders>
            <w:noWrap/>
            <w:hideMark/>
          </w:tcPr>
          <w:p w14:paraId="26D61FEB"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1.166</w:t>
            </w:r>
          </w:p>
        </w:tc>
        <w:tc>
          <w:tcPr>
            <w:tcW w:w="1796" w:type="dxa"/>
            <w:tcBorders>
              <w:bottom w:val="single" w:sz="4" w:space="0" w:color="auto"/>
            </w:tcBorders>
            <w:noWrap/>
            <w:hideMark/>
          </w:tcPr>
          <w:p w14:paraId="7F93404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1.08</w:t>
            </w:r>
          </w:p>
        </w:tc>
      </w:tr>
      <w:tr w:rsidR="00BF275E" w:rsidRPr="00BF275E" w14:paraId="3A23584E" w14:textId="77777777" w:rsidTr="00BF275E">
        <w:trPr>
          <w:trHeight w:val="290"/>
        </w:trPr>
        <w:tc>
          <w:tcPr>
            <w:tcW w:w="4820" w:type="dxa"/>
            <w:tcBorders>
              <w:top w:val="single" w:sz="4" w:space="0" w:color="auto"/>
              <w:bottom w:val="single" w:sz="4" w:space="0" w:color="auto"/>
              <w:right w:val="single" w:sz="4" w:space="0" w:color="auto"/>
            </w:tcBorders>
            <w:noWrap/>
            <w:hideMark/>
          </w:tcPr>
          <w:p w14:paraId="12CD825C" w14:textId="648A973A"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Supply Consistency</w:t>
            </w:r>
          </w:p>
        </w:tc>
        <w:tc>
          <w:tcPr>
            <w:tcW w:w="1134" w:type="dxa"/>
            <w:tcBorders>
              <w:top w:val="single" w:sz="4" w:space="0" w:color="auto"/>
              <w:left w:val="single" w:sz="4" w:space="0" w:color="auto"/>
              <w:bottom w:val="single" w:sz="4" w:space="0" w:color="auto"/>
            </w:tcBorders>
            <w:noWrap/>
            <w:hideMark/>
          </w:tcPr>
          <w:p w14:paraId="710EBAB7"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76" w:type="dxa"/>
            <w:tcBorders>
              <w:top w:val="single" w:sz="4" w:space="0" w:color="auto"/>
              <w:bottom w:val="single" w:sz="4" w:space="0" w:color="auto"/>
            </w:tcBorders>
            <w:noWrap/>
            <w:hideMark/>
          </w:tcPr>
          <w:p w14:paraId="5D1E00A1"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6" w:type="dxa"/>
            <w:tcBorders>
              <w:top w:val="single" w:sz="4" w:space="0" w:color="auto"/>
              <w:bottom w:val="single" w:sz="4" w:space="0" w:color="auto"/>
            </w:tcBorders>
            <w:noWrap/>
            <w:hideMark/>
          </w:tcPr>
          <w:p w14:paraId="630B0DF5"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14BA1692" w14:textId="77777777" w:rsidTr="00BF275E">
        <w:trPr>
          <w:trHeight w:val="290"/>
        </w:trPr>
        <w:tc>
          <w:tcPr>
            <w:tcW w:w="4820" w:type="dxa"/>
            <w:tcBorders>
              <w:top w:val="single" w:sz="4" w:space="0" w:color="auto"/>
              <w:right w:val="single" w:sz="4" w:space="0" w:color="auto"/>
            </w:tcBorders>
            <w:noWrap/>
            <w:hideMark/>
          </w:tcPr>
          <w:p w14:paraId="78FF7C2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Fertilizer is consistently available at distribution centers.</w:t>
            </w:r>
          </w:p>
        </w:tc>
        <w:tc>
          <w:tcPr>
            <w:tcW w:w="1134" w:type="dxa"/>
            <w:tcBorders>
              <w:top w:val="single" w:sz="4" w:space="0" w:color="auto"/>
              <w:left w:val="single" w:sz="4" w:space="0" w:color="auto"/>
            </w:tcBorders>
            <w:noWrap/>
            <w:hideMark/>
          </w:tcPr>
          <w:p w14:paraId="7C4BD45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3.709</w:t>
            </w:r>
          </w:p>
        </w:tc>
        <w:tc>
          <w:tcPr>
            <w:tcW w:w="1276" w:type="dxa"/>
            <w:tcBorders>
              <w:top w:val="single" w:sz="4" w:space="0" w:color="auto"/>
            </w:tcBorders>
            <w:noWrap/>
            <w:hideMark/>
          </w:tcPr>
          <w:p w14:paraId="041EE41B"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1.268</w:t>
            </w:r>
          </w:p>
        </w:tc>
        <w:tc>
          <w:tcPr>
            <w:tcW w:w="1796" w:type="dxa"/>
            <w:tcBorders>
              <w:top w:val="single" w:sz="4" w:space="0" w:color="auto"/>
            </w:tcBorders>
            <w:noWrap/>
            <w:hideMark/>
          </w:tcPr>
          <w:p w14:paraId="30219E1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1.126</w:t>
            </w:r>
          </w:p>
        </w:tc>
      </w:tr>
      <w:tr w:rsidR="00BF275E" w:rsidRPr="00BF275E" w14:paraId="135ED09F" w14:textId="77777777" w:rsidTr="00BF275E">
        <w:trPr>
          <w:trHeight w:val="290"/>
        </w:trPr>
        <w:tc>
          <w:tcPr>
            <w:tcW w:w="4820" w:type="dxa"/>
            <w:tcBorders>
              <w:right w:val="single" w:sz="4" w:space="0" w:color="auto"/>
            </w:tcBorders>
            <w:noWrap/>
            <w:hideMark/>
          </w:tcPr>
          <w:p w14:paraId="4200A67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experience fertilizer shortages during planting seasons.</w:t>
            </w:r>
          </w:p>
        </w:tc>
        <w:tc>
          <w:tcPr>
            <w:tcW w:w="1134" w:type="dxa"/>
            <w:tcBorders>
              <w:left w:val="single" w:sz="4" w:space="0" w:color="auto"/>
            </w:tcBorders>
            <w:noWrap/>
            <w:hideMark/>
          </w:tcPr>
          <w:p w14:paraId="2DFE413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3.683</w:t>
            </w:r>
          </w:p>
        </w:tc>
        <w:tc>
          <w:tcPr>
            <w:tcW w:w="1276" w:type="dxa"/>
            <w:noWrap/>
            <w:hideMark/>
          </w:tcPr>
          <w:p w14:paraId="0E19116F"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1.323</w:t>
            </w:r>
          </w:p>
        </w:tc>
        <w:tc>
          <w:tcPr>
            <w:tcW w:w="1796" w:type="dxa"/>
            <w:noWrap/>
            <w:hideMark/>
          </w:tcPr>
          <w:p w14:paraId="72BE8E1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w:t>
            </w:r>
          </w:p>
        </w:tc>
      </w:tr>
      <w:tr w:rsidR="00BF275E" w:rsidRPr="00BF275E" w14:paraId="1B138CF6" w14:textId="77777777" w:rsidTr="00BF275E">
        <w:trPr>
          <w:trHeight w:val="290"/>
        </w:trPr>
        <w:tc>
          <w:tcPr>
            <w:tcW w:w="4820" w:type="dxa"/>
            <w:tcBorders>
              <w:right w:val="single" w:sz="4" w:space="0" w:color="auto"/>
            </w:tcBorders>
            <w:noWrap/>
            <w:hideMark/>
          </w:tcPr>
          <w:p w14:paraId="37760E6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Reliable fertilizer supply encourages farmers to apply fertilizer.</w:t>
            </w:r>
          </w:p>
        </w:tc>
        <w:tc>
          <w:tcPr>
            <w:tcW w:w="1134" w:type="dxa"/>
            <w:tcBorders>
              <w:left w:val="single" w:sz="4" w:space="0" w:color="auto"/>
            </w:tcBorders>
            <w:noWrap/>
            <w:hideMark/>
          </w:tcPr>
          <w:p w14:paraId="47132018"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3.721</w:t>
            </w:r>
          </w:p>
        </w:tc>
        <w:tc>
          <w:tcPr>
            <w:tcW w:w="1276" w:type="dxa"/>
            <w:noWrap/>
            <w:hideMark/>
          </w:tcPr>
          <w:p w14:paraId="43C305A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1.164</w:t>
            </w:r>
          </w:p>
        </w:tc>
        <w:tc>
          <w:tcPr>
            <w:tcW w:w="1796" w:type="dxa"/>
            <w:noWrap/>
            <w:hideMark/>
          </w:tcPr>
          <w:p w14:paraId="2BBD5FDE"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1.079</w:t>
            </w:r>
          </w:p>
        </w:tc>
      </w:tr>
      <w:tr w:rsidR="00BF275E" w:rsidRPr="00BF275E" w14:paraId="5BA8651A" w14:textId="77777777" w:rsidTr="00BF275E">
        <w:trPr>
          <w:trHeight w:val="290"/>
        </w:trPr>
        <w:tc>
          <w:tcPr>
            <w:tcW w:w="4820" w:type="dxa"/>
            <w:tcBorders>
              <w:right w:val="single" w:sz="4" w:space="0" w:color="auto"/>
            </w:tcBorders>
            <w:noWrap/>
            <w:hideMark/>
          </w:tcPr>
          <w:p w14:paraId="58136D8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lastRenderedPageBreak/>
              <w:t>Fertilizer availability influences farmers’ fertilizer use decisions.</w:t>
            </w:r>
          </w:p>
        </w:tc>
        <w:tc>
          <w:tcPr>
            <w:tcW w:w="1134" w:type="dxa"/>
            <w:tcBorders>
              <w:left w:val="single" w:sz="4" w:space="0" w:color="auto"/>
            </w:tcBorders>
            <w:noWrap/>
            <w:hideMark/>
          </w:tcPr>
          <w:p w14:paraId="7C5D4AF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3.706</w:t>
            </w:r>
          </w:p>
        </w:tc>
        <w:tc>
          <w:tcPr>
            <w:tcW w:w="1276" w:type="dxa"/>
            <w:noWrap/>
            <w:hideMark/>
          </w:tcPr>
          <w:p w14:paraId="2212337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1.224</w:t>
            </w:r>
          </w:p>
        </w:tc>
        <w:tc>
          <w:tcPr>
            <w:tcW w:w="1796" w:type="dxa"/>
            <w:noWrap/>
            <w:hideMark/>
          </w:tcPr>
          <w:p w14:paraId="2F4DEDC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1.106</w:t>
            </w:r>
          </w:p>
        </w:tc>
      </w:tr>
      <w:tr w:rsidR="00BF275E" w:rsidRPr="00BF275E" w14:paraId="58666ABB" w14:textId="77777777" w:rsidTr="00BF275E">
        <w:trPr>
          <w:trHeight w:val="290"/>
        </w:trPr>
        <w:tc>
          <w:tcPr>
            <w:tcW w:w="4820" w:type="dxa"/>
            <w:tcBorders>
              <w:bottom w:val="single" w:sz="4" w:space="0" w:color="auto"/>
              <w:right w:val="single" w:sz="4" w:space="0" w:color="auto"/>
            </w:tcBorders>
            <w:noWrap/>
            <w:hideMark/>
          </w:tcPr>
          <w:p w14:paraId="663B86E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Inconsistent fertilizer supply discourages fertilizer application.</w:t>
            </w:r>
          </w:p>
        </w:tc>
        <w:tc>
          <w:tcPr>
            <w:tcW w:w="1134" w:type="dxa"/>
            <w:tcBorders>
              <w:left w:val="single" w:sz="4" w:space="0" w:color="auto"/>
              <w:bottom w:val="single" w:sz="4" w:space="0" w:color="auto"/>
            </w:tcBorders>
            <w:noWrap/>
            <w:hideMark/>
          </w:tcPr>
          <w:p w14:paraId="14B38B2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3.717</w:t>
            </w:r>
          </w:p>
        </w:tc>
        <w:tc>
          <w:tcPr>
            <w:tcW w:w="1276" w:type="dxa"/>
            <w:tcBorders>
              <w:bottom w:val="single" w:sz="4" w:space="0" w:color="auto"/>
            </w:tcBorders>
            <w:noWrap/>
            <w:hideMark/>
          </w:tcPr>
          <w:p w14:paraId="46ED862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1.166</w:t>
            </w:r>
          </w:p>
        </w:tc>
        <w:tc>
          <w:tcPr>
            <w:tcW w:w="1796" w:type="dxa"/>
            <w:tcBorders>
              <w:bottom w:val="single" w:sz="4" w:space="0" w:color="auto"/>
            </w:tcBorders>
            <w:noWrap/>
            <w:hideMark/>
          </w:tcPr>
          <w:p w14:paraId="2141124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1.08</w:t>
            </w:r>
          </w:p>
        </w:tc>
      </w:tr>
    </w:tbl>
    <w:p w14:paraId="072F0B95" w14:textId="77777777" w:rsidR="00BF275E" w:rsidRPr="00BF275E" w:rsidRDefault="00BF275E" w:rsidP="00BF275E">
      <w:pPr>
        <w:spacing w:line="360" w:lineRule="auto"/>
        <w:rPr>
          <w:rFonts w:cs="Times New Roman"/>
          <w:color w:val="000000" w:themeColor="text1"/>
          <w:szCs w:val="24"/>
        </w:rPr>
      </w:pPr>
    </w:p>
    <w:p w14:paraId="5C8210DE" w14:textId="5941B33B"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findings presented in Table 4.3 show respondents’ perceptions regarding distribution model changes and their influence on smallholder farmers’ uptake of fertilizers. The analysis focused on distance to outlet, outlet density, and supply consistency. Under distance to outlet, the statement that fertilizer distribution centers are located near farmers recorded a mean of 3.709, variance of 1.268, and standard deviation of 1.126. The findings suggest that respondents generally agreed that fertilizer distribution centers are reasonably accessible to farmers within the selected counties.</w:t>
      </w:r>
    </w:p>
    <w:p w14:paraId="56A53399" w14:textId="4B21759E"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long travel distance discourages farmers from purchasing fertilizer recorded a mean of 3.683, variance of 1.323, and standard deviation of 1.150. The findings indicate that respondents agreed that long travel distances negatively affect fertilizer purchasing decisions among smallholder farmers.</w:t>
      </w:r>
      <w:r w:rsidRPr="00BF275E">
        <w:rPr>
          <w:rFonts w:cs="Times New Roman"/>
          <w:color w:val="000000" w:themeColor="text1"/>
          <w:szCs w:val="24"/>
        </w:rPr>
        <w:t xml:space="preserve"> </w:t>
      </w:r>
      <w:r w:rsidRPr="00BF275E">
        <w:rPr>
          <w:rFonts w:cs="Times New Roman"/>
          <w:color w:val="000000" w:themeColor="text1"/>
          <w:szCs w:val="24"/>
        </w:rPr>
        <w:t>The statement that transport costs affect farmers’ uptake of fertilizer recorded a mean of 3.721, variance of 1.164, and standard deviation of 1.079. The findings imply that transportation expenses remain an important factor influencing fertilizer accessibility and usage among farmers.</w:t>
      </w:r>
      <w:r w:rsidRPr="00BF275E">
        <w:rPr>
          <w:rFonts w:cs="Times New Roman"/>
          <w:color w:val="000000" w:themeColor="text1"/>
          <w:szCs w:val="24"/>
        </w:rPr>
        <w:t xml:space="preserve"> </w:t>
      </w:r>
      <w:r w:rsidRPr="00BF275E">
        <w:rPr>
          <w:rFonts w:cs="Times New Roman"/>
          <w:color w:val="000000" w:themeColor="text1"/>
          <w:szCs w:val="24"/>
        </w:rPr>
        <w:t>The statement that farmers located far from distribution centers buy less fertilizer recorded a mean of 3.706, variance of 1.224, and standard deviation of 1.106. The findings suggest that respondents agreed that geographical distance from fertilizer outlets reduces fertilizer purchasing and application among smallholder farmers.</w:t>
      </w:r>
    </w:p>
    <w:p w14:paraId="78555F1A" w14:textId="34F8B06D"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distance to fertilizer outlets influences fertilizer uptake recorded a mean of 3.717, variance of 1.166, and standard deviation of 1.080. The findings indicate that respondents generally perceived accessibility to fertilizer outlets as a major determinant of fertilizer uptake.</w:t>
      </w:r>
      <w:r w:rsidRPr="00BF275E">
        <w:rPr>
          <w:rFonts w:cs="Times New Roman"/>
          <w:color w:val="000000" w:themeColor="text1"/>
          <w:szCs w:val="24"/>
        </w:rPr>
        <w:t xml:space="preserve"> </w:t>
      </w:r>
      <w:r w:rsidRPr="00BF275E">
        <w:rPr>
          <w:rFonts w:cs="Times New Roman"/>
          <w:color w:val="000000" w:themeColor="text1"/>
          <w:szCs w:val="24"/>
        </w:rPr>
        <w:t>Under outlet density, the statement that there are enough fertilizer outlets in my area recorded a mean of 3.709, variance of 1.268, and standard deviation of 1.126. The findings suggest that respondents moderately agreed that fertilizer outlets are adequately available within their localities.</w:t>
      </w:r>
      <w:r w:rsidRPr="00BF275E">
        <w:rPr>
          <w:rFonts w:cs="Times New Roman"/>
          <w:color w:val="000000" w:themeColor="text1"/>
          <w:szCs w:val="24"/>
        </w:rPr>
        <w:t xml:space="preserve"> </w:t>
      </w:r>
      <w:r w:rsidRPr="00BF275E">
        <w:rPr>
          <w:rFonts w:cs="Times New Roman"/>
          <w:color w:val="000000" w:themeColor="text1"/>
          <w:szCs w:val="24"/>
        </w:rPr>
        <w:t xml:space="preserve">The statement that having many fertilizer suppliers improves </w:t>
      </w:r>
      <w:r w:rsidRPr="00BF275E">
        <w:rPr>
          <w:rFonts w:cs="Times New Roman"/>
          <w:color w:val="000000" w:themeColor="text1"/>
          <w:szCs w:val="24"/>
        </w:rPr>
        <w:lastRenderedPageBreak/>
        <w:t>uptake of fertilizer recorded a mean of 3.683, variance of 1.323, and standard deviation of 1.150. The findings imply that increased supplier availability enhances farmers’ access to fertilizer and encourages fertilizer use.</w:t>
      </w:r>
    </w:p>
    <w:p w14:paraId="6EB96677" w14:textId="6D26B854"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farmers easily obtain fertilizer due to availability of many outlets recorded a mean of 3.721, variance of 1.164, and standard deviation of 1.079. The findings indicate that respondents agreed that greater outlet availability improves fertilizer accessibility among smallholder farmers.</w:t>
      </w:r>
      <w:r w:rsidRPr="00BF275E">
        <w:rPr>
          <w:rFonts w:cs="Times New Roman"/>
          <w:color w:val="000000" w:themeColor="text1"/>
          <w:szCs w:val="24"/>
        </w:rPr>
        <w:t xml:space="preserve"> </w:t>
      </w:r>
      <w:r w:rsidRPr="00BF275E">
        <w:rPr>
          <w:rFonts w:cs="Times New Roman"/>
          <w:color w:val="000000" w:themeColor="text1"/>
          <w:szCs w:val="24"/>
        </w:rPr>
        <w:t>The statement that limited fertilizer outlets reduce fertilizer availability recorded a mean of 3.706, variance of 1.224, and standard deviation of 1.106. This suggests that inadequate distribution outlets negatively affect fertilizer accessibility and availability.</w:t>
      </w:r>
      <w:r w:rsidRPr="00BF275E">
        <w:rPr>
          <w:rFonts w:cs="Times New Roman"/>
          <w:color w:val="000000" w:themeColor="text1"/>
          <w:szCs w:val="24"/>
        </w:rPr>
        <w:t xml:space="preserve"> </w:t>
      </w:r>
      <w:r w:rsidRPr="00BF275E">
        <w:rPr>
          <w:rFonts w:cs="Times New Roman"/>
          <w:color w:val="000000" w:themeColor="text1"/>
          <w:szCs w:val="24"/>
        </w:rPr>
        <w:t>The statement that increased fertilizer outlets would improve fertilizer uptake recorded a mean of 3.717, variance of 1.166, and standard deviation of 1.080. The findings imply that respondents perceived expansion of fertilizer outlets as important in improving fertilizer adoption among farmers.</w:t>
      </w:r>
    </w:p>
    <w:p w14:paraId="53D2C6B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Under supply consistency, the statement that fertilizer is consistently available at distribution centers recorded a mean of 3.709, variance of 1.268, and standard deviation of 1.126. The findings suggest that respondents moderately agreed that fertilizer supply is generally available within distribution centers.</w:t>
      </w:r>
      <w:r w:rsidRPr="00BF275E">
        <w:rPr>
          <w:rFonts w:cs="Times New Roman"/>
          <w:color w:val="000000" w:themeColor="text1"/>
          <w:szCs w:val="24"/>
        </w:rPr>
        <w:t xml:space="preserve"> </w:t>
      </w:r>
      <w:r w:rsidRPr="00BF275E">
        <w:rPr>
          <w:rFonts w:cs="Times New Roman"/>
          <w:color w:val="000000" w:themeColor="text1"/>
          <w:szCs w:val="24"/>
        </w:rPr>
        <w:t>The statement that farmers experience fertilizer shortages during planting seasons recorded a mean of 3.683, variance of 1.323, and standard deviation of 1.150. The findings indicate that fertilizer shortages during peak planting periods remain a challenge affecting fertilizer accessibility.</w:t>
      </w:r>
      <w:r w:rsidRPr="00BF275E">
        <w:rPr>
          <w:rFonts w:cs="Times New Roman"/>
          <w:color w:val="000000" w:themeColor="text1"/>
          <w:szCs w:val="24"/>
        </w:rPr>
        <w:t xml:space="preserve"> </w:t>
      </w:r>
      <w:r w:rsidRPr="00BF275E">
        <w:rPr>
          <w:rFonts w:cs="Times New Roman"/>
          <w:color w:val="000000" w:themeColor="text1"/>
          <w:szCs w:val="24"/>
        </w:rPr>
        <w:t>The statement that reliable fertilizer supply encourages farmers to apply fertilizer recorded a mean of 3.721, variance of 1.164, and standard deviation of 1.079. The findings suggest that dependable fertilizer availability positively influences fertilizer application among smallholder farmers.</w:t>
      </w:r>
    </w:p>
    <w:p w14:paraId="66B2F8DF" w14:textId="07F51FC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 xml:space="preserve">The statement that fertilizer availability influences farmers’ fertilizer </w:t>
      </w:r>
      <w:proofErr w:type="gramStart"/>
      <w:r w:rsidRPr="00BF275E">
        <w:rPr>
          <w:rFonts w:cs="Times New Roman"/>
          <w:color w:val="000000" w:themeColor="text1"/>
          <w:szCs w:val="24"/>
        </w:rPr>
        <w:t>use</w:t>
      </w:r>
      <w:proofErr w:type="gramEnd"/>
      <w:r w:rsidRPr="00BF275E">
        <w:rPr>
          <w:rFonts w:cs="Times New Roman"/>
          <w:color w:val="000000" w:themeColor="text1"/>
          <w:szCs w:val="24"/>
        </w:rPr>
        <w:t xml:space="preserve"> decisions recorded a mean of 3.706, variance of 1.224, and standard deviation of 1.106. This indicates that respondents perceived fertilizer availability as a major determinant of fertilizer usage decisions.</w:t>
      </w:r>
      <w:r w:rsidRPr="00BF275E">
        <w:rPr>
          <w:rFonts w:cs="Times New Roman"/>
          <w:color w:val="000000" w:themeColor="text1"/>
          <w:szCs w:val="24"/>
        </w:rPr>
        <w:t xml:space="preserve"> </w:t>
      </w:r>
      <w:r w:rsidRPr="00BF275E">
        <w:rPr>
          <w:rFonts w:cs="Times New Roman"/>
          <w:color w:val="000000" w:themeColor="text1"/>
          <w:szCs w:val="24"/>
        </w:rPr>
        <w:t>The statement that inconsistent fertilizer supply discourages fertilizer application recorded a mean of 3.717, variance of 1.166, and standard deviation of 1.080. The findings imply that irregular fertilizer supply negatively affects fertilizer uptake and application among farmers.</w:t>
      </w:r>
      <w:r w:rsidRPr="00BF275E">
        <w:rPr>
          <w:rFonts w:cs="Times New Roman"/>
          <w:color w:val="000000" w:themeColor="text1"/>
          <w:szCs w:val="24"/>
        </w:rPr>
        <w:t xml:space="preserve"> The</w:t>
      </w:r>
      <w:r w:rsidRPr="00BF275E">
        <w:rPr>
          <w:rFonts w:cs="Times New Roman"/>
          <w:color w:val="000000" w:themeColor="text1"/>
          <w:szCs w:val="24"/>
        </w:rPr>
        <w:t xml:space="preserve"> findings indicate that respondents generally agreed that distribution model changes significantly influence smallholder farmers’ uptake of fertilizers. The mean scores above 3.6 </w:t>
      </w:r>
      <w:r w:rsidRPr="00BF275E">
        <w:rPr>
          <w:rFonts w:cs="Times New Roman"/>
          <w:color w:val="000000" w:themeColor="text1"/>
          <w:szCs w:val="24"/>
        </w:rPr>
        <w:lastRenderedPageBreak/>
        <w:t>across most statements suggest positive perceptions regarding fertilizer accessibility, outlet availability, and supply consistency within the fertilizer subsidy program.</w:t>
      </w:r>
    </w:p>
    <w:p w14:paraId="1BF89812" w14:textId="36DDD927" w:rsidR="00BF275E" w:rsidRDefault="00BF275E" w:rsidP="00BF275E">
      <w:pPr>
        <w:pStyle w:val="Heading3"/>
      </w:pPr>
      <w:r>
        <w:t xml:space="preserve">4.5.3 Descriptive analysis on </w:t>
      </w:r>
      <w:r>
        <w:t>Revised Targeting Criteria</w:t>
      </w:r>
    </w:p>
    <w:p w14:paraId="785DEF4A" w14:textId="4106CD8F" w:rsidR="00BF275E" w:rsidRDefault="00BF275E" w:rsidP="00BF275E">
      <w:pPr>
        <w:rPr>
          <w:rFonts w:cs="Times New Roman"/>
          <w:b/>
          <w:bCs/>
          <w:color w:val="000000" w:themeColor="text1"/>
          <w:szCs w:val="24"/>
        </w:rPr>
      </w:pPr>
      <w:r>
        <w:rPr>
          <w:rFonts w:cs="Times New Roman"/>
          <w:b/>
          <w:bCs/>
          <w:color w:val="000000" w:themeColor="text1"/>
          <w:szCs w:val="24"/>
        </w:rPr>
        <w:t>Table 4.</w:t>
      </w:r>
      <w:r>
        <w:rPr>
          <w:rFonts w:cs="Times New Roman"/>
          <w:b/>
          <w:bCs/>
          <w:color w:val="000000" w:themeColor="text1"/>
          <w:szCs w:val="24"/>
        </w:rPr>
        <w:t>4</w:t>
      </w:r>
      <w:r>
        <w:rPr>
          <w:rFonts w:cs="Times New Roman"/>
          <w:b/>
          <w:bCs/>
          <w:color w:val="000000" w:themeColor="text1"/>
          <w:szCs w:val="24"/>
        </w:rPr>
        <w:t xml:space="preserve"> Descriptive analysis on Revised Targeting 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1059"/>
        <w:gridCol w:w="1286"/>
        <w:gridCol w:w="1791"/>
      </w:tblGrid>
      <w:tr w:rsidR="00BF275E" w:rsidRPr="00BF275E" w14:paraId="0B68BDEB" w14:textId="77777777" w:rsidTr="00BF275E">
        <w:trPr>
          <w:trHeight w:val="290"/>
        </w:trPr>
        <w:tc>
          <w:tcPr>
            <w:tcW w:w="4880" w:type="dxa"/>
            <w:tcBorders>
              <w:top w:val="single" w:sz="4" w:space="0" w:color="auto"/>
              <w:bottom w:val="single" w:sz="4" w:space="0" w:color="auto"/>
            </w:tcBorders>
            <w:noWrap/>
            <w:hideMark/>
          </w:tcPr>
          <w:p w14:paraId="3ACBFF45" w14:textId="2E63308F" w:rsidR="00BF275E" w:rsidRPr="00BF275E" w:rsidRDefault="00BF275E" w:rsidP="00BF275E">
            <w:pPr>
              <w:spacing w:line="360" w:lineRule="auto"/>
              <w:rPr>
                <w:rFonts w:cs="Times New Roman"/>
                <w:b/>
                <w:bCs/>
                <w:color w:val="000000" w:themeColor="text1"/>
                <w:szCs w:val="24"/>
                <w:lang w:val="en-KE"/>
              </w:rPr>
            </w:pPr>
            <w:r w:rsidRPr="00BF275E">
              <w:rPr>
                <w:rFonts w:cs="Times New Roman"/>
                <w:b/>
                <w:bCs/>
                <w:color w:val="000000" w:themeColor="text1"/>
                <w:szCs w:val="24"/>
              </w:rPr>
              <w:t>Registration Status</w:t>
            </w:r>
          </w:p>
        </w:tc>
        <w:tc>
          <w:tcPr>
            <w:tcW w:w="1059" w:type="dxa"/>
            <w:tcBorders>
              <w:top w:val="single" w:sz="4" w:space="0" w:color="auto"/>
              <w:bottom w:val="single" w:sz="4" w:space="0" w:color="auto"/>
            </w:tcBorders>
            <w:noWrap/>
            <w:hideMark/>
          </w:tcPr>
          <w:p w14:paraId="3F0CD375"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86" w:type="dxa"/>
            <w:tcBorders>
              <w:top w:val="single" w:sz="4" w:space="0" w:color="auto"/>
              <w:bottom w:val="single" w:sz="4" w:space="0" w:color="auto"/>
            </w:tcBorders>
            <w:noWrap/>
            <w:hideMark/>
          </w:tcPr>
          <w:p w14:paraId="6A18FDBA"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1" w:type="dxa"/>
            <w:tcBorders>
              <w:top w:val="single" w:sz="4" w:space="0" w:color="auto"/>
              <w:bottom w:val="single" w:sz="4" w:space="0" w:color="auto"/>
            </w:tcBorders>
            <w:noWrap/>
            <w:hideMark/>
          </w:tcPr>
          <w:p w14:paraId="5BCABAAF"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1962668C" w14:textId="77777777" w:rsidTr="00BF275E">
        <w:trPr>
          <w:trHeight w:val="290"/>
        </w:trPr>
        <w:tc>
          <w:tcPr>
            <w:tcW w:w="4880" w:type="dxa"/>
            <w:tcBorders>
              <w:top w:val="single" w:sz="4" w:space="0" w:color="auto"/>
            </w:tcBorders>
            <w:noWrap/>
            <w:hideMark/>
          </w:tcPr>
          <w:p w14:paraId="4C4A9AE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 registration improves uptake of fertilizer subsidies.</w:t>
            </w:r>
          </w:p>
        </w:tc>
        <w:tc>
          <w:tcPr>
            <w:tcW w:w="1059" w:type="dxa"/>
            <w:tcBorders>
              <w:top w:val="single" w:sz="4" w:space="0" w:color="auto"/>
            </w:tcBorders>
            <w:noWrap/>
            <w:hideMark/>
          </w:tcPr>
          <w:p w14:paraId="6524F158"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3.517</w:t>
            </w:r>
          </w:p>
        </w:tc>
        <w:tc>
          <w:tcPr>
            <w:tcW w:w="1286" w:type="dxa"/>
            <w:tcBorders>
              <w:top w:val="single" w:sz="4" w:space="0" w:color="auto"/>
            </w:tcBorders>
            <w:noWrap/>
            <w:hideMark/>
          </w:tcPr>
          <w:p w14:paraId="554BB8F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1.281</w:t>
            </w:r>
          </w:p>
        </w:tc>
        <w:tc>
          <w:tcPr>
            <w:tcW w:w="1791" w:type="dxa"/>
            <w:tcBorders>
              <w:top w:val="single" w:sz="4" w:space="0" w:color="auto"/>
            </w:tcBorders>
            <w:noWrap/>
            <w:hideMark/>
          </w:tcPr>
          <w:p w14:paraId="550419E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1.132</w:t>
            </w:r>
          </w:p>
        </w:tc>
      </w:tr>
      <w:tr w:rsidR="00BF275E" w:rsidRPr="00BF275E" w14:paraId="5D5FDC36" w14:textId="77777777" w:rsidTr="00BF275E">
        <w:trPr>
          <w:trHeight w:val="290"/>
        </w:trPr>
        <w:tc>
          <w:tcPr>
            <w:tcW w:w="4880" w:type="dxa"/>
            <w:noWrap/>
            <w:hideMark/>
          </w:tcPr>
          <w:p w14:paraId="6F04C21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Registered farmers receive fertilizer subsidies more easily.</w:t>
            </w:r>
          </w:p>
        </w:tc>
        <w:tc>
          <w:tcPr>
            <w:tcW w:w="1059" w:type="dxa"/>
            <w:noWrap/>
            <w:hideMark/>
          </w:tcPr>
          <w:p w14:paraId="249756F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3.63</w:t>
            </w:r>
          </w:p>
        </w:tc>
        <w:tc>
          <w:tcPr>
            <w:tcW w:w="1286" w:type="dxa"/>
            <w:noWrap/>
            <w:hideMark/>
          </w:tcPr>
          <w:p w14:paraId="5CEFC40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1.325</w:t>
            </w:r>
          </w:p>
        </w:tc>
        <w:tc>
          <w:tcPr>
            <w:tcW w:w="1791" w:type="dxa"/>
            <w:noWrap/>
            <w:hideMark/>
          </w:tcPr>
          <w:p w14:paraId="754118C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1.151</w:t>
            </w:r>
          </w:p>
        </w:tc>
      </w:tr>
      <w:tr w:rsidR="00BF275E" w:rsidRPr="00BF275E" w14:paraId="4C405F91" w14:textId="77777777" w:rsidTr="00BF275E">
        <w:trPr>
          <w:trHeight w:val="290"/>
        </w:trPr>
        <w:tc>
          <w:tcPr>
            <w:tcW w:w="4880" w:type="dxa"/>
            <w:noWrap/>
            <w:hideMark/>
          </w:tcPr>
          <w:p w14:paraId="418FE8B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digital registration system improves subsidy transparency.</w:t>
            </w:r>
          </w:p>
        </w:tc>
        <w:tc>
          <w:tcPr>
            <w:tcW w:w="1059" w:type="dxa"/>
            <w:noWrap/>
            <w:hideMark/>
          </w:tcPr>
          <w:p w14:paraId="48DECFC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3.506</w:t>
            </w:r>
          </w:p>
        </w:tc>
        <w:tc>
          <w:tcPr>
            <w:tcW w:w="1286" w:type="dxa"/>
            <w:noWrap/>
            <w:hideMark/>
          </w:tcPr>
          <w:p w14:paraId="26D5DA5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1.304</w:t>
            </w:r>
          </w:p>
        </w:tc>
        <w:tc>
          <w:tcPr>
            <w:tcW w:w="1791" w:type="dxa"/>
            <w:noWrap/>
            <w:hideMark/>
          </w:tcPr>
          <w:p w14:paraId="7525F54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1.142</w:t>
            </w:r>
          </w:p>
        </w:tc>
      </w:tr>
      <w:tr w:rsidR="00BF275E" w:rsidRPr="00BF275E" w14:paraId="4F0C957C" w14:textId="77777777" w:rsidTr="00BF275E">
        <w:trPr>
          <w:trHeight w:val="290"/>
        </w:trPr>
        <w:tc>
          <w:tcPr>
            <w:tcW w:w="4880" w:type="dxa"/>
            <w:noWrap/>
            <w:hideMark/>
          </w:tcPr>
          <w:p w14:paraId="5C9F1A5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registration process is simple and accessible to farmers.</w:t>
            </w:r>
          </w:p>
        </w:tc>
        <w:tc>
          <w:tcPr>
            <w:tcW w:w="1059" w:type="dxa"/>
            <w:noWrap/>
            <w:hideMark/>
          </w:tcPr>
          <w:p w14:paraId="5EC32FB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3.774</w:t>
            </w:r>
          </w:p>
        </w:tc>
        <w:tc>
          <w:tcPr>
            <w:tcW w:w="1286" w:type="dxa"/>
            <w:noWrap/>
            <w:hideMark/>
          </w:tcPr>
          <w:p w14:paraId="010A2F5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1.123</w:t>
            </w:r>
          </w:p>
        </w:tc>
        <w:tc>
          <w:tcPr>
            <w:tcW w:w="1791" w:type="dxa"/>
            <w:noWrap/>
            <w:hideMark/>
          </w:tcPr>
          <w:p w14:paraId="7EC7B8E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1.06</w:t>
            </w:r>
          </w:p>
        </w:tc>
      </w:tr>
      <w:tr w:rsidR="00BF275E" w:rsidRPr="00BF275E" w14:paraId="3D71F064" w14:textId="77777777" w:rsidTr="00BF275E">
        <w:trPr>
          <w:trHeight w:val="290"/>
        </w:trPr>
        <w:tc>
          <w:tcPr>
            <w:tcW w:w="4880" w:type="dxa"/>
            <w:tcBorders>
              <w:bottom w:val="single" w:sz="4" w:space="0" w:color="auto"/>
            </w:tcBorders>
            <w:noWrap/>
            <w:hideMark/>
          </w:tcPr>
          <w:p w14:paraId="30CFA445"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Unregistered farmers find it difficult to access fertilizer subsidies.</w:t>
            </w:r>
          </w:p>
        </w:tc>
        <w:tc>
          <w:tcPr>
            <w:tcW w:w="1059" w:type="dxa"/>
            <w:tcBorders>
              <w:bottom w:val="single" w:sz="4" w:space="0" w:color="auto"/>
            </w:tcBorders>
            <w:noWrap/>
            <w:hideMark/>
          </w:tcPr>
          <w:p w14:paraId="28DDA5F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3.596</w:t>
            </w:r>
          </w:p>
        </w:tc>
        <w:tc>
          <w:tcPr>
            <w:tcW w:w="1286" w:type="dxa"/>
            <w:tcBorders>
              <w:bottom w:val="single" w:sz="4" w:space="0" w:color="auto"/>
            </w:tcBorders>
            <w:noWrap/>
            <w:hideMark/>
          </w:tcPr>
          <w:p w14:paraId="5A349F5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1.105</w:t>
            </w:r>
          </w:p>
        </w:tc>
        <w:tc>
          <w:tcPr>
            <w:tcW w:w="1791" w:type="dxa"/>
            <w:tcBorders>
              <w:bottom w:val="single" w:sz="4" w:space="0" w:color="auto"/>
            </w:tcBorders>
            <w:noWrap/>
            <w:hideMark/>
          </w:tcPr>
          <w:p w14:paraId="2FD29A3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1.051</w:t>
            </w:r>
          </w:p>
        </w:tc>
      </w:tr>
      <w:tr w:rsidR="00BF275E" w:rsidRPr="00BF275E" w14:paraId="7E709FE6" w14:textId="77777777" w:rsidTr="00BF275E">
        <w:trPr>
          <w:trHeight w:val="831"/>
        </w:trPr>
        <w:tc>
          <w:tcPr>
            <w:tcW w:w="4880" w:type="dxa"/>
            <w:tcBorders>
              <w:top w:val="single" w:sz="4" w:space="0" w:color="auto"/>
              <w:bottom w:val="single" w:sz="4" w:space="0" w:color="auto"/>
            </w:tcBorders>
            <w:noWrap/>
            <w:hideMark/>
          </w:tcPr>
          <w:p w14:paraId="571FF4B5" w14:textId="54E3FFA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Voucher Receipt Timing</w:t>
            </w:r>
          </w:p>
        </w:tc>
        <w:tc>
          <w:tcPr>
            <w:tcW w:w="1059" w:type="dxa"/>
            <w:tcBorders>
              <w:top w:val="single" w:sz="4" w:space="0" w:color="auto"/>
              <w:bottom w:val="single" w:sz="4" w:space="0" w:color="auto"/>
            </w:tcBorders>
            <w:noWrap/>
            <w:hideMark/>
          </w:tcPr>
          <w:p w14:paraId="7FFBAF6C"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86" w:type="dxa"/>
            <w:tcBorders>
              <w:top w:val="single" w:sz="4" w:space="0" w:color="auto"/>
              <w:bottom w:val="single" w:sz="4" w:space="0" w:color="auto"/>
            </w:tcBorders>
            <w:noWrap/>
            <w:hideMark/>
          </w:tcPr>
          <w:p w14:paraId="7585C31C"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1" w:type="dxa"/>
            <w:tcBorders>
              <w:top w:val="single" w:sz="4" w:space="0" w:color="auto"/>
              <w:bottom w:val="single" w:sz="4" w:space="0" w:color="auto"/>
            </w:tcBorders>
            <w:noWrap/>
            <w:hideMark/>
          </w:tcPr>
          <w:p w14:paraId="279AF332"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5F75A836" w14:textId="77777777" w:rsidTr="00BF275E">
        <w:trPr>
          <w:trHeight w:val="290"/>
        </w:trPr>
        <w:tc>
          <w:tcPr>
            <w:tcW w:w="4880" w:type="dxa"/>
            <w:noWrap/>
            <w:hideMark/>
          </w:tcPr>
          <w:p w14:paraId="41B3397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receive subsidy vouchers before the planting season.</w:t>
            </w:r>
          </w:p>
        </w:tc>
        <w:tc>
          <w:tcPr>
            <w:tcW w:w="1059" w:type="dxa"/>
            <w:noWrap/>
            <w:hideMark/>
          </w:tcPr>
          <w:p w14:paraId="13B1188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3.517</w:t>
            </w:r>
          </w:p>
        </w:tc>
        <w:tc>
          <w:tcPr>
            <w:tcW w:w="1286" w:type="dxa"/>
            <w:noWrap/>
            <w:hideMark/>
          </w:tcPr>
          <w:p w14:paraId="0C05A0C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1.281</w:t>
            </w:r>
          </w:p>
        </w:tc>
        <w:tc>
          <w:tcPr>
            <w:tcW w:w="1791" w:type="dxa"/>
            <w:noWrap/>
            <w:hideMark/>
          </w:tcPr>
          <w:p w14:paraId="4EF671B9"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1.132</w:t>
            </w:r>
          </w:p>
        </w:tc>
      </w:tr>
      <w:tr w:rsidR="00BF275E" w:rsidRPr="00BF275E" w14:paraId="467C6CEA" w14:textId="77777777" w:rsidTr="00BF275E">
        <w:trPr>
          <w:trHeight w:val="290"/>
        </w:trPr>
        <w:tc>
          <w:tcPr>
            <w:tcW w:w="4880" w:type="dxa"/>
            <w:noWrap/>
            <w:hideMark/>
          </w:tcPr>
          <w:p w14:paraId="3FC30FEF"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Late voucher distribution reduces fertilizer usage.</w:t>
            </w:r>
          </w:p>
        </w:tc>
        <w:tc>
          <w:tcPr>
            <w:tcW w:w="1059" w:type="dxa"/>
            <w:noWrap/>
            <w:hideMark/>
          </w:tcPr>
          <w:p w14:paraId="3947286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3.63</w:t>
            </w:r>
          </w:p>
        </w:tc>
        <w:tc>
          <w:tcPr>
            <w:tcW w:w="1286" w:type="dxa"/>
            <w:noWrap/>
            <w:hideMark/>
          </w:tcPr>
          <w:p w14:paraId="79E4E1EF"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1.325</w:t>
            </w:r>
          </w:p>
        </w:tc>
        <w:tc>
          <w:tcPr>
            <w:tcW w:w="1791" w:type="dxa"/>
            <w:noWrap/>
            <w:hideMark/>
          </w:tcPr>
          <w:p w14:paraId="5CBC7FB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1.151</w:t>
            </w:r>
          </w:p>
        </w:tc>
      </w:tr>
      <w:tr w:rsidR="00BF275E" w:rsidRPr="00BF275E" w14:paraId="76CA396D" w14:textId="77777777" w:rsidTr="00BF275E">
        <w:trPr>
          <w:trHeight w:val="290"/>
        </w:trPr>
        <w:tc>
          <w:tcPr>
            <w:tcW w:w="4880" w:type="dxa"/>
            <w:noWrap/>
            <w:hideMark/>
          </w:tcPr>
          <w:p w14:paraId="2E6B3A4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Early voucher distribution improves fertilizer redemption.</w:t>
            </w:r>
          </w:p>
        </w:tc>
        <w:tc>
          <w:tcPr>
            <w:tcW w:w="1059" w:type="dxa"/>
            <w:noWrap/>
            <w:hideMark/>
          </w:tcPr>
          <w:p w14:paraId="62A6A30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3.506</w:t>
            </w:r>
          </w:p>
        </w:tc>
        <w:tc>
          <w:tcPr>
            <w:tcW w:w="1286" w:type="dxa"/>
            <w:noWrap/>
            <w:hideMark/>
          </w:tcPr>
          <w:p w14:paraId="2DC863F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1.304</w:t>
            </w:r>
          </w:p>
        </w:tc>
        <w:tc>
          <w:tcPr>
            <w:tcW w:w="1791" w:type="dxa"/>
            <w:noWrap/>
            <w:hideMark/>
          </w:tcPr>
          <w:p w14:paraId="7BAEAA5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1.142</w:t>
            </w:r>
          </w:p>
        </w:tc>
      </w:tr>
      <w:tr w:rsidR="00BF275E" w:rsidRPr="00BF275E" w14:paraId="6E8202B4" w14:textId="77777777" w:rsidTr="00BF275E">
        <w:trPr>
          <w:trHeight w:val="290"/>
        </w:trPr>
        <w:tc>
          <w:tcPr>
            <w:tcW w:w="4880" w:type="dxa"/>
            <w:noWrap/>
            <w:hideMark/>
          </w:tcPr>
          <w:p w14:paraId="4709F8D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lastRenderedPageBreak/>
              <w:t>Voucher timing influences farmers’ fertilizer purchase decisions.</w:t>
            </w:r>
          </w:p>
        </w:tc>
        <w:tc>
          <w:tcPr>
            <w:tcW w:w="1059" w:type="dxa"/>
            <w:noWrap/>
            <w:hideMark/>
          </w:tcPr>
          <w:p w14:paraId="649B4B4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3.774</w:t>
            </w:r>
          </w:p>
        </w:tc>
        <w:tc>
          <w:tcPr>
            <w:tcW w:w="1286" w:type="dxa"/>
            <w:noWrap/>
            <w:hideMark/>
          </w:tcPr>
          <w:p w14:paraId="34A2FAF2"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1.123</w:t>
            </w:r>
          </w:p>
        </w:tc>
        <w:tc>
          <w:tcPr>
            <w:tcW w:w="1791" w:type="dxa"/>
            <w:noWrap/>
            <w:hideMark/>
          </w:tcPr>
          <w:p w14:paraId="6B81D2D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1.06</w:t>
            </w:r>
          </w:p>
        </w:tc>
      </w:tr>
      <w:tr w:rsidR="00BF275E" w:rsidRPr="00BF275E" w14:paraId="0797D6AE" w14:textId="77777777" w:rsidTr="00BF275E">
        <w:trPr>
          <w:trHeight w:val="290"/>
        </w:trPr>
        <w:tc>
          <w:tcPr>
            <w:tcW w:w="4880" w:type="dxa"/>
            <w:tcBorders>
              <w:bottom w:val="single" w:sz="4" w:space="0" w:color="auto"/>
            </w:tcBorders>
            <w:noWrap/>
            <w:hideMark/>
          </w:tcPr>
          <w:p w14:paraId="0CAE9E9E"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Receiving vouchers early increases fertilizer application.</w:t>
            </w:r>
          </w:p>
        </w:tc>
        <w:tc>
          <w:tcPr>
            <w:tcW w:w="1059" w:type="dxa"/>
            <w:tcBorders>
              <w:bottom w:val="single" w:sz="4" w:space="0" w:color="auto"/>
            </w:tcBorders>
            <w:noWrap/>
            <w:hideMark/>
          </w:tcPr>
          <w:p w14:paraId="2207C42E"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3.596</w:t>
            </w:r>
          </w:p>
        </w:tc>
        <w:tc>
          <w:tcPr>
            <w:tcW w:w="1286" w:type="dxa"/>
            <w:tcBorders>
              <w:bottom w:val="single" w:sz="4" w:space="0" w:color="auto"/>
            </w:tcBorders>
            <w:noWrap/>
            <w:hideMark/>
          </w:tcPr>
          <w:p w14:paraId="1EFDD5B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1.105</w:t>
            </w:r>
          </w:p>
        </w:tc>
        <w:tc>
          <w:tcPr>
            <w:tcW w:w="1791" w:type="dxa"/>
            <w:tcBorders>
              <w:bottom w:val="single" w:sz="4" w:space="0" w:color="auto"/>
            </w:tcBorders>
            <w:noWrap/>
            <w:hideMark/>
          </w:tcPr>
          <w:p w14:paraId="0AFC2EB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1.051</w:t>
            </w:r>
          </w:p>
        </w:tc>
      </w:tr>
      <w:tr w:rsidR="00BF275E" w:rsidRPr="00BF275E" w14:paraId="3B8E6673" w14:textId="77777777" w:rsidTr="00BF275E">
        <w:trPr>
          <w:trHeight w:val="290"/>
        </w:trPr>
        <w:tc>
          <w:tcPr>
            <w:tcW w:w="4880" w:type="dxa"/>
            <w:tcBorders>
              <w:top w:val="single" w:sz="4" w:space="0" w:color="auto"/>
              <w:bottom w:val="single" w:sz="4" w:space="0" w:color="auto"/>
            </w:tcBorders>
            <w:noWrap/>
            <w:hideMark/>
          </w:tcPr>
          <w:p w14:paraId="67138249" w14:textId="40B7A445"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Redemption Frequency</w:t>
            </w:r>
          </w:p>
        </w:tc>
        <w:tc>
          <w:tcPr>
            <w:tcW w:w="1059" w:type="dxa"/>
            <w:tcBorders>
              <w:top w:val="single" w:sz="4" w:space="0" w:color="auto"/>
              <w:bottom w:val="single" w:sz="4" w:space="0" w:color="auto"/>
            </w:tcBorders>
            <w:noWrap/>
            <w:hideMark/>
          </w:tcPr>
          <w:p w14:paraId="727A29BF"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Mean</w:t>
            </w:r>
          </w:p>
        </w:tc>
        <w:tc>
          <w:tcPr>
            <w:tcW w:w="1286" w:type="dxa"/>
            <w:tcBorders>
              <w:top w:val="single" w:sz="4" w:space="0" w:color="auto"/>
              <w:bottom w:val="single" w:sz="4" w:space="0" w:color="auto"/>
            </w:tcBorders>
            <w:noWrap/>
            <w:hideMark/>
          </w:tcPr>
          <w:p w14:paraId="53A06E8F"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Variance</w:t>
            </w:r>
          </w:p>
        </w:tc>
        <w:tc>
          <w:tcPr>
            <w:tcW w:w="1791" w:type="dxa"/>
            <w:tcBorders>
              <w:top w:val="single" w:sz="4" w:space="0" w:color="auto"/>
              <w:bottom w:val="single" w:sz="4" w:space="0" w:color="auto"/>
            </w:tcBorders>
            <w:noWrap/>
            <w:hideMark/>
          </w:tcPr>
          <w:p w14:paraId="4CBE4CA0" w14:textId="77777777" w:rsidR="00BF275E" w:rsidRPr="00BF275E" w:rsidRDefault="00BF275E" w:rsidP="00BF275E">
            <w:pPr>
              <w:spacing w:line="360" w:lineRule="auto"/>
              <w:rPr>
                <w:rFonts w:cs="Times New Roman"/>
                <w:b/>
                <w:bCs/>
                <w:color w:val="000000" w:themeColor="text1"/>
                <w:szCs w:val="24"/>
              </w:rPr>
            </w:pPr>
            <w:r w:rsidRPr="00BF275E">
              <w:rPr>
                <w:rFonts w:cs="Times New Roman"/>
                <w:b/>
                <w:bCs/>
                <w:color w:val="000000" w:themeColor="text1"/>
                <w:szCs w:val="24"/>
              </w:rPr>
              <w:t>Std Deviation</w:t>
            </w:r>
          </w:p>
        </w:tc>
      </w:tr>
      <w:tr w:rsidR="00BF275E" w:rsidRPr="00BF275E" w14:paraId="0099CF8F" w14:textId="77777777" w:rsidTr="00BF275E">
        <w:trPr>
          <w:trHeight w:val="290"/>
        </w:trPr>
        <w:tc>
          <w:tcPr>
            <w:tcW w:w="4880" w:type="dxa"/>
            <w:tcBorders>
              <w:top w:val="single" w:sz="4" w:space="0" w:color="auto"/>
            </w:tcBorders>
            <w:noWrap/>
            <w:hideMark/>
          </w:tcPr>
          <w:p w14:paraId="60FD18D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redeem fertilizer vouchers regularly during planting seasons.</w:t>
            </w:r>
          </w:p>
        </w:tc>
        <w:tc>
          <w:tcPr>
            <w:tcW w:w="1059" w:type="dxa"/>
            <w:tcBorders>
              <w:top w:val="single" w:sz="4" w:space="0" w:color="auto"/>
            </w:tcBorders>
            <w:noWrap/>
            <w:hideMark/>
          </w:tcPr>
          <w:p w14:paraId="68AE48B1"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3.517</w:t>
            </w:r>
          </w:p>
        </w:tc>
        <w:tc>
          <w:tcPr>
            <w:tcW w:w="1286" w:type="dxa"/>
            <w:tcBorders>
              <w:top w:val="single" w:sz="4" w:space="0" w:color="auto"/>
            </w:tcBorders>
            <w:noWrap/>
            <w:hideMark/>
          </w:tcPr>
          <w:p w14:paraId="012799AD"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1.281</w:t>
            </w:r>
          </w:p>
        </w:tc>
        <w:tc>
          <w:tcPr>
            <w:tcW w:w="1791" w:type="dxa"/>
            <w:tcBorders>
              <w:top w:val="single" w:sz="4" w:space="0" w:color="auto"/>
            </w:tcBorders>
            <w:noWrap/>
            <w:hideMark/>
          </w:tcPr>
          <w:p w14:paraId="673F407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1.132</w:t>
            </w:r>
          </w:p>
        </w:tc>
      </w:tr>
      <w:tr w:rsidR="00BF275E" w:rsidRPr="00BF275E" w14:paraId="2CDEC58B" w14:textId="77777777" w:rsidTr="00BF275E">
        <w:trPr>
          <w:trHeight w:val="290"/>
        </w:trPr>
        <w:tc>
          <w:tcPr>
            <w:tcW w:w="4880" w:type="dxa"/>
            <w:noWrap/>
            <w:hideMark/>
          </w:tcPr>
          <w:p w14:paraId="27BC5F3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Frequent voucher redemption increases fertilizer usage.</w:t>
            </w:r>
          </w:p>
        </w:tc>
        <w:tc>
          <w:tcPr>
            <w:tcW w:w="1059" w:type="dxa"/>
            <w:noWrap/>
            <w:hideMark/>
          </w:tcPr>
          <w:p w14:paraId="009D98A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3.63</w:t>
            </w:r>
          </w:p>
        </w:tc>
        <w:tc>
          <w:tcPr>
            <w:tcW w:w="1286" w:type="dxa"/>
            <w:noWrap/>
            <w:hideMark/>
          </w:tcPr>
          <w:p w14:paraId="38F5EB37"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1.325</w:t>
            </w:r>
          </w:p>
        </w:tc>
        <w:tc>
          <w:tcPr>
            <w:tcW w:w="1791" w:type="dxa"/>
            <w:noWrap/>
            <w:hideMark/>
          </w:tcPr>
          <w:p w14:paraId="4D4D6314"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1.151</w:t>
            </w:r>
          </w:p>
        </w:tc>
      </w:tr>
      <w:tr w:rsidR="00BF275E" w:rsidRPr="00BF275E" w14:paraId="757D9831" w14:textId="77777777" w:rsidTr="00BF275E">
        <w:trPr>
          <w:trHeight w:val="290"/>
        </w:trPr>
        <w:tc>
          <w:tcPr>
            <w:tcW w:w="4880" w:type="dxa"/>
            <w:noWrap/>
            <w:hideMark/>
          </w:tcPr>
          <w:p w14:paraId="794D1FB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who redeem vouchers often apply fertilizer more consistently.</w:t>
            </w:r>
          </w:p>
        </w:tc>
        <w:tc>
          <w:tcPr>
            <w:tcW w:w="1059" w:type="dxa"/>
            <w:noWrap/>
            <w:hideMark/>
          </w:tcPr>
          <w:p w14:paraId="1EC68E7E"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3.506</w:t>
            </w:r>
          </w:p>
        </w:tc>
        <w:tc>
          <w:tcPr>
            <w:tcW w:w="1286" w:type="dxa"/>
            <w:noWrap/>
            <w:hideMark/>
          </w:tcPr>
          <w:p w14:paraId="4255378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1.304</w:t>
            </w:r>
          </w:p>
        </w:tc>
        <w:tc>
          <w:tcPr>
            <w:tcW w:w="1791" w:type="dxa"/>
            <w:noWrap/>
            <w:hideMark/>
          </w:tcPr>
          <w:p w14:paraId="5A4072B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1.142</w:t>
            </w:r>
          </w:p>
        </w:tc>
      </w:tr>
      <w:tr w:rsidR="00BF275E" w:rsidRPr="00BF275E" w14:paraId="7796AAEF" w14:textId="77777777" w:rsidTr="00BF275E">
        <w:trPr>
          <w:trHeight w:val="290"/>
        </w:trPr>
        <w:tc>
          <w:tcPr>
            <w:tcW w:w="4880" w:type="dxa"/>
            <w:noWrap/>
            <w:hideMark/>
          </w:tcPr>
          <w:p w14:paraId="6E44751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Regular participation in the subsidy program improves fertilizer adoption.</w:t>
            </w:r>
          </w:p>
        </w:tc>
        <w:tc>
          <w:tcPr>
            <w:tcW w:w="1059" w:type="dxa"/>
            <w:noWrap/>
            <w:hideMark/>
          </w:tcPr>
          <w:p w14:paraId="534D5676"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3.774</w:t>
            </w:r>
          </w:p>
        </w:tc>
        <w:tc>
          <w:tcPr>
            <w:tcW w:w="1286" w:type="dxa"/>
            <w:noWrap/>
            <w:hideMark/>
          </w:tcPr>
          <w:p w14:paraId="58FADBFC"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1.123</w:t>
            </w:r>
          </w:p>
        </w:tc>
        <w:tc>
          <w:tcPr>
            <w:tcW w:w="1791" w:type="dxa"/>
            <w:noWrap/>
            <w:hideMark/>
          </w:tcPr>
          <w:p w14:paraId="2AD63AB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1.06</w:t>
            </w:r>
          </w:p>
        </w:tc>
      </w:tr>
      <w:tr w:rsidR="00BF275E" w:rsidRPr="00BF275E" w14:paraId="26B82B6B" w14:textId="77777777" w:rsidTr="00BF275E">
        <w:trPr>
          <w:trHeight w:val="290"/>
        </w:trPr>
        <w:tc>
          <w:tcPr>
            <w:tcW w:w="4880" w:type="dxa"/>
            <w:tcBorders>
              <w:bottom w:val="single" w:sz="4" w:space="0" w:color="auto"/>
            </w:tcBorders>
            <w:noWrap/>
            <w:hideMark/>
          </w:tcPr>
          <w:p w14:paraId="6A287EB8"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Farmers redeem vouchers whenever fertilizer subsidies are available.</w:t>
            </w:r>
          </w:p>
        </w:tc>
        <w:tc>
          <w:tcPr>
            <w:tcW w:w="1059" w:type="dxa"/>
            <w:tcBorders>
              <w:bottom w:val="single" w:sz="4" w:space="0" w:color="auto"/>
            </w:tcBorders>
            <w:noWrap/>
            <w:hideMark/>
          </w:tcPr>
          <w:p w14:paraId="2E924843"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3.596</w:t>
            </w:r>
          </w:p>
        </w:tc>
        <w:tc>
          <w:tcPr>
            <w:tcW w:w="1286" w:type="dxa"/>
            <w:tcBorders>
              <w:bottom w:val="single" w:sz="4" w:space="0" w:color="auto"/>
            </w:tcBorders>
            <w:noWrap/>
            <w:hideMark/>
          </w:tcPr>
          <w:p w14:paraId="3CEB1000"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1.105</w:t>
            </w:r>
          </w:p>
        </w:tc>
        <w:tc>
          <w:tcPr>
            <w:tcW w:w="1791" w:type="dxa"/>
            <w:tcBorders>
              <w:bottom w:val="single" w:sz="4" w:space="0" w:color="auto"/>
            </w:tcBorders>
            <w:noWrap/>
            <w:hideMark/>
          </w:tcPr>
          <w:p w14:paraId="20D1ABCA" w14:textId="77777777"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1.051</w:t>
            </w:r>
          </w:p>
        </w:tc>
      </w:tr>
    </w:tbl>
    <w:p w14:paraId="002D1563" w14:textId="5DAA1C9E" w:rsid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findings presented in Table 4.4 show respondents’ perceptions regarding revised targeting criteria and their influence on smallholder farmers’ uptake of fertilizers. The analysis focused on registration status, voucher receipt timing, and redemption frequency. Under registration status, the statement that farmer registration improves uptake of fertilizer subsidies recorded a mean of 3.517, variance of 1.281, and standard deviation of 1.132. The findings suggest that respondents generally agreed that farmer registration systems improve access to fertilizer subsidy programs among smallholder farmers.</w:t>
      </w:r>
      <w:r>
        <w:rPr>
          <w:rFonts w:cs="Times New Roman"/>
          <w:color w:val="000000" w:themeColor="text1"/>
          <w:szCs w:val="24"/>
        </w:rPr>
        <w:t xml:space="preserve"> </w:t>
      </w:r>
      <w:r w:rsidRPr="00BF275E">
        <w:rPr>
          <w:rFonts w:cs="Times New Roman"/>
          <w:color w:val="000000" w:themeColor="text1"/>
          <w:szCs w:val="24"/>
        </w:rPr>
        <w:t>The statement that registered farmers receive fertilizer subsidies more easily recorded a mean of 3.630, variance of 1.325, and standard deviation of 1.151. The findings indicate that respondents agreed that registered farmers experience easier access to subsidized fertilizer compared to unregistered farmers.</w:t>
      </w:r>
      <w:r w:rsidR="00BB0D71">
        <w:rPr>
          <w:rFonts w:cs="Times New Roman"/>
          <w:color w:val="000000" w:themeColor="text1"/>
          <w:szCs w:val="24"/>
        </w:rPr>
        <w:t xml:space="preserve"> </w:t>
      </w:r>
      <w:proofErr w:type="gramStart"/>
      <w:r w:rsidRPr="00BF275E">
        <w:rPr>
          <w:rFonts w:cs="Times New Roman"/>
          <w:color w:val="000000" w:themeColor="text1"/>
          <w:szCs w:val="24"/>
        </w:rPr>
        <w:t>The</w:t>
      </w:r>
      <w:proofErr w:type="gramEnd"/>
      <w:r w:rsidRPr="00BF275E">
        <w:rPr>
          <w:rFonts w:cs="Times New Roman"/>
          <w:color w:val="000000" w:themeColor="text1"/>
          <w:szCs w:val="24"/>
        </w:rPr>
        <w:t xml:space="preserve"> </w:t>
      </w:r>
      <w:r w:rsidRPr="00BF275E">
        <w:rPr>
          <w:rFonts w:cs="Times New Roman"/>
          <w:color w:val="000000" w:themeColor="text1"/>
          <w:szCs w:val="24"/>
        </w:rPr>
        <w:lastRenderedPageBreak/>
        <w:t>statement that the digital registration system improves subsidy transparency recorded a mean of 3.506, variance of 1.304, and standard deviation of 1.142. The findings imply that respondents moderately agreed that digital registration enhances accountability and transparency within the fertilizer subsidy program.</w:t>
      </w:r>
      <w:r>
        <w:rPr>
          <w:rFonts w:cs="Times New Roman"/>
          <w:color w:val="000000" w:themeColor="text1"/>
          <w:szCs w:val="24"/>
        </w:rPr>
        <w:t xml:space="preserve"> </w:t>
      </w:r>
    </w:p>
    <w:p w14:paraId="5D8D1790" w14:textId="5D7922FF" w:rsid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the registration process is simple and accessible to farmers recorded a mean of 3.774, variance of 1.123, and standard deviation of 1.060. The findings suggest that respondents generally perceived the registration process as relatively simple and accessible to smallholder farmers.</w:t>
      </w:r>
      <w:r>
        <w:rPr>
          <w:rFonts w:cs="Times New Roman"/>
          <w:color w:val="000000" w:themeColor="text1"/>
          <w:szCs w:val="24"/>
        </w:rPr>
        <w:t xml:space="preserve"> </w:t>
      </w:r>
      <w:r w:rsidRPr="00BF275E">
        <w:rPr>
          <w:rFonts w:cs="Times New Roman"/>
          <w:color w:val="000000" w:themeColor="text1"/>
          <w:szCs w:val="24"/>
        </w:rPr>
        <w:t>The statement that unregistered farmers find it difficult to access fertilizer subsidies recorded a mean of 3.596, variance of 1.105, and standard deviation of 1.051. The findings indicate that respondents agreed that failure to register limits farmers’ ability to benefit from fertilizer subsidy programs.</w:t>
      </w:r>
      <w:r>
        <w:rPr>
          <w:rFonts w:cs="Times New Roman"/>
          <w:color w:val="000000" w:themeColor="text1"/>
          <w:szCs w:val="24"/>
        </w:rPr>
        <w:t xml:space="preserve"> </w:t>
      </w:r>
      <w:r w:rsidRPr="00BF275E">
        <w:rPr>
          <w:rFonts w:cs="Times New Roman"/>
          <w:color w:val="000000" w:themeColor="text1"/>
          <w:szCs w:val="24"/>
        </w:rPr>
        <w:t>Under voucher receipt timing, the statement that farmers receive subsidy vouchers before the planting season recorded a mean of 3.517, variance of 1.281, and standard deviation of 1.132. The findings suggest that respondents moderately agreed that subsidy vouchers are generally distributed before planting periods.</w:t>
      </w:r>
      <w:r>
        <w:rPr>
          <w:rFonts w:cs="Times New Roman"/>
          <w:color w:val="000000" w:themeColor="text1"/>
          <w:szCs w:val="24"/>
        </w:rPr>
        <w:t xml:space="preserve"> </w:t>
      </w:r>
    </w:p>
    <w:p w14:paraId="052FD239" w14:textId="448BD61A"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t>The statement that late voucher distribution reduces fertilizer usage recorded a mean of 3.630, variance of 1.325, and standard deviation of 1.151. The findings imply that delayed voucher distribution negatively affects fertilizer application and fertilizer usage among farmers.</w:t>
      </w:r>
      <w:r>
        <w:rPr>
          <w:rFonts w:cs="Times New Roman"/>
          <w:color w:val="000000" w:themeColor="text1"/>
          <w:szCs w:val="24"/>
        </w:rPr>
        <w:t xml:space="preserve"> </w:t>
      </w:r>
      <w:r w:rsidRPr="00BF275E">
        <w:rPr>
          <w:rFonts w:cs="Times New Roman"/>
          <w:color w:val="000000" w:themeColor="text1"/>
          <w:szCs w:val="24"/>
        </w:rPr>
        <w:t>The statement that early voucher distribution improves fertilizer redemption recorded a mean of 3.506, variance of 1.304, and standard deviation of 1.142. The findings indicate that respondents generally agreed that timely voucher distribution improves fertilizer access and redemption efficiency.</w:t>
      </w:r>
      <w:r>
        <w:rPr>
          <w:rFonts w:cs="Times New Roman"/>
          <w:color w:val="000000" w:themeColor="text1"/>
          <w:szCs w:val="24"/>
        </w:rPr>
        <w:t xml:space="preserve"> </w:t>
      </w:r>
      <w:r w:rsidRPr="00BF275E">
        <w:rPr>
          <w:rFonts w:cs="Times New Roman"/>
          <w:color w:val="000000" w:themeColor="text1"/>
          <w:szCs w:val="24"/>
        </w:rPr>
        <w:t>The statement that voucher timing influences farmers’ fertilizer purchase decisions recorded a mean of 3.774, variance of 1.123, and standard deviation of 1.060. The findings suggest that respondents strongly perceived voucher timing as an important determinant of fertilizer purchasing decisions.</w:t>
      </w:r>
      <w:r>
        <w:rPr>
          <w:rFonts w:cs="Times New Roman"/>
          <w:color w:val="000000" w:themeColor="text1"/>
          <w:szCs w:val="24"/>
        </w:rPr>
        <w:t xml:space="preserve"> </w:t>
      </w:r>
      <w:r w:rsidRPr="00BF275E">
        <w:rPr>
          <w:rFonts w:cs="Times New Roman"/>
          <w:color w:val="000000" w:themeColor="text1"/>
          <w:szCs w:val="24"/>
        </w:rPr>
        <w:t>The statement that receiving vouchers early increases fertilizer application recorded a mean of 3.596, variance of 1.105, and standard deviation of 1.051. The findings indicate that respondents agreed that early voucher distribution encourages timely fertilizer application during planting seasons.</w:t>
      </w:r>
      <w:r>
        <w:rPr>
          <w:rFonts w:cs="Times New Roman"/>
          <w:color w:val="000000" w:themeColor="text1"/>
          <w:szCs w:val="24"/>
        </w:rPr>
        <w:t xml:space="preserve"> </w:t>
      </w:r>
      <w:r w:rsidRPr="00BF275E">
        <w:rPr>
          <w:rFonts w:cs="Times New Roman"/>
          <w:color w:val="000000" w:themeColor="text1"/>
          <w:szCs w:val="24"/>
        </w:rPr>
        <w:t>Under redemption frequency, the statement that farmers redeem fertilizer vouchers regularly during planting seasons recorded a mean of 3.517, variance of 1.281, and standard deviation of 1.132. The findings suggest that respondents moderately agreed that farmers consistently redeem fertilizer vouchers during planting periods.</w:t>
      </w:r>
    </w:p>
    <w:p w14:paraId="6DD9241D" w14:textId="0BE98371" w:rsidR="00BF275E" w:rsidRPr="00BF275E" w:rsidRDefault="00BF275E" w:rsidP="00BF275E">
      <w:pPr>
        <w:spacing w:line="360" w:lineRule="auto"/>
        <w:rPr>
          <w:rFonts w:cs="Times New Roman"/>
          <w:color w:val="000000" w:themeColor="text1"/>
          <w:szCs w:val="24"/>
        </w:rPr>
      </w:pPr>
      <w:r w:rsidRPr="00BF275E">
        <w:rPr>
          <w:rFonts w:cs="Times New Roman"/>
          <w:color w:val="000000" w:themeColor="text1"/>
          <w:szCs w:val="24"/>
        </w:rPr>
        <w:lastRenderedPageBreak/>
        <w:t>The statement that frequent voucher redemption increases fertilizer usage recorded a mean of 3.630, variance of 1.325, and standard deviation of 1.151. The findings imply that regular voucher redemption positively influences fertilizer utilization among smallholder farmers.</w:t>
      </w:r>
      <w:r>
        <w:rPr>
          <w:rFonts w:cs="Times New Roman"/>
          <w:color w:val="000000" w:themeColor="text1"/>
          <w:szCs w:val="24"/>
        </w:rPr>
        <w:t xml:space="preserve"> </w:t>
      </w:r>
      <w:r w:rsidRPr="00BF275E">
        <w:rPr>
          <w:rFonts w:cs="Times New Roman"/>
          <w:color w:val="000000" w:themeColor="text1"/>
          <w:szCs w:val="24"/>
        </w:rPr>
        <w:t>The statement that farmers who redeem vouchers often apply fertilizer more consistently recorded a mean of 3.506, variance of 1.304, and standard deviation of 1.142. The findings indicate that respondents generally agreed that frequent participation in the subsidy program improves consistency in fertilizer application.</w:t>
      </w:r>
      <w:r>
        <w:rPr>
          <w:rFonts w:cs="Times New Roman"/>
          <w:color w:val="000000" w:themeColor="text1"/>
          <w:szCs w:val="24"/>
        </w:rPr>
        <w:t xml:space="preserve"> </w:t>
      </w:r>
      <w:r w:rsidRPr="00BF275E">
        <w:rPr>
          <w:rFonts w:cs="Times New Roman"/>
          <w:color w:val="000000" w:themeColor="text1"/>
          <w:szCs w:val="24"/>
        </w:rPr>
        <w:t>The statement that regular participation in the subsidy program improves fertilizer adoption recorded a mean of 3.774, variance of 1.123, and standard deviation of 1.060. The findings suggest that continuous participation in fertilizer subsidy programs enhances fertilizer uptake among farmers.</w:t>
      </w:r>
      <w:r>
        <w:rPr>
          <w:rFonts w:cs="Times New Roman"/>
          <w:color w:val="000000" w:themeColor="text1"/>
          <w:szCs w:val="24"/>
        </w:rPr>
        <w:t xml:space="preserve"> </w:t>
      </w:r>
      <w:r w:rsidRPr="00BF275E">
        <w:rPr>
          <w:rFonts w:cs="Times New Roman"/>
          <w:color w:val="000000" w:themeColor="text1"/>
          <w:szCs w:val="24"/>
        </w:rPr>
        <w:t>The statement that farmers redeem vouchers whenever fertilizer subsidies are available recorded a mean of 3.596, variance of 1.105, and standard deviation of 1.051. The findings imply that respondents generally agreed that farmers actively utilize fertilizer subsidy opportunities whenever they become available.</w:t>
      </w:r>
      <w:r>
        <w:rPr>
          <w:rFonts w:cs="Times New Roman"/>
          <w:color w:val="000000" w:themeColor="text1"/>
          <w:szCs w:val="24"/>
        </w:rPr>
        <w:t xml:space="preserve"> T</w:t>
      </w:r>
      <w:r w:rsidRPr="00BF275E">
        <w:rPr>
          <w:rFonts w:cs="Times New Roman"/>
          <w:color w:val="000000" w:themeColor="text1"/>
          <w:szCs w:val="24"/>
        </w:rPr>
        <w:t>he findings indicate that respondents generally agreed that revised targeting criteria positively influence smallholder farmers’ uptake of fertilizers. The mean scores above 3.5 across most statements suggest positive perceptions regarding farmer registration systems, voucher timing, and voucher redemption practices within the fertilizer subsidy program.</w:t>
      </w:r>
    </w:p>
    <w:p w14:paraId="20BD7F48" w14:textId="5EB96ECB" w:rsidR="00BF275E" w:rsidRDefault="00BF275E" w:rsidP="00BF275E">
      <w:pPr>
        <w:pStyle w:val="Heading3"/>
      </w:pPr>
      <w:r>
        <w:t xml:space="preserve">4.5.4 Descriptive analysis on </w:t>
      </w:r>
      <w:r>
        <w:t>Uptake of Fertilizers</w:t>
      </w:r>
    </w:p>
    <w:p w14:paraId="3219079A" w14:textId="4885B6A0" w:rsidR="00BF275E" w:rsidRDefault="00BF275E" w:rsidP="00E73EAB">
      <w:pPr>
        <w:spacing w:line="360" w:lineRule="auto"/>
        <w:rPr>
          <w:b/>
          <w:bCs/>
          <w:color w:val="000000" w:themeColor="text1"/>
        </w:rPr>
      </w:pPr>
      <w:r w:rsidRPr="00BF275E">
        <w:rPr>
          <w:b/>
          <w:bCs/>
        </w:rPr>
        <w:t>Table 4.</w:t>
      </w:r>
      <w:r w:rsidRPr="00BF275E">
        <w:rPr>
          <w:b/>
          <w:bCs/>
        </w:rPr>
        <w:t>5</w:t>
      </w:r>
      <w:r w:rsidRPr="00BF275E">
        <w:rPr>
          <w:b/>
          <w:bCs/>
        </w:rPr>
        <w:t xml:space="preserve"> Descriptive analysis on </w:t>
      </w:r>
      <w:r w:rsidRPr="00BF275E">
        <w:rPr>
          <w:b/>
          <w:bCs/>
          <w:color w:val="000000" w:themeColor="text1"/>
        </w:rPr>
        <w:t>Uptake of Fertilizers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3"/>
        <w:gridCol w:w="1261"/>
        <w:gridCol w:w="1151"/>
        <w:gridCol w:w="1791"/>
      </w:tblGrid>
      <w:tr w:rsidR="00BF275E" w:rsidRPr="00BF275E" w14:paraId="3DF44ECD" w14:textId="77777777" w:rsidTr="00BF275E">
        <w:trPr>
          <w:trHeight w:val="290"/>
        </w:trPr>
        <w:tc>
          <w:tcPr>
            <w:tcW w:w="4813" w:type="dxa"/>
            <w:tcBorders>
              <w:top w:val="single" w:sz="4" w:space="0" w:color="auto"/>
              <w:bottom w:val="single" w:sz="4" w:space="0" w:color="auto"/>
              <w:right w:val="single" w:sz="4" w:space="0" w:color="auto"/>
            </w:tcBorders>
            <w:noWrap/>
            <w:hideMark/>
          </w:tcPr>
          <w:p w14:paraId="46BE8888" w14:textId="753B897A" w:rsidR="00BF275E" w:rsidRPr="00BF275E" w:rsidRDefault="00BF275E" w:rsidP="00BF275E">
            <w:pPr>
              <w:spacing w:line="360" w:lineRule="auto"/>
              <w:rPr>
                <w:b/>
                <w:bCs/>
                <w:lang w:val="en-KE"/>
              </w:rPr>
            </w:pPr>
            <w:r>
              <w:rPr>
                <w:rFonts w:cs="Times New Roman"/>
                <w:b/>
                <w:bCs/>
                <w:color w:val="000000" w:themeColor="text1"/>
                <w:szCs w:val="24"/>
              </w:rPr>
              <w:t>Smallholder Farmers’ Access</w:t>
            </w:r>
          </w:p>
        </w:tc>
        <w:tc>
          <w:tcPr>
            <w:tcW w:w="1261" w:type="dxa"/>
            <w:tcBorders>
              <w:top w:val="single" w:sz="4" w:space="0" w:color="auto"/>
              <w:left w:val="single" w:sz="4" w:space="0" w:color="auto"/>
              <w:bottom w:val="single" w:sz="4" w:space="0" w:color="auto"/>
            </w:tcBorders>
            <w:noWrap/>
            <w:hideMark/>
          </w:tcPr>
          <w:p w14:paraId="1688AD37" w14:textId="77777777" w:rsidR="00BF275E" w:rsidRPr="00BF275E" w:rsidRDefault="00BF275E" w:rsidP="00BF275E">
            <w:pPr>
              <w:spacing w:line="360" w:lineRule="auto"/>
              <w:rPr>
                <w:b/>
                <w:bCs/>
              </w:rPr>
            </w:pPr>
            <w:r w:rsidRPr="00BF275E">
              <w:rPr>
                <w:b/>
                <w:bCs/>
              </w:rPr>
              <w:t>Mean</w:t>
            </w:r>
          </w:p>
        </w:tc>
        <w:tc>
          <w:tcPr>
            <w:tcW w:w="1151" w:type="dxa"/>
            <w:tcBorders>
              <w:top w:val="single" w:sz="4" w:space="0" w:color="auto"/>
              <w:bottom w:val="single" w:sz="4" w:space="0" w:color="auto"/>
            </w:tcBorders>
            <w:noWrap/>
            <w:hideMark/>
          </w:tcPr>
          <w:p w14:paraId="1469C85C" w14:textId="77777777" w:rsidR="00BF275E" w:rsidRPr="00BF275E" w:rsidRDefault="00BF275E" w:rsidP="00BF275E">
            <w:pPr>
              <w:spacing w:line="360" w:lineRule="auto"/>
              <w:rPr>
                <w:b/>
                <w:bCs/>
              </w:rPr>
            </w:pPr>
            <w:r w:rsidRPr="00BF275E">
              <w:rPr>
                <w:b/>
                <w:bCs/>
              </w:rPr>
              <w:t>Variance</w:t>
            </w:r>
          </w:p>
        </w:tc>
        <w:tc>
          <w:tcPr>
            <w:tcW w:w="1791" w:type="dxa"/>
            <w:tcBorders>
              <w:top w:val="single" w:sz="4" w:space="0" w:color="auto"/>
              <w:bottom w:val="single" w:sz="4" w:space="0" w:color="auto"/>
            </w:tcBorders>
            <w:noWrap/>
            <w:hideMark/>
          </w:tcPr>
          <w:p w14:paraId="39383FCC" w14:textId="77777777" w:rsidR="00BF275E" w:rsidRPr="00BF275E" w:rsidRDefault="00BF275E" w:rsidP="00BF275E">
            <w:pPr>
              <w:spacing w:line="360" w:lineRule="auto"/>
              <w:rPr>
                <w:b/>
                <w:bCs/>
              </w:rPr>
            </w:pPr>
            <w:r w:rsidRPr="00BF275E">
              <w:rPr>
                <w:b/>
                <w:bCs/>
              </w:rPr>
              <w:t>Std Deviation</w:t>
            </w:r>
          </w:p>
        </w:tc>
      </w:tr>
      <w:tr w:rsidR="00BF275E" w:rsidRPr="00BF275E" w14:paraId="6DE0FA27" w14:textId="77777777" w:rsidTr="00BF275E">
        <w:trPr>
          <w:trHeight w:val="931"/>
        </w:trPr>
        <w:tc>
          <w:tcPr>
            <w:tcW w:w="4813" w:type="dxa"/>
            <w:tcBorders>
              <w:top w:val="single" w:sz="4" w:space="0" w:color="auto"/>
              <w:right w:val="single" w:sz="4" w:space="0" w:color="auto"/>
            </w:tcBorders>
            <w:noWrap/>
            <w:hideMark/>
          </w:tcPr>
          <w:p w14:paraId="607FD235" w14:textId="77777777" w:rsidR="00BF275E" w:rsidRPr="00BF275E" w:rsidRDefault="00BF275E" w:rsidP="00BF275E">
            <w:pPr>
              <w:spacing w:line="360" w:lineRule="auto"/>
            </w:pPr>
            <w:r w:rsidRPr="00BF275E">
              <w:t>Farmers use fertilizer more frequently under the subsidy program.</w:t>
            </w:r>
          </w:p>
        </w:tc>
        <w:tc>
          <w:tcPr>
            <w:tcW w:w="1261" w:type="dxa"/>
            <w:tcBorders>
              <w:top w:val="single" w:sz="4" w:space="0" w:color="auto"/>
              <w:left w:val="single" w:sz="4" w:space="0" w:color="auto"/>
            </w:tcBorders>
            <w:noWrap/>
            <w:hideMark/>
          </w:tcPr>
          <w:p w14:paraId="22B01CE3" w14:textId="77777777" w:rsidR="00BF275E" w:rsidRPr="00BF275E" w:rsidRDefault="00BF275E" w:rsidP="00BF275E">
            <w:pPr>
              <w:spacing w:line="360" w:lineRule="auto"/>
            </w:pPr>
            <w:r w:rsidRPr="00BF275E">
              <w:t>3.566</w:t>
            </w:r>
          </w:p>
        </w:tc>
        <w:tc>
          <w:tcPr>
            <w:tcW w:w="1151" w:type="dxa"/>
            <w:tcBorders>
              <w:top w:val="single" w:sz="4" w:space="0" w:color="auto"/>
            </w:tcBorders>
            <w:noWrap/>
            <w:hideMark/>
          </w:tcPr>
          <w:p w14:paraId="5950FDF1" w14:textId="77777777" w:rsidR="00BF275E" w:rsidRPr="00BF275E" w:rsidRDefault="00BF275E" w:rsidP="00BF275E">
            <w:pPr>
              <w:spacing w:line="360" w:lineRule="auto"/>
            </w:pPr>
            <w:r w:rsidRPr="00BF275E">
              <w:t>1.383</w:t>
            </w:r>
          </w:p>
        </w:tc>
        <w:tc>
          <w:tcPr>
            <w:tcW w:w="1791" w:type="dxa"/>
            <w:tcBorders>
              <w:top w:val="single" w:sz="4" w:space="0" w:color="auto"/>
            </w:tcBorders>
            <w:noWrap/>
            <w:hideMark/>
          </w:tcPr>
          <w:p w14:paraId="132AD959" w14:textId="77777777" w:rsidR="00BF275E" w:rsidRPr="00BF275E" w:rsidRDefault="00BF275E" w:rsidP="00BF275E">
            <w:pPr>
              <w:spacing w:line="360" w:lineRule="auto"/>
            </w:pPr>
            <w:r w:rsidRPr="00BF275E">
              <w:t>1.176</w:t>
            </w:r>
          </w:p>
        </w:tc>
      </w:tr>
      <w:tr w:rsidR="00BF275E" w:rsidRPr="00BF275E" w14:paraId="653C5D95" w14:textId="77777777" w:rsidTr="00BF275E">
        <w:trPr>
          <w:trHeight w:val="290"/>
        </w:trPr>
        <w:tc>
          <w:tcPr>
            <w:tcW w:w="4813" w:type="dxa"/>
            <w:tcBorders>
              <w:right w:val="single" w:sz="4" w:space="0" w:color="auto"/>
            </w:tcBorders>
            <w:noWrap/>
            <w:hideMark/>
          </w:tcPr>
          <w:p w14:paraId="6AE9ADAA" w14:textId="77777777" w:rsidR="00BF275E" w:rsidRPr="00BF275E" w:rsidRDefault="00BF275E" w:rsidP="00BF275E">
            <w:pPr>
              <w:spacing w:line="360" w:lineRule="auto"/>
            </w:pPr>
            <w:r w:rsidRPr="00BF275E">
              <w:t>The subsidy program has increased the quantity of fertilizer used by farmers.</w:t>
            </w:r>
          </w:p>
        </w:tc>
        <w:tc>
          <w:tcPr>
            <w:tcW w:w="1261" w:type="dxa"/>
            <w:tcBorders>
              <w:left w:val="single" w:sz="4" w:space="0" w:color="auto"/>
            </w:tcBorders>
            <w:noWrap/>
            <w:hideMark/>
          </w:tcPr>
          <w:p w14:paraId="21B84A92" w14:textId="77777777" w:rsidR="00BF275E" w:rsidRPr="00BF275E" w:rsidRDefault="00BF275E" w:rsidP="00BF275E">
            <w:pPr>
              <w:spacing w:line="360" w:lineRule="auto"/>
            </w:pPr>
            <w:r w:rsidRPr="00BF275E">
              <w:t>3.683</w:t>
            </w:r>
          </w:p>
        </w:tc>
        <w:tc>
          <w:tcPr>
            <w:tcW w:w="1151" w:type="dxa"/>
            <w:noWrap/>
            <w:hideMark/>
          </w:tcPr>
          <w:p w14:paraId="36118799" w14:textId="77777777" w:rsidR="00BF275E" w:rsidRPr="00BF275E" w:rsidRDefault="00BF275E" w:rsidP="00BF275E">
            <w:pPr>
              <w:spacing w:line="360" w:lineRule="auto"/>
            </w:pPr>
            <w:r w:rsidRPr="00BF275E">
              <w:t>1.217</w:t>
            </w:r>
          </w:p>
        </w:tc>
        <w:tc>
          <w:tcPr>
            <w:tcW w:w="1791" w:type="dxa"/>
            <w:noWrap/>
            <w:hideMark/>
          </w:tcPr>
          <w:p w14:paraId="598BDA23" w14:textId="77777777" w:rsidR="00BF275E" w:rsidRPr="00BF275E" w:rsidRDefault="00BF275E" w:rsidP="00BF275E">
            <w:pPr>
              <w:spacing w:line="360" w:lineRule="auto"/>
            </w:pPr>
            <w:r w:rsidRPr="00BF275E">
              <w:t>1.103</w:t>
            </w:r>
          </w:p>
        </w:tc>
      </w:tr>
      <w:tr w:rsidR="00BF275E" w:rsidRPr="00BF275E" w14:paraId="6CE7A4B3" w14:textId="77777777" w:rsidTr="00BF275E">
        <w:trPr>
          <w:trHeight w:val="290"/>
        </w:trPr>
        <w:tc>
          <w:tcPr>
            <w:tcW w:w="4813" w:type="dxa"/>
            <w:tcBorders>
              <w:right w:val="single" w:sz="4" w:space="0" w:color="auto"/>
            </w:tcBorders>
            <w:noWrap/>
            <w:hideMark/>
          </w:tcPr>
          <w:p w14:paraId="57DF1A68" w14:textId="77777777" w:rsidR="00BF275E" w:rsidRPr="00BF275E" w:rsidRDefault="00BF275E" w:rsidP="00BF275E">
            <w:pPr>
              <w:spacing w:line="360" w:lineRule="auto"/>
            </w:pPr>
            <w:r w:rsidRPr="00BF275E">
              <w:t>Farmers apply fertilizer more consistently during planting seasons due to the subsidy program.</w:t>
            </w:r>
          </w:p>
        </w:tc>
        <w:tc>
          <w:tcPr>
            <w:tcW w:w="1261" w:type="dxa"/>
            <w:tcBorders>
              <w:left w:val="single" w:sz="4" w:space="0" w:color="auto"/>
            </w:tcBorders>
            <w:noWrap/>
            <w:hideMark/>
          </w:tcPr>
          <w:p w14:paraId="2504FC99" w14:textId="77777777" w:rsidR="00BF275E" w:rsidRPr="00BF275E" w:rsidRDefault="00BF275E" w:rsidP="00BF275E">
            <w:pPr>
              <w:spacing w:line="360" w:lineRule="auto"/>
            </w:pPr>
            <w:r w:rsidRPr="00BF275E">
              <w:t>3.517</w:t>
            </w:r>
          </w:p>
        </w:tc>
        <w:tc>
          <w:tcPr>
            <w:tcW w:w="1151" w:type="dxa"/>
            <w:noWrap/>
            <w:hideMark/>
          </w:tcPr>
          <w:p w14:paraId="4B5B33E0" w14:textId="77777777" w:rsidR="00BF275E" w:rsidRPr="00BF275E" w:rsidRDefault="00BF275E" w:rsidP="00BF275E">
            <w:pPr>
              <w:spacing w:line="360" w:lineRule="auto"/>
            </w:pPr>
            <w:r w:rsidRPr="00BF275E">
              <w:t>1.364</w:t>
            </w:r>
          </w:p>
        </w:tc>
        <w:tc>
          <w:tcPr>
            <w:tcW w:w="1791" w:type="dxa"/>
            <w:noWrap/>
            <w:hideMark/>
          </w:tcPr>
          <w:p w14:paraId="04E1FE5B" w14:textId="77777777" w:rsidR="00BF275E" w:rsidRPr="00BF275E" w:rsidRDefault="00BF275E" w:rsidP="00BF275E">
            <w:pPr>
              <w:spacing w:line="360" w:lineRule="auto"/>
            </w:pPr>
            <w:r w:rsidRPr="00BF275E">
              <w:t>1.168</w:t>
            </w:r>
          </w:p>
        </w:tc>
      </w:tr>
      <w:tr w:rsidR="00BF275E" w:rsidRPr="00BF275E" w14:paraId="4BB148D7" w14:textId="77777777" w:rsidTr="00BF275E">
        <w:trPr>
          <w:trHeight w:val="290"/>
        </w:trPr>
        <w:tc>
          <w:tcPr>
            <w:tcW w:w="4813" w:type="dxa"/>
            <w:tcBorders>
              <w:right w:val="single" w:sz="4" w:space="0" w:color="auto"/>
            </w:tcBorders>
            <w:noWrap/>
            <w:hideMark/>
          </w:tcPr>
          <w:p w14:paraId="0DA65759" w14:textId="77777777" w:rsidR="00BF275E" w:rsidRPr="00BF275E" w:rsidRDefault="00BF275E" w:rsidP="00BF275E">
            <w:pPr>
              <w:spacing w:line="360" w:lineRule="auto"/>
            </w:pPr>
            <w:r w:rsidRPr="00BF275E">
              <w:lastRenderedPageBreak/>
              <w:t>Fertilizer subsidies have improved the level of fertilizer application on farms.</w:t>
            </w:r>
          </w:p>
        </w:tc>
        <w:tc>
          <w:tcPr>
            <w:tcW w:w="1261" w:type="dxa"/>
            <w:tcBorders>
              <w:left w:val="single" w:sz="4" w:space="0" w:color="auto"/>
            </w:tcBorders>
            <w:noWrap/>
            <w:hideMark/>
          </w:tcPr>
          <w:p w14:paraId="4171AF99" w14:textId="77777777" w:rsidR="00BF275E" w:rsidRPr="00BF275E" w:rsidRDefault="00BF275E" w:rsidP="00BF275E">
            <w:pPr>
              <w:spacing w:line="360" w:lineRule="auto"/>
            </w:pPr>
            <w:r w:rsidRPr="00BF275E">
              <w:t>3.558</w:t>
            </w:r>
          </w:p>
        </w:tc>
        <w:tc>
          <w:tcPr>
            <w:tcW w:w="1151" w:type="dxa"/>
            <w:noWrap/>
            <w:hideMark/>
          </w:tcPr>
          <w:p w14:paraId="416A5840" w14:textId="77777777" w:rsidR="00BF275E" w:rsidRPr="00BF275E" w:rsidRDefault="00BF275E" w:rsidP="00BF275E">
            <w:pPr>
              <w:spacing w:line="360" w:lineRule="auto"/>
            </w:pPr>
            <w:r w:rsidRPr="00BF275E">
              <w:t>1.323</w:t>
            </w:r>
          </w:p>
        </w:tc>
        <w:tc>
          <w:tcPr>
            <w:tcW w:w="1791" w:type="dxa"/>
            <w:noWrap/>
            <w:hideMark/>
          </w:tcPr>
          <w:p w14:paraId="27C856A9" w14:textId="77777777" w:rsidR="00BF275E" w:rsidRPr="00BF275E" w:rsidRDefault="00BF275E" w:rsidP="00BF275E">
            <w:pPr>
              <w:spacing w:line="360" w:lineRule="auto"/>
            </w:pPr>
            <w:r w:rsidRPr="00BF275E">
              <w:t>1.15</w:t>
            </w:r>
          </w:p>
        </w:tc>
      </w:tr>
      <w:tr w:rsidR="00BF275E" w:rsidRPr="00BF275E" w14:paraId="67572946" w14:textId="77777777" w:rsidTr="00BF275E">
        <w:trPr>
          <w:trHeight w:val="290"/>
        </w:trPr>
        <w:tc>
          <w:tcPr>
            <w:tcW w:w="4813" w:type="dxa"/>
            <w:tcBorders>
              <w:bottom w:val="single" w:sz="4" w:space="0" w:color="auto"/>
              <w:right w:val="single" w:sz="4" w:space="0" w:color="auto"/>
            </w:tcBorders>
            <w:noWrap/>
            <w:hideMark/>
          </w:tcPr>
          <w:p w14:paraId="6B4449D4" w14:textId="77777777" w:rsidR="00BF275E" w:rsidRPr="00BF275E" w:rsidRDefault="00BF275E" w:rsidP="00BF275E">
            <w:pPr>
              <w:spacing w:line="360" w:lineRule="auto"/>
            </w:pPr>
            <w:r w:rsidRPr="00BF275E">
              <w:t>Farmers are more likely to use fertilizer because of the subsidy program.</w:t>
            </w:r>
          </w:p>
        </w:tc>
        <w:tc>
          <w:tcPr>
            <w:tcW w:w="1261" w:type="dxa"/>
            <w:tcBorders>
              <w:left w:val="single" w:sz="4" w:space="0" w:color="auto"/>
              <w:bottom w:val="single" w:sz="4" w:space="0" w:color="auto"/>
            </w:tcBorders>
            <w:noWrap/>
            <w:hideMark/>
          </w:tcPr>
          <w:p w14:paraId="35D12F2B" w14:textId="77777777" w:rsidR="00BF275E" w:rsidRPr="00BF275E" w:rsidRDefault="00BF275E" w:rsidP="00BF275E">
            <w:pPr>
              <w:spacing w:line="360" w:lineRule="auto"/>
            </w:pPr>
            <w:r w:rsidRPr="00BF275E">
              <w:t>3.679</w:t>
            </w:r>
          </w:p>
        </w:tc>
        <w:tc>
          <w:tcPr>
            <w:tcW w:w="1151" w:type="dxa"/>
            <w:tcBorders>
              <w:bottom w:val="single" w:sz="4" w:space="0" w:color="auto"/>
            </w:tcBorders>
            <w:noWrap/>
            <w:hideMark/>
          </w:tcPr>
          <w:p w14:paraId="350B66DA" w14:textId="77777777" w:rsidR="00BF275E" w:rsidRPr="00BF275E" w:rsidRDefault="00BF275E" w:rsidP="00BF275E">
            <w:pPr>
              <w:spacing w:line="360" w:lineRule="auto"/>
            </w:pPr>
            <w:r w:rsidRPr="00BF275E">
              <w:t>1.09</w:t>
            </w:r>
          </w:p>
        </w:tc>
        <w:tc>
          <w:tcPr>
            <w:tcW w:w="1791" w:type="dxa"/>
            <w:tcBorders>
              <w:bottom w:val="single" w:sz="4" w:space="0" w:color="auto"/>
            </w:tcBorders>
            <w:noWrap/>
            <w:hideMark/>
          </w:tcPr>
          <w:p w14:paraId="1175980F" w14:textId="77777777" w:rsidR="00BF275E" w:rsidRPr="00BF275E" w:rsidRDefault="00BF275E" w:rsidP="00BF275E">
            <w:pPr>
              <w:spacing w:line="360" w:lineRule="auto"/>
            </w:pPr>
            <w:r w:rsidRPr="00BF275E">
              <w:t>1.044</w:t>
            </w:r>
          </w:p>
        </w:tc>
      </w:tr>
    </w:tbl>
    <w:p w14:paraId="1B322CF9" w14:textId="04C14634" w:rsidR="00BF275E" w:rsidRPr="00BF275E" w:rsidRDefault="00BF275E" w:rsidP="00BF275E">
      <w:pPr>
        <w:spacing w:line="360" w:lineRule="auto"/>
      </w:pPr>
      <w:r w:rsidRPr="00BF275E">
        <w:t>The findings presented in Table 4.5 show respondents’ perceptions regarding smallholder farmers’ uptake of fertilizers under the subsidy program. Mean, variance, and standard deviation values were used to summarize respondents’ views regarding fertilizer usage frequency, quantity of fertilizer applied, consistency of fertilizer application, and the influence of subsidy programs on fertilizer adoption.</w:t>
      </w:r>
      <w:r w:rsidRPr="00BF275E">
        <w:t xml:space="preserve"> </w:t>
      </w:r>
      <w:r w:rsidRPr="00BF275E">
        <w:t>The statement that farmers use fertilizer more frequently under the subsidy program recorded a mean of 3.566, variance of 1.383, and standard deviation of 1.176. The findings suggest that respondents generally agreed that fertilizer subsidy programs have increased the frequency of fertilizer usage among smallholder farmers. The relatively higher standard deviation indicates moderate variation in respondents’ opinions regarding fertilizer usage frequency.</w:t>
      </w:r>
    </w:p>
    <w:p w14:paraId="28201ECE" w14:textId="01771975" w:rsidR="00BF275E" w:rsidRPr="00BF275E" w:rsidRDefault="00BF275E" w:rsidP="00BF275E">
      <w:pPr>
        <w:spacing w:line="360" w:lineRule="auto"/>
      </w:pPr>
      <w:r w:rsidRPr="00BF275E">
        <w:t>The statement that the subsidy program has increased the quantity of fertilizer used by farmers recorded a mean of 3.683, variance of 1.217, and standard deviation of 1.103. The findings indicate that respondents agreed that fertilizer subsidy programs have contributed to increased fertilizer application quantities among farmers.</w:t>
      </w:r>
      <w:r w:rsidRPr="00BF275E">
        <w:t xml:space="preserve"> </w:t>
      </w:r>
      <w:r w:rsidRPr="00BF275E">
        <w:t>The statement that farmers apply fertilizer more consistently during planting seasons due to the subsidy program recorded a mean of 3.517, variance of 1.364, and standard deviation of 1.168. The findings imply that respondents generally perceived subsidy programs as important in encouraging consistent fertilizer application during planting periods.</w:t>
      </w:r>
      <w:r w:rsidRPr="00BF275E">
        <w:t xml:space="preserve"> </w:t>
      </w:r>
      <w:r w:rsidRPr="00BF275E">
        <w:t>The statement that fertilizer subsidies have improved the level of fertilizer application on farms recorded a mean of 3.558, variance of 1.323, and standard deviation of 1.150. The findings suggest that respondents agreed that fertilizer subsidies positively influence the level of fertilizer usage and application practices among smallholder farmers.</w:t>
      </w:r>
      <w:r w:rsidRPr="00BF275E">
        <w:t xml:space="preserve"> </w:t>
      </w:r>
    </w:p>
    <w:p w14:paraId="13117870" w14:textId="53FF34AC" w:rsidR="00BF275E" w:rsidRDefault="00BF275E" w:rsidP="00BF275E">
      <w:pPr>
        <w:spacing w:line="360" w:lineRule="auto"/>
      </w:pPr>
      <w:r w:rsidRPr="00BF275E">
        <w:t xml:space="preserve">The statement that farmers are more likely to use fertilizer because of the subsidy program recorded a mean of 3.679, variance of 1.090, and standard deviation of 1.044. The findings indicate that respondents generally agreed that fertilizer subsidy programs encourage fertilizer adoption among smallholder farmers. The relatively lower standard deviation further suggests </w:t>
      </w:r>
      <w:r w:rsidRPr="00BF275E">
        <w:lastRenderedPageBreak/>
        <w:t>that respondents’ views regarding this statement were fairly consistent.</w:t>
      </w:r>
      <w:r w:rsidRPr="00BF275E">
        <w:t xml:space="preserve"> Th</w:t>
      </w:r>
      <w:r w:rsidRPr="00BF275E">
        <w:t xml:space="preserve">e findings indicate that respondents generally agreed that fertilizer subsidy programs positively influence smallholder farmers’ uptake of fertilizers. The mean scores above 3.5 across all statements </w:t>
      </w:r>
      <w:r w:rsidRPr="009E62CB">
        <w:t>suggest positive perceptions regarding fertilizer usage frequency, consistency of application, and fertilizer adoption under the subsidy program.</w:t>
      </w:r>
    </w:p>
    <w:p w14:paraId="51DFBBE8" w14:textId="222993E9" w:rsidR="009E62CB" w:rsidRDefault="009E62CB" w:rsidP="008F416E">
      <w:pPr>
        <w:pStyle w:val="Heading2"/>
      </w:pPr>
      <w:r>
        <w:t>4.6 Correlation Analysis</w:t>
      </w:r>
    </w:p>
    <w:p w14:paraId="301C1010" w14:textId="1112A2BF" w:rsidR="008F416E" w:rsidRDefault="008F416E" w:rsidP="008F416E">
      <w:pPr>
        <w:spacing w:line="360" w:lineRule="auto"/>
      </w:pPr>
      <w:r w:rsidRPr="008F416E">
        <w:t>Correlation analysis was conducted to determine the nature and strength of the relationship between pricing reforms, distribution model changes, revised targeting criteria, and smallholder farmers’ uptake of fertilizers. Pearson correlation analysis was used to examine the direction and magnitude of the relationships among the study variables. Correlation coefficients range from -1 to +1, where positive values indicate a positive relationship while negative values indicate an inverse relationship between variables.</w:t>
      </w:r>
    </w:p>
    <w:p w14:paraId="12FA4598" w14:textId="4A561ACD" w:rsidR="008F416E" w:rsidRPr="008F416E" w:rsidRDefault="008F416E" w:rsidP="008F416E">
      <w:pPr>
        <w:spacing w:line="360" w:lineRule="auto"/>
        <w:rPr>
          <w:b/>
          <w:bCs/>
        </w:rPr>
      </w:pPr>
      <w:r w:rsidRPr="008F416E">
        <w:rPr>
          <w:b/>
          <w:bCs/>
        </w:rPr>
        <w:t>Table 4.6: Correlation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1358"/>
        <w:gridCol w:w="284"/>
        <w:gridCol w:w="1843"/>
        <w:gridCol w:w="425"/>
        <w:gridCol w:w="1984"/>
        <w:gridCol w:w="284"/>
        <w:gridCol w:w="1366"/>
      </w:tblGrid>
      <w:tr w:rsidR="008F416E" w:rsidRPr="008F416E" w14:paraId="15AD74C2" w14:textId="77777777" w:rsidTr="008F416E">
        <w:trPr>
          <w:tblHeader/>
          <w:tblCellSpacing w:w="15" w:type="dxa"/>
        </w:trPr>
        <w:tc>
          <w:tcPr>
            <w:tcW w:w="1427" w:type="dxa"/>
            <w:tcBorders>
              <w:top w:val="single" w:sz="4" w:space="0" w:color="auto"/>
              <w:right w:val="single" w:sz="4" w:space="0" w:color="auto"/>
            </w:tcBorders>
            <w:vAlign w:val="center"/>
            <w:hideMark/>
          </w:tcPr>
          <w:p w14:paraId="54708BD1" w14:textId="77777777" w:rsidR="008F416E" w:rsidRPr="008F416E" w:rsidRDefault="008F416E" w:rsidP="008F416E">
            <w:pPr>
              <w:spacing w:line="240" w:lineRule="auto"/>
              <w:rPr>
                <w:b/>
                <w:bCs/>
                <w:lang w:val="en-KE"/>
              </w:rPr>
            </w:pPr>
            <w:r w:rsidRPr="008F416E">
              <w:rPr>
                <w:b/>
                <w:bCs/>
                <w:lang w:val="en-KE"/>
              </w:rPr>
              <w:t>Variables</w:t>
            </w:r>
          </w:p>
        </w:tc>
        <w:tc>
          <w:tcPr>
            <w:tcW w:w="1328" w:type="dxa"/>
            <w:tcBorders>
              <w:top w:val="single" w:sz="4" w:space="0" w:color="auto"/>
            </w:tcBorders>
            <w:vAlign w:val="center"/>
            <w:hideMark/>
          </w:tcPr>
          <w:p w14:paraId="7CB0B0AE" w14:textId="77777777" w:rsidR="008F416E" w:rsidRPr="008F416E" w:rsidRDefault="008F416E" w:rsidP="008F416E">
            <w:pPr>
              <w:spacing w:line="240" w:lineRule="auto"/>
              <w:rPr>
                <w:b/>
                <w:bCs/>
                <w:lang w:val="en-KE"/>
              </w:rPr>
            </w:pPr>
            <w:r w:rsidRPr="008F416E">
              <w:rPr>
                <w:b/>
                <w:bCs/>
                <w:lang w:val="en-KE"/>
              </w:rPr>
              <w:t>Pricing Reforms</w:t>
            </w:r>
          </w:p>
        </w:tc>
        <w:tc>
          <w:tcPr>
            <w:tcW w:w="254" w:type="dxa"/>
            <w:tcBorders>
              <w:top w:val="single" w:sz="4" w:space="0" w:color="auto"/>
            </w:tcBorders>
          </w:tcPr>
          <w:p w14:paraId="4C69816C" w14:textId="77777777" w:rsidR="008F416E" w:rsidRPr="008F416E" w:rsidRDefault="008F416E" w:rsidP="008F416E">
            <w:pPr>
              <w:spacing w:line="240" w:lineRule="auto"/>
              <w:rPr>
                <w:b/>
                <w:bCs/>
                <w:lang w:val="en-KE"/>
              </w:rPr>
            </w:pPr>
          </w:p>
        </w:tc>
        <w:tc>
          <w:tcPr>
            <w:tcW w:w="1813" w:type="dxa"/>
            <w:tcBorders>
              <w:top w:val="single" w:sz="4" w:space="0" w:color="auto"/>
            </w:tcBorders>
            <w:vAlign w:val="center"/>
            <w:hideMark/>
          </w:tcPr>
          <w:p w14:paraId="217708A9" w14:textId="3E25D502" w:rsidR="008F416E" w:rsidRPr="008F416E" w:rsidRDefault="008F416E" w:rsidP="008F416E">
            <w:pPr>
              <w:spacing w:line="240" w:lineRule="auto"/>
              <w:rPr>
                <w:b/>
                <w:bCs/>
                <w:lang w:val="en-KE"/>
              </w:rPr>
            </w:pPr>
            <w:r w:rsidRPr="008F416E">
              <w:rPr>
                <w:b/>
                <w:bCs/>
                <w:lang w:val="en-KE"/>
              </w:rPr>
              <w:t>Distribution Model Changes</w:t>
            </w:r>
          </w:p>
        </w:tc>
        <w:tc>
          <w:tcPr>
            <w:tcW w:w="395" w:type="dxa"/>
            <w:tcBorders>
              <w:top w:val="single" w:sz="4" w:space="0" w:color="auto"/>
            </w:tcBorders>
          </w:tcPr>
          <w:p w14:paraId="52CF2C1F" w14:textId="77777777" w:rsidR="008F416E" w:rsidRPr="008F416E" w:rsidRDefault="008F416E" w:rsidP="008F416E">
            <w:pPr>
              <w:spacing w:line="240" w:lineRule="auto"/>
              <w:rPr>
                <w:b/>
                <w:bCs/>
                <w:lang w:val="en-KE"/>
              </w:rPr>
            </w:pPr>
          </w:p>
        </w:tc>
        <w:tc>
          <w:tcPr>
            <w:tcW w:w="1954" w:type="dxa"/>
            <w:tcBorders>
              <w:top w:val="single" w:sz="4" w:space="0" w:color="auto"/>
            </w:tcBorders>
            <w:vAlign w:val="center"/>
            <w:hideMark/>
          </w:tcPr>
          <w:p w14:paraId="6E940233" w14:textId="07A4A80A" w:rsidR="008F416E" w:rsidRPr="008F416E" w:rsidRDefault="008F416E" w:rsidP="008F416E">
            <w:pPr>
              <w:spacing w:line="240" w:lineRule="auto"/>
              <w:rPr>
                <w:b/>
                <w:bCs/>
                <w:lang w:val="en-KE"/>
              </w:rPr>
            </w:pPr>
            <w:r w:rsidRPr="008F416E">
              <w:rPr>
                <w:b/>
                <w:bCs/>
                <w:lang w:val="en-KE"/>
              </w:rPr>
              <w:t>Revised Targeting</w:t>
            </w:r>
            <w:r>
              <w:rPr>
                <w:b/>
                <w:bCs/>
              </w:rPr>
              <w:t xml:space="preserve">   </w:t>
            </w:r>
            <w:r w:rsidRPr="008F416E">
              <w:rPr>
                <w:b/>
                <w:bCs/>
                <w:lang w:val="en-KE"/>
              </w:rPr>
              <w:t xml:space="preserve"> Criteria</w:t>
            </w:r>
          </w:p>
        </w:tc>
        <w:tc>
          <w:tcPr>
            <w:tcW w:w="254" w:type="dxa"/>
            <w:tcBorders>
              <w:top w:val="single" w:sz="4" w:space="0" w:color="auto"/>
            </w:tcBorders>
          </w:tcPr>
          <w:p w14:paraId="0A1CDC1E" w14:textId="77777777" w:rsidR="008F416E" w:rsidRPr="008F416E" w:rsidRDefault="008F416E" w:rsidP="008F416E">
            <w:pPr>
              <w:spacing w:line="240" w:lineRule="auto"/>
              <w:rPr>
                <w:b/>
                <w:bCs/>
                <w:lang w:val="en-KE"/>
              </w:rPr>
            </w:pPr>
          </w:p>
        </w:tc>
        <w:tc>
          <w:tcPr>
            <w:tcW w:w="1321" w:type="dxa"/>
            <w:tcBorders>
              <w:top w:val="single" w:sz="4" w:space="0" w:color="auto"/>
            </w:tcBorders>
            <w:vAlign w:val="center"/>
            <w:hideMark/>
          </w:tcPr>
          <w:p w14:paraId="3F255151" w14:textId="574B9841" w:rsidR="008F416E" w:rsidRPr="008F416E" w:rsidRDefault="008F416E" w:rsidP="008F416E">
            <w:pPr>
              <w:spacing w:line="240" w:lineRule="auto"/>
              <w:rPr>
                <w:b/>
                <w:bCs/>
                <w:lang w:val="en-KE"/>
              </w:rPr>
            </w:pPr>
            <w:r w:rsidRPr="008F416E">
              <w:rPr>
                <w:b/>
                <w:bCs/>
                <w:lang w:val="en-KE"/>
              </w:rPr>
              <w:t>Uptake of Fertilizers</w:t>
            </w:r>
          </w:p>
        </w:tc>
      </w:tr>
      <w:tr w:rsidR="008F416E" w:rsidRPr="008F416E" w14:paraId="64C6BE83" w14:textId="77777777" w:rsidTr="008F416E">
        <w:trPr>
          <w:tblCellSpacing w:w="15" w:type="dxa"/>
        </w:trPr>
        <w:tc>
          <w:tcPr>
            <w:tcW w:w="1427" w:type="dxa"/>
            <w:tcBorders>
              <w:top w:val="single" w:sz="4" w:space="0" w:color="auto"/>
              <w:right w:val="single" w:sz="4" w:space="0" w:color="auto"/>
            </w:tcBorders>
            <w:vAlign w:val="center"/>
            <w:hideMark/>
          </w:tcPr>
          <w:p w14:paraId="3A64F245" w14:textId="77777777" w:rsidR="008F416E" w:rsidRPr="008F416E" w:rsidRDefault="008F416E" w:rsidP="008F416E">
            <w:pPr>
              <w:spacing w:line="240" w:lineRule="auto"/>
              <w:rPr>
                <w:b/>
                <w:bCs/>
                <w:lang w:val="en-KE"/>
              </w:rPr>
            </w:pPr>
            <w:r w:rsidRPr="008F416E">
              <w:rPr>
                <w:b/>
                <w:bCs/>
                <w:lang w:val="en-KE"/>
              </w:rPr>
              <w:t>Pricing Reforms</w:t>
            </w:r>
          </w:p>
        </w:tc>
        <w:tc>
          <w:tcPr>
            <w:tcW w:w="1328" w:type="dxa"/>
            <w:tcBorders>
              <w:top w:val="single" w:sz="4" w:space="0" w:color="auto"/>
            </w:tcBorders>
            <w:vAlign w:val="center"/>
            <w:hideMark/>
          </w:tcPr>
          <w:p w14:paraId="4DAF18F5" w14:textId="77777777" w:rsidR="008F416E" w:rsidRPr="008F416E" w:rsidRDefault="008F416E" w:rsidP="008F416E">
            <w:pPr>
              <w:spacing w:line="240" w:lineRule="auto"/>
              <w:rPr>
                <w:lang w:val="en-KE"/>
              </w:rPr>
            </w:pPr>
            <w:r w:rsidRPr="008F416E">
              <w:rPr>
                <w:lang w:val="en-KE"/>
              </w:rPr>
              <w:t>1.000</w:t>
            </w:r>
          </w:p>
        </w:tc>
        <w:tc>
          <w:tcPr>
            <w:tcW w:w="254" w:type="dxa"/>
            <w:tcBorders>
              <w:top w:val="single" w:sz="4" w:space="0" w:color="auto"/>
            </w:tcBorders>
          </w:tcPr>
          <w:p w14:paraId="65671FAF" w14:textId="77777777" w:rsidR="008F416E" w:rsidRPr="008F416E" w:rsidRDefault="008F416E" w:rsidP="008F416E">
            <w:pPr>
              <w:spacing w:line="240" w:lineRule="auto"/>
              <w:rPr>
                <w:lang w:val="en-KE"/>
              </w:rPr>
            </w:pPr>
          </w:p>
        </w:tc>
        <w:tc>
          <w:tcPr>
            <w:tcW w:w="1813" w:type="dxa"/>
            <w:tcBorders>
              <w:top w:val="single" w:sz="4" w:space="0" w:color="auto"/>
            </w:tcBorders>
            <w:vAlign w:val="center"/>
            <w:hideMark/>
          </w:tcPr>
          <w:p w14:paraId="515D4B51" w14:textId="0696E1F5" w:rsidR="008F416E" w:rsidRPr="008F416E" w:rsidRDefault="008F416E" w:rsidP="008F416E">
            <w:pPr>
              <w:spacing w:line="240" w:lineRule="auto"/>
              <w:rPr>
                <w:lang w:val="en-KE"/>
              </w:rPr>
            </w:pPr>
            <w:r w:rsidRPr="008F416E">
              <w:rPr>
                <w:lang w:val="en-KE"/>
              </w:rPr>
              <w:t>0.205</w:t>
            </w:r>
          </w:p>
        </w:tc>
        <w:tc>
          <w:tcPr>
            <w:tcW w:w="395" w:type="dxa"/>
            <w:tcBorders>
              <w:top w:val="single" w:sz="4" w:space="0" w:color="auto"/>
            </w:tcBorders>
          </w:tcPr>
          <w:p w14:paraId="580EE7B9" w14:textId="77777777" w:rsidR="008F416E" w:rsidRPr="008F416E" w:rsidRDefault="008F416E" w:rsidP="008F416E">
            <w:pPr>
              <w:spacing w:line="240" w:lineRule="auto"/>
              <w:rPr>
                <w:lang w:val="en-KE"/>
              </w:rPr>
            </w:pPr>
          </w:p>
        </w:tc>
        <w:tc>
          <w:tcPr>
            <w:tcW w:w="1954" w:type="dxa"/>
            <w:tcBorders>
              <w:top w:val="single" w:sz="4" w:space="0" w:color="auto"/>
            </w:tcBorders>
            <w:vAlign w:val="center"/>
            <w:hideMark/>
          </w:tcPr>
          <w:p w14:paraId="031F33E0" w14:textId="70DC8CB5" w:rsidR="008F416E" w:rsidRPr="008F416E" w:rsidRDefault="008F416E" w:rsidP="008F416E">
            <w:pPr>
              <w:spacing w:line="240" w:lineRule="auto"/>
              <w:rPr>
                <w:lang w:val="en-KE"/>
              </w:rPr>
            </w:pPr>
            <w:r w:rsidRPr="008F416E">
              <w:rPr>
                <w:lang w:val="en-KE"/>
              </w:rPr>
              <w:t>-0.054</w:t>
            </w:r>
          </w:p>
        </w:tc>
        <w:tc>
          <w:tcPr>
            <w:tcW w:w="254" w:type="dxa"/>
            <w:tcBorders>
              <w:top w:val="single" w:sz="4" w:space="0" w:color="auto"/>
            </w:tcBorders>
          </w:tcPr>
          <w:p w14:paraId="63A3FA79" w14:textId="77777777" w:rsidR="008F416E" w:rsidRPr="008F416E" w:rsidRDefault="008F416E" w:rsidP="008F416E">
            <w:pPr>
              <w:spacing w:line="240" w:lineRule="auto"/>
              <w:rPr>
                <w:lang w:val="en-KE"/>
              </w:rPr>
            </w:pPr>
          </w:p>
        </w:tc>
        <w:tc>
          <w:tcPr>
            <w:tcW w:w="1321" w:type="dxa"/>
            <w:tcBorders>
              <w:top w:val="single" w:sz="4" w:space="0" w:color="auto"/>
            </w:tcBorders>
            <w:vAlign w:val="center"/>
            <w:hideMark/>
          </w:tcPr>
          <w:p w14:paraId="5F15DCDC" w14:textId="103530F6" w:rsidR="008F416E" w:rsidRPr="008F416E" w:rsidRDefault="008F416E" w:rsidP="008F416E">
            <w:pPr>
              <w:spacing w:line="240" w:lineRule="auto"/>
              <w:rPr>
                <w:lang w:val="en-KE"/>
              </w:rPr>
            </w:pPr>
            <w:r w:rsidRPr="008F416E">
              <w:rPr>
                <w:lang w:val="en-KE"/>
              </w:rPr>
              <w:t>0.562</w:t>
            </w:r>
          </w:p>
        </w:tc>
      </w:tr>
      <w:tr w:rsidR="008F416E" w:rsidRPr="008F416E" w14:paraId="192ABE30" w14:textId="77777777" w:rsidTr="008F416E">
        <w:trPr>
          <w:tblCellSpacing w:w="15" w:type="dxa"/>
        </w:trPr>
        <w:tc>
          <w:tcPr>
            <w:tcW w:w="1427" w:type="dxa"/>
            <w:tcBorders>
              <w:right w:val="single" w:sz="4" w:space="0" w:color="auto"/>
            </w:tcBorders>
            <w:vAlign w:val="center"/>
            <w:hideMark/>
          </w:tcPr>
          <w:p w14:paraId="37878939" w14:textId="77777777" w:rsidR="008F416E" w:rsidRPr="008F416E" w:rsidRDefault="008F416E" w:rsidP="008F416E">
            <w:pPr>
              <w:spacing w:line="240" w:lineRule="auto"/>
              <w:rPr>
                <w:b/>
                <w:bCs/>
                <w:lang w:val="en-KE"/>
              </w:rPr>
            </w:pPr>
            <w:r w:rsidRPr="008F416E">
              <w:rPr>
                <w:b/>
                <w:bCs/>
                <w:lang w:val="en-KE"/>
              </w:rPr>
              <w:t>Distribution Model Changes</w:t>
            </w:r>
          </w:p>
        </w:tc>
        <w:tc>
          <w:tcPr>
            <w:tcW w:w="1328" w:type="dxa"/>
            <w:vAlign w:val="center"/>
            <w:hideMark/>
          </w:tcPr>
          <w:p w14:paraId="65A81D2E" w14:textId="77777777" w:rsidR="008F416E" w:rsidRPr="008F416E" w:rsidRDefault="008F416E" w:rsidP="008F416E">
            <w:pPr>
              <w:spacing w:line="240" w:lineRule="auto"/>
              <w:rPr>
                <w:lang w:val="en-KE"/>
              </w:rPr>
            </w:pPr>
            <w:r w:rsidRPr="008F416E">
              <w:rPr>
                <w:lang w:val="en-KE"/>
              </w:rPr>
              <w:t>0.205</w:t>
            </w:r>
          </w:p>
        </w:tc>
        <w:tc>
          <w:tcPr>
            <w:tcW w:w="254" w:type="dxa"/>
          </w:tcPr>
          <w:p w14:paraId="2B2256D2" w14:textId="77777777" w:rsidR="008F416E" w:rsidRPr="008F416E" w:rsidRDefault="008F416E" w:rsidP="008F416E">
            <w:pPr>
              <w:spacing w:line="240" w:lineRule="auto"/>
              <w:rPr>
                <w:lang w:val="en-KE"/>
              </w:rPr>
            </w:pPr>
          </w:p>
        </w:tc>
        <w:tc>
          <w:tcPr>
            <w:tcW w:w="1813" w:type="dxa"/>
            <w:vAlign w:val="center"/>
            <w:hideMark/>
          </w:tcPr>
          <w:p w14:paraId="7D7466DE" w14:textId="403778CE" w:rsidR="008F416E" w:rsidRPr="008F416E" w:rsidRDefault="008F416E" w:rsidP="008F416E">
            <w:pPr>
              <w:spacing w:line="240" w:lineRule="auto"/>
              <w:rPr>
                <w:lang w:val="en-KE"/>
              </w:rPr>
            </w:pPr>
            <w:r w:rsidRPr="008F416E">
              <w:rPr>
                <w:lang w:val="en-KE"/>
              </w:rPr>
              <w:t>1.000</w:t>
            </w:r>
          </w:p>
        </w:tc>
        <w:tc>
          <w:tcPr>
            <w:tcW w:w="395" w:type="dxa"/>
          </w:tcPr>
          <w:p w14:paraId="002672A2" w14:textId="77777777" w:rsidR="008F416E" w:rsidRPr="008F416E" w:rsidRDefault="008F416E" w:rsidP="008F416E">
            <w:pPr>
              <w:spacing w:line="240" w:lineRule="auto"/>
              <w:rPr>
                <w:lang w:val="en-KE"/>
              </w:rPr>
            </w:pPr>
          </w:p>
        </w:tc>
        <w:tc>
          <w:tcPr>
            <w:tcW w:w="1954" w:type="dxa"/>
            <w:vAlign w:val="center"/>
            <w:hideMark/>
          </w:tcPr>
          <w:p w14:paraId="759B47D5" w14:textId="4EDC9AAB" w:rsidR="008F416E" w:rsidRPr="008F416E" w:rsidRDefault="008F416E" w:rsidP="008F416E">
            <w:pPr>
              <w:spacing w:line="240" w:lineRule="auto"/>
              <w:rPr>
                <w:lang w:val="en-KE"/>
              </w:rPr>
            </w:pPr>
            <w:r w:rsidRPr="008F416E">
              <w:rPr>
                <w:lang w:val="en-KE"/>
              </w:rPr>
              <w:t>0.005</w:t>
            </w:r>
          </w:p>
        </w:tc>
        <w:tc>
          <w:tcPr>
            <w:tcW w:w="254" w:type="dxa"/>
          </w:tcPr>
          <w:p w14:paraId="61FF85C2" w14:textId="77777777" w:rsidR="008F416E" w:rsidRPr="008F416E" w:rsidRDefault="008F416E" w:rsidP="008F416E">
            <w:pPr>
              <w:spacing w:line="240" w:lineRule="auto"/>
              <w:rPr>
                <w:lang w:val="en-KE"/>
              </w:rPr>
            </w:pPr>
          </w:p>
        </w:tc>
        <w:tc>
          <w:tcPr>
            <w:tcW w:w="1321" w:type="dxa"/>
            <w:vAlign w:val="center"/>
            <w:hideMark/>
          </w:tcPr>
          <w:p w14:paraId="611FB9E0" w14:textId="24CCDB23" w:rsidR="008F416E" w:rsidRPr="008F416E" w:rsidRDefault="008F416E" w:rsidP="008F416E">
            <w:pPr>
              <w:spacing w:line="240" w:lineRule="auto"/>
              <w:rPr>
                <w:lang w:val="en-KE"/>
              </w:rPr>
            </w:pPr>
            <w:r w:rsidRPr="008F416E">
              <w:rPr>
                <w:lang w:val="en-KE"/>
              </w:rPr>
              <w:t>0.525</w:t>
            </w:r>
          </w:p>
        </w:tc>
      </w:tr>
      <w:tr w:rsidR="008F416E" w:rsidRPr="008F416E" w14:paraId="24289B8D" w14:textId="77777777" w:rsidTr="008F416E">
        <w:trPr>
          <w:tblCellSpacing w:w="15" w:type="dxa"/>
        </w:trPr>
        <w:tc>
          <w:tcPr>
            <w:tcW w:w="1427" w:type="dxa"/>
            <w:tcBorders>
              <w:right w:val="single" w:sz="4" w:space="0" w:color="auto"/>
            </w:tcBorders>
            <w:vAlign w:val="center"/>
            <w:hideMark/>
          </w:tcPr>
          <w:p w14:paraId="17CEFBED" w14:textId="77777777" w:rsidR="008F416E" w:rsidRPr="008F416E" w:rsidRDefault="008F416E" w:rsidP="008F416E">
            <w:pPr>
              <w:spacing w:line="240" w:lineRule="auto"/>
              <w:rPr>
                <w:b/>
                <w:bCs/>
                <w:lang w:val="en-KE"/>
              </w:rPr>
            </w:pPr>
            <w:r w:rsidRPr="008F416E">
              <w:rPr>
                <w:b/>
                <w:bCs/>
                <w:lang w:val="en-KE"/>
              </w:rPr>
              <w:t>Revised Targeting Criteria</w:t>
            </w:r>
          </w:p>
        </w:tc>
        <w:tc>
          <w:tcPr>
            <w:tcW w:w="1328" w:type="dxa"/>
            <w:vAlign w:val="center"/>
            <w:hideMark/>
          </w:tcPr>
          <w:p w14:paraId="7AA36752" w14:textId="77777777" w:rsidR="008F416E" w:rsidRPr="008F416E" w:rsidRDefault="008F416E" w:rsidP="008F416E">
            <w:pPr>
              <w:spacing w:line="240" w:lineRule="auto"/>
              <w:rPr>
                <w:lang w:val="en-KE"/>
              </w:rPr>
            </w:pPr>
            <w:r w:rsidRPr="008F416E">
              <w:rPr>
                <w:lang w:val="en-KE"/>
              </w:rPr>
              <w:t>-0.054</w:t>
            </w:r>
          </w:p>
        </w:tc>
        <w:tc>
          <w:tcPr>
            <w:tcW w:w="254" w:type="dxa"/>
          </w:tcPr>
          <w:p w14:paraId="6DF688BD" w14:textId="77777777" w:rsidR="008F416E" w:rsidRPr="008F416E" w:rsidRDefault="008F416E" w:rsidP="008F416E">
            <w:pPr>
              <w:spacing w:line="240" w:lineRule="auto"/>
              <w:rPr>
                <w:lang w:val="en-KE"/>
              </w:rPr>
            </w:pPr>
          </w:p>
        </w:tc>
        <w:tc>
          <w:tcPr>
            <w:tcW w:w="1813" w:type="dxa"/>
            <w:vAlign w:val="center"/>
            <w:hideMark/>
          </w:tcPr>
          <w:p w14:paraId="69BFA5C7" w14:textId="5F6983EA" w:rsidR="008F416E" w:rsidRPr="008F416E" w:rsidRDefault="008F416E" w:rsidP="008F416E">
            <w:pPr>
              <w:spacing w:line="240" w:lineRule="auto"/>
              <w:rPr>
                <w:lang w:val="en-KE"/>
              </w:rPr>
            </w:pPr>
            <w:r w:rsidRPr="008F416E">
              <w:rPr>
                <w:lang w:val="en-KE"/>
              </w:rPr>
              <w:t>0.005</w:t>
            </w:r>
          </w:p>
        </w:tc>
        <w:tc>
          <w:tcPr>
            <w:tcW w:w="395" w:type="dxa"/>
          </w:tcPr>
          <w:p w14:paraId="02B8BF4C" w14:textId="77777777" w:rsidR="008F416E" w:rsidRPr="008F416E" w:rsidRDefault="008F416E" w:rsidP="008F416E">
            <w:pPr>
              <w:spacing w:line="240" w:lineRule="auto"/>
              <w:rPr>
                <w:lang w:val="en-KE"/>
              </w:rPr>
            </w:pPr>
          </w:p>
        </w:tc>
        <w:tc>
          <w:tcPr>
            <w:tcW w:w="1954" w:type="dxa"/>
            <w:vAlign w:val="center"/>
            <w:hideMark/>
          </w:tcPr>
          <w:p w14:paraId="7847C032" w14:textId="5E086287" w:rsidR="008F416E" w:rsidRPr="008F416E" w:rsidRDefault="008F416E" w:rsidP="008F416E">
            <w:pPr>
              <w:spacing w:line="240" w:lineRule="auto"/>
              <w:rPr>
                <w:lang w:val="en-KE"/>
              </w:rPr>
            </w:pPr>
            <w:r w:rsidRPr="008F416E">
              <w:rPr>
                <w:lang w:val="en-KE"/>
              </w:rPr>
              <w:t>1.000</w:t>
            </w:r>
          </w:p>
        </w:tc>
        <w:tc>
          <w:tcPr>
            <w:tcW w:w="254" w:type="dxa"/>
          </w:tcPr>
          <w:p w14:paraId="092864AE" w14:textId="77777777" w:rsidR="008F416E" w:rsidRPr="008F416E" w:rsidRDefault="008F416E" w:rsidP="008F416E">
            <w:pPr>
              <w:spacing w:line="240" w:lineRule="auto"/>
              <w:rPr>
                <w:lang w:val="en-KE"/>
              </w:rPr>
            </w:pPr>
          </w:p>
        </w:tc>
        <w:tc>
          <w:tcPr>
            <w:tcW w:w="1321" w:type="dxa"/>
            <w:vAlign w:val="center"/>
            <w:hideMark/>
          </w:tcPr>
          <w:p w14:paraId="73A5367F" w14:textId="22BB5E96" w:rsidR="008F416E" w:rsidRPr="008F416E" w:rsidRDefault="008F416E" w:rsidP="008F416E">
            <w:pPr>
              <w:spacing w:line="240" w:lineRule="auto"/>
              <w:rPr>
                <w:lang w:val="en-KE"/>
              </w:rPr>
            </w:pPr>
            <w:r w:rsidRPr="008F416E">
              <w:rPr>
                <w:lang w:val="en-KE"/>
              </w:rPr>
              <w:t>0.293</w:t>
            </w:r>
          </w:p>
        </w:tc>
      </w:tr>
      <w:tr w:rsidR="008F416E" w:rsidRPr="008F416E" w14:paraId="0A519BB5" w14:textId="77777777" w:rsidTr="008F416E">
        <w:trPr>
          <w:tblCellSpacing w:w="15" w:type="dxa"/>
        </w:trPr>
        <w:tc>
          <w:tcPr>
            <w:tcW w:w="1427" w:type="dxa"/>
            <w:tcBorders>
              <w:bottom w:val="single" w:sz="4" w:space="0" w:color="auto"/>
              <w:right w:val="single" w:sz="4" w:space="0" w:color="auto"/>
            </w:tcBorders>
            <w:vAlign w:val="center"/>
            <w:hideMark/>
          </w:tcPr>
          <w:p w14:paraId="44E43BFA" w14:textId="77777777" w:rsidR="008F416E" w:rsidRPr="008F416E" w:rsidRDefault="008F416E" w:rsidP="008F416E">
            <w:pPr>
              <w:spacing w:line="240" w:lineRule="auto"/>
              <w:rPr>
                <w:b/>
                <w:bCs/>
                <w:lang w:val="en-KE"/>
              </w:rPr>
            </w:pPr>
            <w:r w:rsidRPr="008F416E">
              <w:rPr>
                <w:b/>
                <w:bCs/>
                <w:lang w:val="en-KE"/>
              </w:rPr>
              <w:t>Uptake of Fertilizers</w:t>
            </w:r>
          </w:p>
        </w:tc>
        <w:tc>
          <w:tcPr>
            <w:tcW w:w="1328" w:type="dxa"/>
            <w:tcBorders>
              <w:bottom w:val="single" w:sz="4" w:space="0" w:color="auto"/>
            </w:tcBorders>
            <w:vAlign w:val="center"/>
            <w:hideMark/>
          </w:tcPr>
          <w:p w14:paraId="02DDB1CD" w14:textId="77777777" w:rsidR="008F416E" w:rsidRPr="008F416E" w:rsidRDefault="008F416E" w:rsidP="008F416E">
            <w:pPr>
              <w:spacing w:line="240" w:lineRule="auto"/>
              <w:rPr>
                <w:lang w:val="en-KE"/>
              </w:rPr>
            </w:pPr>
            <w:r w:rsidRPr="008F416E">
              <w:rPr>
                <w:lang w:val="en-KE"/>
              </w:rPr>
              <w:t>0.562</w:t>
            </w:r>
          </w:p>
        </w:tc>
        <w:tc>
          <w:tcPr>
            <w:tcW w:w="254" w:type="dxa"/>
            <w:tcBorders>
              <w:bottom w:val="single" w:sz="4" w:space="0" w:color="auto"/>
            </w:tcBorders>
          </w:tcPr>
          <w:p w14:paraId="6972C357" w14:textId="77777777" w:rsidR="008F416E" w:rsidRPr="008F416E" w:rsidRDefault="008F416E" w:rsidP="008F416E">
            <w:pPr>
              <w:spacing w:line="240" w:lineRule="auto"/>
              <w:rPr>
                <w:lang w:val="en-KE"/>
              </w:rPr>
            </w:pPr>
          </w:p>
        </w:tc>
        <w:tc>
          <w:tcPr>
            <w:tcW w:w="1813" w:type="dxa"/>
            <w:tcBorders>
              <w:bottom w:val="single" w:sz="4" w:space="0" w:color="auto"/>
            </w:tcBorders>
            <w:vAlign w:val="center"/>
            <w:hideMark/>
          </w:tcPr>
          <w:p w14:paraId="0DFABFFF" w14:textId="25E8A79C" w:rsidR="008F416E" w:rsidRPr="008F416E" w:rsidRDefault="008F416E" w:rsidP="008F416E">
            <w:pPr>
              <w:spacing w:line="240" w:lineRule="auto"/>
              <w:rPr>
                <w:lang w:val="en-KE"/>
              </w:rPr>
            </w:pPr>
            <w:r w:rsidRPr="008F416E">
              <w:rPr>
                <w:lang w:val="en-KE"/>
              </w:rPr>
              <w:t>0.525</w:t>
            </w:r>
          </w:p>
        </w:tc>
        <w:tc>
          <w:tcPr>
            <w:tcW w:w="395" w:type="dxa"/>
            <w:tcBorders>
              <w:bottom w:val="single" w:sz="4" w:space="0" w:color="auto"/>
            </w:tcBorders>
          </w:tcPr>
          <w:p w14:paraId="0EF5338D" w14:textId="77777777" w:rsidR="008F416E" w:rsidRPr="008F416E" w:rsidRDefault="008F416E" w:rsidP="008F416E">
            <w:pPr>
              <w:spacing w:line="240" w:lineRule="auto"/>
              <w:rPr>
                <w:lang w:val="en-KE"/>
              </w:rPr>
            </w:pPr>
          </w:p>
        </w:tc>
        <w:tc>
          <w:tcPr>
            <w:tcW w:w="1954" w:type="dxa"/>
            <w:tcBorders>
              <w:bottom w:val="single" w:sz="4" w:space="0" w:color="auto"/>
            </w:tcBorders>
            <w:vAlign w:val="center"/>
            <w:hideMark/>
          </w:tcPr>
          <w:p w14:paraId="67A447CB" w14:textId="048F77D7" w:rsidR="008F416E" w:rsidRPr="008F416E" w:rsidRDefault="008F416E" w:rsidP="008F416E">
            <w:pPr>
              <w:spacing w:line="240" w:lineRule="auto"/>
              <w:rPr>
                <w:lang w:val="en-KE"/>
              </w:rPr>
            </w:pPr>
            <w:r w:rsidRPr="008F416E">
              <w:rPr>
                <w:lang w:val="en-KE"/>
              </w:rPr>
              <w:t>0.293</w:t>
            </w:r>
          </w:p>
        </w:tc>
        <w:tc>
          <w:tcPr>
            <w:tcW w:w="254" w:type="dxa"/>
            <w:tcBorders>
              <w:bottom w:val="single" w:sz="4" w:space="0" w:color="auto"/>
            </w:tcBorders>
          </w:tcPr>
          <w:p w14:paraId="59DAD036" w14:textId="77777777" w:rsidR="008F416E" w:rsidRPr="008F416E" w:rsidRDefault="008F416E" w:rsidP="008F416E">
            <w:pPr>
              <w:spacing w:line="240" w:lineRule="auto"/>
              <w:rPr>
                <w:lang w:val="en-KE"/>
              </w:rPr>
            </w:pPr>
          </w:p>
        </w:tc>
        <w:tc>
          <w:tcPr>
            <w:tcW w:w="1321" w:type="dxa"/>
            <w:tcBorders>
              <w:bottom w:val="single" w:sz="4" w:space="0" w:color="auto"/>
            </w:tcBorders>
            <w:vAlign w:val="center"/>
            <w:hideMark/>
          </w:tcPr>
          <w:p w14:paraId="24632365" w14:textId="6DAB25EC" w:rsidR="008F416E" w:rsidRPr="008F416E" w:rsidRDefault="008F416E" w:rsidP="008F416E">
            <w:pPr>
              <w:spacing w:line="240" w:lineRule="auto"/>
              <w:rPr>
                <w:lang w:val="en-KE"/>
              </w:rPr>
            </w:pPr>
            <w:r w:rsidRPr="008F416E">
              <w:rPr>
                <w:lang w:val="en-KE"/>
              </w:rPr>
              <w:t>1.000</w:t>
            </w:r>
          </w:p>
        </w:tc>
      </w:tr>
    </w:tbl>
    <w:p w14:paraId="432D2B8D" w14:textId="488AA9BB" w:rsidR="0081770D" w:rsidRDefault="0081770D" w:rsidP="0081770D">
      <w:pPr>
        <w:spacing w:line="360" w:lineRule="auto"/>
      </w:pPr>
      <w:r>
        <w:t xml:space="preserve">The findings presented in Table 4.6 indicate that pricing reforms had a positive correlation with uptake of fertilizers (r = 0.562). The findings suggest a moderate positive relationship between pricing reforms and fertilizer uptake among smallholder farmers. This implies that improvements in fertilizer pricing policies such as subsidies and affordability are associated </w:t>
      </w:r>
      <w:r>
        <w:lastRenderedPageBreak/>
        <w:t>with increased fertilizer usage.</w:t>
      </w:r>
      <w:r>
        <w:t xml:space="preserve"> </w:t>
      </w:r>
      <w:r>
        <w:t>The findings further show that distribution model changes had a positive correlation with uptake of fertilizers (r = 0.525). The results indicate a moderate positive relationship between fertilizer distribution systems and fertilizer uptake. This suggests that improved accessibility to fertilizer outlets, increased outlet density, and consistent fertilizer supply positively influence fertilizer adoption among smallholder farmers.</w:t>
      </w:r>
    </w:p>
    <w:p w14:paraId="678B8ED2" w14:textId="4A2619BE" w:rsidR="0081770D" w:rsidRDefault="0081770D" w:rsidP="0081770D">
      <w:pPr>
        <w:spacing w:line="360" w:lineRule="auto"/>
      </w:pPr>
      <w:r>
        <w:t>The findings also revealed that revised targeting criteria had a positive correlation with uptake of fertilizers (r = 0.293). The results indicate a weak positive relationship between targeting mechanisms and fertilizer uptake. This implies that farmer registration systems, voucher timing, and voucher redemption practices moderately contribute to improved fertilizer usage among farmers.</w:t>
      </w:r>
      <w:r>
        <w:t xml:space="preserve"> </w:t>
      </w:r>
      <w:r>
        <w:t>The correlation between pricing reforms and distribution model changes was positive but weak (r = 0.205). This suggests that improvements in fertilizer pricing policies are slightly associated with improvements in fertilizer distribution systems.</w:t>
      </w:r>
    </w:p>
    <w:p w14:paraId="2DD6BD51" w14:textId="05D87DA7" w:rsidR="008F416E" w:rsidRDefault="0081770D" w:rsidP="0081770D">
      <w:pPr>
        <w:spacing w:line="360" w:lineRule="auto"/>
      </w:pPr>
      <w:r>
        <w:t>The findings further indicate a very weak negative correlation between pricing reforms and revised targeting criteria (r = -0.054). The negative coefficient suggests that changes in pricing reforms have minimal inverse association with revised targeting mechanisms.</w:t>
      </w:r>
      <w:r>
        <w:t xml:space="preserve"> </w:t>
      </w:r>
      <w:r>
        <w:t>The relationship between distribution model changes and revised targeting criteria was almost negligible (r = 0.005). This indicates that the two variables are largely independent and do not strongly influence each other within the context of the fertilizer subsidy program.</w:t>
      </w:r>
      <w:r>
        <w:t xml:space="preserve"> T</w:t>
      </w:r>
      <w:r>
        <w:t>he findings indicate that pricing reforms and distribution model changes recorded the strongest positive relationships with uptake of fertilizers among smallholder farmers. The results therefore suggest that improving fertilizer affordability and strengthening fertilizer distribution systems significantly enhance fertilizer adoption and usage among smallholder farmers in Kenya.</w:t>
      </w:r>
    </w:p>
    <w:p w14:paraId="5D591B33" w14:textId="14CD83ED" w:rsidR="0081770D" w:rsidRDefault="0081770D" w:rsidP="0081770D">
      <w:pPr>
        <w:pStyle w:val="Heading2"/>
      </w:pPr>
      <w:r>
        <w:t xml:space="preserve">4.7 </w:t>
      </w:r>
      <w:r>
        <w:t>Multiple Regression Analysis</w:t>
      </w:r>
    </w:p>
    <w:p w14:paraId="5CFD6937" w14:textId="14EB8676" w:rsidR="0081770D" w:rsidRDefault="0081770D" w:rsidP="0081770D">
      <w:pPr>
        <w:spacing w:line="360" w:lineRule="auto"/>
      </w:pPr>
      <w:r>
        <w:t>Multiple regression analysis was conducted to determine the influence of pricing reforms, distribution model changes, and revised targeting criteria on smallholder farmers’ uptake of fertilizers in Kenya. The analysis was important in establishing the extent to which the independent variables jointly explain variations in fertilizer uptake among smallholder farmers.</w:t>
      </w:r>
    </w:p>
    <w:p w14:paraId="2A921F08" w14:textId="4C42FA12" w:rsidR="0081770D" w:rsidRPr="0081770D" w:rsidRDefault="0081770D" w:rsidP="0081770D">
      <w:pPr>
        <w:spacing w:line="360" w:lineRule="auto"/>
        <w:rPr>
          <w:b/>
          <w:bCs/>
        </w:rPr>
      </w:pPr>
      <w:r w:rsidRPr="0081770D">
        <w:rPr>
          <w:b/>
          <w:bCs/>
        </w:rPr>
        <w:t xml:space="preserve">Table 4.7 Model Summary </w:t>
      </w:r>
    </w:p>
    <w:tbl>
      <w:tblPr>
        <w:tblW w:w="8298" w:type="dxa"/>
        <w:tblCellSpacing w:w="15" w:type="dxa"/>
        <w:tblCellMar>
          <w:top w:w="15" w:type="dxa"/>
          <w:left w:w="15" w:type="dxa"/>
          <w:bottom w:w="15" w:type="dxa"/>
          <w:right w:w="15" w:type="dxa"/>
        </w:tblCellMar>
        <w:tblLook w:val="04A0" w:firstRow="1" w:lastRow="0" w:firstColumn="1" w:lastColumn="0" w:noHBand="0" w:noVBand="1"/>
      </w:tblPr>
      <w:tblGrid>
        <w:gridCol w:w="6040"/>
        <w:gridCol w:w="2258"/>
      </w:tblGrid>
      <w:tr w:rsidR="0081770D" w:rsidRPr="0081770D" w14:paraId="00ADE844" w14:textId="77777777" w:rsidTr="0081770D">
        <w:trPr>
          <w:trHeight w:val="651"/>
          <w:tblHeader/>
          <w:tblCellSpacing w:w="15" w:type="dxa"/>
        </w:trPr>
        <w:tc>
          <w:tcPr>
            <w:tcW w:w="0" w:type="auto"/>
            <w:tcBorders>
              <w:top w:val="single" w:sz="4" w:space="0" w:color="auto"/>
              <w:bottom w:val="single" w:sz="4" w:space="0" w:color="auto"/>
            </w:tcBorders>
            <w:vAlign w:val="center"/>
            <w:hideMark/>
          </w:tcPr>
          <w:p w14:paraId="347AD274" w14:textId="77777777" w:rsidR="0081770D" w:rsidRPr="0081770D" w:rsidRDefault="0081770D" w:rsidP="0081770D">
            <w:pPr>
              <w:spacing w:line="240" w:lineRule="auto"/>
              <w:rPr>
                <w:b/>
                <w:bCs/>
                <w:lang w:val="en-KE"/>
              </w:rPr>
            </w:pPr>
            <w:r w:rsidRPr="0081770D">
              <w:rPr>
                <w:b/>
                <w:bCs/>
                <w:lang w:val="en-KE"/>
              </w:rPr>
              <w:lastRenderedPageBreak/>
              <w:t>Statistic</w:t>
            </w:r>
          </w:p>
        </w:tc>
        <w:tc>
          <w:tcPr>
            <w:tcW w:w="0" w:type="auto"/>
            <w:tcBorders>
              <w:top w:val="single" w:sz="4" w:space="0" w:color="auto"/>
              <w:left w:val="single" w:sz="4" w:space="0" w:color="auto"/>
              <w:bottom w:val="single" w:sz="4" w:space="0" w:color="auto"/>
            </w:tcBorders>
            <w:vAlign w:val="center"/>
            <w:hideMark/>
          </w:tcPr>
          <w:p w14:paraId="66E8811B" w14:textId="77777777" w:rsidR="0081770D" w:rsidRPr="0081770D" w:rsidRDefault="0081770D" w:rsidP="0081770D">
            <w:pPr>
              <w:spacing w:line="240" w:lineRule="auto"/>
              <w:rPr>
                <w:b/>
                <w:bCs/>
                <w:lang w:val="en-KE"/>
              </w:rPr>
            </w:pPr>
            <w:r w:rsidRPr="0081770D">
              <w:rPr>
                <w:b/>
                <w:bCs/>
                <w:lang w:val="en-KE"/>
              </w:rPr>
              <w:t>Value</w:t>
            </w:r>
          </w:p>
        </w:tc>
      </w:tr>
      <w:tr w:rsidR="0081770D" w:rsidRPr="0081770D" w14:paraId="481B0A22" w14:textId="77777777" w:rsidTr="0081770D">
        <w:trPr>
          <w:trHeight w:val="661"/>
          <w:tblCellSpacing w:w="15" w:type="dxa"/>
        </w:trPr>
        <w:tc>
          <w:tcPr>
            <w:tcW w:w="0" w:type="auto"/>
            <w:vAlign w:val="center"/>
            <w:hideMark/>
          </w:tcPr>
          <w:p w14:paraId="2AB42B0E" w14:textId="77777777" w:rsidR="0081770D" w:rsidRPr="0081770D" w:rsidRDefault="0081770D" w:rsidP="0081770D">
            <w:pPr>
              <w:spacing w:line="240" w:lineRule="auto"/>
              <w:rPr>
                <w:lang w:val="en-KE"/>
              </w:rPr>
            </w:pPr>
            <w:r w:rsidRPr="0081770D">
              <w:rPr>
                <w:lang w:val="en-KE"/>
              </w:rPr>
              <w:t>R-squared</w:t>
            </w:r>
          </w:p>
        </w:tc>
        <w:tc>
          <w:tcPr>
            <w:tcW w:w="0" w:type="auto"/>
            <w:tcBorders>
              <w:left w:val="single" w:sz="4" w:space="0" w:color="auto"/>
            </w:tcBorders>
            <w:vAlign w:val="center"/>
            <w:hideMark/>
          </w:tcPr>
          <w:p w14:paraId="5CE49453" w14:textId="77777777" w:rsidR="0081770D" w:rsidRPr="0081770D" w:rsidRDefault="0081770D" w:rsidP="0081770D">
            <w:pPr>
              <w:spacing w:line="240" w:lineRule="auto"/>
              <w:rPr>
                <w:lang w:val="en-KE"/>
              </w:rPr>
            </w:pPr>
            <w:r w:rsidRPr="0081770D">
              <w:rPr>
                <w:lang w:val="en-KE"/>
              </w:rPr>
              <w:t>0.592</w:t>
            </w:r>
          </w:p>
        </w:tc>
      </w:tr>
      <w:tr w:rsidR="0081770D" w:rsidRPr="0081770D" w14:paraId="30FF9A2D" w14:textId="77777777" w:rsidTr="0081770D">
        <w:trPr>
          <w:trHeight w:val="651"/>
          <w:tblCellSpacing w:w="15" w:type="dxa"/>
        </w:trPr>
        <w:tc>
          <w:tcPr>
            <w:tcW w:w="0" w:type="auto"/>
            <w:vAlign w:val="center"/>
            <w:hideMark/>
          </w:tcPr>
          <w:p w14:paraId="50609191" w14:textId="77777777" w:rsidR="0081770D" w:rsidRPr="0081770D" w:rsidRDefault="0081770D" w:rsidP="0081770D">
            <w:pPr>
              <w:spacing w:line="240" w:lineRule="auto"/>
              <w:rPr>
                <w:lang w:val="en-KE"/>
              </w:rPr>
            </w:pPr>
            <w:r w:rsidRPr="0081770D">
              <w:rPr>
                <w:lang w:val="en-KE"/>
              </w:rPr>
              <w:t>Adjusted R-squared</w:t>
            </w:r>
          </w:p>
        </w:tc>
        <w:tc>
          <w:tcPr>
            <w:tcW w:w="0" w:type="auto"/>
            <w:tcBorders>
              <w:left w:val="single" w:sz="4" w:space="0" w:color="auto"/>
            </w:tcBorders>
            <w:vAlign w:val="center"/>
            <w:hideMark/>
          </w:tcPr>
          <w:p w14:paraId="23BD5200" w14:textId="77777777" w:rsidR="0081770D" w:rsidRPr="0081770D" w:rsidRDefault="0081770D" w:rsidP="0081770D">
            <w:pPr>
              <w:spacing w:line="240" w:lineRule="auto"/>
              <w:rPr>
                <w:lang w:val="en-KE"/>
              </w:rPr>
            </w:pPr>
            <w:r w:rsidRPr="0081770D">
              <w:rPr>
                <w:lang w:val="en-KE"/>
              </w:rPr>
              <w:t>0.587</w:t>
            </w:r>
          </w:p>
        </w:tc>
      </w:tr>
      <w:tr w:rsidR="0081770D" w:rsidRPr="0081770D" w14:paraId="77EBFCA4" w14:textId="77777777" w:rsidTr="0081770D">
        <w:trPr>
          <w:trHeight w:val="661"/>
          <w:tblCellSpacing w:w="15" w:type="dxa"/>
        </w:trPr>
        <w:tc>
          <w:tcPr>
            <w:tcW w:w="0" w:type="auto"/>
            <w:vAlign w:val="center"/>
            <w:hideMark/>
          </w:tcPr>
          <w:p w14:paraId="58CA7176" w14:textId="77777777" w:rsidR="0081770D" w:rsidRPr="0081770D" w:rsidRDefault="0081770D" w:rsidP="0081770D">
            <w:pPr>
              <w:spacing w:line="240" w:lineRule="auto"/>
              <w:rPr>
                <w:lang w:val="en-KE"/>
              </w:rPr>
            </w:pPr>
            <w:r w:rsidRPr="0081770D">
              <w:rPr>
                <w:lang w:val="en-KE"/>
              </w:rPr>
              <w:t>F-statistic</w:t>
            </w:r>
          </w:p>
        </w:tc>
        <w:tc>
          <w:tcPr>
            <w:tcW w:w="0" w:type="auto"/>
            <w:tcBorders>
              <w:left w:val="single" w:sz="4" w:space="0" w:color="auto"/>
            </w:tcBorders>
            <w:vAlign w:val="center"/>
            <w:hideMark/>
          </w:tcPr>
          <w:p w14:paraId="696F8FC9" w14:textId="77777777" w:rsidR="0081770D" w:rsidRPr="0081770D" w:rsidRDefault="0081770D" w:rsidP="0081770D">
            <w:pPr>
              <w:spacing w:line="240" w:lineRule="auto"/>
              <w:rPr>
                <w:lang w:val="en-KE"/>
              </w:rPr>
            </w:pPr>
            <w:r w:rsidRPr="0081770D">
              <w:rPr>
                <w:lang w:val="en-KE"/>
              </w:rPr>
              <w:t>126.1</w:t>
            </w:r>
          </w:p>
        </w:tc>
      </w:tr>
      <w:tr w:rsidR="0081770D" w:rsidRPr="0081770D" w14:paraId="172CA410" w14:textId="77777777" w:rsidTr="0081770D">
        <w:trPr>
          <w:trHeight w:val="651"/>
          <w:tblCellSpacing w:w="15" w:type="dxa"/>
        </w:trPr>
        <w:tc>
          <w:tcPr>
            <w:tcW w:w="0" w:type="auto"/>
            <w:vAlign w:val="center"/>
            <w:hideMark/>
          </w:tcPr>
          <w:p w14:paraId="33480BA0" w14:textId="77777777" w:rsidR="0081770D" w:rsidRPr="0081770D" w:rsidRDefault="0081770D" w:rsidP="0081770D">
            <w:pPr>
              <w:spacing w:line="240" w:lineRule="auto"/>
              <w:rPr>
                <w:lang w:val="en-KE"/>
              </w:rPr>
            </w:pPr>
            <w:r w:rsidRPr="0081770D">
              <w:rPr>
                <w:lang w:val="en-KE"/>
              </w:rPr>
              <w:t>Prob (F-statistic)</w:t>
            </w:r>
          </w:p>
        </w:tc>
        <w:tc>
          <w:tcPr>
            <w:tcW w:w="0" w:type="auto"/>
            <w:tcBorders>
              <w:left w:val="single" w:sz="4" w:space="0" w:color="auto"/>
            </w:tcBorders>
            <w:vAlign w:val="center"/>
            <w:hideMark/>
          </w:tcPr>
          <w:p w14:paraId="6DF2D044" w14:textId="77777777" w:rsidR="0081770D" w:rsidRPr="0081770D" w:rsidRDefault="0081770D" w:rsidP="0081770D">
            <w:pPr>
              <w:spacing w:line="240" w:lineRule="auto"/>
              <w:rPr>
                <w:lang w:val="en-KE"/>
              </w:rPr>
            </w:pPr>
            <w:r w:rsidRPr="0081770D">
              <w:rPr>
                <w:lang w:val="en-KE"/>
              </w:rPr>
              <w:t>1.68e-50</w:t>
            </w:r>
          </w:p>
        </w:tc>
      </w:tr>
      <w:tr w:rsidR="0081770D" w:rsidRPr="0081770D" w14:paraId="06C275DA" w14:textId="77777777" w:rsidTr="0081770D">
        <w:trPr>
          <w:trHeight w:val="651"/>
          <w:tblCellSpacing w:w="15" w:type="dxa"/>
        </w:trPr>
        <w:tc>
          <w:tcPr>
            <w:tcW w:w="0" w:type="auto"/>
            <w:tcBorders>
              <w:bottom w:val="single" w:sz="4" w:space="0" w:color="auto"/>
            </w:tcBorders>
            <w:vAlign w:val="center"/>
            <w:hideMark/>
          </w:tcPr>
          <w:p w14:paraId="269EA7E5" w14:textId="77777777" w:rsidR="0081770D" w:rsidRPr="0081770D" w:rsidRDefault="0081770D" w:rsidP="0081770D">
            <w:pPr>
              <w:spacing w:line="240" w:lineRule="auto"/>
              <w:rPr>
                <w:lang w:val="en-KE"/>
              </w:rPr>
            </w:pPr>
            <w:r w:rsidRPr="0081770D">
              <w:rPr>
                <w:lang w:val="en-KE"/>
              </w:rPr>
              <w:t>Number of Observations</w:t>
            </w:r>
          </w:p>
        </w:tc>
        <w:tc>
          <w:tcPr>
            <w:tcW w:w="0" w:type="auto"/>
            <w:tcBorders>
              <w:left w:val="single" w:sz="4" w:space="0" w:color="auto"/>
              <w:bottom w:val="single" w:sz="4" w:space="0" w:color="auto"/>
            </w:tcBorders>
            <w:vAlign w:val="center"/>
            <w:hideMark/>
          </w:tcPr>
          <w:p w14:paraId="2F9BCADE" w14:textId="77777777" w:rsidR="0081770D" w:rsidRPr="0081770D" w:rsidRDefault="0081770D" w:rsidP="0081770D">
            <w:pPr>
              <w:spacing w:line="240" w:lineRule="auto"/>
              <w:rPr>
                <w:lang w:val="en-KE"/>
              </w:rPr>
            </w:pPr>
            <w:r w:rsidRPr="0081770D">
              <w:rPr>
                <w:lang w:val="en-KE"/>
              </w:rPr>
              <w:t>265</w:t>
            </w:r>
          </w:p>
        </w:tc>
      </w:tr>
    </w:tbl>
    <w:p w14:paraId="7D74257B" w14:textId="5206AEBA" w:rsidR="00E64A9F" w:rsidRDefault="00E64A9F" w:rsidP="00E64A9F">
      <w:pPr>
        <w:spacing w:line="360" w:lineRule="auto"/>
      </w:pPr>
      <w:r>
        <w:t>The findings presented in Table 4.7 indicate that the regression model was statistically significant in explaining the influence of fertilizer subsidy reform strategies on smallholder farmers’ uptake of fertilizers. The model recorded an R-squared value of 0.592, implying that 59.2% of the variation in fertilizer uptake among smallholder farmers was explained by pricing reforms, distribution model changes, and revised targeting criteria. The remaining 40.8% of the variation be attributed to other factors not included in the study model.</w:t>
      </w:r>
    </w:p>
    <w:p w14:paraId="408057C9" w14:textId="0A93B173" w:rsidR="0081770D" w:rsidRDefault="00E64A9F" w:rsidP="00E64A9F">
      <w:pPr>
        <w:spacing w:line="360" w:lineRule="auto"/>
      </w:pPr>
      <w:r>
        <w:t>The adjusted R-squared value of 0.587 further confirms that the regression model had strong explanatory power even after adjusting for the number of predictor variables included in the model.</w:t>
      </w:r>
      <w:r>
        <w:t xml:space="preserve"> </w:t>
      </w:r>
      <w:r>
        <w:t>The findings also indicate that the overall regression model was statistically significant, as shown by the F-statistic value of 126.1 and a probability value of 1.68e-50, which was less than the 0.05 significance level. This implies that the independent variables jointly had a significant influence on fertilizer uptake among smallholder farmers.</w:t>
      </w:r>
    </w:p>
    <w:p w14:paraId="609C0520" w14:textId="4BC30A6A" w:rsidR="0081770D" w:rsidRPr="0081770D" w:rsidRDefault="0081770D" w:rsidP="0081770D">
      <w:pPr>
        <w:spacing w:line="360" w:lineRule="auto"/>
        <w:rPr>
          <w:b/>
          <w:bCs/>
        </w:rPr>
      </w:pPr>
      <w:r w:rsidRPr="0081770D">
        <w:rPr>
          <w:b/>
          <w:bCs/>
        </w:rPr>
        <w:t>Table 4.</w:t>
      </w:r>
      <w:r w:rsidR="00E64A9F">
        <w:rPr>
          <w:b/>
          <w:bCs/>
        </w:rPr>
        <w:t>8</w:t>
      </w:r>
      <w:r w:rsidRPr="0081770D">
        <w:rPr>
          <w:b/>
          <w:bCs/>
        </w:rPr>
        <w:t>: Multiple Regression Analysis</w:t>
      </w:r>
    </w:p>
    <w:tbl>
      <w:tblPr>
        <w:tblW w:w="9487" w:type="dxa"/>
        <w:tblCellSpacing w:w="15" w:type="dxa"/>
        <w:tblCellMar>
          <w:top w:w="15" w:type="dxa"/>
          <w:left w:w="15" w:type="dxa"/>
          <w:bottom w:w="15" w:type="dxa"/>
          <w:right w:w="15" w:type="dxa"/>
        </w:tblCellMar>
        <w:tblLook w:val="04A0" w:firstRow="1" w:lastRow="0" w:firstColumn="1" w:lastColumn="0" w:noHBand="0" w:noVBand="1"/>
      </w:tblPr>
      <w:tblGrid>
        <w:gridCol w:w="3808"/>
        <w:gridCol w:w="2081"/>
        <w:gridCol w:w="1442"/>
        <w:gridCol w:w="1034"/>
        <w:gridCol w:w="1122"/>
      </w:tblGrid>
      <w:tr w:rsidR="0081770D" w:rsidRPr="0081770D" w14:paraId="28264A81" w14:textId="77777777" w:rsidTr="0081770D">
        <w:trPr>
          <w:trHeight w:val="748"/>
          <w:tblHeader/>
          <w:tblCellSpacing w:w="15" w:type="dxa"/>
        </w:trPr>
        <w:tc>
          <w:tcPr>
            <w:tcW w:w="0" w:type="auto"/>
            <w:tcBorders>
              <w:top w:val="single" w:sz="4" w:space="0" w:color="auto"/>
            </w:tcBorders>
            <w:vAlign w:val="center"/>
            <w:hideMark/>
          </w:tcPr>
          <w:p w14:paraId="7FC28AA8" w14:textId="77777777" w:rsidR="0081770D" w:rsidRPr="0081770D" w:rsidRDefault="0081770D" w:rsidP="00E64A9F">
            <w:pPr>
              <w:spacing w:line="240" w:lineRule="auto"/>
              <w:rPr>
                <w:b/>
                <w:bCs/>
                <w:lang w:val="en-KE"/>
              </w:rPr>
            </w:pPr>
            <w:r w:rsidRPr="0081770D">
              <w:rPr>
                <w:b/>
                <w:bCs/>
                <w:lang w:val="en-KE"/>
              </w:rPr>
              <w:t>Variable</w:t>
            </w:r>
          </w:p>
        </w:tc>
        <w:tc>
          <w:tcPr>
            <w:tcW w:w="0" w:type="auto"/>
            <w:tcBorders>
              <w:top w:val="single" w:sz="4" w:space="0" w:color="auto"/>
              <w:left w:val="single" w:sz="4" w:space="0" w:color="auto"/>
            </w:tcBorders>
            <w:vAlign w:val="center"/>
            <w:hideMark/>
          </w:tcPr>
          <w:p w14:paraId="654E5407" w14:textId="77777777" w:rsidR="0081770D" w:rsidRPr="0081770D" w:rsidRDefault="0081770D" w:rsidP="00E64A9F">
            <w:pPr>
              <w:spacing w:line="240" w:lineRule="auto"/>
              <w:rPr>
                <w:b/>
                <w:bCs/>
                <w:lang w:val="en-KE"/>
              </w:rPr>
            </w:pPr>
            <w:r w:rsidRPr="0081770D">
              <w:rPr>
                <w:b/>
                <w:bCs/>
                <w:lang w:val="en-KE"/>
              </w:rPr>
              <w:t>Coefficient (β)</w:t>
            </w:r>
          </w:p>
        </w:tc>
        <w:tc>
          <w:tcPr>
            <w:tcW w:w="0" w:type="auto"/>
            <w:tcBorders>
              <w:top w:val="single" w:sz="4" w:space="0" w:color="auto"/>
            </w:tcBorders>
            <w:vAlign w:val="center"/>
            <w:hideMark/>
          </w:tcPr>
          <w:p w14:paraId="08FA7A45" w14:textId="77777777" w:rsidR="0081770D" w:rsidRPr="0081770D" w:rsidRDefault="0081770D" w:rsidP="00E64A9F">
            <w:pPr>
              <w:spacing w:line="240" w:lineRule="auto"/>
              <w:rPr>
                <w:b/>
                <w:bCs/>
                <w:lang w:val="en-KE"/>
              </w:rPr>
            </w:pPr>
            <w:r w:rsidRPr="0081770D">
              <w:rPr>
                <w:b/>
                <w:bCs/>
                <w:lang w:val="en-KE"/>
              </w:rPr>
              <w:t>Std Error</w:t>
            </w:r>
          </w:p>
        </w:tc>
        <w:tc>
          <w:tcPr>
            <w:tcW w:w="0" w:type="auto"/>
            <w:tcBorders>
              <w:top w:val="single" w:sz="4" w:space="0" w:color="auto"/>
            </w:tcBorders>
            <w:vAlign w:val="center"/>
            <w:hideMark/>
          </w:tcPr>
          <w:p w14:paraId="0C3167DC" w14:textId="77777777" w:rsidR="0081770D" w:rsidRPr="0081770D" w:rsidRDefault="0081770D" w:rsidP="00E64A9F">
            <w:pPr>
              <w:spacing w:line="240" w:lineRule="auto"/>
              <w:rPr>
                <w:b/>
                <w:bCs/>
                <w:lang w:val="en-KE"/>
              </w:rPr>
            </w:pPr>
            <w:r w:rsidRPr="0081770D">
              <w:rPr>
                <w:b/>
                <w:bCs/>
                <w:lang w:val="en-KE"/>
              </w:rPr>
              <w:t>t-value</w:t>
            </w:r>
          </w:p>
        </w:tc>
        <w:tc>
          <w:tcPr>
            <w:tcW w:w="0" w:type="auto"/>
            <w:tcBorders>
              <w:top w:val="single" w:sz="4" w:space="0" w:color="auto"/>
            </w:tcBorders>
            <w:vAlign w:val="center"/>
            <w:hideMark/>
          </w:tcPr>
          <w:p w14:paraId="5E6A1EA3" w14:textId="77777777" w:rsidR="0081770D" w:rsidRPr="0081770D" w:rsidRDefault="0081770D" w:rsidP="00E64A9F">
            <w:pPr>
              <w:spacing w:line="240" w:lineRule="auto"/>
              <w:rPr>
                <w:b/>
                <w:bCs/>
                <w:lang w:val="en-KE"/>
              </w:rPr>
            </w:pPr>
            <w:r w:rsidRPr="0081770D">
              <w:rPr>
                <w:b/>
                <w:bCs/>
                <w:lang w:val="en-KE"/>
              </w:rPr>
              <w:t>p-value</w:t>
            </w:r>
          </w:p>
        </w:tc>
      </w:tr>
      <w:tr w:rsidR="0081770D" w:rsidRPr="0081770D" w14:paraId="1F49CB51" w14:textId="77777777" w:rsidTr="0081770D">
        <w:trPr>
          <w:trHeight w:val="759"/>
          <w:tblCellSpacing w:w="15" w:type="dxa"/>
        </w:trPr>
        <w:tc>
          <w:tcPr>
            <w:tcW w:w="0" w:type="auto"/>
            <w:tcBorders>
              <w:top w:val="single" w:sz="4" w:space="0" w:color="auto"/>
            </w:tcBorders>
            <w:vAlign w:val="center"/>
            <w:hideMark/>
          </w:tcPr>
          <w:p w14:paraId="6004F0EE" w14:textId="77777777" w:rsidR="0081770D" w:rsidRPr="0081770D" w:rsidRDefault="0081770D" w:rsidP="00E64A9F">
            <w:pPr>
              <w:spacing w:line="240" w:lineRule="auto"/>
              <w:rPr>
                <w:lang w:val="en-KE"/>
              </w:rPr>
            </w:pPr>
            <w:r w:rsidRPr="0081770D">
              <w:rPr>
                <w:lang w:val="en-KE"/>
              </w:rPr>
              <w:t>Constant</w:t>
            </w:r>
          </w:p>
        </w:tc>
        <w:tc>
          <w:tcPr>
            <w:tcW w:w="0" w:type="auto"/>
            <w:tcBorders>
              <w:top w:val="single" w:sz="4" w:space="0" w:color="auto"/>
              <w:left w:val="single" w:sz="4" w:space="0" w:color="auto"/>
            </w:tcBorders>
            <w:vAlign w:val="center"/>
            <w:hideMark/>
          </w:tcPr>
          <w:p w14:paraId="389BD1E6" w14:textId="77777777" w:rsidR="0081770D" w:rsidRPr="0081770D" w:rsidRDefault="0081770D" w:rsidP="00E64A9F">
            <w:pPr>
              <w:spacing w:line="240" w:lineRule="auto"/>
              <w:rPr>
                <w:lang w:val="en-KE"/>
              </w:rPr>
            </w:pPr>
            <w:r w:rsidRPr="0081770D">
              <w:rPr>
                <w:lang w:val="en-KE"/>
              </w:rPr>
              <w:t>0.5025</w:t>
            </w:r>
          </w:p>
        </w:tc>
        <w:tc>
          <w:tcPr>
            <w:tcW w:w="0" w:type="auto"/>
            <w:tcBorders>
              <w:top w:val="single" w:sz="4" w:space="0" w:color="auto"/>
            </w:tcBorders>
            <w:vAlign w:val="center"/>
            <w:hideMark/>
          </w:tcPr>
          <w:p w14:paraId="4CD02C8F" w14:textId="77777777" w:rsidR="0081770D" w:rsidRPr="0081770D" w:rsidRDefault="0081770D" w:rsidP="00E64A9F">
            <w:pPr>
              <w:spacing w:line="240" w:lineRule="auto"/>
              <w:rPr>
                <w:lang w:val="en-KE"/>
              </w:rPr>
            </w:pPr>
            <w:r w:rsidRPr="0081770D">
              <w:rPr>
                <w:lang w:val="en-KE"/>
              </w:rPr>
              <w:t>0.202</w:t>
            </w:r>
          </w:p>
        </w:tc>
        <w:tc>
          <w:tcPr>
            <w:tcW w:w="0" w:type="auto"/>
            <w:tcBorders>
              <w:top w:val="single" w:sz="4" w:space="0" w:color="auto"/>
            </w:tcBorders>
            <w:vAlign w:val="center"/>
            <w:hideMark/>
          </w:tcPr>
          <w:p w14:paraId="694A5924" w14:textId="77777777" w:rsidR="0081770D" w:rsidRPr="0081770D" w:rsidRDefault="0081770D" w:rsidP="00E64A9F">
            <w:pPr>
              <w:spacing w:line="240" w:lineRule="auto"/>
              <w:rPr>
                <w:lang w:val="en-KE"/>
              </w:rPr>
            </w:pPr>
            <w:r w:rsidRPr="0081770D">
              <w:rPr>
                <w:lang w:val="en-KE"/>
              </w:rPr>
              <w:t>2.484</w:t>
            </w:r>
          </w:p>
        </w:tc>
        <w:tc>
          <w:tcPr>
            <w:tcW w:w="0" w:type="auto"/>
            <w:tcBorders>
              <w:top w:val="single" w:sz="4" w:space="0" w:color="auto"/>
            </w:tcBorders>
            <w:vAlign w:val="center"/>
            <w:hideMark/>
          </w:tcPr>
          <w:p w14:paraId="644AA932" w14:textId="77777777" w:rsidR="0081770D" w:rsidRPr="0081770D" w:rsidRDefault="0081770D" w:rsidP="00E64A9F">
            <w:pPr>
              <w:spacing w:line="240" w:lineRule="auto"/>
              <w:rPr>
                <w:lang w:val="en-KE"/>
              </w:rPr>
            </w:pPr>
            <w:r w:rsidRPr="0081770D">
              <w:rPr>
                <w:lang w:val="en-KE"/>
              </w:rPr>
              <w:t>0.014</w:t>
            </w:r>
          </w:p>
        </w:tc>
      </w:tr>
      <w:tr w:rsidR="0081770D" w:rsidRPr="0081770D" w14:paraId="7597AAD8" w14:textId="77777777" w:rsidTr="0081770D">
        <w:trPr>
          <w:trHeight w:val="748"/>
          <w:tblCellSpacing w:w="15" w:type="dxa"/>
        </w:trPr>
        <w:tc>
          <w:tcPr>
            <w:tcW w:w="0" w:type="auto"/>
            <w:vAlign w:val="center"/>
            <w:hideMark/>
          </w:tcPr>
          <w:p w14:paraId="6D09A855" w14:textId="77777777" w:rsidR="0081770D" w:rsidRPr="0081770D" w:rsidRDefault="0081770D" w:rsidP="00E64A9F">
            <w:pPr>
              <w:spacing w:line="240" w:lineRule="auto"/>
              <w:rPr>
                <w:lang w:val="en-KE"/>
              </w:rPr>
            </w:pPr>
            <w:r w:rsidRPr="0081770D">
              <w:rPr>
                <w:lang w:val="en-KE"/>
              </w:rPr>
              <w:t>Pricing Reforms</w:t>
            </w:r>
          </w:p>
        </w:tc>
        <w:tc>
          <w:tcPr>
            <w:tcW w:w="0" w:type="auto"/>
            <w:tcBorders>
              <w:left w:val="single" w:sz="4" w:space="0" w:color="auto"/>
            </w:tcBorders>
            <w:vAlign w:val="center"/>
            <w:hideMark/>
          </w:tcPr>
          <w:p w14:paraId="268BB0C7" w14:textId="77777777" w:rsidR="0081770D" w:rsidRPr="0081770D" w:rsidRDefault="0081770D" w:rsidP="00E64A9F">
            <w:pPr>
              <w:spacing w:line="240" w:lineRule="auto"/>
              <w:rPr>
                <w:lang w:val="en-KE"/>
              </w:rPr>
            </w:pPr>
            <w:r w:rsidRPr="0081770D">
              <w:rPr>
                <w:lang w:val="en-KE"/>
              </w:rPr>
              <w:t>0.3938</w:t>
            </w:r>
          </w:p>
        </w:tc>
        <w:tc>
          <w:tcPr>
            <w:tcW w:w="0" w:type="auto"/>
            <w:vAlign w:val="center"/>
            <w:hideMark/>
          </w:tcPr>
          <w:p w14:paraId="58098B59" w14:textId="77777777" w:rsidR="0081770D" w:rsidRPr="0081770D" w:rsidRDefault="0081770D" w:rsidP="00E64A9F">
            <w:pPr>
              <w:spacing w:line="240" w:lineRule="auto"/>
              <w:rPr>
                <w:lang w:val="en-KE"/>
              </w:rPr>
            </w:pPr>
            <w:r w:rsidRPr="0081770D">
              <w:rPr>
                <w:lang w:val="en-KE"/>
              </w:rPr>
              <w:t>0.032</w:t>
            </w:r>
          </w:p>
        </w:tc>
        <w:tc>
          <w:tcPr>
            <w:tcW w:w="0" w:type="auto"/>
            <w:vAlign w:val="center"/>
            <w:hideMark/>
          </w:tcPr>
          <w:p w14:paraId="0133B2FF" w14:textId="77777777" w:rsidR="0081770D" w:rsidRPr="0081770D" w:rsidRDefault="0081770D" w:rsidP="00E64A9F">
            <w:pPr>
              <w:spacing w:line="240" w:lineRule="auto"/>
              <w:rPr>
                <w:lang w:val="en-KE"/>
              </w:rPr>
            </w:pPr>
            <w:r w:rsidRPr="0081770D">
              <w:rPr>
                <w:lang w:val="en-KE"/>
              </w:rPr>
              <w:t>12.161</w:t>
            </w:r>
          </w:p>
        </w:tc>
        <w:tc>
          <w:tcPr>
            <w:tcW w:w="0" w:type="auto"/>
            <w:vAlign w:val="center"/>
            <w:hideMark/>
          </w:tcPr>
          <w:p w14:paraId="37669610" w14:textId="77777777" w:rsidR="0081770D" w:rsidRPr="0081770D" w:rsidRDefault="0081770D" w:rsidP="00E64A9F">
            <w:pPr>
              <w:spacing w:line="240" w:lineRule="auto"/>
              <w:rPr>
                <w:lang w:val="en-KE"/>
              </w:rPr>
            </w:pPr>
            <w:r w:rsidRPr="0081770D">
              <w:rPr>
                <w:lang w:val="en-KE"/>
              </w:rPr>
              <w:t>0.000</w:t>
            </w:r>
          </w:p>
        </w:tc>
      </w:tr>
      <w:tr w:rsidR="0081770D" w:rsidRPr="0081770D" w14:paraId="2547B358" w14:textId="77777777" w:rsidTr="0081770D">
        <w:trPr>
          <w:trHeight w:val="759"/>
          <w:tblCellSpacing w:w="15" w:type="dxa"/>
        </w:trPr>
        <w:tc>
          <w:tcPr>
            <w:tcW w:w="0" w:type="auto"/>
            <w:vAlign w:val="center"/>
            <w:hideMark/>
          </w:tcPr>
          <w:p w14:paraId="56820D43" w14:textId="77777777" w:rsidR="0081770D" w:rsidRPr="0081770D" w:rsidRDefault="0081770D" w:rsidP="00E64A9F">
            <w:pPr>
              <w:spacing w:line="240" w:lineRule="auto"/>
              <w:rPr>
                <w:lang w:val="en-KE"/>
              </w:rPr>
            </w:pPr>
            <w:r w:rsidRPr="0081770D">
              <w:rPr>
                <w:lang w:val="en-KE"/>
              </w:rPr>
              <w:lastRenderedPageBreak/>
              <w:t>Distribution Model Changes</w:t>
            </w:r>
          </w:p>
        </w:tc>
        <w:tc>
          <w:tcPr>
            <w:tcW w:w="0" w:type="auto"/>
            <w:tcBorders>
              <w:left w:val="single" w:sz="4" w:space="0" w:color="auto"/>
            </w:tcBorders>
            <w:vAlign w:val="center"/>
            <w:hideMark/>
          </w:tcPr>
          <w:p w14:paraId="5643B9A7" w14:textId="77777777" w:rsidR="0081770D" w:rsidRPr="0081770D" w:rsidRDefault="0081770D" w:rsidP="00E64A9F">
            <w:pPr>
              <w:spacing w:line="240" w:lineRule="auto"/>
              <w:rPr>
                <w:lang w:val="en-KE"/>
              </w:rPr>
            </w:pPr>
            <w:r w:rsidRPr="0081770D">
              <w:rPr>
                <w:lang w:val="en-KE"/>
              </w:rPr>
              <w:t>0.3559</w:t>
            </w:r>
          </w:p>
        </w:tc>
        <w:tc>
          <w:tcPr>
            <w:tcW w:w="0" w:type="auto"/>
            <w:vAlign w:val="center"/>
            <w:hideMark/>
          </w:tcPr>
          <w:p w14:paraId="7F360E3C" w14:textId="77777777" w:rsidR="0081770D" w:rsidRPr="0081770D" w:rsidRDefault="0081770D" w:rsidP="00E64A9F">
            <w:pPr>
              <w:spacing w:line="240" w:lineRule="auto"/>
              <w:rPr>
                <w:lang w:val="en-KE"/>
              </w:rPr>
            </w:pPr>
            <w:r w:rsidRPr="0081770D">
              <w:rPr>
                <w:lang w:val="en-KE"/>
              </w:rPr>
              <w:t>0.034</w:t>
            </w:r>
          </w:p>
        </w:tc>
        <w:tc>
          <w:tcPr>
            <w:tcW w:w="0" w:type="auto"/>
            <w:vAlign w:val="center"/>
            <w:hideMark/>
          </w:tcPr>
          <w:p w14:paraId="57CD1A71" w14:textId="77777777" w:rsidR="0081770D" w:rsidRPr="0081770D" w:rsidRDefault="0081770D" w:rsidP="00E64A9F">
            <w:pPr>
              <w:spacing w:line="240" w:lineRule="auto"/>
              <w:rPr>
                <w:lang w:val="en-KE"/>
              </w:rPr>
            </w:pPr>
            <w:r w:rsidRPr="0081770D">
              <w:rPr>
                <w:lang w:val="en-KE"/>
              </w:rPr>
              <w:t>10.456</w:t>
            </w:r>
          </w:p>
        </w:tc>
        <w:tc>
          <w:tcPr>
            <w:tcW w:w="0" w:type="auto"/>
            <w:vAlign w:val="center"/>
            <w:hideMark/>
          </w:tcPr>
          <w:p w14:paraId="727C4A9F" w14:textId="77777777" w:rsidR="0081770D" w:rsidRPr="0081770D" w:rsidRDefault="0081770D" w:rsidP="00E64A9F">
            <w:pPr>
              <w:spacing w:line="240" w:lineRule="auto"/>
              <w:rPr>
                <w:lang w:val="en-KE"/>
              </w:rPr>
            </w:pPr>
            <w:r w:rsidRPr="0081770D">
              <w:rPr>
                <w:lang w:val="en-KE"/>
              </w:rPr>
              <w:t>0.000</w:t>
            </w:r>
          </w:p>
        </w:tc>
      </w:tr>
      <w:tr w:rsidR="0081770D" w:rsidRPr="0081770D" w14:paraId="1D2937F7" w14:textId="77777777" w:rsidTr="00E64A9F">
        <w:trPr>
          <w:trHeight w:val="748"/>
          <w:tblCellSpacing w:w="15" w:type="dxa"/>
        </w:trPr>
        <w:tc>
          <w:tcPr>
            <w:tcW w:w="0" w:type="auto"/>
            <w:tcBorders>
              <w:bottom w:val="single" w:sz="4" w:space="0" w:color="auto"/>
            </w:tcBorders>
            <w:vAlign w:val="center"/>
            <w:hideMark/>
          </w:tcPr>
          <w:p w14:paraId="4AB7FAEE" w14:textId="77777777" w:rsidR="0081770D" w:rsidRPr="0081770D" w:rsidRDefault="0081770D" w:rsidP="00E64A9F">
            <w:pPr>
              <w:spacing w:line="240" w:lineRule="auto"/>
              <w:rPr>
                <w:lang w:val="en-KE"/>
              </w:rPr>
            </w:pPr>
            <w:r w:rsidRPr="0081770D">
              <w:rPr>
                <w:lang w:val="en-KE"/>
              </w:rPr>
              <w:t>Revised Targeting Criteria</w:t>
            </w:r>
          </w:p>
        </w:tc>
        <w:tc>
          <w:tcPr>
            <w:tcW w:w="0" w:type="auto"/>
            <w:tcBorders>
              <w:left w:val="single" w:sz="4" w:space="0" w:color="auto"/>
              <w:bottom w:val="single" w:sz="4" w:space="0" w:color="auto"/>
            </w:tcBorders>
            <w:vAlign w:val="center"/>
            <w:hideMark/>
          </w:tcPr>
          <w:p w14:paraId="0F224CA3" w14:textId="77777777" w:rsidR="0081770D" w:rsidRPr="0081770D" w:rsidRDefault="0081770D" w:rsidP="00E64A9F">
            <w:pPr>
              <w:spacing w:line="240" w:lineRule="auto"/>
              <w:rPr>
                <w:lang w:val="en-KE"/>
              </w:rPr>
            </w:pPr>
            <w:r w:rsidRPr="0081770D">
              <w:rPr>
                <w:lang w:val="en-KE"/>
              </w:rPr>
              <w:t>0.2685</w:t>
            </w:r>
          </w:p>
        </w:tc>
        <w:tc>
          <w:tcPr>
            <w:tcW w:w="0" w:type="auto"/>
            <w:tcBorders>
              <w:bottom w:val="single" w:sz="4" w:space="0" w:color="auto"/>
            </w:tcBorders>
            <w:vAlign w:val="center"/>
            <w:hideMark/>
          </w:tcPr>
          <w:p w14:paraId="31E2CA54" w14:textId="77777777" w:rsidR="0081770D" w:rsidRPr="0081770D" w:rsidRDefault="0081770D" w:rsidP="00E64A9F">
            <w:pPr>
              <w:spacing w:line="240" w:lineRule="auto"/>
              <w:rPr>
                <w:lang w:val="en-KE"/>
              </w:rPr>
            </w:pPr>
            <w:r w:rsidRPr="0081770D">
              <w:rPr>
                <w:lang w:val="en-KE"/>
              </w:rPr>
              <w:t>0.033</w:t>
            </w:r>
          </w:p>
        </w:tc>
        <w:tc>
          <w:tcPr>
            <w:tcW w:w="0" w:type="auto"/>
            <w:tcBorders>
              <w:bottom w:val="single" w:sz="4" w:space="0" w:color="auto"/>
            </w:tcBorders>
            <w:vAlign w:val="center"/>
            <w:hideMark/>
          </w:tcPr>
          <w:p w14:paraId="6478CC6F" w14:textId="77777777" w:rsidR="0081770D" w:rsidRPr="0081770D" w:rsidRDefault="0081770D" w:rsidP="00E64A9F">
            <w:pPr>
              <w:spacing w:line="240" w:lineRule="auto"/>
              <w:rPr>
                <w:lang w:val="en-KE"/>
              </w:rPr>
            </w:pPr>
            <w:r w:rsidRPr="0081770D">
              <w:rPr>
                <w:lang w:val="en-KE"/>
              </w:rPr>
              <w:t>8.022</w:t>
            </w:r>
          </w:p>
        </w:tc>
        <w:tc>
          <w:tcPr>
            <w:tcW w:w="0" w:type="auto"/>
            <w:tcBorders>
              <w:bottom w:val="single" w:sz="4" w:space="0" w:color="auto"/>
            </w:tcBorders>
            <w:vAlign w:val="center"/>
            <w:hideMark/>
          </w:tcPr>
          <w:p w14:paraId="0947A8F3" w14:textId="77777777" w:rsidR="0081770D" w:rsidRPr="0081770D" w:rsidRDefault="0081770D" w:rsidP="00E64A9F">
            <w:pPr>
              <w:spacing w:line="240" w:lineRule="auto"/>
              <w:rPr>
                <w:lang w:val="en-KE"/>
              </w:rPr>
            </w:pPr>
            <w:r w:rsidRPr="0081770D">
              <w:rPr>
                <w:lang w:val="en-KE"/>
              </w:rPr>
              <w:t>0.000</w:t>
            </w:r>
          </w:p>
        </w:tc>
      </w:tr>
    </w:tbl>
    <w:p w14:paraId="239CF3C2" w14:textId="77777777" w:rsidR="00E64A9F" w:rsidRDefault="00E64A9F" w:rsidP="00E64A9F">
      <w:pPr>
        <w:spacing w:line="360" w:lineRule="auto"/>
      </w:pPr>
    </w:p>
    <w:p w14:paraId="14E5D11E" w14:textId="6569EAB0" w:rsidR="00E64A9F" w:rsidRDefault="00E64A9F" w:rsidP="00E64A9F">
      <w:pPr>
        <w:spacing w:line="360" w:lineRule="auto"/>
      </w:pPr>
      <w:r>
        <w:t>The regression coefficient for pricing reforms was positive and statistically significant (β = 0.3938, p &lt; 0.05). The findings suggest that improvements in fertilizer pricing policies such as subsidies, affordability, and price discounts positively influence fertilizer uptake among smallholder farmers. This further implies that increasing fertilizer affordability significantly enhance fertilizer usage and adoption.</w:t>
      </w:r>
      <w:r>
        <w:t xml:space="preserve"> </w:t>
      </w:r>
      <w:r>
        <w:t>The findings further revealed that distribution model changes had a positive and statistically significant effect on fertilizer uptake (β = 0.3559, p &lt; 0.05). The results indicate that improvements in fertilizer accessibility, outlet availability, and supply consistency positively influence fertilizer uptake among smallholder farmers.</w:t>
      </w:r>
    </w:p>
    <w:p w14:paraId="45D5A90B" w14:textId="2B5D48F7" w:rsidR="00E64A9F" w:rsidRDefault="00E64A9F" w:rsidP="00E64A9F">
      <w:pPr>
        <w:spacing w:line="360" w:lineRule="auto"/>
      </w:pPr>
      <w:r>
        <w:t>The regression results also showed that revised targeting criteria had a positive and statistically significant effect on fertilizer uptake (β = 0.2685, p &lt; 0.05). The findings imply that effective farmer registration systems, timely voucher distribution, and regular voucher redemption positively contribute to fertilizer adoption among farmers.</w:t>
      </w:r>
      <w:r>
        <w:t xml:space="preserve"> </w:t>
      </w:r>
      <w:r>
        <w:t>Among the predictor variables, pricing reforms recorded the highest regression coefficient, indicating that fertilizer pricing policies had the strongest influence on fertilizer uptake among smallholder farmers. This was followed by distribution model changes and revised targeting criteria respectively.</w:t>
      </w:r>
      <w:r>
        <w:t xml:space="preserve"> The</w:t>
      </w:r>
      <w:r w:rsidRPr="00E64A9F">
        <w:t xml:space="preserve"> regression findings indicate that fertilizer subsidy reform strategies significantly influence smallholder farmers’ uptake of fertilizers in Kenya. The results therefore suggest that improving fertilizer affordability, strengthening fertilizer distribution systems, and enhancing targeting mechanisms contribute significantly to increased fertilizer adoption and agricultural productivity among smallholder farmers.</w:t>
      </w:r>
      <w:r>
        <w:t xml:space="preserve"> </w:t>
      </w:r>
    </w:p>
    <w:p w14:paraId="5B0CA92E" w14:textId="77777777" w:rsidR="00E64A9F" w:rsidRDefault="00E64A9F" w:rsidP="00E64A9F">
      <w:pPr>
        <w:spacing w:line="360" w:lineRule="auto"/>
      </w:pPr>
    </w:p>
    <w:p w14:paraId="54624315" w14:textId="7B4AC926" w:rsidR="00E64A9F" w:rsidRDefault="00E64A9F" w:rsidP="00E64A9F">
      <w:pPr>
        <w:pStyle w:val="Heading2"/>
      </w:pPr>
      <w:r>
        <w:lastRenderedPageBreak/>
        <w:t>4.8 Hypothesis Testing</w:t>
      </w:r>
    </w:p>
    <w:p w14:paraId="7F13C371" w14:textId="3F0427E0" w:rsidR="00E64A9F" w:rsidRDefault="00E64A9F" w:rsidP="00E64A9F">
      <w:pPr>
        <w:spacing w:line="360" w:lineRule="auto"/>
      </w:pPr>
      <w:r w:rsidRPr="00E64A9F">
        <w:t>Hypothesis testing was conducted to determine whether pricing reforms, distribution model changes, and revised targeting criteria had statistically significant effects on smallholder farmers’ uptake of fertilizers in Kenya. The hypotheses were tested using regression coefficients and p-values obtained from the multiple regression analysis. The study adopted a significance level of 0.05, where hypotheses with p-values less than 0.05 led to rejection of the null hypothesis.</w:t>
      </w:r>
    </w:p>
    <w:p w14:paraId="1D7A9398" w14:textId="6DFC298A" w:rsidR="00E64A9F" w:rsidRPr="00D2263B" w:rsidRDefault="00D2263B" w:rsidP="00E64A9F">
      <w:pPr>
        <w:spacing w:line="360" w:lineRule="auto"/>
        <w:rPr>
          <w:b/>
          <w:bCs/>
        </w:rPr>
      </w:pPr>
      <w:r w:rsidRPr="00D2263B">
        <w:rPr>
          <w:b/>
          <w:bCs/>
        </w:rPr>
        <w:t>Table 4.8: Hypothesis Testing Results</w:t>
      </w:r>
    </w:p>
    <w:tbl>
      <w:tblPr>
        <w:tblW w:w="8857" w:type="dxa"/>
        <w:tblCellSpacing w:w="15" w:type="dxa"/>
        <w:tblCellMar>
          <w:top w:w="15" w:type="dxa"/>
          <w:left w:w="15" w:type="dxa"/>
          <w:bottom w:w="15" w:type="dxa"/>
          <w:right w:w="15" w:type="dxa"/>
        </w:tblCellMar>
        <w:tblLook w:val="04A0" w:firstRow="1" w:lastRow="0" w:firstColumn="1" w:lastColumn="0" w:noHBand="0" w:noVBand="1"/>
      </w:tblPr>
      <w:tblGrid>
        <w:gridCol w:w="3953"/>
        <w:gridCol w:w="1049"/>
        <w:gridCol w:w="1066"/>
        <w:gridCol w:w="2789"/>
      </w:tblGrid>
      <w:tr w:rsidR="00D2263B" w:rsidRPr="00D2263B" w14:paraId="243411F2" w14:textId="77777777" w:rsidTr="00D2263B">
        <w:trPr>
          <w:trHeight w:val="816"/>
          <w:tblHeader/>
          <w:tblCellSpacing w:w="15" w:type="dxa"/>
        </w:trPr>
        <w:tc>
          <w:tcPr>
            <w:tcW w:w="0" w:type="auto"/>
            <w:tcBorders>
              <w:top w:val="single" w:sz="4" w:space="0" w:color="auto"/>
              <w:right w:val="single" w:sz="4" w:space="0" w:color="auto"/>
            </w:tcBorders>
            <w:vAlign w:val="center"/>
            <w:hideMark/>
          </w:tcPr>
          <w:p w14:paraId="03FD4723" w14:textId="77777777" w:rsidR="00D2263B" w:rsidRPr="00D2263B" w:rsidRDefault="00D2263B" w:rsidP="00D2263B">
            <w:pPr>
              <w:spacing w:line="360" w:lineRule="auto"/>
              <w:rPr>
                <w:b/>
                <w:bCs/>
                <w:lang w:val="en-KE"/>
              </w:rPr>
            </w:pPr>
            <w:r w:rsidRPr="00D2263B">
              <w:rPr>
                <w:b/>
                <w:bCs/>
                <w:lang w:val="en-KE"/>
              </w:rPr>
              <w:t>Hypothesis</w:t>
            </w:r>
          </w:p>
        </w:tc>
        <w:tc>
          <w:tcPr>
            <w:tcW w:w="0" w:type="auto"/>
            <w:tcBorders>
              <w:top w:val="single" w:sz="4" w:space="0" w:color="auto"/>
            </w:tcBorders>
            <w:vAlign w:val="center"/>
            <w:hideMark/>
          </w:tcPr>
          <w:p w14:paraId="269EC7AF" w14:textId="77777777" w:rsidR="00D2263B" w:rsidRPr="00D2263B" w:rsidRDefault="00D2263B" w:rsidP="00D2263B">
            <w:pPr>
              <w:spacing w:line="360" w:lineRule="auto"/>
              <w:rPr>
                <w:b/>
                <w:bCs/>
                <w:lang w:val="en-KE"/>
              </w:rPr>
            </w:pPr>
            <w:r w:rsidRPr="00D2263B">
              <w:rPr>
                <w:b/>
                <w:bCs/>
                <w:lang w:val="en-KE"/>
              </w:rPr>
              <w:t>Beta (β)</w:t>
            </w:r>
          </w:p>
        </w:tc>
        <w:tc>
          <w:tcPr>
            <w:tcW w:w="0" w:type="auto"/>
            <w:tcBorders>
              <w:top w:val="single" w:sz="4" w:space="0" w:color="auto"/>
            </w:tcBorders>
            <w:vAlign w:val="center"/>
            <w:hideMark/>
          </w:tcPr>
          <w:p w14:paraId="345F405E" w14:textId="77777777" w:rsidR="00D2263B" w:rsidRPr="00D2263B" w:rsidRDefault="00D2263B" w:rsidP="00D2263B">
            <w:pPr>
              <w:spacing w:line="360" w:lineRule="auto"/>
              <w:rPr>
                <w:b/>
                <w:bCs/>
                <w:lang w:val="en-KE"/>
              </w:rPr>
            </w:pPr>
            <w:r w:rsidRPr="00D2263B">
              <w:rPr>
                <w:b/>
                <w:bCs/>
                <w:lang w:val="en-KE"/>
              </w:rPr>
              <w:t>P-Value</w:t>
            </w:r>
          </w:p>
        </w:tc>
        <w:tc>
          <w:tcPr>
            <w:tcW w:w="0" w:type="auto"/>
            <w:tcBorders>
              <w:top w:val="single" w:sz="4" w:space="0" w:color="auto"/>
            </w:tcBorders>
            <w:vAlign w:val="center"/>
            <w:hideMark/>
          </w:tcPr>
          <w:p w14:paraId="45352E0A" w14:textId="77777777" w:rsidR="00D2263B" w:rsidRPr="00D2263B" w:rsidRDefault="00D2263B" w:rsidP="00D2263B">
            <w:pPr>
              <w:spacing w:line="360" w:lineRule="auto"/>
              <w:rPr>
                <w:b/>
                <w:bCs/>
                <w:lang w:val="en-KE"/>
              </w:rPr>
            </w:pPr>
            <w:r w:rsidRPr="00D2263B">
              <w:rPr>
                <w:b/>
                <w:bCs/>
                <w:lang w:val="en-KE"/>
              </w:rPr>
              <w:t>Decision</w:t>
            </w:r>
          </w:p>
        </w:tc>
      </w:tr>
      <w:tr w:rsidR="00D2263B" w:rsidRPr="00D2263B" w14:paraId="0BE497B9" w14:textId="77777777" w:rsidTr="00D2263B">
        <w:trPr>
          <w:trHeight w:val="828"/>
          <w:tblCellSpacing w:w="15" w:type="dxa"/>
        </w:trPr>
        <w:tc>
          <w:tcPr>
            <w:tcW w:w="0" w:type="auto"/>
            <w:tcBorders>
              <w:top w:val="single" w:sz="4" w:space="0" w:color="auto"/>
              <w:right w:val="single" w:sz="4" w:space="0" w:color="auto"/>
            </w:tcBorders>
            <w:vAlign w:val="center"/>
            <w:hideMark/>
          </w:tcPr>
          <w:p w14:paraId="7CA1425C" w14:textId="77777777" w:rsidR="00D2263B" w:rsidRPr="00D2263B" w:rsidRDefault="00D2263B" w:rsidP="00D2263B">
            <w:pPr>
              <w:spacing w:line="360" w:lineRule="auto"/>
              <w:rPr>
                <w:lang w:val="en-KE"/>
              </w:rPr>
            </w:pPr>
            <w:r w:rsidRPr="00D2263B">
              <w:rPr>
                <w:lang w:val="en-KE"/>
              </w:rPr>
              <w:t>H01: Pricing reforms</w:t>
            </w:r>
          </w:p>
        </w:tc>
        <w:tc>
          <w:tcPr>
            <w:tcW w:w="0" w:type="auto"/>
            <w:tcBorders>
              <w:top w:val="single" w:sz="4" w:space="0" w:color="auto"/>
            </w:tcBorders>
            <w:vAlign w:val="center"/>
            <w:hideMark/>
          </w:tcPr>
          <w:p w14:paraId="517BAE45" w14:textId="77777777" w:rsidR="00D2263B" w:rsidRPr="00D2263B" w:rsidRDefault="00D2263B" w:rsidP="00D2263B">
            <w:pPr>
              <w:spacing w:line="360" w:lineRule="auto"/>
              <w:rPr>
                <w:lang w:val="en-KE"/>
              </w:rPr>
            </w:pPr>
            <w:r w:rsidRPr="00D2263B">
              <w:rPr>
                <w:lang w:val="en-KE"/>
              </w:rPr>
              <w:t>0.394</w:t>
            </w:r>
          </w:p>
        </w:tc>
        <w:tc>
          <w:tcPr>
            <w:tcW w:w="0" w:type="auto"/>
            <w:tcBorders>
              <w:top w:val="single" w:sz="4" w:space="0" w:color="auto"/>
            </w:tcBorders>
            <w:vAlign w:val="center"/>
            <w:hideMark/>
          </w:tcPr>
          <w:p w14:paraId="10D967CF" w14:textId="77777777" w:rsidR="00D2263B" w:rsidRPr="00D2263B" w:rsidRDefault="00D2263B" w:rsidP="00D2263B">
            <w:pPr>
              <w:spacing w:line="360" w:lineRule="auto"/>
              <w:rPr>
                <w:lang w:val="en-KE"/>
              </w:rPr>
            </w:pPr>
            <w:r w:rsidRPr="00D2263B">
              <w:rPr>
                <w:lang w:val="en-KE"/>
              </w:rPr>
              <w:t>0.000</w:t>
            </w:r>
          </w:p>
        </w:tc>
        <w:tc>
          <w:tcPr>
            <w:tcW w:w="0" w:type="auto"/>
            <w:tcBorders>
              <w:top w:val="single" w:sz="4" w:space="0" w:color="auto"/>
            </w:tcBorders>
            <w:vAlign w:val="center"/>
            <w:hideMark/>
          </w:tcPr>
          <w:p w14:paraId="7F702266" w14:textId="77777777" w:rsidR="00D2263B" w:rsidRPr="00D2263B" w:rsidRDefault="00D2263B" w:rsidP="00D2263B">
            <w:pPr>
              <w:spacing w:line="360" w:lineRule="auto"/>
              <w:rPr>
                <w:lang w:val="en-KE"/>
              </w:rPr>
            </w:pPr>
            <w:r w:rsidRPr="00D2263B">
              <w:rPr>
                <w:lang w:val="en-KE"/>
              </w:rPr>
              <w:t>Reject Null Hypothesis</w:t>
            </w:r>
          </w:p>
        </w:tc>
      </w:tr>
      <w:tr w:rsidR="00D2263B" w:rsidRPr="00D2263B" w14:paraId="79E428E1" w14:textId="77777777" w:rsidTr="00D2263B">
        <w:trPr>
          <w:trHeight w:val="816"/>
          <w:tblCellSpacing w:w="15" w:type="dxa"/>
        </w:trPr>
        <w:tc>
          <w:tcPr>
            <w:tcW w:w="0" w:type="auto"/>
            <w:tcBorders>
              <w:right w:val="single" w:sz="4" w:space="0" w:color="auto"/>
            </w:tcBorders>
            <w:vAlign w:val="center"/>
            <w:hideMark/>
          </w:tcPr>
          <w:p w14:paraId="5B9D40A3" w14:textId="77777777" w:rsidR="00D2263B" w:rsidRPr="00D2263B" w:rsidRDefault="00D2263B" w:rsidP="00D2263B">
            <w:pPr>
              <w:spacing w:line="360" w:lineRule="auto"/>
              <w:rPr>
                <w:lang w:val="en-KE"/>
              </w:rPr>
            </w:pPr>
            <w:r w:rsidRPr="00D2263B">
              <w:rPr>
                <w:lang w:val="en-KE"/>
              </w:rPr>
              <w:t>H02: Distribution model changes</w:t>
            </w:r>
          </w:p>
        </w:tc>
        <w:tc>
          <w:tcPr>
            <w:tcW w:w="0" w:type="auto"/>
            <w:vAlign w:val="center"/>
            <w:hideMark/>
          </w:tcPr>
          <w:p w14:paraId="3AC5A267" w14:textId="77777777" w:rsidR="00D2263B" w:rsidRPr="00D2263B" w:rsidRDefault="00D2263B" w:rsidP="00D2263B">
            <w:pPr>
              <w:spacing w:line="360" w:lineRule="auto"/>
              <w:rPr>
                <w:lang w:val="en-KE"/>
              </w:rPr>
            </w:pPr>
            <w:r w:rsidRPr="00D2263B">
              <w:rPr>
                <w:lang w:val="en-KE"/>
              </w:rPr>
              <w:t>0.356</w:t>
            </w:r>
          </w:p>
        </w:tc>
        <w:tc>
          <w:tcPr>
            <w:tcW w:w="0" w:type="auto"/>
            <w:vAlign w:val="center"/>
            <w:hideMark/>
          </w:tcPr>
          <w:p w14:paraId="4AF4268E" w14:textId="77777777" w:rsidR="00D2263B" w:rsidRPr="00D2263B" w:rsidRDefault="00D2263B" w:rsidP="00D2263B">
            <w:pPr>
              <w:spacing w:line="360" w:lineRule="auto"/>
              <w:rPr>
                <w:lang w:val="en-KE"/>
              </w:rPr>
            </w:pPr>
            <w:r w:rsidRPr="00D2263B">
              <w:rPr>
                <w:lang w:val="en-KE"/>
              </w:rPr>
              <w:t>0.000</w:t>
            </w:r>
          </w:p>
        </w:tc>
        <w:tc>
          <w:tcPr>
            <w:tcW w:w="0" w:type="auto"/>
            <w:vAlign w:val="center"/>
            <w:hideMark/>
          </w:tcPr>
          <w:p w14:paraId="1377E6F6" w14:textId="77777777" w:rsidR="00D2263B" w:rsidRPr="00D2263B" w:rsidRDefault="00D2263B" w:rsidP="00D2263B">
            <w:pPr>
              <w:spacing w:line="360" w:lineRule="auto"/>
              <w:rPr>
                <w:lang w:val="en-KE"/>
              </w:rPr>
            </w:pPr>
            <w:r w:rsidRPr="00D2263B">
              <w:rPr>
                <w:lang w:val="en-KE"/>
              </w:rPr>
              <w:t>Reject Null Hypothesis</w:t>
            </w:r>
          </w:p>
        </w:tc>
      </w:tr>
      <w:tr w:rsidR="00D2263B" w:rsidRPr="00D2263B" w14:paraId="708A286F" w14:textId="77777777" w:rsidTr="00D2263B">
        <w:trPr>
          <w:trHeight w:val="828"/>
          <w:tblCellSpacing w:w="15" w:type="dxa"/>
        </w:trPr>
        <w:tc>
          <w:tcPr>
            <w:tcW w:w="0" w:type="auto"/>
            <w:tcBorders>
              <w:bottom w:val="single" w:sz="4" w:space="0" w:color="auto"/>
              <w:right w:val="single" w:sz="4" w:space="0" w:color="auto"/>
            </w:tcBorders>
            <w:vAlign w:val="center"/>
            <w:hideMark/>
          </w:tcPr>
          <w:p w14:paraId="410144D0" w14:textId="77777777" w:rsidR="00D2263B" w:rsidRPr="00D2263B" w:rsidRDefault="00D2263B" w:rsidP="00D2263B">
            <w:pPr>
              <w:spacing w:line="360" w:lineRule="auto"/>
              <w:rPr>
                <w:lang w:val="en-KE"/>
              </w:rPr>
            </w:pPr>
            <w:r w:rsidRPr="00D2263B">
              <w:rPr>
                <w:lang w:val="en-KE"/>
              </w:rPr>
              <w:t>H03: Revised targeting criteria</w:t>
            </w:r>
          </w:p>
        </w:tc>
        <w:tc>
          <w:tcPr>
            <w:tcW w:w="0" w:type="auto"/>
            <w:tcBorders>
              <w:bottom w:val="single" w:sz="4" w:space="0" w:color="auto"/>
            </w:tcBorders>
            <w:vAlign w:val="center"/>
            <w:hideMark/>
          </w:tcPr>
          <w:p w14:paraId="68B9A9D0" w14:textId="77777777" w:rsidR="00D2263B" w:rsidRPr="00D2263B" w:rsidRDefault="00D2263B" w:rsidP="00D2263B">
            <w:pPr>
              <w:spacing w:line="360" w:lineRule="auto"/>
              <w:rPr>
                <w:lang w:val="en-KE"/>
              </w:rPr>
            </w:pPr>
            <w:r w:rsidRPr="00D2263B">
              <w:rPr>
                <w:lang w:val="en-KE"/>
              </w:rPr>
              <w:t>0.269</w:t>
            </w:r>
          </w:p>
        </w:tc>
        <w:tc>
          <w:tcPr>
            <w:tcW w:w="0" w:type="auto"/>
            <w:tcBorders>
              <w:bottom w:val="single" w:sz="4" w:space="0" w:color="auto"/>
            </w:tcBorders>
            <w:vAlign w:val="center"/>
            <w:hideMark/>
          </w:tcPr>
          <w:p w14:paraId="35B490FE" w14:textId="77777777" w:rsidR="00D2263B" w:rsidRPr="00D2263B" w:rsidRDefault="00D2263B" w:rsidP="00D2263B">
            <w:pPr>
              <w:spacing w:line="360" w:lineRule="auto"/>
              <w:rPr>
                <w:lang w:val="en-KE"/>
              </w:rPr>
            </w:pPr>
            <w:r w:rsidRPr="00D2263B">
              <w:rPr>
                <w:lang w:val="en-KE"/>
              </w:rPr>
              <w:t>0.000</w:t>
            </w:r>
          </w:p>
        </w:tc>
        <w:tc>
          <w:tcPr>
            <w:tcW w:w="0" w:type="auto"/>
            <w:tcBorders>
              <w:bottom w:val="single" w:sz="4" w:space="0" w:color="auto"/>
            </w:tcBorders>
            <w:vAlign w:val="center"/>
            <w:hideMark/>
          </w:tcPr>
          <w:p w14:paraId="6B2B207C" w14:textId="77777777" w:rsidR="00D2263B" w:rsidRPr="00D2263B" w:rsidRDefault="00D2263B" w:rsidP="00D2263B">
            <w:pPr>
              <w:spacing w:line="360" w:lineRule="auto"/>
              <w:rPr>
                <w:lang w:val="en-KE"/>
              </w:rPr>
            </w:pPr>
            <w:r w:rsidRPr="00D2263B">
              <w:rPr>
                <w:lang w:val="en-KE"/>
              </w:rPr>
              <w:t>Reject Null Hypothesis</w:t>
            </w:r>
          </w:p>
        </w:tc>
      </w:tr>
    </w:tbl>
    <w:p w14:paraId="7DD28CD0" w14:textId="1A9DC8B4" w:rsidR="00D2263B" w:rsidRDefault="00D2263B" w:rsidP="00E64A9F">
      <w:pPr>
        <w:spacing w:line="360" w:lineRule="auto"/>
      </w:pPr>
    </w:p>
    <w:p w14:paraId="59095E2E" w14:textId="480CFA06" w:rsidR="00D2263B" w:rsidRDefault="00D2263B" w:rsidP="00D2263B">
      <w:pPr>
        <w:spacing w:line="360" w:lineRule="auto"/>
      </w:pPr>
      <w:r>
        <w:t>The findings presented in Table 4.8 indicate that pricing reforms had a positive and statistically significant effect on smallholder farmers’ uptake of fertilizers (β = 0.394, p &lt; 0.05). Since the p-value was less than the 0.05 significance level, the null hypothesis stating that pricing reforms have no significant effect on smallholder farmers’ uptake of fertilizers in Kenya was rejected. The findings imply that fertilizer pricing policies such as subsidies, affordability, and price discounts significantly influence fertilizer adoption among smallholder farmers.</w:t>
      </w:r>
    </w:p>
    <w:p w14:paraId="5581D88A" w14:textId="34E0A50D" w:rsidR="00D2263B" w:rsidRDefault="00D2263B" w:rsidP="00D2263B">
      <w:pPr>
        <w:spacing w:line="360" w:lineRule="auto"/>
      </w:pPr>
      <w:r>
        <w:t>The findings further revealed that distribution model changes had a positive and statistically significant influence on fertilizer uptake among smallholder farmers (β = 0.356, p &lt; 0.05). Since the p-value was below the 0.05 significance level, the null hypothesis stating that changes in the fertilizer distribution model have no significant influence on smallholder farmers’ uptake of fertilizers in Kenya was rejected. The results suggest that accessibility to fertilizer outlets, outlet density, and supply consistency significantly contribute to increased fertilizer usage among farmers.</w:t>
      </w:r>
    </w:p>
    <w:p w14:paraId="322956BE" w14:textId="75213780" w:rsidR="00D2263B" w:rsidRDefault="00D2263B" w:rsidP="00D2263B">
      <w:pPr>
        <w:spacing w:line="360" w:lineRule="auto"/>
      </w:pPr>
      <w:r>
        <w:lastRenderedPageBreak/>
        <w:t>The findings also showed that revised targeting criteria had a positive and statistically significant effect on fertilizer uptake among smallholder farmers (β = 0.269, p &lt; 0.05). Since the p-value was less than the 0.05 significance level, the null hypothesis stating that revised targeting criteria under the fertilizer subsidy program have no significant impact on smallholder farmers’ uptake of fertilizers in Kenya was rejected. The findings imply that farmer registration systems, voucher timing, and voucher redemption mechanisms significantly influence fertilizer adoption among farmers.</w:t>
      </w:r>
    </w:p>
    <w:p w14:paraId="165B31DF" w14:textId="3B546D5A" w:rsidR="00D2263B" w:rsidRDefault="00635183" w:rsidP="00635183">
      <w:pPr>
        <w:pStyle w:val="Heading2"/>
      </w:pPr>
      <w:r w:rsidRPr="00635183">
        <w:t>4.9 Regression Diagnostic Tests</w:t>
      </w:r>
    </w:p>
    <w:p w14:paraId="41ACBC94" w14:textId="023CB68D" w:rsidR="00635183" w:rsidRDefault="00635183" w:rsidP="00635183">
      <w:pPr>
        <w:spacing w:line="360" w:lineRule="auto"/>
      </w:pPr>
      <w:r>
        <w:t>Regression diagnostic tests were conducted to assess whether the regression model satisfied key assumptions required for reliable multiple regression analysis. The diagnostic statistics examined included normality of residuals, autocorrelation, skewness, kurtosis, and model stability. The findings are presented in Table 4.9.</w:t>
      </w:r>
    </w:p>
    <w:p w14:paraId="30F3EDD0" w14:textId="1ACB3F01" w:rsidR="00635183" w:rsidRPr="00635183" w:rsidRDefault="00635183" w:rsidP="00635183">
      <w:pPr>
        <w:spacing w:line="360" w:lineRule="auto"/>
        <w:rPr>
          <w:b/>
          <w:bCs/>
        </w:rPr>
      </w:pPr>
      <w:r w:rsidRPr="00635183">
        <w:rPr>
          <w:b/>
          <w:bCs/>
        </w:rPr>
        <w:t>Table 4.9: Regression Diagnostic Test Results</w:t>
      </w:r>
    </w:p>
    <w:tbl>
      <w:tblPr>
        <w:tblW w:w="8548" w:type="dxa"/>
        <w:tblCellSpacing w:w="15" w:type="dxa"/>
        <w:tblCellMar>
          <w:top w:w="15" w:type="dxa"/>
          <w:left w:w="15" w:type="dxa"/>
          <w:bottom w:w="15" w:type="dxa"/>
          <w:right w:w="15" w:type="dxa"/>
        </w:tblCellMar>
        <w:tblLook w:val="04A0" w:firstRow="1" w:lastRow="0" w:firstColumn="1" w:lastColumn="0" w:noHBand="0" w:noVBand="1"/>
      </w:tblPr>
      <w:tblGrid>
        <w:gridCol w:w="6352"/>
        <w:gridCol w:w="2196"/>
      </w:tblGrid>
      <w:tr w:rsidR="00635183" w:rsidRPr="00635183" w14:paraId="75A23074" w14:textId="77777777" w:rsidTr="00635183">
        <w:trPr>
          <w:trHeight w:val="609"/>
          <w:tblHeader/>
          <w:tblCellSpacing w:w="15" w:type="dxa"/>
        </w:trPr>
        <w:tc>
          <w:tcPr>
            <w:tcW w:w="0" w:type="auto"/>
            <w:tcBorders>
              <w:top w:val="single" w:sz="4" w:space="0" w:color="auto"/>
              <w:right w:val="single" w:sz="4" w:space="0" w:color="auto"/>
            </w:tcBorders>
            <w:vAlign w:val="center"/>
            <w:hideMark/>
          </w:tcPr>
          <w:p w14:paraId="2504AB2E" w14:textId="77777777" w:rsidR="00635183" w:rsidRPr="00635183" w:rsidRDefault="00635183" w:rsidP="00635183">
            <w:pPr>
              <w:spacing w:line="240" w:lineRule="auto"/>
              <w:rPr>
                <w:b/>
                <w:bCs/>
                <w:lang w:val="en-KE"/>
              </w:rPr>
            </w:pPr>
            <w:r w:rsidRPr="00635183">
              <w:rPr>
                <w:b/>
                <w:bCs/>
                <w:lang w:val="en-KE"/>
              </w:rPr>
              <w:t>Diagnostic Test</w:t>
            </w:r>
          </w:p>
        </w:tc>
        <w:tc>
          <w:tcPr>
            <w:tcW w:w="0" w:type="auto"/>
            <w:tcBorders>
              <w:top w:val="single" w:sz="4" w:space="0" w:color="auto"/>
            </w:tcBorders>
            <w:vAlign w:val="center"/>
            <w:hideMark/>
          </w:tcPr>
          <w:p w14:paraId="3F27D1A3" w14:textId="77777777" w:rsidR="00635183" w:rsidRPr="00635183" w:rsidRDefault="00635183" w:rsidP="00635183">
            <w:pPr>
              <w:spacing w:line="240" w:lineRule="auto"/>
              <w:rPr>
                <w:b/>
                <w:bCs/>
                <w:lang w:val="en-KE"/>
              </w:rPr>
            </w:pPr>
            <w:r w:rsidRPr="00635183">
              <w:rPr>
                <w:b/>
                <w:bCs/>
                <w:lang w:val="en-KE"/>
              </w:rPr>
              <w:t>Value</w:t>
            </w:r>
          </w:p>
        </w:tc>
      </w:tr>
      <w:tr w:rsidR="00635183" w:rsidRPr="00635183" w14:paraId="4C43E5E2" w14:textId="77777777" w:rsidTr="00635183">
        <w:trPr>
          <w:trHeight w:val="621"/>
          <w:tblCellSpacing w:w="15" w:type="dxa"/>
        </w:trPr>
        <w:tc>
          <w:tcPr>
            <w:tcW w:w="0" w:type="auto"/>
            <w:tcBorders>
              <w:top w:val="single" w:sz="4" w:space="0" w:color="auto"/>
              <w:right w:val="single" w:sz="4" w:space="0" w:color="auto"/>
            </w:tcBorders>
            <w:vAlign w:val="center"/>
            <w:hideMark/>
          </w:tcPr>
          <w:p w14:paraId="6A29D4F7" w14:textId="77777777" w:rsidR="00635183" w:rsidRPr="00635183" w:rsidRDefault="00635183" w:rsidP="00635183">
            <w:pPr>
              <w:spacing w:line="240" w:lineRule="auto"/>
              <w:rPr>
                <w:lang w:val="en-KE"/>
              </w:rPr>
            </w:pPr>
            <w:r w:rsidRPr="00635183">
              <w:rPr>
                <w:lang w:val="en-KE"/>
              </w:rPr>
              <w:t>Omnibus</w:t>
            </w:r>
          </w:p>
        </w:tc>
        <w:tc>
          <w:tcPr>
            <w:tcW w:w="0" w:type="auto"/>
            <w:tcBorders>
              <w:top w:val="single" w:sz="4" w:space="0" w:color="auto"/>
            </w:tcBorders>
            <w:vAlign w:val="center"/>
            <w:hideMark/>
          </w:tcPr>
          <w:p w14:paraId="61DBE743" w14:textId="77777777" w:rsidR="00635183" w:rsidRPr="00635183" w:rsidRDefault="00635183" w:rsidP="00635183">
            <w:pPr>
              <w:spacing w:line="240" w:lineRule="auto"/>
              <w:rPr>
                <w:lang w:val="en-KE"/>
              </w:rPr>
            </w:pPr>
            <w:r w:rsidRPr="00635183">
              <w:rPr>
                <w:lang w:val="en-KE"/>
              </w:rPr>
              <w:t>4.653</w:t>
            </w:r>
          </w:p>
        </w:tc>
      </w:tr>
      <w:tr w:rsidR="00635183" w:rsidRPr="00635183" w14:paraId="1F9924F0" w14:textId="77777777" w:rsidTr="00635183">
        <w:trPr>
          <w:trHeight w:val="621"/>
          <w:tblCellSpacing w:w="15" w:type="dxa"/>
        </w:trPr>
        <w:tc>
          <w:tcPr>
            <w:tcW w:w="0" w:type="auto"/>
            <w:tcBorders>
              <w:right w:val="single" w:sz="4" w:space="0" w:color="auto"/>
            </w:tcBorders>
            <w:vAlign w:val="center"/>
            <w:hideMark/>
          </w:tcPr>
          <w:p w14:paraId="63D6E232" w14:textId="77777777" w:rsidR="00635183" w:rsidRPr="00635183" w:rsidRDefault="00635183" w:rsidP="00635183">
            <w:pPr>
              <w:spacing w:line="240" w:lineRule="auto"/>
              <w:rPr>
                <w:lang w:val="en-KE"/>
              </w:rPr>
            </w:pPr>
            <w:r w:rsidRPr="00635183">
              <w:rPr>
                <w:lang w:val="en-KE"/>
              </w:rPr>
              <w:t>Prob (Omnibus)</w:t>
            </w:r>
          </w:p>
        </w:tc>
        <w:tc>
          <w:tcPr>
            <w:tcW w:w="0" w:type="auto"/>
            <w:vAlign w:val="center"/>
            <w:hideMark/>
          </w:tcPr>
          <w:p w14:paraId="45B082DD" w14:textId="77777777" w:rsidR="00635183" w:rsidRPr="00635183" w:rsidRDefault="00635183" w:rsidP="00635183">
            <w:pPr>
              <w:spacing w:line="240" w:lineRule="auto"/>
              <w:rPr>
                <w:lang w:val="en-KE"/>
              </w:rPr>
            </w:pPr>
            <w:r w:rsidRPr="00635183">
              <w:rPr>
                <w:lang w:val="en-KE"/>
              </w:rPr>
              <w:t>0.098</w:t>
            </w:r>
          </w:p>
        </w:tc>
      </w:tr>
      <w:tr w:rsidR="00635183" w:rsidRPr="00635183" w14:paraId="2F3D128A" w14:textId="77777777" w:rsidTr="00635183">
        <w:trPr>
          <w:trHeight w:val="609"/>
          <w:tblCellSpacing w:w="15" w:type="dxa"/>
        </w:trPr>
        <w:tc>
          <w:tcPr>
            <w:tcW w:w="0" w:type="auto"/>
            <w:tcBorders>
              <w:right w:val="single" w:sz="4" w:space="0" w:color="auto"/>
            </w:tcBorders>
            <w:vAlign w:val="center"/>
            <w:hideMark/>
          </w:tcPr>
          <w:p w14:paraId="512ADE0F" w14:textId="77777777" w:rsidR="00635183" w:rsidRPr="00635183" w:rsidRDefault="00635183" w:rsidP="00635183">
            <w:pPr>
              <w:spacing w:line="240" w:lineRule="auto"/>
              <w:rPr>
                <w:lang w:val="en-KE"/>
              </w:rPr>
            </w:pPr>
            <w:proofErr w:type="spellStart"/>
            <w:r w:rsidRPr="00635183">
              <w:rPr>
                <w:lang w:val="en-KE"/>
              </w:rPr>
              <w:t>Jarque-Bera</w:t>
            </w:r>
            <w:proofErr w:type="spellEnd"/>
            <w:r w:rsidRPr="00635183">
              <w:rPr>
                <w:lang w:val="en-KE"/>
              </w:rPr>
              <w:t xml:space="preserve"> (JB)</w:t>
            </w:r>
          </w:p>
        </w:tc>
        <w:tc>
          <w:tcPr>
            <w:tcW w:w="0" w:type="auto"/>
            <w:vAlign w:val="center"/>
            <w:hideMark/>
          </w:tcPr>
          <w:p w14:paraId="7495BB3D" w14:textId="77777777" w:rsidR="00635183" w:rsidRPr="00635183" w:rsidRDefault="00635183" w:rsidP="00635183">
            <w:pPr>
              <w:spacing w:line="240" w:lineRule="auto"/>
              <w:rPr>
                <w:lang w:val="en-KE"/>
              </w:rPr>
            </w:pPr>
            <w:r w:rsidRPr="00635183">
              <w:rPr>
                <w:lang w:val="en-KE"/>
              </w:rPr>
              <w:t>3.716</w:t>
            </w:r>
          </w:p>
        </w:tc>
      </w:tr>
      <w:tr w:rsidR="00635183" w:rsidRPr="00635183" w14:paraId="26DED230" w14:textId="77777777" w:rsidTr="00635183">
        <w:trPr>
          <w:trHeight w:val="621"/>
          <w:tblCellSpacing w:w="15" w:type="dxa"/>
        </w:trPr>
        <w:tc>
          <w:tcPr>
            <w:tcW w:w="0" w:type="auto"/>
            <w:tcBorders>
              <w:right w:val="single" w:sz="4" w:space="0" w:color="auto"/>
            </w:tcBorders>
            <w:vAlign w:val="center"/>
            <w:hideMark/>
          </w:tcPr>
          <w:p w14:paraId="54FD09E1" w14:textId="77777777" w:rsidR="00635183" w:rsidRPr="00635183" w:rsidRDefault="00635183" w:rsidP="00635183">
            <w:pPr>
              <w:spacing w:line="240" w:lineRule="auto"/>
              <w:rPr>
                <w:lang w:val="en-KE"/>
              </w:rPr>
            </w:pPr>
            <w:r w:rsidRPr="00635183">
              <w:rPr>
                <w:lang w:val="en-KE"/>
              </w:rPr>
              <w:t>Prob (JB)</w:t>
            </w:r>
          </w:p>
        </w:tc>
        <w:tc>
          <w:tcPr>
            <w:tcW w:w="0" w:type="auto"/>
            <w:vAlign w:val="center"/>
            <w:hideMark/>
          </w:tcPr>
          <w:p w14:paraId="0A70DD1A" w14:textId="77777777" w:rsidR="00635183" w:rsidRPr="00635183" w:rsidRDefault="00635183" w:rsidP="00635183">
            <w:pPr>
              <w:spacing w:line="240" w:lineRule="auto"/>
              <w:rPr>
                <w:lang w:val="en-KE"/>
              </w:rPr>
            </w:pPr>
            <w:r w:rsidRPr="00635183">
              <w:rPr>
                <w:lang w:val="en-KE"/>
              </w:rPr>
              <w:t>0.156</w:t>
            </w:r>
          </w:p>
        </w:tc>
      </w:tr>
      <w:tr w:rsidR="00635183" w:rsidRPr="00635183" w14:paraId="49F23AA1" w14:textId="77777777" w:rsidTr="00635183">
        <w:trPr>
          <w:trHeight w:val="621"/>
          <w:tblCellSpacing w:w="15" w:type="dxa"/>
        </w:trPr>
        <w:tc>
          <w:tcPr>
            <w:tcW w:w="0" w:type="auto"/>
            <w:tcBorders>
              <w:right w:val="single" w:sz="4" w:space="0" w:color="auto"/>
            </w:tcBorders>
            <w:vAlign w:val="center"/>
            <w:hideMark/>
          </w:tcPr>
          <w:p w14:paraId="4D324790" w14:textId="77777777" w:rsidR="00635183" w:rsidRPr="00635183" w:rsidRDefault="00635183" w:rsidP="00635183">
            <w:pPr>
              <w:spacing w:line="240" w:lineRule="auto"/>
              <w:rPr>
                <w:lang w:val="en-KE"/>
              </w:rPr>
            </w:pPr>
            <w:r w:rsidRPr="00635183">
              <w:rPr>
                <w:lang w:val="en-KE"/>
              </w:rPr>
              <w:t>Skewness</w:t>
            </w:r>
          </w:p>
        </w:tc>
        <w:tc>
          <w:tcPr>
            <w:tcW w:w="0" w:type="auto"/>
            <w:vAlign w:val="center"/>
            <w:hideMark/>
          </w:tcPr>
          <w:p w14:paraId="1CF04E22" w14:textId="77777777" w:rsidR="00635183" w:rsidRPr="00635183" w:rsidRDefault="00635183" w:rsidP="00635183">
            <w:pPr>
              <w:spacing w:line="240" w:lineRule="auto"/>
              <w:rPr>
                <w:lang w:val="en-KE"/>
              </w:rPr>
            </w:pPr>
            <w:r w:rsidRPr="00635183">
              <w:rPr>
                <w:lang w:val="en-KE"/>
              </w:rPr>
              <w:t>0.182</w:t>
            </w:r>
          </w:p>
        </w:tc>
      </w:tr>
      <w:tr w:rsidR="00635183" w:rsidRPr="00635183" w14:paraId="07BD37DC" w14:textId="77777777" w:rsidTr="00635183">
        <w:trPr>
          <w:trHeight w:val="621"/>
          <w:tblCellSpacing w:w="15" w:type="dxa"/>
        </w:trPr>
        <w:tc>
          <w:tcPr>
            <w:tcW w:w="0" w:type="auto"/>
            <w:tcBorders>
              <w:right w:val="single" w:sz="4" w:space="0" w:color="auto"/>
            </w:tcBorders>
            <w:vAlign w:val="center"/>
            <w:hideMark/>
          </w:tcPr>
          <w:p w14:paraId="6CC008E1" w14:textId="77777777" w:rsidR="00635183" w:rsidRPr="00635183" w:rsidRDefault="00635183" w:rsidP="00635183">
            <w:pPr>
              <w:spacing w:line="240" w:lineRule="auto"/>
              <w:rPr>
                <w:lang w:val="en-KE"/>
              </w:rPr>
            </w:pPr>
            <w:r w:rsidRPr="00635183">
              <w:rPr>
                <w:lang w:val="en-KE"/>
              </w:rPr>
              <w:t>Kurtosis</w:t>
            </w:r>
          </w:p>
        </w:tc>
        <w:tc>
          <w:tcPr>
            <w:tcW w:w="0" w:type="auto"/>
            <w:vAlign w:val="center"/>
            <w:hideMark/>
          </w:tcPr>
          <w:p w14:paraId="1E218A24" w14:textId="77777777" w:rsidR="00635183" w:rsidRPr="00635183" w:rsidRDefault="00635183" w:rsidP="00635183">
            <w:pPr>
              <w:spacing w:line="240" w:lineRule="auto"/>
              <w:rPr>
                <w:lang w:val="en-KE"/>
              </w:rPr>
            </w:pPr>
            <w:r w:rsidRPr="00635183">
              <w:rPr>
                <w:lang w:val="en-KE"/>
              </w:rPr>
              <w:t>2.548</w:t>
            </w:r>
          </w:p>
        </w:tc>
      </w:tr>
      <w:tr w:rsidR="00635183" w:rsidRPr="00635183" w14:paraId="46ED0913" w14:textId="77777777" w:rsidTr="00635183">
        <w:trPr>
          <w:trHeight w:val="609"/>
          <w:tblCellSpacing w:w="15" w:type="dxa"/>
        </w:trPr>
        <w:tc>
          <w:tcPr>
            <w:tcW w:w="0" w:type="auto"/>
            <w:tcBorders>
              <w:right w:val="single" w:sz="4" w:space="0" w:color="auto"/>
            </w:tcBorders>
            <w:vAlign w:val="center"/>
            <w:hideMark/>
          </w:tcPr>
          <w:p w14:paraId="0114AFEB" w14:textId="77777777" w:rsidR="00635183" w:rsidRPr="00635183" w:rsidRDefault="00635183" w:rsidP="00635183">
            <w:pPr>
              <w:spacing w:line="240" w:lineRule="auto"/>
              <w:rPr>
                <w:lang w:val="en-KE"/>
              </w:rPr>
            </w:pPr>
            <w:r w:rsidRPr="00635183">
              <w:rPr>
                <w:lang w:val="en-KE"/>
              </w:rPr>
              <w:t>Durbin-Watson</w:t>
            </w:r>
          </w:p>
        </w:tc>
        <w:tc>
          <w:tcPr>
            <w:tcW w:w="0" w:type="auto"/>
            <w:vAlign w:val="center"/>
            <w:hideMark/>
          </w:tcPr>
          <w:p w14:paraId="11AD784E" w14:textId="77777777" w:rsidR="00635183" w:rsidRPr="00635183" w:rsidRDefault="00635183" w:rsidP="00635183">
            <w:pPr>
              <w:spacing w:line="240" w:lineRule="auto"/>
              <w:rPr>
                <w:lang w:val="en-KE"/>
              </w:rPr>
            </w:pPr>
            <w:r w:rsidRPr="00635183">
              <w:rPr>
                <w:lang w:val="en-KE"/>
              </w:rPr>
              <w:t>1.842</w:t>
            </w:r>
          </w:p>
        </w:tc>
      </w:tr>
      <w:tr w:rsidR="00635183" w:rsidRPr="00635183" w14:paraId="10F608B5" w14:textId="77777777" w:rsidTr="00635183">
        <w:trPr>
          <w:trHeight w:val="609"/>
          <w:tblCellSpacing w:w="15" w:type="dxa"/>
        </w:trPr>
        <w:tc>
          <w:tcPr>
            <w:tcW w:w="0" w:type="auto"/>
            <w:tcBorders>
              <w:bottom w:val="single" w:sz="4" w:space="0" w:color="auto"/>
              <w:right w:val="single" w:sz="4" w:space="0" w:color="auto"/>
            </w:tcBorders>
            <w:vAlign w:val="center"/>
            <w:hideMark/>
          </w:tcPr>
          <w:p w14:paraId="0E8200D9" w14:textId="77777777" w:rsidR="00635183" w:rsidRPr="00635183" w:rsidRDefault="00635183" w:rsidP="00635183">
            <w:pPr>
              <w:spacing w:line="240" w:lineRule="auto"/>
              <w:rPr>
                <w:lang w:val="en-KE"/>
              </w:rPr>
            </w:pPr>
            <w:r w:rsidRPr="00635183">
              <w:rPr>
                <w:lang w:val="en-KE"/>
              </w:rPr>
              <w:t>Condition Number</w:t>
            </w:r>
          </w:p>
        </w:tc>
        <w:tc>
          <w:tcPr>
            <w:tcW w:w="0" w:type="auto"/>
            <w:tcBorders>
              <w:bottom w:val="single" w:sz="4" w:space="0" w:color="auto"/>
            </w:tcBorders>
            <w:vAlign w:val="center"/>
            <w:hideMark/>
          </w:tcPr>
          <w:p w14:paraId="2C674605" w14:textId="77777777" w:rsidR="00635183" w:rsidRPr="00635183" w:rsidRDefault="00635183" w:rsidP="00635183">
            <w:pPr>
              <w:spacing w:line="240" w:lineRule="auto"/>
              <w:rPr>
                <w:lang w:val="en-KE"/>
              </w:rPr>
            </w:pPr>
            <w:r w:rsidRPr="00635183">
              <w:rPr>
                <w:lang w:val="en-KE"/>
              </w:rPr>
              <w:t>85.5</w:t>
            </w:r>
          </w:p>
        </w:tc>
      </w:tr>
    </w:tbl>
    <w:p w14:paraId="79EC5CD1" w14:textId="0336E328" w:rsidR="00635183" w:rsidRDefault="00635183" w:rsidP="00635183">
      <w:pPr>
        <w:spacing w:line="360" w:lineRule="auto"/>
      </w:pPr>
      <w:r>
        <w:t xml:space="preserve">The findings presented in Table 4.9 indicate that the Omnibus test recorded a value of 4.653 with a probability value of 0.098. Since the probability value was greater than the 0.05 </w:t>
      </w:r>
      <w:r>
        <w:lastRenderedPageBreak/>
        <w:t>significance level, the findings suggest that the residuals were approximately normally distributed. This implies that the regression model satisfied the normality assumption required for multiple regression analysis.</w:t>
      </w:r>
      <w:r>
        <w:t xml:space="preserve"> </w:t>
      </w:r>
      <w:r>
        <w:t xml:space="preserve">The </w:t>
      </w:r>
      <w:proofErr w:type="spellStart"/>
      <w:r>
        <w:t>Jarque-Bera</w:t>
      </w:r>
      <w:proofErr w:type="spellEnd"/>
      <w:r>
        <w:t xml:space="preserve"> statistic recorded a value of 3.716 with a probability value of 0.156. Since the probability value exceeded the 0.05 significance level, the findings further confirm that the residuals were normally distributed. This indicates that the regression model did not suffer from serious deviations from normality.</w:t>
      </w:r>
    </w:p>
    <w:p w14:paraId="6B517F10" w14:textId="6B35E0A8" w:rsidR="00635183" w:rsidRDefault="00635183" w:rsidP="00635183">
      <w:pPr>
        <w:spacing w:line="360" w:lineRule="auto"/>
      </w:pPr>
      <w:r>
        <w:t>The skewness statistic recorded a value of 0.182. The findings indicate that the residuals were slightly positively skewed; however, the skewness value was relatively close to zero, suggesting that the distribution of residuals was approximately symmetrical.</w:t>
      </w:r>
      <w:r>
        <w:t xml:space="preserve"> </w:t>
      </w:r>
      <w:r>
        <w:t>The kurtosis statistic recorded a value of 2.548. Since the value was relatively close to the normal kurtosis benchmark of 3, the findings suggest that the residuals did not exhibit excessive peakedness or flatness. This indicates that the regression residuals approximated a normal distribution.</w:t>
      </w:r>
    </w:p>
    <w:p w14:paraId="6EF091B1" w14:textId="309FEE89" w:rsidR="00635183" w:rsidRDefault="00635183" w:rsidP="00635183">
      <w:pPr>
        <w:spacing w:line="360" w:lineRule="auto"/>
      </w:pPr>
      <w:r>
        <w:t>The Durbin-Watson statistic recorded a value of 1.842. Since the value was close to 2, the findings suggest that there was no serious autocorrelation problem among the residuals. This implies that the regression errors were relatively independent and that the model satisfied the assumption of independent residuals.</w:t>
      </w:r>
      <w:r>
        <w:t xml:space="preserve"> </w:t>
      </w:r>
      <w:r>
        <w:t>The condition number recorded a value of 85.5. The findings indicate that the regression model did not exhibit severe multicollinearity problems among the independent variables. This suggests that the predictor variables were sufficiently independent to support reliable estimation of regression coefficients.</w:t>
      </w:r>
    </w:p>
    <w:p w14:paraId="028ECCBF" w14:textId="5D3255A2" w:rsidR="00635183" w:rsidRDefault="00635183" w:rsidP="00635183">
      <w:pPr>
        <w:pStyle w:val="Heading2"/>
      </w:pPr>
      <w:r>
        <w:t>4.10 Interpretation and Policy Implications</w:t>
      </w:r>
    </w:p>
    <w:p w14:paraId="5A7312C8" w14:textId="43DEF4CB" w:rsidR="00635183" w:rsidRDefault="00635183" w:rsidP="00635183">
      <w:pPr>
        <w:spacing w:line="360" w:lineRule="auto"/>
      </w:pPr>
      <w:r>
        <w:t>The findings presented in this chapter indicate that fertilizer subsidy reform strategies significantly influence smallholder farmers’ uptake of fertilizers in Kenya. The study findings were based on descriptive analysis, correlation analysis, multiple regression analysis, hypothesis testing, and regression diagnostic tests. The results generally suggest that improvements in fertilizer pricing policies, distribution systems, and targeting mechanisms positively contribute to increased fertilizer adoption among smallholder farmers.</w:t>
      </w:r>
      <w:r>
        <w:t xml:space="preserve"> </w:t>
      </w:r>
    </w:p>
    <w:p w14:paraId="707D9E39" w14:textId="69226FC4" w:rsidR="00635183" w:rsidRDefault="00635183" w:rsidP="00635183">
      <w:pPr>
        <w:spacing w:line="360" w:lineRule="auto"/>
      </w:pPr>
      <w:r>
        <w:t xml:space="preserve">The descriptive analysis findings revealed that respondents generally agreed that fertilizer pricing reforms positively influence fertilizer uptake. The findings indicated that subsidized fertilizer prices, affordability of fertilizer, and timely distribution of subsidies reduce the financial burden faced by smallholder farmers and encourage fertilizer application. The relatively high mean scores across pricing reform statements suggest that affordable fertilizer </w:t>
      </w:r>
      <w:r>
        <w:lastRenderedPageBreak/>
        <w:t>prices remain an important determinant of fertilizer adoption among farmers.</w:t>
      </w:r>
      <w:r>
        <w:t xml:space="preserve"> </w:t>
      </w:r>
      <w:r>
        <w:t>The findings further established that distribution model changes positively influence fertilizer uptake among smallholder farmers. Respondents agreed that proximity to fertilizer outlets, availability of fertilizer suppliers, and consistent fertilizer supply improve accessibility to fertilizer and encourage fertilizer usage. The findings therefore imply that strengthening fertilizer distribution networks significantly improve fertilizer accessibility, particularly among rural farming communities.</w:t>
      </w:r>
      <w:r>
        <w:t xml:space="preserve"> </w:t>
      </w:r>
      <w:r>
        <w:t>The study also established that revised targeting criteria positively influence fertilizer uptake among smallholder farmers. The findings suggest that effective farmer registration systems, timely voucher distribution, and regular voucher redemption improve farmers’ access to fertilizer subsidy programs. The results imply that improving targeting mechanisms reduce exclusion errors and improve efficiency in fertilizer subsidy allocation.</w:t>
      </w:r>
    </w:p>
    <w:p w14:paraId="1333D585" w14:textId="12106E60" w:rsidR="00635183" w:rsidRDefault="00635183" w:rsidP="00635183">
      <w:pPr>
        <w:spacing w:line="360" w:lineRule="auto"/>
      </w:pPr>
      <w:r>
        <w:t>The correlation analysis findings revealed moderate positive relationships between pricing reforms, distribution model changes, and fertilizer uptake. Revised targeting criteria also recorded a positive relationship with fertilizer uptake, although the relationship was comparatively weaker. The findings therefore suggest that improvements in fertilizer subsidy reform strategies are associated with increased fertilizer usage among smallholder farmers.</w:t>
      </w:r>
    </w:p>
    <w:p w14:paraId="1296206C" w14:textId="1FA28113" w:rsidR="00635183" w:rsidRDefault="00635183" w:rsidP="00635183">
      <w:pPr>
        <w:spacing w:line="360" w:lineRule="auto"/>
      </w:pPr>
      <w:r>
        <w:t>The multiple regression analysis findings further confirmed that pricing reforms, distribution model changes, and revised targeting criteria significantly influence fertilizer uptake among smallholder farmers. The regression model explained 59.2% of the variation in fertilizer uptake, indicating that the selected variables substantially contribute to fertilizer adoption decisions among farmers. Among the predictor variables, pricing reforms recorded the strongest influence on fertilizer uptake, followed by distribution model changes and revised targeting criteria respectively.</w:t>
      </w:r>
      <w:r w:rsidR="004C6C18">
        <w:t xml:space="preserve"> </w:t>
      </w:r>
      <w:r>
        <w:t>The hypothesis testing results further confirmed that all the study hypotheses were statistically significant. Consequently, all the null hypotheses were rejected, implying that fertilizer subsidy reform strategies significantly affect fertilizer uptake among smallholder farmers in Kenya.</w:t>
      </w:r>
      <w:r w:rsidR="004C6C18">
        <w:t xml:space="preserve"> </w:t>
      </w:r>
      <w:r>
        <w:t>The regression diagnostic tests further indicated that the regression model satisfied the key assumptions required for multiple regression analysis. The residuals were approximately normally distributed, the regression model did not exhibit serious autocorrelation problems, and the independent variables did not demonstrate severe multicollinearity. This confirmed that the regression findings were statistically reliable and appropriate for interpretation.</w:t>
      </w:r>
    </w:p>
    <w:p w14:paraId="03865A93" w14:textId="77777777" w:rsidR="008935AE" w:rsidRDefault="008935AE" w:rsidP="008935AE">
      <w:pPr>
        <w:pStyle w:val="Heading1"/>
        <w:rPr>
          <w:sz w:val="48"/>
          <w:lang w:val="en-KE"/>
        </w:rPr>
      </w:pPr>
      <w:r>
        <w:lastRenderedPageBreak/>
        <w:t>CHAPTER FIVE</w:t>
      </w:r>
    </w:p>
    <w:p w14:paraId="544D6097" w14:textId="77777777" w:rsidR="008935AE" w:rsidRDefault="008935AE" w:rsidP="008935AE">
      <w:pPr>
        <w:pStyle w:val="Heading1"/>
      </w:pPr>
      <w:r>
        <w:t>SUMMARY, DISCUSSION, CONCLUSION AND RECOMMENDATIONS</w:t>
      </w:r>
    </w:p>
    <w:p w14:paraId="377F5A9F" w14:textId="2BC45077" w:rsidR="008935AE" w:rsidRDefault="008935AE" w:rsidP="008935AE">
      <w:pPr>
        <w:pStyle w:val="Heading2"/>
      </w:pPr>
      <w:r>
        <w:t>5.1 Introduction</w:t>
      </w:r>
    </w:p>
    <w:p w14:paraId="383E7E22" w14:textId="497025E8" w:rsidR="008935AE" w:rsidRDefault="008935AE" w:rsidP="008935AE">
      <w:pPr>
        <w:spacing w:line="360" w:lineRule="auto"/>
      </w:pPr>
      <w:r>
        <w:t>This chapter presents the summary, discussion, conclusions, and recommendations of the study on fertilizer subsidy reform strategies and their influence on smallholder farmers’ uptake of fertilizers in Kenya. The chapter is based on the findings presented and analyzed in Chapter Four. The discussion focuses on the study objectives, which examined the influence of pricing reforms, distribution model changes, and revised targeting criteria on fertilizer uptake among smallholder farmers.</w:t>
      </w:r>
      <w:r>
        <w:t xml:space="preserve"> </w:t>
      </w:r>
      <w:r>
        <w:t>The chapter further presents conclusions drawn from the study findings and provides policy recommendations aimed at improving fertilizer subsidy programs and fertilizer accessibility among smallholder farmers in Kenya. In addition, the chapter highlights implications of the findings for agricultural policy and identifies areas for further research related to fertilizer subsidy reforms and agricultural input adoption.</w:t>
      </w:r>
    </w:p>
    <w:p w14:paraId="6E6B1B08" w14:textId="3D07C9C2" w:rsidR="008935AE" w:rsidRDefault="008935AE" w:rsidP="008935AE">
      <w:pPr>
        <w:pStyle w:val="Heading2"/>
      </w:pPr>
      <w:r>
        <w:t xml:space="preserve">5.2 Summary </w:t>
      </w:r>
    </w:p>
    <w:p w14:paraId="22DF60A4" w14:textId="77777777" w:rsidR="008935AE" w:rsidRDefault="008935AE" w:rsidP="008935AE">
      <w:pPr>
        <w:spacing w:line="360" w:lineRule="auto"/>
      </w:pPr>
      <w:r>
        <w:t xml:space="preserve">The purpose of this study was to analyze how fertilizer subsidy reform strategies influence smallholder farmers’ uptake of fertilizers in Kenya using </w:t>
      </w:r>
      <w:proofErr w:type="spellStart"/>
      <w:r w:rsidRPr="008935AE">
        <w:rPr>
          <w:i/>
          <w:iCs/>
        </w:rPr>
        <w:t>AfricaFertilizer</w:t>
      </w:r>
      <w:proofErr w:type="spellEnd"/>
      <w:r>
        <w:t xml:space="preserve"> as a case study. The study specifically sought to evaluate the influence of pricing reforms, assess the effect of distribution model changes, and examine the impact of revised targeting criteria on fertilizer uptake among smallholder farmers.</w:t>
      </w:r>
    </w:p>
    <w:p w14:paraId="5DEAEC46" w14:textId="359AA081" w:rsidR="008935AE" w:rsidRDefault="008935AE" w:rsidP="008935AE">
      <w:pPr>
        <w:spacing w:line="360" w:lineRule="auto"/>
      </w:pPr>
      <w:r>
        <w:t>The study was guided by three specific objectives. The first objective was to evaluate the effect of pricing reforms on smallholder farmers’ uptake of fertilizers in Kenya. The second objective was to assess the influence of distribution model changes on fertilizer uptake among smallholder farmers. The third objective was to assess the effect of revised targeting criteria under the fertilizer subsidy program on fertilizer uptake among smallholder farmers.</w:t>
      </w:r>
    </w:p>
    <w:p w14:paraId="2BCC087F" w14:textId="080C3348" w:rsidR="008935AE" w:rsidRDefault="008935AE" w:rsidP="008935AE">
      <w:pPr>
        <w:spacing w:line="360" w:lineRule="auto"/>
      </w:pPr>
      <w:r>
        <w:t>The study adopted a quantitative research approach using a descriptive research design. Primary data were collected using structured questionnaires administered to smallholder farmers from Nakuru, Bungoma, and Meru counties. The target sample size for the study was 282 respondents; however, 265 questionnaires were successfully completed and returned, resulting in a response rate of 94%.</w:t>
      </w:r>
    </w:p>
    <w:p w14:paraId="034E8A02" w14:textId="50D23F4B" w:rsidR="008935AE" w:rsidRDefault="008935AE" w:rsidP="008935AE">
      <w:pPr>
        <w:spacing w:line="360" w:lineRule="auto"/>
      </w:pPr>
      <w:r>
        <w:lastRenderedPageBreak/>
        <w:t>Reliability analysis was conducted using Cronbach’s alpha to assess internal consistency of the study variables. Descriptive statistics including mean, variance, and standard deviation were used to summarize respondents’ perceptions regarding fertilizer subsidy reform strategies and fertilizer uptake. Pearson correlation analysis was conducted to determine the relationships between the study variables, while multiple regression analysis was used to determine the influence of the independent variables on fertilizer uptake among smallholder farmers.</w:t>
      </w:r>
    </w:p>
    <w:p w14:paraId="0ADF20F1" w14:textId="77777777" w:rsidR="00033A7E" w:rsidRDefault="00033A7E" w:rsidP="00033A7E">
      <w:pPr>
        <w:pStyle w:val="Heading3"/>
      </w:pPr>
      <w:r>
        <w:t>5.2.1 Pricing Reforms and Uptake of Fertilizers</w:t>
      </w:r>
    </w:p>
    <w:p w14:paraId="51A2D6F3" w14:textId="08CF4447" w:rsidR="00033A7E" w:rsidRDefault="00033A7E" w:rsidP="00033A7E">
      <w:pPr>
        <w:spacing w:line="360" w:lineRule="auto"/>
      </w:pPr>
      <w:r>
        <w:t>The study sought to evaluate the influence of pricing reforms on smallholder farmers’ uptake of fertilizers in Kenya. The findings revealed that fertilizer price discounts, affordability of fertilizer, and timely subsidy disbursement positively influence fertilizer uptake among smallholder farmers. Respondents generally agreed that subsidized fertilizer prices reduce the financial burden associated with purchasing fertilizer and encourage fertilizer application during planting seasons.</w:t>
      </w:r>
    </w:p>
    <w:p w14:paraId="2CD2F451" w14:textId="127B06C7" w:rsidR="00033A7E" w:rsidRDefault="00033A7E" w:rsidP="00033A7E">
      <w:pPr>
        <w:spacing w:line="360" w:lineRule="auto"/>
      </w:pPr>
      <w:r>
        <w:t>The descriptive analysis findings showed mean scores above 3.5 across most pricing reform statements, indicating positive perceptions regarding fertilizer affordability and price subsidies. Correlation analysis further revealed a moderate positive relationship between pricing reforms and fertilizer uptake (r = 0.562). Multiple regression analysis also established that pricing reforms had a positive and statistically significant effect on fertilizer uptake (β = 0.394, p &lt; 0.05). The findings therefore suggest that improving fertilizer affordability through subsidy pricing mechanisms significantly enhances fertilizer adoption among smallholder farmers.</w:t>
      </w:r>
    </w:p>
    <w:p w14:paraId="6C7B5D3C" w14:textId="77777777" w:rsidR="00033A7E" w:rsidRDefault="00033A7E" w:rsidP="00033A7E">
      <w:pPr>
        <w:pStyle w:val="Heading3"/>
      </w:pPr>
      <w:r>
        <w:t>5.2.2 Distribution Model Changes and Uptake of Fertilizers</w:t>
      </w:r>
    </w:p>
    <w:p w14:paraId="580F8A82" w14:textId="77777777" w:rsidR="00033A7E" w:rsidRDefault="00033A7E" w:rsidP="00033A7E">
      <w:pPr>
        <w:spacing w:line="360" w:lineRule="auto"/>
      </w:pPr>
      <w:r>
        <w:t>The second objective of the study sought to assess the influence of distribution model changes on smallholder farmers’ uptake of fertilizers. The findings indicated that accessibility to fertilizer outlets, outlet density, and supply consistency positively influence fertilizer usage among farmers. Respondents generally agreed that farmers located near fertilizer distribution centers experience improved access to fertilizer and lower transportation costs.</w:t>
      </w:r>
    </w:p>
    <w:p w14:paraId="14BFAF80" w14:textId="74EF7807" w:rsidR="00033A7E" w:rsidRDefault="00033A7E" w:rsidP="00033A7E">
      <w:pPr>
        <w:spacing w:line="360" w:lineRule="auto"/>
      </w:pPr>
      <w:r>
        <w:t xml:space="preserve">The descriptive analysis findings showed positive mean scores across statements relating to fertilizer accessibility and availability. Correlation analysis further revealed a moderate positive relationship between distribution model changes and fertilizer uptake (r = 0.525). Multiple regression analysis also established that distribution model changes had a positive and statistically significant effect on fertilizer uptake (β = 0.356, p &lt; 0.05). The findings therefore </w:t>
      </w:r>
      <w:r>
        <w:lastRenderedPageBreak/>
        <w:t>suggest that strengthening fertilizer distribution systems and improving fertilizer accessibility significantly enhance fertilizer uptake among smallholder farmers.</w:t>
      </w:r>
    </w:p>
    <w:p w14:paraId="1C4BAB8A" w14:textId="77777777" w:rsidR="00033A7E" w:rsidRDefault="00033A7E" w:rsidP="00033A7E">
      <w:pPr>
        <w:pStyle w:val="Heading3"/>
      </w:pPr>
      <w:r>
        <w:t>5.2.3 Revised Targeting Criteria and Uptake of Fertilizers</w:t>
      </w:r>
    </w:p>
    <w:p w14:paraId="14F96AD9" w14:textId="77777777" w:rsidR="00033A7E" w:rsidRDefault="00033A7E" w:rsidP="00033A7E">
      <w:pPr>
        <w:spacing w:line="360" w:lineRule="auto"/>
      </w:pPr>
      <w:r>
        <w:t>The third objective of the study sought to assess the influence of revised targeting criteria on smallholder farmers’ uptake of fertilizers. The findings revealed that farmer registration systems, voucher timing, and voucher redemption frequency positively influence fertilizer uptake among farmers. Respondents generally agreed that effective targeting mechanisms improve access to fertilizer subsidies and encourage fertilizer application.</w:t>
      </w:r>
    </w:p>
    <w:p w14:paraId="17CF210E" w14:textId="04373DAB" w:rsidR="00033A7E" w:rsidRDefault="00033A7E" w:rsidP="00033A7E">
      <w:pPr>
        <w:spacing w:line="360" w:lineRule="auto"/>
      </w:pPr>
      <w:r>
        <w:t>The descriptive analysis findings showed positive mean scores across most targeting criteria statements. Correlation analysis further revealed a positive relationship between revised targeting criteria and fertilizer uptake (r = 0.293). Multiple regression analysis also established that revised targeting criteria had a positive and statistically significant effect on fertilizer uptake (β = 0.269, p &lt; 0.05). The findings therefore suggest that improving targeting systems, enhancing digital farmer registration, and ensuring timely voucher distribution</w:t>
      </w:r>
      <w:r w:rsidR="004A6A79">
        <w:t xml:space="preserve"> </w:t>
      </w:r>
      <w:r>
        <w:t>improve</w:t>
      </w:r>
      <w:r w:rsidR="004A6A79">
        <w:t>s</w:t>
      </w:r>
      <w:r>
        <w:t xml:space="preserve"> participation in fertilizer subsidy programs and increase fertilizer adoption among smallholder farmers.</w:t>
      </w:r>
    </w:p>
    <w:p w14:paraId="11328BE8" w14:textId="77777777" w:rsidR="00A07A30" w:rsidRDefault="00A07A30" w:rsidP="00A07A30">
      <w:pPr>
        <w:pStyle w:val="Heading2"/>
      </w:pPr>
      <w:r>
        <w:t>5.3 Discussion</w:t>
      </w:r>
    </w:p>
    <w:p w14:paraId="5B2E0105" w14:textId="77777777" w:rsidR="00A07A30" w:rsidRDefault="00A07A30" w:rsidP="00A07A30">
      <w:pPr>
        <w:pStyle w:val="Heading3"/>
      </w:pPr>
      <w:r>
        <w:t>5.3.1 Pricing Reforms and Uptake of Fertilizers</w:t>
      </w:r>
    </w:p>
    <w:p w14:paraId="4497892B" w14:textId="25E000F2" w:rsidR="00A07A30" w:rsidRDefault="00A07A30" w:rsidP="00A07A30">
      <w:pPr>
        <w:spacing w:line="360" w:lineRule="auto"/>
      </w:pPr>
      <w:r>
        <w:t>The findings revealed that pricing reforms had a positive and statistically significant effect on fertilizer uptake among smallholder farmers. The results indicated that fertilizer price discounts, affordability of fertilizer, and timely subsidy disbursement positively influence fertilizer purchase decisions and fertilizer application among farmers. The findings further showed that respondents generally agreed that subsidized fertilizer prices reduce the financial burden associated with fertilizer purchase and improve fertilizer accessibility.</w:t>
      </w:r>
    </w:p>
    <w:p w14:paraId="6A37A310" w14:textId="77777777" w:rsidR="00A07A30" w:rsidRDefault="00A07A30" w:rsidP="00A07A30">
      <w:pPr>
        <w:spacing w:line="360" w:lineRule="auto"/>
      </w:pPr>
      <w:r>
        <w:t>The findings of the present study are consistent with the findings of Liverpool-</w:t>
      </w:r>
      <w:proofErr w:type="spellStart"/>
      <w:r>
        <w:t>Tasie</w:t>
      </w:r>
      <w:proofErr w:type="spellEnd"/>
      <w:r>
        <w:t xml:space="preserve"> et al. (2021), who established that fertilizer price subsidies increased fertilizer purchase and application among maize farmers in Nigeria. The study concluded that price discounts increase fertilizer demand among smallholder farmers. Similarly, the current study established that fertilizer pricing reforms positively influence fertilizer uptake among smallholder farmers in Kenya.</w:t>
      </w:r>
      <w:r>
        <w:t xml:space="preserve"> </w:t>
      </w:r>
      <w:r>
        <w:t xml:space="preserve">The findings are also consistent with Mather and Jayne (2021), who found that fertilizer </w:t>
      </w:r>
      <w:r>
        <w:lastRenderedPageBreak/>
        <w:t>subsidies increased fertilizer uptake and agricultural productivity among farming households in Zambia. The present study similarly established that affordable fertilizer prices encourage fertilizer adoption and improve fertilizer application among smallholder farmers.</w:t>
      </w:r>
      <w:r>
        <w:t xml:space="preserve"> </w:t>
      </w:r>
      <w:r>
        <w:t>The findings further support the study by Abate et al. (2022), who reported that farmers receiving subsidized fertilizer in Ethiopia applied significantly higher fertilizer quantities compared to non-beneficiaries. The current study similarly established that fertilizer price reductions and affordability positively influence fertilizer uptake among smallholder farmers.</w:t>
      </w:r>
      <w:r>
        <w:t xml:space="preserve"> </w:t>
      </w:r>
    </w:p>
    <w:p w14:paraId="01E20C9C" w14:textId="4AEA0100" w:rsidR="00A07A30" w:rsidRDefault="00A07A30" w:rsidP="00A07A30">
      <w:pPr>
        <w:spacing w:line="360" w:lineRule="auto"/>
      </w:pPr>
      <w:r>
        <w:t>The results of the present study also agree with Ricker-Gilbert and Jayne (2022), who found that fertilizer price discounts increased fertilizer purchases among poorer farming households in Malawi. The current study similarly established that fertilizer affordability improves farmers’ willingness to purchase and apply fertilizer.</w:t>
      </w:r>
      <w:r>
        <w:t xml:space="preserve"> </w:t>
      </w:r>
      <w:r>
        <w:t>The findings are further supported by Ochieng et al. (2023), who established that fertilizer price subsidies in Kenya increased farmers’ willingness to purchase fertilizer during planting seasons. Similarly, the present study found that pricing reforms positively influence fertilizer uptake among smallholder farmers.</w:t>
      </w:r>
      <w:r>
        <w:t xml:space="preserve"> </w:t>
      </w:r>
      <w:r>
        <w:t xml:space="preserve">The findings also agree with </w:t>
      </w:r>
      <w:proofErr w:type="spellStart"/>
      <w:r>
        <w:t>Nyangena</w:t>
      </w:r>
      <w:proofErr w:type="spellEnd"/>
      <w:r>
        <w:t xml:space="preserve"> and </w:t>
      </w:r>
      <w:proofErr w:type="spellStart"/>
      <w:r>
        <w:t>Kimenyi</w:t>
      </w:r>
      <w:proofErr w:type="spellEnd"/>
      <w:r>
        <w:t xml:space="preserve"> (2023), who concluded that fertilizer price subsidies reduced production costs and increased fertilizer application among farmers in East Africa. The present study similarly established that fertilizer affordability positively influences fertilizer usage and application among smallholder farmers.</w:t>
      </w:r>
    </w:p>
    <w:p w14:paraId="08CDEFFD" w14:textId="37CEE160" w:rsidR="00A07A30" w:rsidRDefault="00A07A30" w:rsidP="00A07A30">
      <w:pPr>
        <w:spacing w:line="360" w:lineRule="auto"/>
      </w:pPr>
      <w:r>
        <w:t xml:space="preserve">The findings further support the study by </w:t>
      </w:r>
      <w:proofErr w:type="spellStart"/>
      <w:r>
        <w:t>Kirui</w:t>
      </w:r>
      <w:proofErr w:type="spellEnd"/>
      <w:r>
        <w:t xml:space="preserve"> and </w:t>
      </w:r>
      <w:proofErr w:type="spellStart"/>
      <w:r>
        <w:t>Njiraini</w:t>
      </w:r>
      <w:proofErr w:type="spellEnd"/>
      <w:r>
        <w:t xml:space="preserve"> (2024), who reported that fertilizer price discounts increased fertilizer purchase rates among smallholder farmers in Kenya. Similarly, the present study established that pricing reforms significantly improve fertilizer uptake among farmers.</w:t>
      </w:r>
      <w:r>
        <w:t xml:space="preserve"> </w:t>
      </w:r>
      <w:r>
        <w:t xml:space="preserve">The results are also consistent with </w:t>
      </w:r>
      <w:proofErr w:type="spellStart"/>
      <w:r>
        <w:t>Mutegi</w:t>
      </w:r>
      <w:proofErr w:type="spellEnd"/>
      <w:r>
        <w:t xml:space="preserve"> et al. (2024), who found that fertilizer subsidy pricing reforms increased fertilizer purchase frequency and improved crop yields among smallholder farmers in Kenya. The current study similarly established that fertilizer pricing reforms positively influence fertilizer uptake.</w:t>
      </w:r>
      <w:r>
        <w:t xml:space="preserve"> </w:t>
      </w:r>
      <w:r>
        <w:t xml:space="preserve">Finally, the findings agree with </w:t>
      </w:r>
      <w:proofErr w:type="spellStart"/>
      <w:r>
        <w:t>Wainaina</w:t>
      </w:r>
      <w:proofErr w:type="spellEnd"/>
      <w:r>
        <w:t xml:space="preserve"> et al. (2025), who established that fertilizer price discounts improved fertilizer purchase decisions and fertilizer application levels among farmers in Kenya. The present study similarly found that fertilizer pricing reforms significantly contribute to increased fertilizer uptake among smallholder farmers.</w:t>
      </w:r>
      <w:r>
        <w:t xml:space="preserve"> </w:t>
      </w:r>
      <w:r>
        <w:t xml:space="preserve">The findings of the present study are also consistent with the theory underpinning fertilizer subsidy programs, which suggests that reducing input costs improves farmers’ access to agricultural inputs and enhances agricultural productivity. The positive relationship between pricing reforms and fertilizer uptake therefore implies that </w:t>
      </w:r>
      <w:r>
        <w:lastRenderedPageBreak/>
        <w:t>subsidy pricing mechanisms remain important policy tools for improving fertilizer adoption among smallholder farmers in Kenya.</w:t>
      </w:r>
    </w:p>
    <w:p w14:paraId="7A6B03E3" w14:textId="77777777" w:rsidR="00A07A30" w:rsidRDefault="00A07A30" w:rsidP="00A07A30">
      <w:pPr>
        <w:pStyle w:val="Heading3"/>
      </w:pPr>
      <w:r>
        <w:t>5.3.2 Distribution Model Changes and Uptake of Fertilizers</w:t>
      </w:r>
    </w:p>
    <w:p w14:paraId="0EF3382F" w14:textId="68563162" w:rsidR="00A07A30" w:rsidRDefault="00A07A30" w:rsidP="00A07A30">
      <w:pPr>
        <w:spacing w:line="360" w:lineRule="auto"/>
      </w:pPr>
      <w:r>
        <w:t>The findings revealed that distribution model changes had a positive and statistically significant influence on fertilizer uptake among smallholder farmers. The results indicated that accessibility to fertilizer outlets, outlet density, and supply consistency positively affect fertilizer purchase decisions and fertilizer application among farmers. The findings further suggest that improved fertilizer distribution systems reduce transaction costs and increase fertilizer accessibility among smallholder farmers.</w:t>
      </w:r>
    </w:p>
    <w:p w14:paraId="66B83F07" w14:textId="29970ADB" w:rsidR="00A07A30" w:rsidRDefault="00A07A30" w:rsidP="00A07A30">
      <w:pPr>
        <w:spacing w:line="360" w:lineRule="auto"/>
      </w:pPr>
      <w:r>
        <w:t>The findings of the present study are consistent with Barrett et al. (2020), who established that farmers located closer to fertilizer outlets in Ethiopia were more likely to purchase and apply fertilizer. The study concluded that long travel distances increase transaction costs and discourage fertilizer purchases. Similarly, the present study established that distance to fertilizer outlets significantly influences fertilizer uptake among smallholder farmers.</w:t>
      </w:r>
      <w:r>
        <w:t xml:space="preserve"> </w:t>
      </w:r>
      <w:r>
        <w:t xml:space="preserve">The findings are also consistent with </w:t>
      </w:r>
      <w:proofErr w:type="spellStart"/>
      <w:r>
        <w:t>Minten</w:t>
      </w:r>
      <w:proofErr w:type="spellEnd"/>
      <w:r>
        <w:t xml:space="preserve"> et al. (2021), who found that farmers located far from fertilizer supply points in Madagascar were less likely to purchase fertilizer due to transportation challenges and high travel costs. The present study similarly established that physical accessibility to fertilizer outlets positively influences fertilizer uptake among farmers.</w:t>
      </w:r>
      <w:r>
        <w:t xml:space="preserve"> </w:t>
      </w:r>
      <w:r>
        <w:t xml:space="preserve">The findings further support the study by </w:t>
      </w:r>
      <w:proofErr w:type="spellStart"/>
      <w:r>
        <w:t>Nkonya</w:t>
      </w:r>
      <w:proofErr w:type="spellEnd"/>
      <w:r>
        <w:t xml:space="preserve"> et al. (2021), who reported that fertilizer adoption declined as the distance between farmers and fertilizer suppliers increased in sub-Saharan Africa. The current study similarly established that long travel distances and transportation costs negatively affect fertilizer accessibility and utilization among farmers.</w:t>
      </w:r>
    </w:p>
    <w:p w14:paraId="283D9F05" w14:textId="6A56B21B" w:rsidR="00A07A30" w:rsidRDefault="00A07A30" w:rsidP="00A07A30">
      <w:pPr>
        <w:spacing w:line="360" w:lineRule="auto"/>
      </w:pPr>
      <w:r>
        <w:t>The findings also agree with Jayne et al. (2022), who found that farmers living closer to fertilizer distribution centers in Zambia purchased and applied fertilizer more frequently than farmers located further away. The current study similarly established that proximity to fertilizer outlets positively influences fertilizer uptake among smallholder farmers.</w:t>
      </w:r>
      <w:r>
        <w:t xml:space="preserve"> </w:t>
      </w:r>
      <w:r>
        <w:t>The results of the present study further support Sheahan and Barrett (2022), who established that distance to input suppliers significantly influenced fertilizer adoption across African countries. Farmers located far from fertilizer markets were less likely to adopt fertilizer technologies. Similarly, the present study established that physical access to fertilizer distribution centers remains an important determinant of fertilizer uptake.</w:t>
      </w:r>
      <w:r>
        <w:t xml:space="preserve"> </w:t>
      </w:r>
      <w:r>
        <w:t xml:space="preserve">The findings are also consistent with </w:t>
      </w:r>
      <w:proofErr w:type="spellStart"/>
      <w:r>
        <w:t>Kirui</w:t>
      </w:r>
      <w:proofErr w:type="spellEnd"/>
      <w:r>
        <w:t xml:space="preserve"> et al. </w:t>
      </w:r>
      <w:r>
        <w:lastRenderedPageBreak/>
        <w:t xml:space="preserve">(2023), who found that Kenyan farmers located closer to </w:t>
      </w:r>
      <w:proofErr w:type="spellStart"/>
      <w:r>
        <w:t>agro</w:t>
      </w:r>
      <w:proofErr w:type="spellEnd"/>
      <w:r>
        <w:t>-dealer outlets were more likely to purchase fertilizer. Farmers traveling longer distances often delayed fertilizer purchases or bought smaller quantities. The present study similarly established that fertilizer accessibility positively influences fertilizer usage among farmers.</w:t>
      </w:r>
    </w:p>
    <w:p w14:paraId="43E5EC94" w14:textId="4CB0B568" w:rsidR="00A07A30" w:rsidRDefault="00A07A30" w:rsidP="00A07A30">
      <w:pPr>
        <w:spacing w:line="360" w:lineRule="auto"/>
      </w:pPr>
      <w:r>
        <w:t>The findings further support Mwangi and Kariuki (2024), who reported that transportation challenges associated with long travel distances discouraged Kenyan farmers from purchasing fertilizer regularly. Similarly, the present study established that transport costs and accessibility barriers negatively affect fertilizer uptake among farmers.</w:t>
      </w:r>
      <w:r>
        <w:t xml:space="preserve"> </w:t>
      </w:r>
      <w:r>
        <w:t>The findings also agree with Omondi et al. (2025), who found that farmers located near fertilizer supply centers applied higher fertilizer quantities than farmers located far from outlets. The study concluded that improved distribution infrastructure increases fertilizer adoption. The present study similarly established that distribution model changes positively influence fertilizer uptake among smallholder farmers.</w:t>
      </w:r>
      <w:r>
        <w:t xml:space="preserve"> </w:t>
      </w:r>
      <w:r>
        <w:t>Regarding outlet density, the findings of the present study are consistent with Abate et al. (2020), who found that farmers living in areas with a higher density of fertilizer outlets in Ethiopia had greater access to fertilizer and were more likely to use fertilizer compared to farmers living in areas with few suppliers. Similarly, the current study established that increased outlet density improves fertilizer accessibility and fertilizer uptake among farmers.</w:t>
      </w:r>
    </w:p>
    <w:p w14:paraId="375062E9" w14:textId="35F995BD" w:rsidR="00A07A30" w:rsidRDefault="00A07A30" w:rsidP="00A07A30">
      <w:pPr>
        <w:spacing w:line="360" w:lineRule="auto"/>
      </w:pPr>
      <w:r>
        <w:t xml:space="preserve">The findings further support Burke et al. (2021), who reported that regions with more </w:t>
      </w:r>
      <w:proofErr w:type="spellStart"/>
      <w:r>
        <w:t>agro</w:t>
      </w:r>
      <w:proofErr w:type="spellEnd"/>
      <w:r>
        <w:t>-dealer outlets in Zambia experienced higher fertilizer adoption rates because farmers could obtain fertilizer more conveniently. The present study similarly established that outlet availability positively influences fertilizer purchase and fertilizer usage among farmers.</w:t>
      </w:r>
      <w:r>
        <w:t xml:space="preserve"> </w:t>
      </w:r>
      <w:r>
        <w:t>The results are also consistent with Liverpool-</w:t>
      </w:r>
      <w:proofErr w:type="spellStart"/>
      <w:r>
        <w:t>Tasie</w:t>
      </w:r>
      <w:proofErr w:type="spellEnd"/>
      <w:r>
        <w:t xml:space="preserve"> et al. (2021), who found that Nigerian farmers living in areas with multiple fertilizer suppliers recorded higher fertilizer uptake compared to farmers living in areas with fewer suppliers. Similarly, the current study established that increased fertilizer outlet density positively contributes to fertilizer uptake among smallholder farmers.</w:t>
      </w:r>
      <w:r>
        <w:t xml:space="preserve"> </w:t>
      </w:r>
      <w:r>
        <w:t>The findings also agree with Mather et al. (2022), who established that regions with greater fertilizer outlet coverage experienced higher fertilizer usage rates in Zambia. The present study similarly found that outlet density positively influences fertilizer uptake among farmers.</w:t>
      </w:r>
    </w:p>
    <w:p w14:paraId="00C9538B" w14:textId="119206BB" w:rsidR="00A07A30" w:rsidRDefault="00A07A30" w:rsidP="00A07A30">
      <w:pPr>
        <w:spacing w:line="360" w:lineRule="auto"/>
      </w:pPr>
      <w:r>
        <w:t xml:space="preserve">The findings further support Takeshima et al. (2022), who found that farmers living in areas with more input suppliers were more likely to obtain fertilizer when needed. Similarly, the present study established that increasing fertilizer outlet availability improves fertilizer </w:t>
      </w:r>
      <w:r>
        <w:lastRenderedPageBreak/>
        <w:t>accessibility among farmers.</w:t>
      </w:r>
      <w:r>
        <w:t xml:space="preserve"> </w:t>
      </w:r>
      <w:r>
        <w:t xml:space="preserve">The results are also consistent with </w:t>
      </w:r>
      <w:proofErr w:type="spellStart"/>
      <w:r>
        <w:t>Ngigi</w:t>
      </w:r>
      <w:proofErr w:type="spellEnd"/>
      <w:r>
        <w:t xml:space="preserve"> et al. (2023), who established </w:t>
      </w:r>
      <w:r>
        <w:t>that Kenyan farmer</w:t>
      </w:r>
      <w:r>
        <w:t xml:space="preserve"> living in regions with multiple </w:t>
      </w:r>
      <w:proofErr w:type="spellStart"/>
      <w:r>
        <w:t>agro</w:t>
      </w:r>
      <w:proofErr w:type="spellEnd"/>
      <w:r>
        <w:t>-dealer outlets had higher fertilizer purchase rates than farmers living in areas with limited fertilizer supply points. The present study similarly established that outlet density positively influences fertilizer uptake.</w:t>
      </w:r>
      <w:r>
        <w:t xml:space="preserve"> </w:t>
      </w:r>
      <w:r>
        <w:t xml:space="preserve">The findings also agree with Kimani and </w:t>
      </w:r>
      <w:proofErr w:type="spellStart"/>
      <w:r>
        <w:t>Mutiso</w:t>
      </w:r>
      <w:proofErr w:type="spellEnd"/>
      <w:r>
        <w:t xml:space="preserve"> (2024), who reported that farmers living in areas with several fertilizer outlets were more likely to purchase fertilizer. The current study similarly established that outlet density improves fertilizer accessibility and fertilizer adoption among farmers.</w:t>
      </w:r>
    </w:p>
    <w:p w14:paraId="0A9DF661" w14:textId="4C196A65" w:rsidR="00A07A30" w:rsidRDefault="00A07A30" w:rsidP="00A07A30">
      <w:pPr>
        <w:spacing w:line="360" w:lineRule="auto"/>
      </w:pPr>
      <w:r>
        <w:t xml:space="preserve">The findings further support Otieno et al. (2025), who concluded that areas with higher </w:t>
      </w:r>
      <w:proofErr w:type="spellStart"/>
      <w:r>
        <w:t>agro</w:t>
      </w:r>
      <w:proofErr w:type="spellEnd"/>
      <w:r>
        <w:t>-dealer density recorded higher fertilizer adoption rates among farmers in Kenya. Similarly, the present study established that increasing fertilizer outlets improves fertilizer uptake among smallholder farmers.</w:t>
      </w:r>
      <w:r>
        <w:t xml:space="preserve"> </w:t>
      </w:r>
      <w:r>
        <w:t xml:space="preserve">Regarding supply consistency, the findings of the present study are consistent with </w:t>
      </w:r>
      <w:proofErr w:type="spellStart"/>
      <w:r>
        <w:t>Fuglie</w:t>
      </w:r>
      <w:proofErr w:type="spellEnd"/>
      <w:r>
        <w:t xml:space="preserve"> et al. (2020), who found that inconsistent fertilizer supply reduced farmers’ willingness to adopt fertilizer technologies in sub-Saharan Africa. Similarly, the current study established that reliable fertilizer supply positively influences fertilizer uptake among farmers.</w:t>
      </w:r>
      <w:r>
        <w:t xml:space="preserve"> </w:t>
      </w:r>
      <w:r>
        <w:t>The findings further support Jayne et al. (2021), who established that farmers adopted fertilizer more when fertilizer was consistently available in local markets. The present study similarly found that supply consistency positively contributes to fertilizer accessibility and fertilizer usage among farmers.</w:t>
      </w:r>
    </w:p>
    <w:p w14:paraId="305EE86B" w14:textId="65698B8F" w:rsidR="00A07A30" w:rsidRDefault="00A07A30" w:rsidP="00A07A30">
      <w:pPr>
        <w:spacing w:line="360" w:lineRule="auto"/>
      </w:pPr>
      <w:r>
        <w:t>The results are also consistent with Sheahan et al. (2022), who found that farmers were more likely to adopt fertilizer when fertilizer supply chains were reliable. Similarly, the current study established that consistent fertilizer availability positively influences fertilizer uptake among smallholder farmers.</w:t>
      </w:r>
      <w:r>
        <w:t xml:space="preserve"> </w:t>
      </w:r>
      <w:r>
        <w:t>The findings also agree with Barrett et al. (2022), who reported that farmers in areas with stable fertilizer supply networks applied fertilizer more frequently compared to farmers experiencing supply shortages. The present study similarly established that supply consistency improves fertilizer application among farmers.</w:t>
      </w:r>
      <w:r>
        <w:t xml:space="preserve"> </w:t>
      </w:r>
      <w:r>
        <w:t>The findings further support Mutua et al. (2023), who found that Kenyan farmers experiencing consistent fertilizer supply were more likely to apply fertilizer compared to farmers facing frequent fertilizer shortages. Similarly, the present study established that reliable fertilizer supply positively influences fertilizer uptake among smallholder farmers.</w:t>
      </w:r>
    </w:p>
    <w:p w14:paraId="7151A044" w14:textId="196C643A" w:rsidR="00A07A30" w:rsidRDefault="00A07A30" w:rsidP="00A07A30">
      <w:pPr>
        <w:spacing w:line="360" w:lineRule="auto"/>
      </w:pPr>
      <w:r>
        <w:t xml:space="preserve">The results are also consistent with Wanjiku et al. (2024), who established that predictable fertilizer supply allowed farmers to plan fertilizer purchases in advance and apply fertilizer </w:t>
      </w:r>
      <w:r>
        <w:lastRenderedPageBreak/>
        <w:t>during optimal planting periods. The current study similarly established that consistent fertilizer availability improves fertilizer application decisions among farmers.</w:t>
      </w:r>
      <w:r>
        <w:t xml:space="preserve"> </w:t>
      </w:r>
      <w:r>
        <w:t xml:space="preserve">The findings further support </w:t>
      </w:r>
      <w:proofErr w:type="spellStart"/>
      <w:r>
        <w:t>Munyua</w:t>
      </w:r>
      <w:proofErr w:type="spellEnd"/>
      <w:r>
        <w:t xml:space="preserve"> et al. (2024), who found that inconsistent fertilizer supply discouraged Kenyan farmers from participating in fertilizer subsidy programs. Similarly, the present study established that reliable fertilizer supply positively influences fertilizer uptake and participation in subsidy programs.</w:t>
      </w:r>
      <w:r>
        <w:t xml:space="preserve"> </w:t>
      </w:r>
      <w:r w:rsidR="00DD0BD7">
        <w:t xml:space="preserve"> </w:t>
      </w:r>
      <w:r>
        <w:t>Finally, the findings agree with Owino et al. (2025), who established that farmers experiencing reliable fertilizer supply were more likely to purchase and apply fertilizer during planting seasons. The present study similarly established that supply consistency significantly influences fertilizer uptake among smallholder farmers.</w:t>
      </w:r>
    </w:p>
    <w:p w14:paraId="52311EE5" w14:textId="77777777" w:rsidR="00DD0BD7" w:rsidRDefault="00DD0BD7" w:rsidP="00DD0BD7">
      <w:pPr>
        <w:pStyle w:val="Heading3"/>
      </w:pPr>
      <w:r>
        <w:t>5.3.3 Revised Targeting Criteria and Uptake of Fertilizers</w:t>
      </w:r>
    </w:p>
    <w:p w14:paraId="0D68154A" w14:textId="0240F175" w:rsidR="00DD0BD7" w:rsidRDefault="00DD0BD7" w:rsidP="00DD0BD7">
      <w:pPr>
        <w:spacing w:line="360" w:lineRule="auto"/>
      </w:pPr>
      <w:r>
        <w:t>The findings revealed that revised targeting criteria had a positive and statistically significant influence on fertilizer uptake among smallholder farmers. The results indicated that farmer registration systems, voucher receipt timing, and voucher redemption frequency positively influence fertilizer access, fertilizer purchase decisions, and fertilizer application among farmers. The findings further suggest that effective targeting mechanisms improve the efficiency and accessibility of fertilizer subsidy programs.</w:t>
      </w:r>
    </w:p>
    <w:p w14:paraId="4DE452A5" w14:textId="4FE70FE1" w:rsidR="00DD0BD7" w:rsidRDefault="00DD0BD7" w:rsidP="00DD0BD7">
      <w:pPr>
        <w:spacing w:line="360" w:lineRule="auto"/>
      </w:pPr>
      <w:r>
        <w:t>The findings of the present study are consistent with Takeshima et al. (2020), who established that registered farmers in Nigeria were more likely to receive fertilizer subsidies and participate in subsidy programs compared to unregistered farmers. The study further concluded that registration systems improve transparency in fertilizer subsidy allocation. Similarly, the present study established that farmer registration positively influences fertilizer uptake among smallholder farmers.</w:t>
      </w:r>
      <w:r>
        <w:t xml:space="preserve"> </w:t>
      </w:r>
      <w:r>
        <w:t>The findings are also consistent with Abate et al. (2021), who found that registered farmers in Ethiopia had a higher probability of receiving subsidized fertilizer compared to unregistered farmers. The present study similarly established that registration systems improve farmers’ access to fertilizer subsidies and encourage fertilizer adoption.</w:t>
      </w:r>
      <w:r>
        <w:t xml:space="preserve"> </w:t>
      </w:r>
      <w:r>
        <w:t>The findings further support the study by Burke et al. (2021), who reported that formally registered farmers in Zambia were more likely to access fertilizer subsidies. Registration improved fairness and efficiency in subsidy distribution. Similarly, the current study established that registration systems positively influence fertilizer uptake among smallholder farmers.</w:t>
      </w:r>
    </w:p>
    <w:p w14:paraId="4786A125" w14:textId="6904B076" w:rsidR="00DD0BD7" w:rsidRDefault="00DD0BD7" w:rsidP="00DD0BD7">
      <w:pPr>
        <w:spacing w:line="360" w:lineRule="auto"/>
      </w:pPr>
      <w:r>
        <w:t xml:space="preserve">The findings also agree with </w:t>
      </w:r>
      <w:proofErr w:type="spellStart"/>
      <w:r>
        <w:t>Minten</w:t>
      </w:r>
      <w:proofErr w:type="spellEnd"/>
      <w:r>
        <w:t xml:space="preserve"> et al. (2022), who established that registered farmers in Madagascar had significantly higher fertilizer adoption rates compared to unregistered farmers. </w:t>
      </w:r>
      <w:r>
        <w:lastRenderedPageBreak/>
        <w:t>The present study similarly found that effective registration systems improve participation in fertilizer subsidy programs and fertilizer uptake.</w:t>
      </w:r>
      <w:r>
        <w:t xml:space="preserve"> </w:t>
      </w:r>
      <w:r>
        <w:t>The results further support Mather et al. (2023), who found that farmers registered in agricultural subsidy programs in Zambia recorded significantly higher fertilizer adoption rates compared to unregistered farmers. Similarly, the current study established that registration status positively influences fertilizer uptake and utilization among smallholder farmers.</w:t>
      </w:r>
      <w:r>
        <w:t xml:space="preserve"> </w:t>
      </w:r>
      <w:r>
        <w:t>The findings are also consistent with Ochieng et al. (2023), who reported that Kenyan farmers registered in government fertilizer programs had significantly higher fertilizer uptake levels compared to unregistered farmers. The present study similarly established that registration systems improve fertilizer accessibility and fertilizer usage among farmers.</w:t>
      </w:r>
    </w:p>
    <w:p w14:paraId="347410E8" w14:textId="4F718E2F" w:rsidR="00DD0BD7" w:rsidRDefault="00DD0BD7" w:rsidP="00DD0BD7">
      <w:pPr>
        <w:spacing w:line="360" w:lineRule="auto"/>
      </w:pPr>
      <w:r>
        <w:t xml:space="preserve">The findings further support </w:t>
      </w:r>
      <w:proofErr w:type="spellStart"/>
      <w:r>
        <w:t>Kiptoo</w:t>
      </w:r>
      <w:proofErr w:type="spellEnd"/>
      <w:r>
        <w:t xml:space="preserve"> et al. (2024), who found that registered farmers in Kenya were significantly more likely to receive fertilizer subsidies compared to unregistered farmers. Similarly, the present study established that registration systems positively influence fertilizer subsidy participation and fertilizer uptake among smallholder farmers.</w:t>
      </w:r>
      <w:r>
        <w:t xml:space="preserve"> </w:t>
      </w:r>
      <w:r>
        <w:t>The findings also agree with Kamau et al. (2025), who established that registration systems improved transparency in fertilizer subsidy distribution and increased farmers’ participation in subsidy programs in Kenya. The present study similarly found that registration mechanisms positively contribute to fertilizer uptake among farmers.</w:t>
      </w:r>
      <w:r>
        <w:t xml:space="preserve"> </w:t>
      </w:r>
      <w:r>
        <w:t>Regarding voucher receipt timing, the findings of the present study are consistent with Takeshima et al. (2020), who found that farmers receiving fertilizer vouchers before planting were more likely to redeem them and apply fertilizer. Similarly, the current study established that timely voucher distribution positively influences fertilizer uptake among farmers.</w:t>
      </w:r>
    </w:p>
    <w:p w14:paraId="29809800" w14:textId="7A7C6BF6" w:rsidR="00DD0BD7" w:rsidRDefault="00DD0BD7" w:rsidP="00DD0BD7">
      <w:pPr>
        <w:spacing w:line="360" w:lineRule="auto"/>
      </w:pPr>
      <w:r>
        <w:t>The findings further support Liverpool-</w:t>
      </w:r>
      <w:proofErr w:type="spellStart"/>
      <w:r>
        <w:t>Tasie</w:t>
      </w:r>
      <w:proofErr w:type="spellEnd"/>
      <w:r>
        <w:t xml:space="preserve"> et al. (2021), who reported that farmers receiving vouchers early had higher fertilizer adoption rates compared to farmers receiving vouchers late. Farmers receiving vouchers late often relied on commercial fertilizer markets instead of subsidy programs. Similarly, the present study established that voucher timing positively influences fertilizer uptake and subsidy participation.</w:t>
      </w:r>
      <w:r>
        <w:t xml:space="preserve"> </w:t>
      </w:r>
      <w:r>
        <w:t>The findings are also consistent with Burke et al. (2022), who found that farmers in Zambia receiving fertilizer vouchers before planting applied fertilizer more frequently than farmers receiving vouchers later. The current study similarly established that timely voucher distribution improves fertilizer application among smallholder farmers.</w:t>
      </w:r>
      <w:r>
        <w:t xml:space="preserve"> </w:t>
      </w:r>
      <w:r>
        <w:t xml:space="preserve">The findings further support Abate et al. (2023), who established that farmers receiving vouchers early in Ethiopia were more likely to redeem them and apply </w:t>
      </w:r>
      <w:r>
        <w:lastRenderedPageBreak/>
        <w:t>fertilizer during recommended planting periods. Similarly, the present study established that timely voucher receipt improves fertilizer uptake among farmers.</w:t>
      </w:r>
    </w:p>
    <w:p w14:paraId="760405BC" w14:textId="558B6B08" w:rsidR="00DD0BD7" w:rsidRDefault="00DD0BD7" w:rsidP="00DD0BD7">
      <w:pPr>
        <w:spacing w:line="360" w:lineRule="auto"/>
      </w:pPr>
      <w:r>
        <w:t xml:space="preserve">The results also agree with </w:t>
      </w:r>
      <w:proofErr w:type="spellStart"/>
      <w:r>
        <w:t>Minten</w:t>
      </w:r>
      <w:proofErr w:type="spellEnd"/>
      <w:r>
        <w:t xml:space="preserve"> et al. (2023), who reported that farmers receiving vouchers before planting had higher fertilizer redemption rates compared to farmers receiving vouchers late. The present study similarly established that early voucher distribution positively influences fertilizer adoption and utilization.</w:t>
      </w:r>
      <w:r>
        <w:t xml:space="preserve"> </w:t>
      </w:r>
      <w:r>
        <w:t>The findings further support Jayne et al. (2023), who established that early voucher distribution increased farmers’ participation in fertilizer subsidy programs across several African countries. Similarly, the current study established that voucher timing positively contributes to fertilizer uptake among farmers.</w:t>
      </w:r>
      <w:r>
        <w:t xml:space="preserve"> </w:t>
      </w:r>
      <w:r>
        <w:t xml:space="preserve">The findings are also consistent with </w:t>
      </w:r>
      <w:proofErr w:type="spellStart"/>
      <w:r>
        <w:t>Ngigi</w:t>
      </w:r>
      <w:proofErr w:type="spellEnd"/>
      <w:r>
        <w:t xml:space="preserve"> et al. (2024), who found that Kenyan farmers receiving vouchers early were more likely to redeem them and apply fertilizer during the optimal crop growth period. Similarly, the present study established that timely voucher distribution positively influences fertilizer application and fertilizer uptake.</w:t>
      </w:r>
    </w:p>
    <w:p w14:paraId="09A08A05" w14:textId="309C41B1" w:rsidR="00DD0BD7" w:rsidRDefault="00DD0BD7" w:rsidP="00DD0BD7">
      <w:pPr>
        <w:spacing w:line="360" w:lineRule="auto"/>
      </w:pPr>
      <w:r>
        <w:t xml:space="preserve">The findings further support </w:t>
      </w:r>
      <w:proofErr w:type="spellStart"/>
      <w:r>
        <w:t>Munyua</w:t>
      </w:r>
      <w:proofErr w:type="spellEnd"/>
      <w:r>
        <w:t xml:space="preserve"> et al. (2024), who established that early voucher distribution increased redemption rates and fertilizer application among Kenyan farmers. The present study similarly found that timely voucher distribution improves fertilizer uptake and subsidy participation among farmers.</w:t>
      </w:r>
      <w:r>
        <w:t xml:space="preserve"> </w:t>
      </w:r>
      <w:r>
        <w:t>Regarding redemption frequency, the findings of the present study are consistent with Takeshima et al. (2021), who found that Nigerian farmers redeeming fertilizer vouchers regularly were more likely to adopt fertilizer technologies. Similarly, the present study established that frequent voucher redemption positively influences fertilizer uptake among smallholder farmers.</w:t>
      </w:r>
      <w:r>
        <w:t xml:space="preserve"> </w:t>
      </w:r>
      <w:r>
        <w:t>The findings further support Liverpool-</w:t>
      </w:r>
      <w:proofErr w:type="spellStart"/>
      <w:r>
        <w:t>Tasie</w:t>
      </w:r>
      <w:proofErr w:type="spellEnd"/>
      <w:r>
        <w:t xml:space="preserve"> et al. (2022), who reported that farmers redeeming vouchers consistently across planting seasons applied fertilizer more frequently than farmers redeeming vouchers occasionally. The present study similarly established that regular voucher redemption positively contributes to fertilizer application among farmers.</w:t>
      </w:r>
    </w:p>
    <w:p w14:paraId="12633B3A" w14:textId="3A823E9F" w:rsidR="00DD0BD7" w:rsidRDefault="00DD0BD7" w:rsidP="00DD0BD7">
      <w:pPr>
        <w:spacing w:line="360" w:lineRule="auto"/>
      </w:pPr>
      <w:r>
        <w:t>The findings are also consistent with Burke et al. (2022), who found that farmers redeeming fertilizer vouchers across multiple seasons were more likely to adopt fertilizer technologies permanently. Similarly, the current study established that regular participation in fertilizer subsidy programs improves fertilizer uptake among farmers.</w:t>
      </w:r>
      <w:r>
        <w:t xml:space="preserve"> </w:t>
      </w:r>
      <w:r>
        <w:t xml:space="preserve">The findings further support Abate et al. (2023), who established </w:t>
      </w:r>
      <w:r>
        <w:t>that Ethiopian farmer</w:t>
      </w:r>
      <w:r>
        <w:t xml:space="preserve"> redeeming vouchers frequently applied larger fertilizer quantities compared to farmers redeeming vouchers less often. Similarly, the present study established that frequent voucher redemption positively influences </w:t>
      </w:r>
      <w:r>
        <w:lastRenderedPageBreak/>
        <w:t>fertilizer utilization among farmers.</w:t>
      </w:r>
      <w:r>
        <w:t xml:space="preserve"> </w:t>
      </w:r>
      <w:proofErr w:type="gramStart"/>
      <w:r>
        <w:t>The</w:t>
      </w:r>
      <w:proofErr w:type="gramEnd"/>
      <w:r>
        <w:t xml:space="preserve"> findings also agree with Jayne et al. (2023), who found that farmers redeeming vouchers regularly had higher fertilizer adoption rates and stronger fertilizer use practices across planting seasons. The current study similarly established that regular voucher redemption positively influences fertilizer uptake among farmers.</w:t>
      </w:r>
      <w:r>
        <w:t xml:space="preserve"> </w:t>
      </w:r>
      <w:r>
        <w:t xml:space="preserve">The results further support </w:t>
      </w:r>
      <w:proofErr w:type="spellStart"/>
      <w:r>
        <w:t>Minten</w:t>
      </w:r>
      <w:proofErr w:type="spellEnd"/>
      <w:r>
        <w:t xml:space="preserve"> et al. (2024), who established that farmers redeeming vouchers frequently applied fertilizer according to recommended agricultural practices. Similarly, the present study established that repeated participation in fertilizer subsidy programs improves fertilizer adoption and application among smallholder farmers.</w:t>
      </w:r>
    </w:p>
    <w:p w14:paraId="6E4DCBF3" w14:textId="05EC5161" w:rsidR="00DD0BD7" w:rsidRDefault="00DD0BD7" w:rsidP="00DD0BD7">
      <w:pPr>
        <w:spacing w:line="360" w:lineRule="auto"/>
      </w:pPr>
      <w:r>
        <w:t xml:space="preserve">The findings are also consistent with </w:t>
      </w:r>
      <w:proofErr w:type="spellStart"/>
      <w:r>
        <w:t>Ngigi</w:t>
      </w:r>
      <w:proofErr w:type="spellEnd"/>
      <w:r>
        <w:t xml:space="preserve"> et al. (2024), who found that Kenyan farmers redeeming fertilizer vouchers frequently applied fertilizer more consistently compared to farmers redeeming vouchers occasionally. Similarly, the present study established that redemption frequency positively influences fertilizer uptake and utilization.</w:t>
      </w:r>
      <w:r>
        <w:t xml:space="preserve"> </w:t>
      </w:r>
      <w:r>
        <w:t>Finally, the findings agree with Omondi et al. (2025), who established that farmers redeeming fertilizer vouchers regularly applied fertilizer across multiple planting seasons and recorded higher fertilizer adoption rates. Similarly, the current study established that frequent voucher redemption positively contributes to fertilizer uptake among smallholder farmers.</w:t>
      </w:r>
      <w:r>
        <w:t xml:space="preserve"> T</w:t>
      </w:r>
      <w:r>
        <w:t>he findings suggest that effective targeting mechanisms play a significant role in improving fertilizer subsidy accessibility, enhancing participation in subsidy programs, and increasing fertilizer adoption among smallholder farmers. The study therefore implies that strengthening farmer registration systems, improving voucher distribution timing, and encouraging consistent voucher redemption</w:t>
      </w:r>
      <w:r w:rsidR="004A6A79">
        <w:t xml:space="preserve"> </w:t>
      </w:r>
      <w:r>
        <w:t>significantly contribute to improved fertilizer uptake and agricultural productivity in Kenya.</w:t>
      </w:r>
    </w:p>
    <w:p w14:paraId="74B44620" w14:textId="579CC211" w:rsidR="00DD0BD7" w:rsidRDefault="00DD0BD7" w:rsidP="00DD0BD7">
      <w:pPr>
        <w:pStyle w:val="Heading3"/>
      </w:pPr>
      <w:r>
        <w:t>5.3.4 Smallholder Farmers’ Uptake of Fertilizers</w:t>
      </w:r>
    </w:p>
    <w:p w14:paraId="3B99E247" w14:textId="77777777" w:rsidR="00DD0BD7" w:rsidRDefault="00DD0BD7" w:rsidP="00DD0BD7">
      <w:pPr>
        <w:spacing w:line="360" w:lineRule="auto"/>
      </w:pPr>
      <w:r>
        <w:t>The findings revealed that fertilizer subsidy reforms positively influenced fertilizer usage frequency, fertilizer application consistency, and overall fertilizer adoption among smallholder farmers. The findings further suggest that improved access to subsidized fertilizer enables farmers to apply fertilizer during recommended planting periods and in adequate quantities, thereby improving agricultural productivity.</w:t>
      </w:r>
      <w:r>
        <w:t xml:space="preserve"> </w:t>
      </w:r>
    </w:p>
    <w:p w14:paraId="587218B5" w14:textId="705658CF" w:rsidR="00DD0BD7" w:rsidRDefault="00DD0BD7" w:rsidP="00DD0BD7">
      <w:pPr>
        <w:spacing w:line="360" w:lineRule="auto"/>
      </w:pPr>
      <w:r>
        <w:t xml:space="preserve">The findings of the present study are consistent with Sheahan and Barrett (2022), who established that farmers with better access to agricultural input markets in Africa obtained fertilizer earlier and applied it during appropriate crop growth stages. The study further </w:t>
      </w:r>
      <w:r>
        <w:lastRenderedPageBreak/>
        <w:t>revealed that limited fertilizer access resulted in delayed fertilizer application and lower productivity. Similarly, the current study established that improved fertilizer accessibility positively influences fertilizer uptake and application among smallholder farmers.</w:t>
      </w:r>
    </w:p>
    <w:p w14:paraId="3C381F53" w14:textId="2F5B7A97" w:rsidR="00DD0BD7" w:rsidRDefault="00DD0BD7" w:rsidP="00DD0BD7">
      <w:pPr>
        <w:spacing w:line="360" w:lineRule="auto"/>
      </w:pPr>
      <w:r>
        <w:t>The findings are also consistent with Jayne et al. (2022), who found that farmers in Zambia accessing fertilizer early applied fertilizer more frequently and at recommended levels compared to farmers experiencing delays in fertilizer access. The present study similarly established that timely fertilizer accessibility improves fertilizer usage and fertilizer application among farmers.</w:t>
      </w:r>
      <w:r>
        <w:t xml:space="preserve"> </w:t>
      </w:r>
      <w:r>
        <w:t xml:space="preserve">The findings further support </w:t>
      </w:r>
      <w:proofErr w:type="spellStart"/>
      <w:r>
        <w:t>Minten</w:t>
      </w:r>
      <w:proofErr w:type="spellEnd"/>
      <w:r>
        <w:t xml:space="preserve"> et al. (2023), who reported that farmers in Madagascar with reliable fertilizer access applied fertilizer more regularly and in adequate quantities compared to farmers experiencing fertilizer shortages. Similarly, the present study established that reliable fertilizer accessibility positively influences fertilizer uptake among smallholder farmers.</w:t>
      </w:r>
      <w:r>
        <w:t xml:space="preserve"> </w:t>
      </w:r>
      <w:r>
        <w:t xml:space="preserve">The findings also agree with </w:t>
      </w:r>
      <w:proofErr w:type="spellStart"/>
      <w:r>
        <w:t>Mutegi</w:t>
      </w:r>
      <w:proofErr w:type="spellEnd"/>
      <w:r>
        <w:t xml:space="preserve"> et al. (2024), who established </w:t>
      </w:r>
      <w:proofErr w:type="gramStart"/>
      <w:r>
        <w:t>that Kenyan farmers</w:t>
      </w:r>
      <w:proofErr w:type="gramEnd"/>
      <w:r>
        <w:t xml:space="preserve"> accessing fertilizer through government subsidy programs applied fertilizer more consistently compared to farmers without subsidy access. The present study similarly found that fertilizer subsidy programs improve fertilizer accessibility and encourage fertilizer adoption among farmers.</w:t>
      </w:r>
    </w:p>
    <w:p w14:paraId="14E0001A" w14:textId="7D85BFB7" w:rsidR="00DD0BD7" w:rsidRDefault="00DD0BD7" w:rsidP="00DD0BD7">
      <w:pPr>
        <w:spacing w:line="360" w:lineRule="auto"/>
      </w:pPr>
      <w:r>
        <w:t xml:space="preserve">The findings further support </w:t>
      </w:r>
      <w:proofErr w:type="spellStart"/>
      <w:r>
        <w:t>Ngigi</w:t>
      </w:r>
      <w:proofErr w:type="spellEnd"/>
      <w:r>
        <w:t xml:space="preserve"> et al. (2023), who found that Kenyan farmers with improved access to fertilizer outlets applied fertilizer more consistently and in larger quantities. Farmers experiencing access constraints often delayed fertilizer purchases and fertilizer application. Similarly, the current study established that improved fertilizer accessibility positively contributes to fertilizer uptake and utilization among smallholder farmers.</w:t>
      </w:r>
      <w:r>
        <w:t xml:space="preserve"> </w:t>
      </w:r>
      <w:r>
        <w:t xml:space="preserve">The findings are also consistent with </w:t>
      </w:r>
      <w:proofErr w:type="spellStart"/>
      <w:r>
        <w:t>Munyua</w:t>
      </w:r>
      <w:proofErr w:type="spellEnd"/>
      <w:r>
        <w:t xml:space="preserve"> et al. (2024), who established </w:t>
      </w:r>
      <w:r>
        <w:t>that Kenyan farmer</w:t>
      </w:r>
      <w:r>
        <w:t xml:space="preserve"> accessing fertilizer early were more likely to apply fertilizer during recommended crop growth stages compared to farmers experiencing fertilizer delays. Similarly, the present study established that timely fertilizer access positively influences fertilizer uptake and application consistency among farmers.</w:t>
      </w:r>
      <w:r>
        <w:t xml:space="preserve"> </w:t>
      </w:r>
      <w:r>
        <w:t>The findings further support Omondi et al. (2025), who found that farmers with consistent fertilizer access applied fertilizer more frequently across planting seasons compared to farmers facing irregular fertilizer accessibility. Similarly, the current study established that reliable fertilizer access positively influences sustained fertilizer uptake among smallholder farmers.</w:t>
      </w:r>
    </w:p>
    <w:p w14:paraId="33CDF6F2" w14:textId="41B662A1" w:rsidR="00DD0BD7" w:rsidRDefault="00DD0BD7" w:rsidP="00DD0BD7">
      <w:pPr>
        <w:spacing w:line="360" w:lineRule="auto"/>
      </w:pPr>
      <w:r>
        <w:t xml:space="preserve">The findings of the present study are also consistent with the theoretical perspective underpinning fertilizer subsidy programs, which suggests that improving farmers’ access to </w:t>
      </w:r>
      <w:r>
        <w:lastRenderedPageBreak/>
        <w:t>agricultural inputs increases agricultural productivity and enhances adoption of modern farming technologies. The positive relationship between fertilizer subsidy reforms and fertilizer uptake therefore implies that subsidy programs remain important policy instruments for improving agricultural input utilization among smallholder farmers in Kenya.</w:t>
      </w:r>
    </w:p>
    <w:p w14:paraId="0CF291A2" w14:textId="4D76085D" w:rsidR="00274C36" w:rsidRDefault="00274C36" w:rsidP="00274C36">
      <w:pPr>
        <w:pStyle w:val="Heading2"/>
      </w:pPr>
      <w:r>
        <w:t xml:space="preserve">5.4 Conclusion </w:t>
      </w:r>
    </w:p>
    <w:p w14:paraId="5D66807B" w14:textId="20AEFE32" w:rsidR="00274C36" w:rsidRDefault="00274C36" w:rsidP="00274C36">
      <w:pPr>
        <w:pStyle w:val="Heading3"/>
      </w:pPr>
      <w:r>
        <w:t>5.</w:t>
      </w:r>
      <w:r>
        <w:t>4</w:t>
      </w:r>
      <w:r>
        <w:t>.1 Pricing Reforms and Uptake of Fertilizers</w:t>
      </w:r>
    </w:p>
    <w:p w14:paraId="2733F220" w14:textId="60618B65" w:rsidR="00274C36" w:rsidRDefault="00274C36" w:rsidP="00274C36">
      <w:pPr>
        <w:spacing w:line="360" w:lineRule="auto"/>
      </w:pPr>
      <w:r>
        <w:t xml:space="preserve">Based on the findings of the study, it </w:t>
      </w:r>
      <w:r>
        <w:t>is</w:t>
      </w:r>
      <w:r>
        <w:t xml:space="preserve"> concluded that pricing reforms significantly influence smallholder farmers’ uptake of fertilizers in Kenya. The study established that fertilizer price discounts, affordability of fertilizer, and timely subsidy disbursement positively contribute to fertilizer adoption and utilization among smallholder farmers. The findings suggest that reducing fertilizer prices through subsidy programs lowers the financial burden associated with fertilizer purchase and increases farmers’ willingness to apply fertilizer during planting seasons.</w:t>
      </w:r>
      <w:r>
        <w:t xml:space="preserve"> </w:t>
      </w:r>
      <w:r>
        <w:t>The study further concludes that affordable fertilizer pricing mechanisms improve farmers’ access to agricultural inputs and enhance fertilizer application consistency. Smallholder farmers are more likely to purchase fertilizer when prices are reduced and when subsidy programs make fertilizer financially accessible. The findings therefore imply that fertilizer pricing reforms remain an important policy instrument for improving fertilizer uptake and supporting agricultural productivity among smallholder farmers in Kenya.</w:t>
      </w:r>
    </w:p>
    <w:p w14:paraId="442BBFB6" w14:textId="06EBD466" w:rsidR="00274C36" w:rsidRDefault="00274C36" w:rsidP="00274C36">
      <w:pPr>
        <w:spacing w:line="360" w:lineRule="auto"/>
      </w:pPr>
      <w:r>
        <w:t>The study also concludes that timely subsidy disbursement is important in ensuring that farmers access fertilizer before planting seasons. Delays in subsidy distribution negatively affect fertilizer application because farmers miss recommended planting periods forc</w:t>
      </w:r>
      <w:r w:rsidR="00A234E7">
        <w:t>ing</w:t>
      </w:r>
      <w:r>
        <w:t xml:space="preserve"> to purchase fertilizer from commercial markets at higher prices. Consequently, improving the efficiency of subsidy pricing systems and fertilizer distribution timing</w:t>
      </w:r>
      <w:r w:rsidR="00A234E7">
        <w:t xml:space="preserve"> </w:t>
      </w:r>
      <w:r>
        <w:t>significantly enhance fertilizer uptake among smallholder farmers.</w:t>
      </w:r>
      <w:r>
        <w:t xml:space="preserve"> The</w:t>
      </w:r>
      <w:r>
        <w:t xml:space="preserve"> study concludes that pricing reforms positively and significantly influence fertilizer uptake among smallholder farmers in Kenya. Strengthening fertilizer affordability mechanisms through effective subsidy pricing policies therefore improve agricultural input utilization, increase crop productivity, and support food security objectives in Kenya.</w:t>
      </w:r>
    </w:p>
    <w:p w14:paraId="511678EF" w14:textId="77777777" w:rsidR="00274C36" w:rsidRDefault="00274C36" w:rsidP="00274C36">
      <w:pPr>
        <w:pStyle w:val="Heading3"/>
      </w:pPr>
      <w:r>
        <w:t>5.2.2 Distribution Model Changes and Uptake of Fertilizers</w:t>
      </w:r>
    </w:p>
    <w:p w14:paraId="1BECC5F8" w14:textId="2B0BCE2A" w:rsidR="00BF5DAC" w:rsidRDefault="00BF5DAC" w:rsidP="00BF5DAC">
      <w:pPr>
        <w:spacing w:line="360" w:lineRule="auto"/>
      </w:pPr>
      <w:r>
        <w:t xml:space="preserve">The study concludes that distribution model changes significantly influence smallholder farmers’ uptake of fertilizers in Kenya. The findings established that distance to fertilizer </w:t>
      </w:r>
      <w:r>
        <w:lastRenderedPageBreak/>
        <w:t>outlets, outlet density, and supply consistency are important determinants of fertilizer accessibility and utilization among smallholder farmers. Farmers located closer to fertilizer distribution centers were found to have better access to fertilizer and lower transportation costs, which positively influenced fertilizer purchase decisions and fertilizer application.</w:t>
      </w:r>
    </w:p>
    <w:p w14:paraId="6A491B58" w14:textId="3771ED3E" w:rsidR="00BF5DAC" w:rsidRDefault="00BF5DAC" w:rsidP="00BF5DAC">
      <w:pPr>
        <w:spacing w:line="360" w:lineRule="auto"/>
      </w:pPr>
      <w:r>
        <w:t>The study further concludes that increasing the number of fertilizer outlets within farming regions improves fertilizer accessibility and encourages fertilizer adoption among smallholder farmers. Areas with more fertilizer suppliers provide farmers with greater convenience in obtaining fertilizer during planting seasons. In contrast, farmers located in areas with limited fertilizer distribution outlets often experience delays, higher transportation costs, and reduced fertilizer accessibility.</w:t>
      </w:r>
      <w:r w:rsidR="0018462F">
        <w:t xml:space="preserve"> </w:t>
      </w:r>
      <w:r>
        <w:t>The findings also indicate that consistent fertilizer supply plays a critical role in improving fertilizer uptake among farmers. Reliable fertilizer availability allows farmers to plan fertilizer purchases in advance and apply fertilizer during recommended planting periods. On the other hand, inconsistent fertilizer supply discourages farmers from participating in subsidy programs and reduce fertilizer application rates.</w:t>
      </w:r>
    </w:p>
    <w:p w14:paraId="1BD95F8B" w14:textId="540BCFF2" w:rsidR="00274C36" w:rsidRDefault="00BF5DAC" w:rsidP="00DD0BD7">
      <w:pPr>
        <w:spacing w:line="360" w:lineRule="auto"/>
      </w:pPr>
      <w:r>
        <w:t xml:space="preserve">The study therefore concludes that efficient fertilizer distribution systems are essential for improving fertilizer accessibility and increasing fertilizer uptake among smallholder farmers. Strengthening fertilizer distribution infrastructure, expanding </w:t>
      </w:r>
      <w:proofErr w:type="spellStart"/>
      <w:r>
        <w:t>agro</w:t>
      </w:r>
      <w:proofErr w:type="spellEnd"/>
      <w:r>
        <w:t>-dealer networks, and improving fertilizer supply reliability significantly enhance fertilizer adoption and agricultural productivity in Kenya.</w:t>
      </w:r>
      <w:r w:rsidR="00A234E7">
        <w:t xml:space="preserve"> </w:t>
      </w:r>
      <w:r w:rsidR="0018462F">
        <w:t>T</w:t>
      </w:r>
      <w:r>
        <w:t>he study concludes that distribution model changes positively and significantly influence fertilizer uptake among smallholder farmers. Improving fertilizer accessibility through effective distribution systems therefore contribute to increased fertilizer utilization, improved crop productivity, and sustainable agricultural development.</w:t>
      </w:r>
    </w:p>
    <w:p w14:paraId="2B04DAF3" w14:textId="77777777" w:rsidR="00274C36" w:rsidRDefault="00274C36" w:rsidP="00274C36">
      <w:pPr>
        <w:pStyle w:val="Heading3"/>
      </w:pPr>
      <w:r>
        <w:t>5.3.3 Revised Targeting Criteria and Uptake of Fertilizers</w:t>
      </w:r>
    </w:p>
    <w:p w14:paraId="7B7E6AB7" w14:textId="1C23DD97" w:rsidR="0018462F" w:rsidRDefault="0018462F" w:rsidP="0018462F">
      <w:pPr>
        <w:spacing w:line="360" w:lineRule="auto"/>
      </w:pPr>
      <w:r>
        <w:t>The study concludes that revised targeting criteria significantly influence smallholder farmers’ uptake of fertilizers in Kenya. The findings established that farmer registration systems, voucher receipt timing, and voucher redemption frequency positively contribute to fertilizer accessibility, participation in subsidy programs, and fertilizer adoption among farmers.</w:t>
      </w:r>
      <w:r>
        <w:t xml:space="preserve"> </w:t>
      </w:r>
      <w:r>
        <w:t xml:space="preserve">The study further concludes that effective farmer registration systems improve transparency and efficiency in fertilizer subsidy allocation. Registered farmers are more likely to access subsidized fertilizer compared to unregistered farmers because registration systems facilitate identification of eligible beneficiaries within subsidy programs. The findings therefore imply </w:t>
      </w:r>
      <w:r>
        <w:lastRenderedPageBreak/>
        <w:t>that strengthening farmer registration mechanisms</w:t>
      </w:r>
      <w:r w:rsidR="00A234E7">
        <w:t xml:space="preserve"> </w:t>
      </w:r>
      <w:r>
        <w:t>improve the effectiveness of fertilizer subsidy programs and enhance fertilizer uptake among smallholder farmers.</w:t>
      </w:r>
    </w:p>
    <w:p w14:paraId="44A7C35B" w14:textId="1B178C69" w:rsidR="00274C36" w:rsidRDefault="0018462F" w:rsidP="00DD0BD7">
      <w:pPr>
        <w:spacing w:line="360" w:lineRule="auto"/>
      </w:pPr>
      <w:r>
        <w:t xml:space="preserve">The study also concludes that voucher receipt timing significantly influences fertilizer uptake and fertilizer application among farmers. Farmers receiving vouchers before planting seasons are more likely to redeem them and apply fertilizer during recommended crop growth stages. Delayed voucher distribution reduces participation in subsidy programs because some farmers already have purchased fertilizer from private markets </w:t>
      </w:r>
      <w:r w:rsidR="00A234E7">
        <w:t>or</w:t>
      </w:r>
      <w:r>
        <w:t xml:space="preserve"> miss optimal planting periods. Consequently, timely voucher distribution remains important in improving fertilizer utilization among farmers.</w:t>
      </w:r>
      <w:r>
        <w:t xml:space="preserve"> </w:t>
      </w:r>
      <w:r>
        <w:t>The findings further indicate that redemption frequency positively influences fertilizer uptake among smallholder farmers. Farmers redeeming fertilizer vouchers regularly are more likely to apply fertilizer consistently across planting seasons and develop long-term fertilizer use practices. Frequent participation in fertilizer subsidy programs therefore strengthens fertilizer adoption behavior among farmers.</w:t>
      </w:r>
      <w:r>
        <w:t xml:space="preserve"> T</w:t>
      </w:r>
      <w:r>
        <w:t>he study concludes that revised targeting criteria positively and significantly influence fertilizer uptake among smallholder farmers in Kenya. Improving farmer registration systems, ensuring timely voucher distribution, and encouraging regular voucher redemption</w:t>
      </w:r>
      <w:r w:rsidR="00A234E7">
        <w:t xml:space="preserve"> </w:t>
      </w:r>
      <w:r>
        <w:t>therefore enhance participation in fertilizer subsidy programs and improve fertilizer adoption among smallholder farmers.</w:t>
      </w:r>
    </w:p>
    <w:p w14:paraId="235A0007" w14:textId="77777777" w:rsidR="0018462F" w:rsidRDefault="0018462F" w:rsidP="0018462F">
      <w:pPr>
        <w:pStyle w:val="Heading2"/>
      </w:pPr>
      <w:r>
        <w:t>5.5 Recommendations</w:t>
      </w:r>
    </w:p>
    <w:p w14:paraId="4EBFE2EF" w14:textId="77777777" w:rsidR="0018462F" w:rsidRDefault="0018462F" w:rsidP="0018462F">
      <w:pPr>
        <w:pStyle w:val="Heading3"/>
      </w:pPr>
      <w:r>
        <w:t>5.5.1 Recommendations for Improvement</w:t>
      </w:r>
    </w:p>
    <w:p w14:paraId="3271D539" w14:textId="77777777" w:rsidR="0018462F" w:rsidRPr="0018462F" w:rsidRDefault="0018462F" w:rsidP="0018462F">
      <w:pPr>
        <w:pStyle w:val="Heading4"/>
      </w:pPr>
      <w:r w:rsidRPr="0018462F">
        <w:t>5.5.1.1 Pricing Reforms and Uptake of Fertilizers</w:t>
      </w:r>
    </w:p>
    <w:p w14:paraId="72EFA0B5" w14:textId="3968110C" w:rsidR="0018462F" w:rsidRDefault="0018462F" w:rsidP="0018462F">
      <w:pPr>
        <w:spacing w:line="360" w:lineRule="auto"/>
      </w:pPr>
      <w:r>
        <w:t>Based on the findings of the study, the government should strengthen fertilizer pricing reforms to improve fertilizer affordability among smallholder farmers. The study established that fertilizer price discounts and affordability significantly influence fertilizer uptake among farmers. Consequently, policymakers should increase budgetary allocations toward fertilizer subsidy programs to ensure that fertilizer prices remain affordable, particularly during planting seasons when fertilizer demand is highest.</w:t>
      </w:r>
      <w:r>
        <w:t xml:space="preserve"> </w:t>
      </w:r>
      <w:r>
        <w:t>The government should also ensure that fertilizer subsidies are distributed in a timely manner before planting periods. Delays in subsidy disbursement reduce fertilizer application efficiency because farmers</w:t>
      </w:r>
      <w:r w:rsidR="00A234E7">
        <w:t xml:space="preserve"> </w:t>
      </w:r>
      <w:r>
        <w:t>miss recommended planting periods or purchase fertilizer from commercial markets at higher prices. Establishing efficient subsidy release schedules and strengthening coordination between national and county governments improve fertilizer accessibility and increase fertilizer adoption among farmers.</w:t>
      </w:r>
    </w:p>
    <w:p w14:paraId="43891A05" w14:textId="027FA5CB" w:rsidR="0018462F" w:rsidRDefault="0018462F" w:rsidP="0018462F">
      <w:pPr>
        <w:spacing w:line="360" w:lineRule="auto"/>
      </w:pPr>
      <w:r>
        <w:lastRenderedPageBreak/>
        <w:t>The Ministry of Agriculture should further review fertilizer pricing policies regularly to ensure that subsidy prices reflect prevailing market conditions and farmers’ income levels. Smallholder farmers often experience financial constraints that limit their ability to purchase sufficient fertilizer quantities. Therefore, maintaining affordable fertilizer prices improve fertilizer accessibility and support sustainable agricultural production.</w:t>
      </w:r>
      <w:r w:rsidR="00681ED1">
        <w:t xml:space="preserve"> </w:t>
      </w:r>
      <w:r>
        <w:t>The government should also consider expanding digital subsidy systems that allow farmers to access fertilizer subsidies efficiently and transparently. Digital platforms minimize delays, and improve accountability in fertilizer subsidy allocation. In addition, digital systems help identify genuine beneficiaries and ensure that fertilizer subsidies reach resource-constrained farmers.</w:t>
      </w:r>
      <w:r w:rsidR="00681ED1">
        <w:t xml:space="preserve"> </w:t>
      </w:r>
      <w:r>
        <w:t>Agricultural extension officers should further educate farmers on the benefits of fertilizer usage and proper fertilizer application practices. Improving farmers’ knowledge regarding fertilizer management increase fertilizer utilization efficiency and improve crop productivity. The government should therefore strengthen agricultural extension services and farmer training programs related to fertilizer use and soil management practices.</w:t>
      </w:r>
    </w:p>
    <w:p w14:paraId="73186C67" w14:textId="06E5BBA9" w:rsidR="0018462F" w:rsidRDefault="0018462F" w:rsidP="0018462F">
      <w:pPr>
        <w:spacing w:line="360" w:lineRule="auto"/>
      </w:pPr>
      <w:r>
        <w:t>The study further recommends collaboration between the government, fertilizer suppliers, and financial institutions to improve fertilizer financing among smallholder farmers. Access to affordable agricultural credit enable farmers to purchase sufficient fertilizer quantities even before subsidy allocation. Establishing flexible agricultural loan programs and farmer cooperative financing schemes therefore improve fertilizer accessibility and fertilizer adoption among farmers.</w:t>
      </w:r>
      <w:r w:rsidR="00681ED1">
        <w:t xml:space="preserve"> S</w:t>
      </w:r>
      <w:r>
        <w:t>trengthening fertilizer pricing reforms significantly improve fertilizer accessibility, increase fertilizer uptake, enhance crop productivity, and contribute to food security among smallholder farmers in Kenya.</w:t>
      </w:r>
    </w:p>
    <w:p w14:paraId="0B03ABA0" w14:textId="77777777" w:rsidR="0018462F" w:rsidRDefault="0018462F" w:rsidP="00681ED1">
      <w:pPr>
        <w:pStyle w:val="Heading4"/>
      </w:pPr>
      <w:r>
        <w:t>5.5.1.2 Distribution Model Changes and Uptake of Fertilizers</w:t>
      </w:r>
    </w:p>
    <w:p w14:paraId="24C8129B" w14:textId="1FA27FB0" w:rsidR="0018462F" w:rsidRDefault="0018462F" w:rsidP="0018462F">
      <w:pPr>
        <w:spacing w:line="360" w:lineRule="auto"/>
      </w:pPr>
      <w:r>
        <w:t xml:space="preserve">The study recommends that the government strengthen fertilizer distribution systems to improve fertilizer accessibility among smallholder farmers. The findings established that distance to fertilizer outlets, outlet density, and supply consistency significantly influence fertilizer uptake among farmers. Consequently, the government should increase the number of fertilizer distribution centers and </w:t>
      </w:r>
      <w:proofErr w:type="spellStart"/>
      <w:r>
        <w:t>agro</w:t>
      </w:r>
      <w:proofErr w:type="spellEnd"/>
      <w:r>
        <w:t>-dealer outlets within rural farming regions to reduce transportation barriers faced by farmers.</w:t>
      </w:r>
      <w:r w:rsidR="00681ED1">
        <w:t xml:space="preserve"> </w:t>
      </w:r>
      <w:r>
        <w:t xml:space="preserve">The Ministry of Agriculture should collaborate with private </w:t>
      </w:r>
      <w:proofErr w:type="spellStart"/>
      <w:r>
        <w:t>agro</w:t>
      </w:r>
      <w:proofErr w:type="spellEnd"/>
      <w:r>
        <w:t xml:space="preserve">-dealers and county governments to establish additional fertilizer supply outlets in remote farming areas. Increasing fertilizer outlet density reduce travel distance, lower transport costs, and improve farmers’ access to fertilizer during planting seasons. This significantly </w:t>
      </w:r>
      <w:r>
        <w:lastRenderedPageBreak/>
        <w:t>improve fertilizer adoption and utilization among smallholder farmers.</w:t>
      </w:r>
      <w:r w:rsidR="00681ED1">
        <w:t xml:space="preserve"> </w:t>
      </w:r>
      <w:r>
        <w:t>The government should also improve transportation and logistical infrastructure supporting fertilizer distribution. Poor road networks and transportation challenges often delay fertilizer delivery to rural farming communities. Improving rural road infrastructure and strengthening fertilizer transportation systems therefore improve fertilizer accessibility and reduce supply delays.</w:t>
      </w:r>
    </w:p>
    <w:p w14:paraId="084E386A" w14:textId="37514338" w:rsidR="0018462F" w:rsidRDefault="0018462F" w:rsidP="0018462F">
      <w:pPr>
        <w:spacing w:line="360" w:lineRule="auto"/>
      </w:pPr>
      <w:r>
        <w:t>The study further recommends strengthening fertilizer supply chain management to ensure consistent fertilizer availability during planting seasons. Farmers often experience fertilizer shortages due to delayed deliveries, inadequate supply planning, or distribution inefficiencies. Establishing effective inventory management systems and improving coordination between fertilizer suppliers and distribution agencies help ensure reliable fertilizer supply across farming regions.</w:t>
      </w:r>
      <w:r w:rsidR="00681ED1">
        <w:t xml:space="preserve"> </w:t>
      </w:r>
      <w:r>
        <w:t xml:space="preserve">The government should also encourage private sector participation in fertilizer distribution programs. Supporting </w:t>
      </w:r>
      <w:proofErr w:type="spellStart"/>
      <w:r>
        <w:t>agro</w:t>
      </w:r>
      <w:proofErr w:type="spellEnd"/>
      <w:r>
        <w:t>-dealer networks and private fertilizer suppliers increase fertilizer market coverage and improve accessibility among farmers. Policies encouraging private investment in agricultural input distribution therefore strengthen fertilizer availability and improve fertilizer uptake.</w:t>
      </w:r>
      <w:r w:rsidR="00681ED1">
        <w:t xml:space="preserve"> </w:t>
      </w:r>
      <w:r>
        <w:t xml:space="preserve">County governments should further establish monitoring mechanisms to assess fertilizer availability and distribution efficiency regularly. Monitoring systems help identify supply gaps, distribution challenges, and delays affecting fertilizer accessibility among farmers. Timely intervention therefore </w:t>
      </w:r>
      <w:proofErr w:type="gramStart"/>
      <w:r>
        <w:t>improve</w:t>
      </w:r>
      <w:proofErr w:type="gramEnd"/>
      <w:r>
        <w:t xml:space="preserve"> fertilizer supply consistency and strengthen fertilizer distribution systems.</w:t>
      </w:r>
    </w:p>
    <w:p w14:paraId="60B91327" w14:textId="7DD8C64A" w:rsidR="0018462F" w:rsidRDefault="0018462F" w:rsidP="0018462F">
      <w:pPr>
        <w:spacing w:line="360" w:lineRule="auto"/>
      </w:pPr>
      <w:r>
        <w:t xml:space="preserve">The study additionally recommends integrating digital technologies within fertilizer distribution systems. Digital tracking systems improve supply chain transparency, reduce leakages, and ensure efficient fertilizer allocation to farmers. Such systems also improve communication between farmers, </w:t>
      </w:r>
      <w:proofErr w:type="spellStart"/>
      <w:r>
        <w:t>agro</w:t>
      </w:r>
      <w:proofErr w:type="spellEnd"/>
      <w:r>
        <w:t>-dealers, and government agencies involved in fertilizer distribution.</w:t>
      </w:r>
      <w:r w:rsidR="00681ED1">
        <w:t xml:space="preserve"> Refining </w:t>
      </w:r>
      <w:r>
        <w:t>fertilizer distribution systems</w:t>
      </w:r>
      <w:r w:rsidR="00F1144C">
        <w:t xml:space="preserve"> </w:t>
      </w:r>
      <w:r>
        <w:t>significantly improve fertilizer accessibility, reduce transaction costs, increase fertilizer adoption, and improve agricultural productivity among smallholder farmers in Kenya.</w:t>
      </w:r>
    </w:p>
    <w:p w14:paraId="7BE20DA2" w14:textId="77777777" w:rsidR="0018462F" w:rsidRDefault="0018462F" w:rsidP="00973BD9">
      <w:pPr>
        <w:pStyle w:val="Heading4"/>
      </w:pPr>
      <w:r>
        <w:t>5.5.1.3 Revised Targeting Criteria and Uptake of Fertilizers</w:t>
      </w:r>
    </w:p>
    <w:p w14:paraId="5B2DCE6D" w14:textId="093DF34B" w:rsidR="0018462F" w:rsidRDefault="0018462F" w:rsidP="0018462F">
      <w:pPr>
        <w:spacing w:line="360" w:lineRule="auto"/>
      </w:pPr>
      <w:r>
        <w:t xml:space="preserve">The study recommends that the government improve targeting mechanisms used in fertilizer subsidy programs to enhance fertilizer accessibility among smallholder farmers. The findings established that farmer registration systems, voucher timing, and redemption frequency significantly influence fertilizer uptake among farmers. Consequently, policymakers should </w:t>
      </w:r>
      <w:r>
        <w:lastRenderedPageBreak/>
        <w:t>strengthen farmer registration systems to improve identification of eligible subsidy beneficiaries.</w:t>
      </w:r>
      <w:r w:rsidR="00681ED1">
        <w:t xml:space="preserve"> </w:t>
      </w:r>
      <w:r>
        <w:t>The Ministry of Agriculture should enhance digital farmer registration systems to improve transparency and accountability within fertilizer subsidy programs. Digital registration systems reduce duplication, eliminate fraudulent beneficiaries, and improve efficiency in subsidy allocation. The government should therefore invest in digital infrastructure and farmer database management systems to support effective fertilizer targeting mechanisms.</w:t>
      </w:r>
    </w:p>
    <w:p w14:paraId="33102560" w14:textId="2E4DC8A8" w:rsidR="0018462F" w:rsidRDefault="0018462F" w:rsidP="0018462F">
      <w:pPr>
        <w:spacing w:line="360" w:lineRule="auto"/>
      </w:pPr>
      <w:r>
        <w:t>The study further recommends simplifying farmer registration procedures to ensure that all eligible smallholder farmers can easily participate in fertilizer subsidy programs. Complex registration procedures discourage some farmers from participating in subsidy programs, particularly farmers with low literacy levels. Simplified and accessible registration systems</w:t>
      </w:r>
      <w:r w:rsidR="00F1144C">
        <w:t xml:space="preserve"> </w:t>
      </w:r>
      <w:r>
        <w:t>therefore improve participation rates and fertilizer accessibility.</w:t>
      </w:r>
      <w:r w:rsidR="00681ED1">
        <w:t xml:space="preserve"> </w:t>
      </w:r>
      <w:r>
        <w:t>The government should also ensure timely distribution of fertilizer vouchers before planting seasons. Delayed voucher distribution reduces farmers’ ability to redeem fertilizer on time and negatively affect fertilizer application during critical crop growth stages. Establishing clear voucher distribution timelines and improving coordination between distribution agencies therefore improve fertilizer utilization among farmers.</w:t>
      </w:r>
    </w:p>
    <w:p w14:paraId="272FF17E" w14:textId="0B2D8049" w:rsidR="0018462F" w:rsidRDefault="0018462F" w:rsidP="0018462F">
      <w:pPr>
        <w:spacing w:line="360" w:lineRule="auto"/>
      </w:pPr>
      <w:r>
        <w:t>The study additionally recommends improving awareness creation regarding fertilizer subsidy programs and voucher redemption procedures. Some farmers fail to participate effectively due to limited information regarding registration requirements, voucher distribution dates, or redemption processes. Strengthening farmer sensitization programs and extension services therefore improve participation in fertilizer subsidy programs.</w:t>
      </w:r>
      <w:r w:rsidR="00681ED1">
        <w:t xml:space="preserve"> </w:t>
      </w:r>
      <w:r>
        <w:t xml:space="preserve">The government should further encourage continuous participation in fertilizer subsidy programs by ensuring consistency and reliability in voucher distribution systems. Farmers redeeming fertilizer vouchers regularly are more likely to develop long-term fertilizer adoption practices. Consistent subsidy support therefore </w:t>
      </w:r>
      <w:r w:rsidR="00D47B34">
        <w:t>improves</w:t>
      </w:r>
      <w:r>
        <w:t xml:space="preserve"> fertilizer utilization and strengthen sustainable agricultural production among smallholder farmers.</w:t>
      </w:r>
      <w:r w:rsidR="00681ED1">
        <w:t xml:space="preserve"> </w:t>
      </w:r>
      <w:r>
        <w:t>The study also recommends establishing monitoring and evaluation mechanisms to assess the effectiveness of targeting systems regularly. Monitoring systems help identify weaknesses in subsidy allocation, registration processes, and voucher redemption systems. Timely policy adjustments therefore improv</w:t>
      </w:r>
      <w:r w:rsidR="00D47B34">
        <w:t>ing</w:t>
      </w:r>
      <w:r>
        <w:t xml:space="preserve"> targeting efficiency and fertilizer accessibility among farmers.</w:t>
      </w:r>
      <w:r w:rsidR="00681ED1">
        <w:t xml:space="preserve"> I</w:t>
      </w:r>
      <w:r>
        <w:t xml:space="preserve">mproving targeting mechanisms within fertilizer subsidy programs significantly enhance fertilizer accessibility, increase participation in subsidy </w:t>
      </w:r>
      <w:r>
        <w:lastRenderedPageBreak/>
        <w:t>programs, improve fertilizer uptake, and strengthen agricultural productivity among smallholder farmers in Kenya.</w:t>
      </w:r>
    </w:p>
    <w:p w14:paraId="1EB77D7E" w14:textId="177CEA82" w:rsidR="0018462F" w:rsidRDefault="0018462F" w:rsidP="00681ED1">
      <w:pPr>
        <w:pStyle w:val="Heading3"/>
      </w:pPr>
      <w:r>
        <w:t>5.5.2 Recommendations for Further Studies</w:t>
      </w:r>
    </w:p>
    <w:p w14:paraId="00561089" w14:textId="6B9F1BC0" w:rsidR="0018462F" w:rsidRDefault="0018462F" w:rsidP="0018462F">
      <w:pPr>
        <w:spacing w:line="360" w:lineRule="auto"/>
      </w:pPr>
      <w:r>
        <w:t>The present study focused on the influence of fertilizer subsidy reform strategies on smallholder farmers’ uptake of fertilizers in selected counties in Kenya. Future studies should therefore expand the geographical scope of the study by including additional counties and regions to improve generalizability of the findings across the country. Differences in climatic conditions, farming systems, and economic activities across regions influence fertilizer uptake patterns differently.</w:t>
      </w:r>
    </w:p>
    <w:p w14:paraId="22EB5A73" w14:textId="5388223D" w:rsidR="0018462F" w:rsidRDefault="0018462F" w:rsidP="0018462F">
      <w:pPr>
        <w:spacing w:line="360" w:lineRule="auto"/>
      </w:pPr>
      <w:r>
        <w:t>Future studies should also examine other factors influencing fertilizer uptake among smallholder farmers beyond pricing reforms, distribution model changes, and revised targeting criteria. Variables such as household income, access to agricultural credit, land tenure systems, soil fertility conditions, extension services, and climate variability</w:t>
      </w:r>
      <w:r w:rsidR="00D47B34">
        <w:t xml:space="preserve"> </w:t>
      </w:r>
      <w:r>
        <w:t>significantly influence fertilizer adoption among farmers.</w:t>
      </w:r>
    </w:p>
    <w:p w14:paraId="3B494FAD" w14:textId="2AFA06D4" w:rsidR="0018462F" w:rsidRDefault="0018462F" w:rsidP="0018462F">
      <w:pPr>
        <w:spacing w:line="360" w:lineRule="auto"/>
      </w:pPr>
      <w:r>
        <w:t>The present study adopted a quantitative research approach using structured questionnaires. Future studies therefore adopt mixed-methods or qualitative research approaches to provide deeper understanding of farmers’ experiences, perceptions, and challenges regarding fertilizer subsidy programs. Qualitative interviews and focus group discussions provide detailed insights regarding barriers affecting fertilizer accessibility and utilization.</w:t>
      </w:r>
    </w:p>
    <w:p w14:paraId="52C5F1AD" w14:textId="06C641B8" w:rsidR="0018462F" w:rsidRDefault="0018462F" w:rsidP="0018462F">
      <w:pPr>
        <w:spacing w:line="360" w:lineRule="auto"/>
      </w:pPr>
      <w:r>
        <w:t>Future studies should also examine the long-term effects of fertilizer subsidy reforms on agricultural productivity, household income, and food security among smallholder farmers. Longitudinal studies tracking farmers over multiple planting seasons</w:t>
      </w:r>
      <w:r w:rsidR="00D47B34">
        <w:t xml:space="preserve"> </w:t>
      </w:r>
      <w:r>
        <w:t>provide better understanding of the sustainability and effectiveness of fertilizer subsidy programs over time.</w:t>
      </w:r>
    </w:p>
    <w:p w14:paraId="2796C885" w14:textId="77777777" w:rsidR="0018462F" w:rsidRDefault="0018462F" w:rsidP="0018462F">
      <w:pPr>
        <w:spacing w:line="360" w:lineRule="auto"/>
      </w:pPr>
      <w:r>
        <w:t>The study further recommends future research on the effectiveness of digital technologies in fertilizer subsidy distribution and targeting systems. As governments increasingly adopt digital subsidy platforms, future studies should assess how digital registration systems, electronic vouchers, and digital payment systems influence transparency, efficiency, and fertilizer accessibility among farmers.</w:t>
      </w:r>
    </w:p>
    <w:p w14:paraId="2FE1F700" w14:textId="3377EEBF" w:rsidR="0018462F" w:rsidRDefault="0018462F" w:rsidP="0018462F">
      <w:pPr>
        <w:spacing w:line="360" w:lineRule="auto"/>
      </w:pPr>
      <w:r>
        <w:lastRenderedPageBreak/>
        <w:t>Future researchers should also examine the relationship between fertilizer subsidy programs and environmental sustainability. Excessive or inappropriate fertilizer application contribute to soil degradation, water pollution, and environmental challenges. Studies examining sustainable fertilizer management practices and environmental implications of fertilizer subsidy programs therefore provide important policy insights.</w:t>
      </w:r>
    </w:p>
    <w:p w14:paraId="0F37B305" w14:textId="0497DA7C" w:rsidR="0018462F" w:rsidRDefault="0018462F" w:rsidP="0018462F">
      <w:pPr>
        <w:spacing w:line="360" w:lineRule="auto"/>
      </w:pPr>
      <w:r>
        <w:t>The study additionally recommends comparative studies between countries implementing different fertilizer subsidy models within Africa. Comparative regional studies provide broader understanding of effective fertilizer subsidy strategies and policy approaches suitable for improving agricultural productivity and food security across developing countries.</w:t>
      </w:r>
      <w:r w:rsidR="00681ED1">
        <w:t xml:space="preserve"> F</w:t>
      </w:r>
      <w:r>
        <w:t>uture research should continue examining emerging issues affecting fertilizer accessibility, subsidy efficiency, agricultural productivity, and sustainable farming practices among smallholder farmers.</w:t>
      </w:r>
    </w:p>
    <w:p w14:paraId="4C3F2380" w14:textId="77777777" w:rsidR="00274C36" w:rsidRDefault="00274C36" w:rsidP="00DD0BD7">
      <w:pPr>
        <w:spacing w:line="360" w:lineRule="auto"/>
      </w:pPr>
    </w:p>
    <w:p w14:paraId="7D5AEF5E" w14:textId="77777777" w:rsidR="00274C36" w:rsidRDefault="00274C36" w:rsidP="00DD0BD7">
      <w:pPr>
        <w:spacing w:line="360" w:lineRule="auto"/>
      </w:pPr>
    </w:p>
    <w:sectPr w:rsidR="00274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A5F"/>
    <w:rsid w:val="00033A7E"/>
    <w:rsid w:val="0018462F"/>
    <w:rsid w:val="001E1A5F"/>
    <w:rsid w:val="001E4F03"/>
    <w:rsid w:val="00266560"/>
    <w:rsid w:val="00274C36"/>
    <w:rsid w:val="002A321E"/>
    <w:rsid w:val="002B2B25"/>
    <w:rsid w:val="002F4853"/>
    <w:rsid w:val="00302137"/>
    <w:rsid w:val="003A5B9C"/>
    <w:rsid w:val="004975DA"/>
    <w:rsid w:val="004A6A79"/>
    <w:rsid w:val="004C6C18"/>
    <w:rsid w:val="0055715C"/>
    <w:rsid w:val="00584ED4"/>
    <w:rsid w:val="005E1045"/>
    <w:rsid w:val="005F1F09"/>
    <w:rsid w:val="00603120"/>
    <w:rsid w:val="00611267"/>
    <w:rsid w:val="00635183"/>
    <w:rsid w:val="00681ED1"/>
    <w:rsid w:val="0076169F"/>
    <w:rsid w:val="007C23EA"/>
    <w:rsid w:val="0081770D"/>
    <w:rsid w:val="00823BE2"/>
    <w:rsid w:val="008306E2"/>
    <w:rsid w:val="0083761C"/>
    <w:rsid w:val="008935AE"/>
    <w:rsid w:val="008F416E"/>
    <w:rsid w:val="00973BD9"/>
    <w:rsid w:val="009A14B5"/>
    <w:rsid w:val="009E62CB"/>
    <w:rsid w:val="009E68C1"/>
    <w:rsid w:val="009F0778"/>
    <w:rsid w:val="009F2F4B"/>
    <w:rsid w:val="00A07A30"/>
    <w:rsid w:val="00A234E7"/>
    <w:rsid w:val="00A85441"/>
    <w:rsid w:val="00AC7AFB"/>
    <w:rsid w:val="00BA5740"/>
    <w:rsid w:val="00BB0D71"/>
    <w:rsid w:val="00BF275E"/>
    <w:rsid w:val="00BF5DAC"/>
    <w:rsid w:val="00C35F58"/>
    <w:rsid w:val="00C67FBB"/>
    <w:rsid w:val="00D2263B"/>
    <w:rsid w:val="00D453AB"/>
    <w:rsid w:val="00D47B34"/>
    <w:rsid w:val="00D733ED"/>
    <w:rsid w:val="00DD0BD7"/>
    <w:rsid w:val="00DE054D"/>
    <w:rsid w:val="00E0567B"/>
    <w:rsid w:val="00E64A9F"/>
    <w:rsid w:val="00E65EA7"/>
    <w:rsid w:val="00E72868"/>
    <w:rsid w:val="00E73EAB"/>
    <w:rsid w:val="00EB311B"/>
    <w:rsid w:val="00EB7BC0"/>
    <w:rsid w:val="00F0294F"/>
    <w:rsid w:val="00F1144C"/>
    <w:rsid w:val="00F83CC4"/>
    <w:rsid w:val="00FB114A"/>
    <w:rsid w:val="00FC171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5A47"/>
  <w15:chartTrackingRefBased/>
  <w15:docId w15:val="{B5D22ECF-0DAC-4E3F-ACA3-7C017EDD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75E"/>
    <w:pPr>
      <w:spacing w:before="120" w:after="280"/>
      <w:jc w:val="both"/>
    </w:pPr>
    <w:rPr>
      <w:rFonts w:ascii="Times New Roman" w:hAnsi="Times New Roman"/>
      <w:kern w:val="0"/>
      <w:sz w:val="24"/>
      <w:lang w:val="en-US"/>
      <w14:ligatures w14:val="none"/>
    </w:rPr>
  </w:style>
  <w:style w:type="paragraph" w:styleId="Heading1">
    <w:name w:val="heading 1"/>
    <w:basedOn w:val="Normal"/>
    <w:link w:val="Heading1Char"/>
    <w:autoRedefine/>
    <w:uiPriority w:val="9"/>
    <w:qFormat/>
    <w:rsid w:val="0083761C"/>
    <w:pPr>
      <w:spacing w:before="100" w:beforeAutospacing="1" w:after="100" w:afterAutospacing="1" w:line="240" w:lineRule="auto"/>
      <w:jc w:val="center"/>
      <w:outlineLvl w:val="0"/>
    </w:pPr>
    <w:rPr>
      <w:rFonts w:eastAsia="Times New Roman" w:cs="Times New Roman"/>
      <w:b/>
      <w:bCs/>
      <w:kern w:val="36"/>
      <w:sz w:val="28"/>
      <w:szCs w:val="48"/>
      <w:lang w:val="en-KE"/>
      <w14:ligatures w14:val="standardContextual"/>
    </w:rPr>
  </w:style>
  <w:style w:type="paragraph" w:styleId="Heading2">
    <w:name w:val="heading 2"/>
    <w:basedOn w:val="Normal"/>
    <w:next w:val="Normal"/>
    <w:link w:val="Heading2Char"/>
    <w:autoRedefine/>
    <w:uiPriority w:val="9"/>
    <w:unhideWhenUsed/>
    <w:qFormat/>
    <w:rsid w:val="001E1A5F"/>
    <w:pPr>
      <w:keepNext/>
      <w:keepLines/>
      <w:spacing w:before="200" w:after="0" w:line="276" w:lineRule="auto"/>
      <w:jc w:val="left"/>
      <w:outlineLvl w:val="1"/>
    </w:pPr>
    <w:rPr>
      <w:rFonts w:eastAsia="Calibri" w:cs="Calibri"/>
      <w:b/>
      <w:bCs/>
      <w:kern w:val="2"/>
      <w:szCs w:val="24"/>
      <w:lang w:val="en-KE" w:eastAsia="en-KE"/>
      <w14:ligatures w14:val="standardContextual"/>
    </w:rPr>
  </w:style>
  <w:style w:type="paragraph" w:styleId="Heading3">
    <w:name w:val="heading 3"/>
    <w:basedOn w:val="Normal"/>
    <w:next w:val="Normal"/>
    <w:link w:val="Heading3Char"/>
    <w:autoRedefine/>
    <w:uiPriority w:val="9"/>
    <w:unhideWhenUsed/>
    <w:qFormat/>
    <w:rsid w:val="00BA5740"/>
    <w:pPr>
      <w:keepNext/>
      <w:keepLines/>
      <w:spacing w:before="320" w:after="80"/>
      <w:jc w:val="left"/>
      <w:outlineLvl w:val="2"/>
    </w:pPr>
    <w:rPr>
      <w:b/>
      <w:szCs w:val="28"/>
    </w:rPr>
  </w:style>
  <w:style w:type="paragraph" w:styleId="Heading4">
    <w:name w:val="heading 4"/>
    <w:basedOn w:val="Normal"/>
    <w:next w:val="Normal"/>
    <w:link w:val="Heading4Char"/>
    <w:autoRedefine/>
    <w:uiPriority w:val="9"/>
    <w:unhideWhenUsed/>
    <w:qFormat/>
    <w:rsid w:val="0018462F"/>
    <w:pPr>
      <w:keepNext/>
      <w:keepLines/>
      <w:spacing w:before="200"/>
      <w:jc w:val="left"/>
      <w:outlineLvl w:val="3"/>
    </w:pPr>
    <w:rPr>
      <w:rFonts w:eastAsia="Calibri" w:cs="Calibri"/>
      <w:b/>
      <w:bCs/>
      <w:iCs/>
      <w:sz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61C"/>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1E1A5F"/>
    <w:rPr>
      <w:rFonts w:ascii="Times New Roman" w:eastAsia="Calibri" w:hAnsi="Times New Roman" w:cs="Calibri"/>
      <w:b/>
      <w:bCs/>
      <w:sz w:val="24"/>
      <w:szCs w:val="24"/>
      <w:lang w:eastAsia="en-KE"/>
    </w:rPr>
  </w:style>
  <w:style w:type="character" w:customStyle="1" w:styleId="Heading3Char">
    <w:name w:val="Heading 3 Char"/>
    <w:basedOn w:val="DefaultParagraphFont"/>
    <w:link w:val="Heading3"/>
    <w:uiPriority w:val="9"/>
    <w:rsid w:val="00BA5740"/>
    <w:rPr>
      <w:rFonts w:ascii="Times New Roman" w:hAnsi="Times New Roman"/>
      <w:b/>
      <w:kern w:val="0"/>
      <w:sz w:val="24"/>
      <w:szCs w:val="28"/>
      <w:lang w:val="en-US"/>
      <w14:ligatures w14:val="none"/>
    </w:rPr>
  </w:style>
  <w:style w:type="character" w:customStyle="1" w:styleId="Heading4Char">
    <w:name w:val="Heading 4 Char"/>
    <w:basedOn w:val="DefaultParagraphFont"/>
    <w:link w:val="Heading4"/>
    <w:uiPriority w:val="9"/>
    <w:rsid w:val="0018462F"/>
    <w:rPr>
      <w:rFonts w:ascii="Times New Roman" w:eastAsia="Calibri" w:hAnsi="Times New Roman" w:cs="Calibri"/>
      <w:b/>
      <w:bCs/>
      <w:iCs/>
      <w:kern w:val="0"/>
      <w:lang w:val="en"/>
      <w14:ligatures w14:val="none"/>
    </w:rPr>
  </w:style>
  <w:style w:type="paragraph" w:styleId="NormalWeb">
    <w:name w:val="Normal (Web)"/>
    <w:basedOn w:val="Normal"/>
    <w:uiPriority w:val="99"/>
    <w:semiHidden/>
    <w:unhideWhenUsed/>
    <w:rsid w:val="001E1A5F"/>
    <w:pPr>
      <w:spacing w:before="100" w:beforeAutospacing="1" w:after="100" w:afterAutospacing="1" w:line="240" w:lineRule="auto"/>
      <w:jc w:val="left"/>
    </w:pPr>
    <w:rPr>
      <w:rFonts w:eastAsia="Times New Roman" w:cs="Times New Roman"/>
      <w:szCs w:val="24"/>
      <w:lang w:val="en-KE" w:eastAsia="en-KE"/>
    </w:rPr>
  </w:style>
  <w:style w:type="table" w:styleId="TableGrid">
    <w:name w:val="Table Grid"/>
    <w:basedOn w:val="TableNormal"/>
    <w:uiPriority w:val="39"/>
    <w:rsid w:val="00BF2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35137">
      <w:bodyDiv w:val="1"/>
      <w:marLeft w:val="0"/>
      <w:marRight w:val="0"/>
      <w:marTop w:val="0"/>
      <w:marBottom w:val="0"/>
      <w:divBdr>
        <w:top w:val="none" w:sz="0" w:space="0" w:color="auto"/>
        <w:left w:val="none" w:sz="0" w:space="0" w:color="auto"/>
        <w:bottom w:val="none" w:sz="0" w:space="0" w:color="auto"/>
        <w:right w:val="none" w:sz="0" w:space="0" w:color="auto"/>
      </w:divBdr>
    </w:div>
    <w:div w:id="156968702">
      <w:bodyDiv w:val="1"/>
      <w:marLeft w:val="0"/>
      <w:marRight w:val="0"/>
      <w:marTop w:val="0"/>
      <w:marBottom w:val="0"/>
      <w:divBdr>
        <w:top w:val="none" w:sz="0" w:space="0" w:color="auto"/>
        <w:left w:val="none" w:sz="0" w:space="0" w:color="auto"/>
        <w:bottom w:val="none" w:sz="0" w:space="0" w:color="auto"/>
        <w:right w:val="none" w:sz="0" w:space="0" w:color="auto"/>
      </w:divBdr>
    </w:div>
    <w:div w:id="185950254">
      <w:bodyDiv w:val="1"/>
      <w:marLeft w:val="0"/>
      <w:marRight w:val="0"/>
      <w:marTop w:val="0"/>
      <w:marBottom w:val="0"/>
      <w:divBdr>
        <w:top w:val="none" w:sz="0" w:space="0" w:color="auto"/>
        <w:left w:val="none" w:sz="0" w:space="0" w:color="auto"/>
        <w:bottom w:val="none" w:sz="0" w:space="0" w:color="auto"/>
        <w:right w:val="none" w:sz="0" w:space="0" w:color="auto"/>
      </w:divBdr>
    </w:div>
    <w:div w:id="767429499">
      <w:bodyDiv w:val="1"/>
      <w:marLeft w:val="0"/>
      <w:marRight w:val="0"/>
      <w:marTop w:val="0"/>
      <w:marBottom w:val="0"/>
      <w:divBdr>
        <w:top w:val="none" w:sz="0" w:space="0" w:color="auto"/>
        <w:left w:val="none" w:sz="0" w:space="0" w:color="auto"/>
        <w:bottom w:val="none" w:sz="0" w:space="0" w:color="auto"/>
        <w:right w:val="none" w:sz="0" w:space="0" w:color="auto"/>
      </w:divBdr>
    </w:div>
    <w:div w:id="969750380">
      <w:bodyDiv w:val="1"/>
      <w:marLeft w:val="0"/>
      <w:marRight w:val="0"/>
      <w:marTop w:val="0"/>
      <w:marBottom w:val="0"/>
      <w:divBdr>
        <w:top w:val="none" w:sz="0" w:space="0" w:color="auto"/>
        <w:left w:val="none" w:sz="0" w:space="0" w:color="auto"/>
        <w:bottom w:val="none" w:sz="0" w:space="0" w:color="auto"/>
        <w:right w:val="none" w:sz="0" w:space="0" w:color="auto"/>
      </w:divBdr>
    </w:div>
    <w:div w:id="1002784407">
      <w:bodyDiv w:val="1"/>
      <w:marLeft w:val="0"/>
      <w:marRight w:val="0"/>
      <w:marTop w:val="0"/>
      <w:marBottom w:val="0"/>
      <w:divBdr>
        <w:top w:val="none" w:sz="0" w:space="0" w:color="auto"/>
        <w:left w:val="none" w:sz="0" w:space="0" w:color="auto"/>
        <w:bottom w:val="none" w:sz="0" w:space="0" w:color="auto"/>
        <w:right w:val="none" w:sz="0" w:space="0" w:color="auto"/>
      </w:divBdr>
    </w:div>
    <w:div w:id="1013149252">
      <w:bodyDiv w:val="1"/>
      <w:marLeft w:val="0"/>
      <w:marRight w:val="0"/>
      <w:marTop w:val="0"/>
      <w:marBottom w:val="0"/>
      <w:divBdr>
        <w:top w:val="none" w:sz="0" w:space="0" w:color="auto"/>
        <w:left w:val="none" w:sz="0" w:space="0" w:color="auto"/>
        <w:bottom w:val="none" w:sz="0" w:space="0" w:color="auto"/>
        <w:right w:val="none" w:sz="0" w:space="0" w:color="auto"/>
      </w:divBdr>
    </w:div>
    <w:div w:id="1094208806">
      <w:bodyDiv w:val="1"/>
      <w:marLeft w:val="0"/>
      <w:marRight w:val="0"/>
      <w:marTop w:val="0"/>
      <w:marBottom w:val="0"/>
      <w:divBdr>
        <w:top w:val="none" w:sz="0" w:space="0" w:color="auto"/>
        <w:left w:val="none" w:sz="0" w:space="0" w:color="auto"/>
        <w:bottom w:val="none" w:sz="0" w:space="0" w:color="auto"/>
        <w:right w:val="none" w:sz="0" w:space="0" w:color="auto"/>
      </w:divBdr>
    </w:div>
    <w:div w:id="1118909733">
      <w:bodyDiv w:val="1"/>
      <w:marLeft w:val="0"/>
      <w:marRight w:val="0"/>
      <w:marTop w:val="0"/>
      <w:marBottom w:val="0"/>
      <w:divBdr>
        <w:top w:val="none" w:sz="0" w:space="0" w:color="auto"/>
        <w:left w:val="none" w:sz="0" w:space="0" w:color="auto"/>
        <w:bottom w:val="none" w:sz="0" w:space="0" w:color="auto"/>
        <w:right w:val="none" w:sz="0" w:space="0" w:color="auto"/>
      </w:divBdr>
    </w:div>
    <w:div w:id="1210653319">
      <w:bodyDiv w:val="1"/>
      <w:marLeft w:val="0"/>
      <w:marRight w:val="0"/>
      <w:marTop w:val="0"/>
      <w:marBottom w:val="0"/>
      <w:divBdr>
        <w:top w:val="none" w:sz="0" w:space="0" w:color="auto"/>
        <w:left w:val="none" w:sz="0" w:space="0" w:color="auto"/>
        <w:bottom w:val="none" w:sz="0" w:space="0" w:color="auto"/>
        <w:right w:val="none" w:sz="0" w:space="0" w:color="auto"/>
      </w:divBdr>
    </w:div>
    <w:div w:id="1368725037">
      <w:bodyDiv w:val="1"/>
      <w:marLeft w:val="0"/>
      <w:marRight w:val="0"/>
      <w:marTop w:val="0"/>
      <w:marBottom w:val="0"/>
      <w:divBdr>
        <w:top w:val="none" w:sz="0" w:space="0" w:color="auto"/>
        <w:left w:val="none" w:sz="0" w:space="0" w:color="auto"/>
        <w:bottom w:val="none" w:sz="0" w:space="0" w:color="auto"/>
        <w:right w:val="none" w:sz="0" w:space="0" w:color="auto"/>
      </w:divBdr>
    </w:div>
    <w:div w:id="1379355097">
      <w:bodyDiv w:val="1"/>
      <w:marLeft w:val="0"/>
      <w:marRight w:val="0"/>
      <w:marTop w:val="0"/>
      <w:marBottom w:val="0"/>
      <w:divBdr>
        <w:top w:val="none" w:sz="0" w:space="0" w:color="auto"/>
        <w:left w:val="none" w:sz="0" w:space="0" w:color="auto"/>
        <w:bottom w:val="none" w:sz="0" w:space="0" w:color="auto"/>
        <w:right w:val="none" w:sz="0" w:space="0" w:color="auto"/>
      </w:divBdr>
    </w:div>
    <w:div w:id="1517770732">
      <w:bodyDiv w:val="1"/>
      <w:marLeft w:val="0"/>
      <w:marRight w:val="0"/>
      <w:marTop w:val="0"/>
      <w:marBottom w:val="0"/>
      <w:divBdr>
        <w:top w:val="none" w:sz="0" w:space="0" w:color="auto"/>
        <w:left w:val="none" w:sz="0" w:space="0" w:color="auto"/>
        <w:bottom w:val="none" w:sz="0" w:space="0" w:color="auto"/>
        <w:right w:val="none" w:sz="0" w:space="0" w:color="auto"/>
      </w:divBdr>
    </w:div>
    <w:div w:id="1545563072">
      <w:bodyDiv w:val="1"/>
      <w:marLeft w:val="0"/>
      <w:marRight w:val="0"/>
      <w:marTop w:val="0"/>
      <w:marBottom w:val="0"/>
      <w:divBdr>
        <w:top w:val="none" w:sz="0" w:space="0" w:color="auto"/>
        <w:left w:val="none" w:sz="0" w:space="0" w:color="auto"/>
        <w:bottom w:val="none" w:sz="0" w:space="0" w:color="auto"/>
        <w:right w:val="none" w:sz="0" w:space="0" w:color="auto"/>
      </w:divBdr>
    </w:div>
    <w:div w:id="1697848673">
      <w:bodyDiv w:val="1"/>
      <w:marLeft w:val="0"/>
      <w:marRight w:val="0"/>
      <w:marTop w:val="0"/>
      <w:marBottom w:val="0"/>
      <w:divBdr>
        <w:top w:val="none" w:sz="0" w:space="0" w:color="auto"/>
        <w:left w:val="none" w:sz="0" w:space="0" w:color="auto"/>
        <w:bottom w:val="none" w:sz="0" w:space="0" w:color="auto"/>
        <w:right w:val="none" w:sz="0" w:space="0" w:color="auto"/>
      </w:divBdr>
    </w:div>
    <w:div w:id="1739553573">
      <w:bodyDiv w:val="1"/>
      <w:marLeft w:val="0"/>
      <w:marRight w:val="0"/>
      <w:marTop w:val="0"/>
      <w:marBottom w:val="0"/>
      <w:divBdr>
        <w:top w:val="none" w:sz="0" w:space="0" w:color="auto"/>
        <w:left w:val="none" w:sz="0" w:space="0" w:color="auto"/>
        <w:bottom w:val="none" w:sz="0" w:space="0" w:color="auto"/>
        <w:right w:val="none" w:sz="0" w:space="0" w:color="auto"/>
      </w:divBdr>
    </w:div>
    <w:div w:id="1892377021">
      <w:bodyDiv w:val="1"/>
      <w:marLeft w:val="0"/>
      <w:marRight w:val="0"/>
      <w:marTop w:val="0"/>
      <w:marBottom w:val="0"/>
      <w:divBdr>
        <w:top w:val="none" w:sz="0" w:space="0" w:color="auto"/>
        <w:left w:val="none" w:sz="0" w:space="0" w:color="auto"/>
        <w:bottom w:val="none" w:sz="0" w:space="0" w:color="auto"/>
        <w:right w:val="none" w:sz="0" w:space="0" w:color="auto"/>
      </w:divBdr>
    </w:div>
    <w:div w:id="1907261435">
      <w:bodyDiv w:val="1"/>
      <w:marLeft w:val="0"/>
      <w:marRight w:val="0"/>
      <w:marTop w:val="0"/>
      <w:marBottom w:val="0"/>
      <w:divBdr>
        <w:top w:val="none" w:sz="0" w:space="0" w:color="auto"/>
        <w:left w:val="none" w:sz="0" w:space="0" w:color="auto"/>
        <w:bottom w:val="none" w:sz="0" w:space="0" w:color="auto"/>
        <w:right w:val="none" w:sz="0" w:space="0" w:color="auto"/>
      </w:divBdr>
    </w:div>
    <w:div w:id="1964916955">
      <w:bodyDiv w:val="1"/>
      <w:marLeft w:val="0"/>
      <w:marRight w:val="0"/>
      <w:marTop w:val="0"/>
      <w:marBottom w:val="0"/>
      <w:divBdr>
        <w:top w:val="none" w:sz="0" w:space="0" w:color="auto"/>
        <w:left w:val="none" w:sz="0" w:space="0" w:color="auto"/>
        <w:bottom w:val="none" w:sz="0" w:space="0" w:color="auto"/>
        <w:right w:val="none" w:sz="0" w:space="0" w:color="auto"/>
      </w:divBdr>
    </w:div>
    <w:div w:id="1976712062">
      <w:bodyDiv w:val="1"/>
      <w:marLeft w:val="0"/>
      <w:marRight w:val="0"/>
      <w:marTop w:val="0"/>
      <w:marBottom w:val="0"/>
      <w:divBdr>
        <w:top w:val="none" w:sz="0" w:space="0" w:color="auto"/>
        <w:left w:val="none" w:sz="0" w:space="0" w:color="auto"/>
        <w:bottom w:val="none" w:sz="0" w:space="0" w:color="auto"/>
        <w:right w:val="none" w:sz="0" w:space="0" w:color="auto"/>
      </w:divBdr>
    </w:div>
    <w:div w:id="1979533315">
      <w:bodyDiv w:val="1"/>
      <w:marLeft w:val="0"/>
      <w:marRight w:val="0"/>
      <w:marTop w:val="0"/>
      <w:marBottom w:val="0"/>
      <w:divBdr>
        <w:top w:val="none" w:sz="0" w:space="0" w:color="auto"/>
        <w:left w:val="none" w:sz="0" w:space="0" w:color="auto"/>
        <w:bottom w:val="none" w:sz="0" w:space="0" w:color="auto"/>
        <w:right w:val="none" w:sz="0" w:space="0" w:color="auto"/>
      </w:divBdr>
    </w:div>
    <w:div w:id="2031444353">
      <w:bodyDiv w:val="1"/>
      <w:marLeft w:val="0"/>
      <w:marRight w:val="0"/>
      <w:marTop w:val="0"/>
      <w:marBottom w:val="0"/>
      <w:divBdr>
        <w:top w:val="none" w:sz="0" w:space="0" w:color="auto"/>
        <w:left w:val="none" w:sz="0" w:space="0" w:color="auto"/>
        <w:bottom w:val="none" w:sz="0" w:space="0" w:color="auto"/>
        <w:right w:val="none" w:sz="0" w:space="0" w:color="auto"/>
      </w:divBdr>
    </w:div>
    <w:div w:id="2038700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5660</TotalTime>
  <Pages>48</Pages>
  <Words>15476</Words>
  <Characters>88217</Characters>
  <Application>Microsoft Office Word</Application>
  <DocSecurity>0</DocSecurity>
  <Lines>735</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Sprout Africa IT</dc:creator>
  <cp:keywords/>
  <dc:description/>
  <cp:lastModifiedBy>Sprout Africa IT</cp:lastModifiedBy>
  <cp:revision>10</cp:revision>
  <dcterms:created xsi:type="dcterms:W3CDTF">2026-05-21T11:13:00Z</dcterms:created>
  <dcterms:modified xsi:type="dcterms:W3CDTF">2026-05-25T10:41:00Z</dcterms:modified>
</cp:coreProperties>
</file>