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1F8ED5">
      <w:pPr>
        <w:jc w:val="center"/>
        <w:rPr>
          <w:b/>
          <w:color w:val="000000" w:themeColor="text1"/>
          <w:sz w:val="28"/>
          <w:szCs w:val="28"/>
          <w14:textFill>
            <w14:solidFill>
              <w14:schemeClr w14:val="tx1"/>
            </w14:solidFill>
          </w14:textFill>
        </w:rPr>
      </w:pPr>
      <w:bookmarkStart w:id="0" w:name="_Toc203756689"/>
      <w:bookmarkStart w:id="1" w:name="_Toc219364725"/>
      <w:bookmarkStart w:id="2" w:name="_Toc202796031"/>
      <w:bookmarkStart w:id="91" w:name="_GoBack"/>
      <w:bookmarkEnd w:id="91"/>
      <w:r>
        <w:rPr>
          <w:rFonts w:ascii="Arial" w:hAnsi="Arial" w:cs="Arial"/>
          <w:color w:val="000000" w:themeColor="text1"/>
          <w:szCs w:val="24"/>
          <w14:textFill>
            <w14:solidFill>
              <w14:schemeClr w14:val="tx1"/>
            </w14:solidFill>
          </w14:textFill>
        </w:rPr>
        <w:drawing>
          <wp:inline distT="114300" distB="114300" distL="114300" distR="114300">
            <wp:extent cx="3231515" cy="1428115"/>
            <wp:effectExtent l="0" t="0" r="0" b="635"/>
            <wp:docPr id="1" name="image1.png" descr="A logo with blue and yellow triangles&#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1.png" descr="A logo with blue and yellow triangles&#10;&#10;AI-generated content may be incorrect."/>
                    <pic:cNvPicPr preferRelativeResize="0"/>
                  </pic:nvPicPr>
                  <pic:blipFill>
                    <a:blip r:embed="rId7"/>
                    <a:srcRect/>
                    <a:stretch>
                      <a:fillRect/>
                    </a:stretch>
                  </pic:blipFill>
                  <pic:spPr>
                    <a:xfrm>
                      <a:off x="0" y="0"/>
                      <a:ext cx="3245490" cy="1434912"/>
                    </a:xfrm>
                    <a:prstGeom prst="rect">
                      <a:avLst/>
                    </a:prstGeom>
                  </pic:spPr>
                </pic:pic>
              </a:graphicData>
            </a:graphic>
          </wp:inline>
        </w:drawing>
      </w:r>
    </w:p>
    <w:p w14:paraId="69B75838">
      <w:pPr>
        <w:jc w:val="center"/>
        <w:rPr>
          <w:b/>
          <w:color w:val="000000" w:themeColor="text1"/>
          <w:sz w:val="28"/>
          <w:szCs w:val="28"/>
          <w14:textFill>
            <w14:solidFill>
              <w14:schemeClr w14:val="tx1"/>
            </w14:solidFill>
          </w14:textFill>
        </w:rPr>
      </w:pPr>
    </w:p>
    <w:p w14:paraId="39C04A30">
      <w:pPr>
        <w:jc w:val="center"/>
        <w:rPr>
          <w:b/>
          <w:color w:val="000000" w:themeColor="text1"/>
          <w:szCs w:val="24"/>
          <w14:textFill>
            <w14:solidFill>
              <w14:schemeClr w14:val="tx1"/>
            </w14:solidFill>
          </w14:textFill>
        </w:rPr>
      </w:pPr>
    </w:p>
    <w:p w14:paraId="20EAF838">
      <w:pPr>
        <w:jc w:val="center"/>
        <w:rPr>
          <w:b/>
          <w:color w:val="000000" w:themeColor="text1"/>
          <w:szCs w:val="24"/>
          <w14:textFill>
            <w14:solidFill>
              <w14:schemeClr w14:val="tx1"/>
            </w14:solidFill>
          </w14:textFill>
        </w:rPr>
      </w:pPr>
      <w:r>
        <w:rPr>
          <w:b/>
          <w:color w:val="000000" w:themeColor="text1"/>
          <w:szCs w:val="24"/>
          <w14:textFill>
            <w14:solidFill>
              <w14:schemeClr w14:val="tx1"/>
            </w14:solidFill>
          </w14:textFill>
        </w:rPr>
        <w:t>INVESTIGATING FERTILIZER SUBSIDY REFORM STRATEGIES ON SMALLHOLDER FARMERS’ UPTAKE OF FERTILIZERS IN KENYA</w:t>
      </w:r>
    </w:p>
    <w:p w14:paraId="71413B95">
      <w:pPr>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survey of Nakuru, Bungoma, and Meru counties</w:t>
      </w:r>
    </w:p>
    <w:p w14:paraId="6E97A8A7">
      <w:pPr>
        <w:rPr>
          <w:b/>
          <w:color w:val="000000" w:themeColor="text1"/>
          <w:sz w:val="28"/>
          <w:szCs w:val="28"/>
          <w14:textFill>
            <w14:solidFill>
              <w14:schemeClr w14:val="tx1"/>
            </w14:solidFill>
          </w14:textFill>
        </w:rPr>
      </w:pPr>
    </w:p>
    <w:p w14:paraId="4B2E13AA">
      <w:pPr>
        <w:jc w:val="center"/>
        <w:rPr>
          <w:b/>
          <w:color w:val="000000" w:themeColor="text1"/>
          <w:sz w:val="28"/>
          <w:szCs w:val="28"/>
          <w14:textFill>
            <w14:solidFill>
              <w14:schemeClr w14:val="tx1"/>
            </w14:solidFill>
          </w14:textFill>
        </w:rPr>
      </w:pPr>
    </w:p>
    <w:p w14:paraId="41B54A7B">
      <w:pPr>
        <w:jc w:val="center"/>
        <w:rPr>
          <w:b/>
          <w:color w:val="000000" w:themeColor="text1"/>
          <w:sz w:val="28"/>
          <w:szCs w:val="28"/>
          <w14:textFill>
            <w14:solidFill>
              <w14:schemeClr w14:val="tx1"/>
            </w14:solidFill>
          </w14:textFill>
        </w:rPr>
      </w:pPr>
    </w:p>
    <w:p w14:paraId="62F735D6">
      <w:pPr>
        <w:jc w:val="center"/>
        <w:rPr>
          <w:b/>
          <w:color w:val="000000" w:themeColor="text1"/>
          <w:szCs w:val="24"/>
          <w14:textFill>
            <w14:solidFill>
              <w14:schemeClr w14:val="tx1"/>
            </w14:solidFill>
          </w14:textFill>
        </w:rPr>
      </w:pPr>
      <w:r>
        <w:rPr>
          <w:b/>
          <w:color w:val="000000" w:themeColor="text1"/>
          <w:szCs w:val="24"/>
          <w14:textFill>
            <w14:solidFill>
              <w14:schemeClr w14:val="tx1"/>
            </w14:solidFill>
          </w14:textFill>
        </w:rPr>
        <w:t>BY SEBASTIAN NDUVA</w:t>
      </w:r>
    </w:p>
    <w:p w14:paraId="40D934D3">
      <w:pPr>
        <w:jc w:val="center"/>
        <w:rPr>
          <w:b/>
          <w:color w:val="000000" w:themeColor="text1"/>
          <w:szCs w:val="24"/>
          <w14:textFill>
            <w14:solidFill>
              <w14:schemeClr w14:val="tx1"/>
            </w14:solidFill>
          </w14:textFill>
        </w:rPr>
      </w:pPr>
      <w:r>
        <w:rPr>
          <w:b/>
          <w:color w:val="000000" w:themeColor="text1"/>
          <w:szCs w:val="24"/>
          <w14:textFill>
            <w14:solidFill>
              <w14:schemeClr w14:val="tx1"/>
            </w14:solidFill>
          </w14:textFill>
        </w:rPr>
        <w:t>ADM. NO. 674849</w:t>
      </w:r>
    </w:p>
    <w:p w14:paraId="67CC5393">
      <w:pPr>
        <w:jc w:val="center"/>
        <w:rPr>
          <w:b/>
          <w:color w:val="000000" w:themeColor="text1"/>
          <w:szCs w:val="24"/>
          <w14:textFill>
            <w14:solidFill>
              <w14:schemeClr w14:val="tx1"/>
            </w14:solidFill>
          </w14:textFill>
        </w:rPr>
      </w:pPr>
    </w:p>
    <w:p w14:paraId="24AF0ED6">
      <w:pPr>
        <w:jc w:val="center"/>
        <w:rPr>
          <w:b/>
          <w:color w:val="000000" w:themeColor="text1"/>
          <w:szCs w:val="24"/>
          <w14:textFill>
            <w14:solidFill>
              <w14:schemeClr w14:val="tx1"/>
            </w14:solidFill>
          </w14:textFill>
        </w:rPr>
      </w:pPr>
    </w:p>
    <w:p w14:paraId="6AD8F8D0">
      <w:pPr>
        <w:jc w:val="center"/>
        <w:rPr>
          <w:b/>
          <w:color w:val="000000" w:themeColor="text1"/>
          <w:szCs w:val="24"/>
          <w14:textFill>
            <w14:solidFill>
              <w14:schemeClr w14:val="tx1"/>
            </w14:solidFill>
          </w14:textFill>
        </w:rPr>
      </w:pPr>
    </w:p>
    <w:p w14:paraId="20CE31EF">
      <w:pPr>
        <w:jc w:val="center"/>
        <w:rPr>
          <w:b/>
          <w:color w:val="000000" w:themeColor="text1"/>
          <w:szCs w:val="24"/>
          <w14:textFill>
            <w14:solidFill>
              <w14:schemeClr w14:val="tx1"/>
            </w14:solidFill>
          </w14:textFill>
        </w:rPr>
      </w:pPr>
      <w:r>
        <w:rPr>
          <w:b/>
          <w:color w:val="000000" w:themeColor="text1"/>
          <w:szCs w:val="24"/>
          <w14:textFill>
            <w14:solidFill>
              <w14:schemeClr w14:val="tx1"/>
            </w14:solidFill>
          </w14:textFill>
        </w:rPr>
        <w:t>A Research Proposal Submitted to the Chandaria School of Business in Partial Fulfilment of the Requirements for the Degree of Master of Science in Management and Organizational Development (MOD)</w:t>
      </w:r>
    </w:p>
    <w:p w14:paraId="215E66BB">
      <w:pPr>
        <w:rPr>
          <w:b/>
          <w:color w:val="000000" w:themeColor="text1"/>
          <w:sz w:val="28"/>
          <w:szCs w:val="28"/>
          <w14:textFill>
            <w14:solidFill>
              <w14:schemeClr w14:val="tx1"/>
            </w14:solidFill>
          </w14:textFill>
        </w:rPr>
      </w:pPr>
    </w:p>
    <w:p w14:paraId="3D97E3A8">
      <w:pPr>
        <w:jc w:val="center"/>
        <w:rPr>
          <w:b/>
          <w:color w:val="000000" w:themeColor="text1"/>
          <w:sz w:val="28"/>
          <w:szCs w:val="28"/>
          <w14:textFill>
            <w14:solidFill>
              <w14:schemeClr w14:val="tx1"/>
            </w14:solidFill>
          </w14:textFill>
        </w:rPr>
      </w:pPr>
    </w:p>
    <w:p w14:paraId="07058810">
      <w:pPr>
        <w:jc w:val="center"/>
        <w:rPr>
          <w:b/>
          <w:color w:val="000000" w:themeColor="text1"/>
          <w:sz w:val="28"/>
          <w:szCs w:val="28"/>
          <w14:textFill>
            <w14:solidFill>
              <w14:schemeClr w14:val="tx1"/>
            </w14:solidFill>
          </w14:textFill>
        </w:rPr>
      </w:pPr>
    </w:p>
    <w:p w14:paraId="7A419418">
      <w:pPr>
        <w:rPr>
          <w:b/>
          <w:color w:val="000000" w:themeColor="text1"/>
          <w:sz w:val="28"/>
          <w:szCs w:val="28"/>
          <w14:textFill>
            <w14:solidFill>
              <w14:schemeClr w14:val="tx1"/>
            </w14:solidFill>
          </w14:textFill>
        </w:rPr>
      </w:pPr>
    </w:p>
    <w:p w14:paraId="40DB4518">
      <w:pPr>
        <w:jc w:val="center"/>
        <w:rPr>
          <w:b/>
          <w:color w:val="000000" w:themeColor="text1"/>
          <w:sz w:val="28"/>
          <w:szCs w:val="28"/>
          <w14:textFill>
            <w14:solidFill>
              <w14:schemeClr w14:val="tx1"/>
            </w14:solidFill>
          </w14:textFill>
        </w:rPr>
      </w:pPr>
    </w:p>
    <w:p w14:paraId="36F6849C">
      <w:pPr>
        <w:jc w:val="center"/>
        <w:rPr>
          <w:b/>
          <w:color w:val="000000" w:themeColor="text1"/>
          <w:szCs w:val="24"/>
          <w14:textFill>
            <w14:solidFill>
              <w14:schemeClr w14:val="tx1"/>
            </w14:solidFill>
          </w14:textFill>
        </w:rPr>
      </w:pPr>
      <w:r>
        <w:rPr>
          <w:b/>
          <w:color w:val="000000" w:themeColor="text1"/>
          <w:szCs w:val="24"/>
          <w14:textFill>
            <w14:solidFill>
              <w14:schemeClr w14:val="tx1"/>
            </w14:solidFill>
          </w14:textFill>
        </w:rPr>
        <w:t>UNITED STATES INTERNATIONAL UNIVERSITY – AFRICA</w:t>
      </w:r>
    </w:p>
    <w:p w14:paraId="2A4A14D0">
      <w:pPr>
        <w:jc w:val="center"/>
        <w:rPr>
          <w:b/>
          <w:color w:val="000000" w:themeColor="text1"/>
          <w:sz w:val="28"/>
          <w:szCs w:val="28"/>
          <w14:textFill>
            <w14:solidFill>
              <w14:schemeClr w14:val="tx1"/>
            </w14:solidFill>
          </w14:textFill>
        </w:rPr>
      </w:pPr>
    </w:p>
    <w:p w14:paraId="770D359E">
      <w:pPr>
        <w:pStyle w:val="2"/>
      </w:pPr>
      <w:bookmarkStart w:id="3" w:name="_Toc65467041"/>
      <w:bookmarkStart w:id="4" w:name="_Toc225962285"/>
      <w:r>
        <w:t>STUDENT’S DECLARATION</w:t>
      </w:r>
      <w:bookmarkEnd w:id="3"/>
      <w:bookmarkEnd w:id="4"/>
    </w:p>
    <w:p w14:paraId="50CEE83B">
      <w:pPr>
        <w:rPr>
          <w:rFonts w:cs="Times New Roman"/>
          <w:color w:val="000000" w:themeColor="text1"/>
          <w:szCs w:val="24"/>
          <w:lang w:val="en-GB"/>
          <w14:textFill>
            <w14:solidFill>
              <w14:schemeClr w14:val="tx1"/>
            </w14:solidFill>
          </w14:textFill>
        </w:rPr>
      </w:pPr>
      <w:r>
        <w:rPr>
          <w:rFonts w:cs="Times New Roman"/>
          <w:color w:val="000000" w:themeColor="text1"/>
          <w:szCs w:val="24"/>
          <w:lang w:val="en-GB"/>
          <w14:textFill>
            <w14:solidFill>
              <w14:schemeClr w14:val="tx1"/>
            </w14:solidFill>
          </w14:textFill>
        </w:rPr>
        <w:t>I declare that this research proposal is my original work and to my best knowledge has not been presented in any university or institution of higher learning for any award.</w:t>
      </w:r>
    </w:p>
    <w:p w14:paraId="2CB006C3">
      <w:pPr>
        <w:rPr>
          <w:color w:val="000000" w:themeColor="text1"/>
          <w:szCs w:val="24"/>
          <w14:textFill>
            <w14:solidFill>
              <w14:schemeClr w14:val="tx1"/>
            </w14:solidFill>
          </w14:textFill>
        </w:rPr>
      </w:pPr>
    </w:p>
    <w:p w14:paraId="78002CD2">
      <w:pPr>
        <w:rPr>
          <w:color w:val="000000" w:themeColor="text1"/>
          <w:szCs w:val="24"/>
          <w14:textFill>
            <w14:solidFill>
              <w14:schemeClr w14:val="tx1"/>
            </w14:solidFill>
          </w14:textFill>
        </w:rPr>
      </w:pPr>
    </w:p>
    <w:p w14:paraId="39C46728">
      <w:pPr>
        <w:rPr>
          <w:color w:val="000000" w:themeColor="text1"/>
          <w:szCs w:val="24"/>
          <w14:textFill>
            <w14:solidFill>
              <w14:schemeClr w14:val="tx1"/>
            </w14:solidFill>
          </w14:textFill>
        </w:rPr>
      </w:pPr>
      <w:r>
        <w:rPr>
          <w:b/>
          <w:color w:val="000000" w:themeColor="text1"/>
          <w:szCs w:val="24"/>
          <w14:textFill>
            <w14:solidFill>
              <w14:schemeClr w14:val="tx1"/>
            </w14:solidFill>
          </w14:textFill>
        </w:rPr>
        <w:t>Signed</w:t>
      </w:r>
      <w:r>
        <w:rPr>
          <w:color w:val="000000" w:themeColor="text1"/>
          <w:szCs w:val="24"/>
          <w14:textFill>
            <w14:solidFill>
              <w14:schemeClr w14:val="tx1"/>
            </w14:solidFill>
          </w14:textFill>
        </w:rPr>
        <w:t>: …………………………………</w:t>
      </w:r>
      <w:r>
        <w:rPr>
          <w:color w:val="000000" w:themeColor="text1"/>
          <w:szCs w:val="24"/>
          <w14:textFill>
            <w14:solidFill>
              <w14:schemeClr w14:val="tx1"/>
            </w14:solidFill>
          </w14:textFill>
        </w:rPr>
        <w:tab/>
      </w:r>
      <w:r>
        <w:rPr>
          <w:b/>
          <w:color w:val="000000" w:themeColor="text1"/>
          <w:szCs w:val="24"/>
          <w14:textFill>
            <w14:solidFill>
              <w14:schemeClr w14:val="tx1"/>
            </w14:solidFill>
          </w14:textFill>
        </w:rPr>
        <w:t xml:space="preserve">     Date</w:t>
      </w:r>
      <w:r>
        <w:rPr>
          <w:color w:val="000000" w:themeColor="text1"/>
          <w:szCs w:val="24"/>
          <w14:textFill>
            <w14:solidFill>
              <w14:schemeClr w14:val="tx1"/>
            </w14:solidFill>
          </w14:textFill>
        </w:rPr>
        <w:t>: ………………………………</w:t>
      </w:r>
    </w:p>
    <w:p w14:paraId="3EB62E8A">
      <w:pPr>
        <w:rPr>
          <w:b/>
          <w:color w:val="000000" w:themeColor="text1"/>
          <w:szCs w:val="24"/>
          <w14:textFill>
            <w14:solidFill>
              <w14:schemeClr w14:val="tx1"/>
            </w14:solidFill>
          </w14:textFill>
        </w:rPr>
      </w:pPr>
    </w:p>
    <w:p w14:paraId="6E244922">
      <w:pPr>
        <w:rPr>
          <w:color w:val="000000" w:themeColor="text1"/>
          <w:szCs w:val="24"/>
          <w14:textFill>
            <w14:solidFill>
              <w14:schemeClr w14:val="tx1"/>
            </w14:solidFill>
          </w14:textFill>
        </w:rPr>
      </w:pPr>
    </w:p>
    <w:p w14:paraId="011697DD">
      <w:pPr>
        <w:rPr>
          <w:color w:val="000000" w:themeColor="text1"/>
          <w:szCs w:val="24"/>
          <w14:textFill>
            <w14:solidFill>
              <w14:schemeClr w14:val="tx1"/>
            </w14:solidFill>
          </w14:textFill>
        </w:rPr>
      </w:pPr>
    </w:p>
    <w:p w14:paraId="5ACCAC29">
      <w:pPr>
        <w:rPr>
          <w:color w:val="000000" w:themeColor="text1"/>
          <w:szCs w:val="24"/>
          <w14:textFill>
            <w14:solidFill>
              <w14:schemeClr w14:val="tx1"/>
            </w14:solidFill>
          </w14:textFill>
        </w:rPr>
      </w:pPr>
    </w:p>
    <w:p w14:paraId="78F5878B">
      <w:pPr>
        <w:rPr>
          <w:color w:val="000000" w:themeColor="text1"/>
          <w:szCs w:val="24"/>
          <w14:textFill>
            <w14:solidFill>
              <w14:schemeClr w14:val="tx1"/>
            </w14:solidFill>
          </w14:textFill>
        </w:rPr>
      </w:pPr>
    </w:p>
    <w:p w14:paraId="7E5DE551">
      <w:pPr>
        <w:rPr>
          <w:color w:val="000000" w:themeColor="text1"/>
          <w:szCs w:val="24"/>
          <w14:textFill>
            <w14:solidFill>
              <w14:schemeClr w14:val="tx1"/>
            </w14:solidFill>
          </w14:textFill>
        </w:rPr>
      </w:pPr>
    </w:p>
    <w:p w14:paraId="73333E26">
      <w:pPr>
        <w:rPr>
          <w:rFonts w:cs="Times New Roman"/>
          <w:color w:val="000000" w:themeColor="text1"/>
          <w:szCs w:val="24"/>
          <w:lang w:val="en-GB"/>
          <w14:textFill>
            <w14:solidFill>
              <w14:schemeClr w14:val="tx1"/>
            </w14:solidFill>
          </w14:textFill>
        </w:rPr>
      </w:pPr>
      <w:r>
        <w:rPr>
          <w:rFonts w:cs="Times New Roman"/>
          <w:color w:val="000000" w:themeColor="text1"/>
          <w:szCs w:val="24"/>
          <w:lang w:val="en-GB"/>
          <w14:textFill>
            <w14:solidFill>
              <w14:schemeClr w14:val="tx1"/>
            </w14:solidFill>
          </w14:textFill>
        </w:rPr>
        <w:t>This research proposal is submitted for examination with my approval as the University Supervisor.</w:t>
      </w:r>
    </w:p>
    <w:p w14:paraId="0FE41D09">
      <w:pPr>
        <w:rPr>
          <w:color w:val="000000" w:themeColor="text1"/>
          <w:szCs w:val="24"/>
          <w14:textFill>
            <w14:solidFill>
              <w14:schemeClr w14:val="tx1"/>
            </w14:solidFill>
          </w14:textFill>
        </w:rPr>
      </w:pPr>
    </w:p>
    <w:p w14:paraId="3D3AA508">
      <w:pPr>
        <w:rPr>
          <w:color w:val="000000" w:themeColor="text1"/>
          <w:szCs w:val="24"/>
          <w14:textFill>
            <w14:solidFill>
              <w14:schemeClr w14:val="tx1"/>
            </w14:solidFill>
          </w14:textFill>
        </w:rPr>
      </w:pPr>
      <w:r>
        <w:rPr>
          <w:b/>
          <w:color w:val="000000" w:themeColor="text1"/>
          <w:szCs w:val="24"/>
          <w14:textFill>
            <w14:solidFill>
              <w14:schemeClr w14:val="tx1"/>
            </w14:solidFill>
          </w14:textFill>
        </w:rPr>
        <w:t>Signed</w:t>
      </w:r>
      <w:r>
        <w:rPr>
          <w:color w:val="000000" w:themeColor="text1"/>
          <w:szCs w:val="24"/>
          <w14:textFill>
            <w14:solidFill>
              <w14:schemeClr w14:val="tx1"/>
            </w14:solidFill>
          </w14:textFill>
        </w:rPr>
        <w:t>: ……………………………………</w:t>
      </w:r>
      <w:r>
        <w:rPr>
          <w:color w:val="000000" w:themeColor="text1"/>
          <w:szCs w:val="24"/>
          <w14:textFill>
            <w14:solidFill>
              <w14:schemeClr w14:val="tx1"/>
            </w14:solidFill>
          </w14:textFill>
        </w:rPr>
        <w:tab/>
      </w:r>
      <w:r>
        <w:rPr>
          <w:b/>
          <w:color w:val="000000" w:themeColor="text1"/>
          <w:szCs w:val="24"/>
          <w14:textFill>
            <w14:solidFill>
              <w14:schemeClr w14:val="tx1"/>
            </w14:solidFill>
          </w14:textFill>
        </w:rPr>
        <w:t xml:space="preserve">     Date</w:t>
      </w:r>
      <w:r>
        <w:rPr>
          <w:color w:val="000000" w:themeColor="text1"/>
          <w:szCs w:val="24"/>
          <w14:textFill>
            <w14:solidFill>
              <w14:schemeClr w14:val="tx1"/>
            </w14:solidFill>
          </w14:textFill>
        </w:rPr>
        <w:t>: ………………………………</w:t>
      </w:r>
    </w:p>
    <w:p w14:paraId="0DD9F7AE">
      <w:pPr>
        <w:rPr>
          <w:color w:val="000000" w:themeColor="text1"/>
          <w:szCs w:val="24"/>
          <w14:textFill>
            <w14:solidFill>
              <w14:schemeClr w14:val="tx1"/>
            </w14:solidFill>
          </w14:textFill>
        </w:rPr>
      </w:pPr>
    </w:p>
    <w:p w14:paraId="7DFF8488">
      <w:pPr>
        <w:rPr>
          <w:b/>
          <w:bCs/>
          <w:color w:val="000000" w:themeColor="text1"/>
          <w:szCs w:val="24"/>
          <w14:textFill>
            <w14:solidFill>
              <w14:schemeClr w14:val="tx1"/>
            </w14:solidFill>
          </w14:textFill>
        </w:rPr>
      </w:pPr>
      <w:r>
        <w:rPr>
          <w:color w:val="000000" w:themeColor="text1"/>
          <w:szCs w:val="24"/>
          <w14:textFill>
            <w14:solidFill>
              <w14:schemeClr w14:val="tx1"/>
            </w14:solidFill>
          </w14:textFill>
        </w:rPr>
        <w:t>Prof.</w:t>
      </w:r>
      <w:r>
        <w:rPr>
          <w:b/>
          <w:bCs/>
          <w:color w:val="000000" w:themeColor="text1"/>
          <w:szCs w:val="24"/>
          <w14:textFill>
            <w14:solidFill>
              <w14:schemeClr w14:val="tx1"/>
            </w14:solidFill>
          </w14:textFill>
        </w:rPr>
        <w:t xml:space="preserve">  </w:t>
      </w:r>
      <w:r>
        <w:rPr>
          <w:color w:val="000000" w:themeColor="text1"/>
          <w:szCs w:val="24"/>
          <w14:textFill>
            <w14:solidFill>
              <w14:schemeClr w14:val="tx1"/>
            </w14:solidFill>
          </w14:textFill>
        </w:rPr>
        <w:t>……………………………………</w:t>
      </w:r>
    </w:p>
    <w:p w14:paraId="4E8C49B2">
      <w:pPr>
        <w:rPr>
          <w:color w:val="000000" w:themeColor="text1"/>
          <w:szCs w:val="24"/>
          <w14:textFill>
            <w14:solidFill>
              <w14:schemeClr w14:val="tx1"/>
            </w14:solidFill>
          </w14:textFill>
        </w:rPr>
      </w:pPr>
    </w:p>
    <w:p w14:paraId="76F407E7">
      <w:pPr>
        <w:rPr>
          <w:color w:val="000000" w:themeColor="text1"/>
          <w14:textFill>
            <w14:solidFill>
              <w14:schemeClr w14:val="tx1"/>
            </w14:solidFill>
          </w14:textFill>
        </w:rPr>
      </w:pPr>
    </w:p>
    <w:p w14:paraId="0AE02BBF">
      <w:pPr>
        <w:rPr>
          <w:color w:val="000000" w:themeColor="text1"/>
          <w:szCs w:val="24"/>
          <w14:textFill>
            <w14:solidFill>
              <w14:schemeClr w14:val="tx1"/>
            </w14:solidFill>
          </w14:textFill>
        </w:rPr>
      </w:pPr>
      <w:r>
        <w:rPr>
          <w:b/>
          <w:color w:val="000000" w:themeColor="text1"/>
          <w:szCs w:val="24"/>
          <w14:textFill>
            <w14:solidFill>
              <w14:schemeClr w14:val="tx1"/>
            </w14:solidFill>
          </w14:textFill>
        </w:rPr>
        <w:t>Signed</w:t>
      </w:r>
      <w:r>
        <w:rPr>
          <w:color w:val="000000" w:themeColor="text1"/>
          <w:szCs w:val="24"/>
          <w14:textFill>
            <w14:solidFill>
              <w14:schemeClr w14:val="tx1"/>
            </w14:solidFill>
          </w14:textFill>
        </w:rPr>
        <w:t>: ………………………………….</w:t>
      </w:r>
      <w:r>
        <w:rPr>
          <w:color w:val="000000" w:themeColor="text1"/>
          <w:szCs w:val="24"/>
          <w14:textFill>
            <w14:solidFill>
              <w14:schemeClr w14:val="tx1"/>
            </w14:solidFill>
          </w14:textFill>
        </w:rPr>
        <w:tab/>
      </w:r>
      <w:r>
        <w:rPr>
          <w:b/>
          <w:color w:val="000000" w:themeColor="text1"/>
          <w:szCs w:val="24"/>
          <w14:textFill>
            <w14:solidFill>
              <w14:schemeClr w14:val="tx1"/>
            </w14:solidFill>
          </w14:textFill>
        </w:rPr>
        <w:t xml:space="preserve">     Date</w:t>
      </w:r>
      <w:r>
        <w:rPr>
          <w:color w:val="000000" w:themeColor="text1"/>
          <w:szCs w:val="24"/>
          <w14:textFill>
            <w14:solidFill>
              <w14:schemeClr w14:val="tx1"/>
            </w14:solidFill>
          </w14:textFill>
        </w:rPr>
        <w:t>: ………………………………</w:t>
      </w:r>
    </w:p>
    <w:p w14:paraId="54FAF78E">
      <w:pPr>
        <w:rPr>
          <w:color w:val="000000" w:themeColor="text1"/>
          <w:szCs w:val="24"/>
          <w14:textFill>
            <w14:solidFill>
              <w14:schemeClr w14:val="tx1"/>
            </w14:solidFill>
          </w14:textFill>
        </w:rPr>
      </w:pPr>
    </w:p>
    <w:p w14:paraId="3AF7F321">
      <w:pPr>
        <w:rPr>
          <w:color w:val="000000" w:themeColor="text1"/>
          <w:szCs w:val="24"/>
          <w14:textFill>
            <w14:solidFill>
              <w14:schemeClr w14:val="tx1"/>
            </w14:solidFill>
          </w14:textFill>
        </w:rPr>
      </w:pPr>
      <w:r>
        <w:rPr>
          <w:color w:val="000000" w:themeColor="text1"/>
          <w:szCs w:val="24"/>
          <w14:textFill>
            <w14:solidFill>
              <w14:schemeClr w14:val="tx1"/>
            </w14:solidFill>
          </w14:textFill>
        </w:rPr>
        <w:t>Dean, Chandaria School of Business……………………………………</w:t>
      </w:r>
    </w:p>
    <w:p w14:paraId="55370C15">
      <w:pPr>
        <w:spacing w:after="200"/>
        <w:jc w:val="left"/>
        <w:rPr>
          <w:color w:val="000000" w:themeColor="text1"/>
          <w:szCs w:val="24"/>
          <w14:textFill>
            <w14:solidFill>
              <w14:schemeClr w14:val="tx1"/>
            </w14:solidFill>
          </w14:textFill>
        </w:rPr>
      </w:pPr>
      <w:r>
        <w:rPr>
          <w:color w:val="000000" w:themeColor="text1"/>
          <w:szCs w:val="24"/>
          <w14:textFill>
            <w14:solidFill>
              <w14:schemeClr w14:val="tx1"/>
            </w14:solidFill>
          </w14:textFill>
        </w:rPr>
        <w:br w:type="page"/>
      </w:r>
    </w:p>
    <w:p w14:paraId="3BD76C54">
      <w:pPr>
        <w:pStyle w:val="2"/>
      </w:pPr>
      <w:bookmarkStart w:id="5" w:name="_Toc65467042"/>
      <w:bookmarkStart w:id="6" w:name="_Toc24630084"/>
      <w:bookmarkStart w:id="7" w:name="_Toc225962286"/>
      <w:bookmarkStart w:id="8" w:name="_Toc15911082"/>
      <w:r>
        <w:t>COPYRIGHT</w:t>
      </w:r>
      <w:bookmarkEnd w:id="5"/>
      <w:bookmarkEnd w:id="6"/>
      <w:bookmarkEnd w:id="7"/>
      <w:bookmarkEnd w:id="8"/>
    </w:p>
    <w:p w14:paraId="52639F2B">
      <w:pPr>
        <w:rPr>
          <w:rFonts w:cs="Times New Roman"/>
          <w:color w:val="000000" w:themeColor="text1"/>
          <w:szCs w:val="24"/>
          <w:lang w:val="en-GB"/>
          <w14:textFill>
            <w14:solidFill>
              <w14:schemeClr w14:val="tx1"/>
            </w14:solidFill>
          </w14:textFill>
        </w:rPr>
      </w:pPr>
      <w:r>
        <w:rPr>
          <w:rFonts w:cs="Times New Roman"/>
          <w:color w:val="000000" w:themeColor="text1"/>
          <w:szCs w:val="24"/>
          <w:lang w:val="en-GB"/>
          <w14:textFill>
            <w14:solidFill>
              <w14:schemeClr w14:val="tx1"/>
            </w14:solidFill>
          </w14:textFill>
        </w:rPr>
        <w:t>Copyrights are all reserved, no part of this research proposal can be reproduced or transmitted in any form or any means whether electronic or mechanical including photocopying, recording or any information storage without notifying and seeking permission from the author.</w:t>
      </w:r>
    </w:p>
    <w:p w14:paraId="52DE077E">
      <w:pPr>
        <w:rPr>
          <w:rFonts w:cs="Times New Roman"/>
          <w:color w:val="000000" w:themeColor="text1"/>
          <w:szCs w:val="24"/>
          <w:lang w:val="en-GB"/>
          <w14:textFill>
            <w14:solidFill>
              <w14:schemeClr w14:val="tx1"/>
            </w14:solidFill>
          </w14:textFill>
        </w:rPr>
      </w:pPr>
    </w:p>
    <w:p w14:paraId="2AD24291">
      <w:pPr>
        <w:jc w:val="center"/>
        <w:rPr>
          <w:rFonts w:cs="Times New Roman"/>
          <w:color w:val="000000" w:themeColor="text1"/>
          <w:szCs w:val="24"/>
          <w:lang w:val="en-GB"/>
          <w14:textFill>
            <w14:solidFill>
              <w14:schemeClr w14:val="tx1"/>
            </w14:solidFill>
          </w14:textFill>
        </w:rPr>
      </w:pPr>
      <w:r>
        <w:rPr>
          <w:rFonts w:cs="Times New Roman"/>
          <w:color w:val="000000" w:themeColor="text1"/>
          <w:szCs w:val="24"/>
          <w:lang w:val="en-GB"/>
          <w14:textFill>
            <w14:solidFill>
              <w14:schemeClr w14:val="tx1"/>
            </w14:solidFill>
          </w14:textFill>
        </w:rPr>
        <w:t xml:space="preserve">© Copyright </w:t>
      </w:r>
      <w:r>
        <w:rPr>
          <w:color w:val="000000" w:themeColor="text1"/>
          <w:szCs w:val="24"/>
          <w14:textFill>
            <w14:solidFill>
              <w14:schemeClr w14:val="tx1"/>
            </w14:solidFill>
          </w14:textFill>
        </w:rPr>
        <w:t>Sebastian</w:t>
      </w:r>
      <w:r>
        <w:rPr>
          <w:b/>
          <w:color w:val="000000" w:themeColor="text1"/>
          <w:szCs w:val="24"/>
          <w14:textFill>
            <w14:solidFill>
              <w14:schemeClr w14:val="tx1"/>
            </w14:solidFill>
          </w14:textFill>
        </w:rPr>
        <w:t xml:space="preserve"> </w:t>
      </w:r>
      <w:r>
        <w:rPr>
          <w:rFonts w:cs="Times New Roman"/>
          <w:color w:val="000000" w:themeColor="text1"/>
          <w:szCs w:val="24"/>
          <w:lang w:val="en-GB"/>
          <w14:textFill>
            <w14:solidFill>
              <w14:schemeClr w14:val="tx1"/>
            </w14:solidFill>
          </w14:textFill>
        </w:rPr>
        <w:t>2026</w:t>
      </w:r>
    </w:p>
    <w:p w14:paraId="5F508DB0">
      <w:pPr>
        <w:rPr>
          <w:color w:val="000000" w:themeColor="text1"/>
          <w:szCs w:val="24"/>
          <w:lang w:val="en-GB"/>
          <w14:textFill>
            <w14:solidFill>
              <w14:schemeClr w14:val="tx1"/>
            </w14:solidFill>
          </w14:textFill>
        </w:rPr>
      </w:pPr>
    </w:p>
    <w:p w14:paraId="3058910D">
      <w:pPr>
        <w:spacing w:after="200"/>
        <w:jc w:val="left"/>
        <w:rPr>
          <w:color w:val="000000" w:themeColor="text1"/>
          <w:szCs w:val="24"/>
          <w:lang w:val="en-GB"/>
          <w14:textFill>
            <w14:solidFill>
              <w14:schemeClr w14:val="tx1"/>
            </w14:solidFill>
          </w14:textFill>
        </w:rPr>
      </w:pPr>
      <w:r>
        <w:rPr>
          <w:color w:val="000000" w:themeColor="text1"/>
          <w:szCs w:val="24"/>
          <w:lang w:val="en-GB"/>
          <w14:textFill>
            <w14:solidFill>
              <w14:schemeClr w14:val="tx1"/>
            </w14:solidFill>
          </w14:textFill>
        </w:rPr>
        <w:br w:type="page"/>
      </w:r>
    </w:p>
    <w:p w14:paraId="50C159B7">
      <w:pPr>
        <w:pStyle w:val="2"/>
      </w:pPr>
      <w:bookmarkStart w:id="9" w:name="_Toc225962287"/>
      <w:bookmarkStart w:id="10" w:name="_Toc65467043"/>
      <w:r>
        <w:t>ABSTRACT</w:t>
      </w:r>
      <w:bookmarkEnd w:id="9"/>
      <w:bookmarkEnd w:id="10"/>
    </w:p>
    <w:p w14:paraId="1D35D604">
      <w:pPr>
        <w:rPr>
          <w:color w:val="000000" w:themeColor="text1"/>
          <w14:textFill>
            <w14:solidFill>
              <w14:schemeClr w14:val="tx1"/>
            </w14:solidFill>
          </w14:textFill>
        </w:rPr>
      </w:pPr>
      <w:r>
        <w:rPr>
          <w:color w:val="000000" w:themeColor="text1"/>
          <w14:textFill>
            <w14:solidFill>
              <w14:schemeClr w14:val="tx1"/>
            </w14:solidFill>
          </w14:textFill>
        </w:rPr>
        <w:t>This study investigates the effect of fertilizer subsidy reform strategies on smallholder farmers’ uptake of fertilizers in Kenya. Fertilizer plays a critical role in improving agricultural productivity and food security, yet uptake among smallholder farmers remain inconsistent despite recent government reforms aimed at improving affordability, streamlining distribution, and enhancing targeting. The study is guided by three specific objectives: to evaluate the influence of pricing reforms, assess the effect of distribution model changes, and examine the role of revised targeting criteria on smallholder farmers’ uptake of fertilizers. The study adopts a cross-sectional case study design and uses a quantitative approach. The target population comprises 960 registered smallholder farmers drawn from Nakuru, Bungoma, and Meru counties. Using Yamane’s formula, a stratified random sample of 282 farmers was selected. Primary data will be collected using structured questionnaires and analyzed using SPSS. Descriptive statistics will be used to summarize demographic characteristics and response patterns, while multiple regression analysis will test the relationships between the independent variables and the dependent variable. The findings are expected to provide empirical evidence to inform policy refinement, improve implementation of fertilizer subsidy reforms, and enhance equitable uptake of fertilizers among smallholder farmers in Kenya.</w:t>
      </w:r>
    </w:p>
    <w:p w14:paraId="04068369">
      <w:pPr>
        <w:spacing w:after="200"/>
        <w:rPr>
          <w:color w:val="000000" w:themeColor="text1"/>
          <w14:textFill>
            <w14:solidFill>
              <w14:schemeClr w14:val="tx1"/>
            </w14:solidFill>
          </w14:textFill>
        </w:rPr>
      </w:pPr>
      <w:r>
        <w:rPr>
          <w:color w:val="000000" w:themeColor="text1"/>
          <w14:textFill>
            <w14:solidFill>
              <w14:schemeClr w14:val="tx1"/>
            </w14:solidFill>
          </w14:textFill>
        </w:rPr>
        <w:br w:type="page"/>
      </w:r>
    </w:p>
    <w:p w14:paraId="08EBF53E">
      <w:pPr>
        <w:pStyle w:val="2"/>
      </w:pPr>
      <w:bookmarkStart w:id="11" w:name="_Toc225962288"/>
      <w:bookmarkStart w:id="12" w:name="_Toc65467044"/>
      <w:r>
        <w:t>ACKNOWLEDGEMENT</w:t>
      </w:r>
      <w:bookmarkEnd w:id="11"/>
      <w:bookmarkEnd w:id="12"/>
    </w:p>
    <w:p w14:paraId="5F2BF170">
      <w:pPr>
        <w:spacing w:after="200"/>
        <w:rPr>
          <w:color w:val="000000" w:themeColor="text1"/>
          <w14:textFill>
            <w14:solidFill>
              <w14:schemeClr w14:val="tx1"/>
            </w14:solidFill>
          </w14:textFill>
        </w:rPr>
      </w:pPr>
      <w:bookmarkStart w:id="13" w:name="_Hlk213681497"/>
      <w:bookmarkStart w:id="14" w:name="_Toc65467045"/>
      <w:r>
        <w:rPr>
          <w:color w:val="000000" w:themeColor="text1"/>
          <w:szCs w:val="24"/>
          <w14:textFill>
            <w14:solidFill>
              <w14:schemeClr w14:val="tx1"/>
            </w14:solidFill>
          </w14:textFill>
        </w:rPr>
        <w:t>I am incredibly grateful to the Almighty God for granting me the strength, wisdom, and opportunity to undertake this research proposal. I wish to express my heartfelt appreciation to everyone who contributed to the success of this study. I am especially thankful to my instructor, Prof. Paul Katuse, for imparting in me research method without which the research project would not have been possible. I would also like to thank Prof. Bernard Omboi, my supervisor, for his invaluable guidance, encouragement, and professional insight throughout the preparation of this research. I also extend my gratitude to my friends and family for their unwavering support, patience, and motivation during this academic journey</w:t>
      </w:r>
      <w:bookmarkEnd w:id="13"/>
    </w:p>
    <w:p w14:paraId="33DA2C15">
      <w:pPr>
        <w:spacing w:after="200"/>
        <w:jc w:val="left"/>
        <w:rPr>
          <w:color w:val="000000" w:themeColor="text1"/>
          <w:szCs w:val="24"/>
          <w14:textFill>
            <w14:solidFill>
              <w14:schemeClr w14:val="tx1"/>
            </w14:solidFill>
          </w14:textFill>
        </w:rPr>
      </w:pPr>
    </w:p>
    <w:bookmarkEnd w:id="14"/>
    <w:p w14:paraId="53D9E5AA">
      <w:pPr>
        <w:jc w:val="left"/>
        <w:rPr>
          <w:rFonts w:eastAsia="Times New Roman" w:cs="Times New Roman"/>
          <w:b/>
          <w:bCs/>
          <w:color w:val="000000" w:themeColor="text1"/>
          <w:szCs w:val="24"/>
          <w14:textFill>
            <w14:solidFill>
              <w14:schemeClr w14:val="tx1"/>
            </w14:solidFill>
          </w14:textFill>
        </w:rPr>
      </w:pPr>
      <w:bookmarkStart w:id="15" w:name="_Toc201509630"/>
      <w:bookmarkStart w:id="16" w:name="_Toc202796016"/>
      <w:bookmarkStart w:id="17" w:name="_Toc203756669"/>
      <w:r>
        <w:rPr>
          <w:color w:val="000000" w:themeColor="text1"/>
          <w14:textFill>
            <w14:solidFill>
              <w14:schemeClr w14:val="tx1"/>
            </w14:solidFill>
          </w14:textFill>
        </w:rPr>
        <w:br w:type="page"/>
      </w:r>
    </w:p>
    <w:p w14:paraId="694C81E6">
      <w:pPr>
        <w:pStyle w:val="2"/>
      </w:pPr>
      <w:bookmarkStart w:id="18" w:name="_Toc225962289"/>
      <w:r>
        <w:t>DEDICATION</w:t>
      </w:r>
      <w:bookmarkEnd w:id="15"/>
      <w:bookmarkEnd w:id="16"/>
      <w:bookmarkEnd w:id="17"/>
      <w:bookmarkEnd w:id="18"/>
    </w:p>
    <w:p w14:paraId="372037E9">
      <w:pPr>
        <w:rPr>
          <w:color w:val="000000" w:themeColor="text1"/>
          <w:szCs w:val="24"/>
          <w14:textFill>
            <w14:solidFill>
              <w14:schemeClr w14:val="tx1"/>
            </w14:solidFill>
          </w14:textFill>
        </w:rPr>
      </w:pPr>
      <w:bookmarkStart w:id="19" w:name="_Hlk213681575"/>
      <w:r>
        <w:rPr>
          <w:color w:val="000000" w:themeColor="text1"/>
          <w:szCs w:val="24"/>
          <w14:textFill>
            <w14:solidFill>
              <w14:schemeClr w14:val="tx1"/>
            </w14:solidFill>
          </w14:textFill>
        </w:rPr>
        <w:t>I dedicate this work to my family whose patience, inspiration, and encouragement have shaped me into who I am today. I also dedicate this study to my colleagues and friends, particularly in MOD Class A, who have continuously supported me in both my academic and personal endeavors. Your steadfast encouragement has been instrumental in helping me accomplish this milestone</w:t>
      </w:r>
      <w:bookmarkEnd w:id="19"/>
      <w:r>
        <w:rPr>
          <w:color w:val="000000" w:themeColor="text1"/>
          <w:szCs w:val="24"/>
          <w14:textFill>
            <w14:solidFill>
              <w14:schemeClr w14:val="tx1"/>
            </w14:solidFill>
          </w14:textFill>
        </w:rPr>
        <w:t>.</w:t>
      </w:r>
    </w:p>
    <w:p w14:paraId="6A0DB9F0">
      <w:pPr>
        <w:pStyle w:val="2"/>
      </w:pPr>
    </w:p>
    <w:p w14:paraId="2BA3134A">
      <w:pPr>
        <w:jc w:val="left"/>
        <w:rPr>
          <w:rFonts w:eastAsia="Times New Roman" w:cs="Times New Roman"/>
          <w:b/>
          <w:bCs/>
          <w:color w:val="000000" w:themeColor="text1"/>
          <w:szCs w:val="24"/>
          <w14:textFill>
            <w14:solidFill>
              <w14:schemeClr w14:val="tx1"/>
            </w14:solidFill>
          </w14:textFill>
        </w:rPr>
      </w:pPr>
      <w:r>
        <w:rPr>
          <w:color w:val="000000" w:themeColor="text1"/>
          <w14:textFill>
            <w14:solidFill>
              <w14:schemeClr w14:val="tx1"/>
            </w14:solidFill>
          </w14:textFill>
        </w:rPr>
        <w:br w:type="page"/>
      </w:r>
    </w:p>
    <w:p w14:paraId="2A27D553">
      <w:pPr>
        <w:pStyle w:val="2"/>
      </w:pPr>
      <w:bookmarkStart w:id="20" w:name="_Toc225962290"/>
      <w:r>
        <w:t>TABLE OF CONTENTS</w:t>
      </w:r>
      <w:bookmarkEnd w:id="20"/>
    </w:p>
    <w:sdt>
      <w:sdtPr>
        <w:rPr>
          <w:color w:val="000000" w:themeColor="text1"/>
          <w14:textFill>
            <w14:solidFill>
              <w14:schemeClr w14:val="tx1"/>
            </w14:solidFill>
          </w14:textFill>
        </w:rPr>
        <w:id w:val="-521010456"/>
        <w:docPartObj>
          <w:docPartGallery w:val="Table of Contents"/>
          <w:docPartUnique/>
        </w:docPartObj>
      </w:sdtPr>
      <w:sdtEndPr>
        <w:rPr>
          <w:b w:val="0"/>
          <w:bCs/>
          <w:color w:val="000000" w:themeColor="text1"/>
          <w14:textFill>
            <w14:solidFill>
              <w14:schemeClr w14:val="tx1"/>
            </w14:solidFill>
          </w14:textFill>
        </w:rPr>
      </w:sdtEndPr>
      <w:sdtContent>
        <w:p w14:paraId="3A8B2F5F">
          <w:pPr>
            <w:pStyle w:val="23"/>
            <w:tabs>
              <w:tab w:val="right" w:leader="dot" w:pos="8630"/>
            </w:tabs>
            <w:rPr>
              <w:rFonts w:asciiTheme="minorHAnsi" w:hAnsiTheme="minorHAnsi" w:eastAsiaTheme="minorEastAsia"/>
              <w:b w:val="0"/>
              <w:kern w:val="2"/>
              <w:szCs w:val="24"/>
              <w14:ligatures w14:val="standardContextual"/>
            </w:rPr>
          </w:pPr>
          <w:r>
            <w:rPr>
              <w:b w:val="0"/>
              <w:bCs/>
              <w:color w:val="000000" w:themeColor="text1"/>
              <w14:textFill>
                <w14:solidFill>
                  <w14:schemeClr w14:val="tx1"/>
                </w14:solidFill>
              </w14:textFill>
            </w:rPr>
            <w:fldChar w:fldCharType="begin"/>
          </w:r>
          <w:r>
            <w:rPr>
              <w:b w:val="0"/>
              <w:bCs/>
              <w:color w:val="000000" w:themeColor="text1"/>
              <w14:textFill>
                <w14:solidFill>
                  <w14:schemeClr w14:val="tx1"/>
                </w14:solidFill>
              </w14:textFill>
            </w:rPr>
            <w:instrText xml:space="preserve"> TOC \o "1-2" \h \z \u </w:instrText>
          </w:r>
          <w:r>
            <w:rPr>
              <w:b w:val="0"/>
              <w:bCs/>
              <w:color w:val="000000" w:themeColor="text1"/>
              <w14:textFill>
                <w14:solidFill>
                  <w14:schemeClr w14:val="tx1"/>
                </w14:solidFill>
              </w14:textFill>
            </w:rPr>
            <w:fldChar w:fldCharType="separate"/>
          </w:r>
          <w:r>
            <w:fldChar w:fldCharType="begin"/>
          </w:r>
          <w:r>
            <w:instrText xml:space="preserve"> HYPERLINK \l "_Toc225962285" </w:instrText>
          </w:r>
          <w:r>
            <w:fldChar w:fldCharType="separate"/>
          </w:r>
          <w:r>
            <w:rPr>
              <w:rStyle w:val="18"/>
            </w:rPr>
            <w:t>STUDENT’S DECLARATION</w:t>
          </w:r>
          <w:r>
            <w:tab/>
          </w:r>
          <w:r>
            <w:fldChar w:fldCharType="begin"/>
          </w:r>
          <w:r>
            <w:instrText xml:space="preserve"> PAGEREF _Toc225962285 \h </w:instrText>
          </w:r>
          <w:r>
            <w:fldChar w:fldCharType="separate"/>
          </w:r>
          <w:r>
            <w:t>ii</w:t>
          </w:r>
          <w:r>
            <w:fldChar w:fldCharType="end"/>
          </w:r>
          <w:r>
            <w:fldChar w:fldCharType="end"/>
          </w:r>
        </w:p>
        <w:p w14:paraId="08A52DA0">
          <w:pPr>
            <w:pStyle w:val="23"/>
            <w:tabs>
              <w:tab w:val="right" w:leader="dot" w:pos="8630"/>
            </w:tabs>
            <w:rPr>
              <w:rFonts w:asciiTheme="minorHAnsi" w:hAnsiTheme="minorHAnsi" w:eastAsiaTheme="minorEastAsia"/>
              <w:b w:val="0"/>
              <w:kern w:val="2"/>
              <w:szCs w:val="24"/>
              <w14:ligatures w14:val="standardContextual"/>
            </w:rPr>
          </w:pPr>
          <w:r>
            <w:fldChar w:fldCharType="begin"/>
          </w:r>
          <w:r>
            <w:instrText xml:space="preserve"> HYPERLINK \l "_Toc225962286" </w:instrText>
          </w:r>
          <w:r>
            <w:fldChar w:fldCharType="separate"/>
          </w:r>
          <w:r>
            <w:rPr>
              <w:rStyle w:val="18"/>
            </w:rPr>
            <w:t>COPYRIGHT</w:t>
          </w:r>
          <w:r>
            <w:tab/>
          </w:r>
          <w:r>
            <w:fldChar w:fldCharType="begin"/>
          </w:r>
          <w:r>
            <w:instrText xml:space="preserve"> PAGEREF _Toc225962286 \h </w:instrText>
          </w:r>
          <w:r>
            <w:fldChar w:fldCharType="separate"/>
          </w:r>
          <w:r>
            <w:t>iii</w:t>
          </w:r>
          <w:r>
            <w:fldChar w:fldCharType="end"/>
          </w:r>
          <w:r>
            <w:fldChar w:fldCharType="end"/>
          </w:r>
        </w:p>
        <w:p w14:paraId="43D40BFF">
          <w:pPr>
            <w:pStyle w:val="23"/>
            <w:tabs>
              <w:tab w:val="right" w:leader="dot" w:pos="8630"/>
            </w:tabs>
            <w:rPr>
              <w:rFonts w:asciiTheme="minorHAnsi" w:hAnsiTheme="minorHAnsi" w:eastAsiaTheme="minorEastAsia"/>
              <w:b w:val="0"/>
              <w:kern w:val="2"/>
              <w:szCs w:val="24"/>
              <w14:ligatures w14:val="standardContextual"/>
            </w:rPr>
          </w:pPr>
          <w:r>
            <w:fldChar w:fldCharType="begin"/>
          </w:r>
          <w:r>
            <w:instrText xml:space="preserve"> HYPERLINK \l "_Toc225962287" </w:instrText>
          </w:r>
          <w:r>
            <w:fldChar w:fldCharType="separate"/>
          </w:r>
          <w:r>
            <w:rPr>
              <w:rStyle w:val="18"/>
            </w:rPr>
            <w:t>ABSTRACT</w:t>
          </w:r>
          <w:r>
            <w:tab/>
          </w:r>
          <w:r>
            <w:fldChar w:fldCharType="begin"/>
          </w:r>
          <w:r>
            <w:instrText xml:space="preserve"> PAGEREF _Toc225962287 \h </w:instrText>
          </w:r>
          <w:r>
            <w:fldChar w:fldCharType="separate"/>
          </w:r>
          <w:r>
            <w:t>iv</w:t>
          </w:r>
          <w:r>
            <w:fldChar w:fldCharType="end"/>
          </w:r>
          <w:r>
            <w:fldChar w:fldCharType="end"/>
          </w:r>
        </w:p>
        <w:p w14:paraId="38DD0A4E">
          <w:pPr>
            <w:pStyle w:val="23"/>
            <w:tabs>
              <w:tab w:val="right" w:leader="dot" w:pos="8630"/>
            </w:tabs>
            <w:rPr>
              <w:rFonts w:asciiTheme="minorHAnsi" w:hAnsiTheme="minorHAnsi" w:eastAsiaTheme="minorEastAsia"/>
              <w:b w:val="0"/>
              <w:kern w:val="2"/>
              <w:szCs w:val="24"/>
              <w14:ligatures w14:val="standardContextual"/>
            </w:rPr>
          </w:pPr>
          <w:r>
            <w:fldChar w:fldCharType="begin"/>
          </w:r>
          <w:r>
            <w:instrText xml:space="preserve"> HYPERLINK \l "_Toc225962288" </w:instrText>
          </w:r>
          <w:r>
            <w:fldChar w:fldCharType="separate"/>
          </w:r>
          <w:r>
            <w:rPr>
              <w:rStyle w:val="18"/>
            </w:rPr>
            <w:t>ACKNOWLEDGEMENT</w:t>
          </w:r>
          <w:r>
            <w:tab/>
          </w:r>
          <w:r>
            <w:fldChar w:fldCharType="begin"/>
          </w:r>
          <w:r>
            <w:instrText xml:space="preserve"> PAGEREF _Toc225962288 \h </w:instrText>
          </w:r>
          <w:r>
            <w:fldChar w:fldCharType="separate"/>
          </w:r>
          <w:r>
            <w:t>v</w:t>
          </w:r>
          <w:r>
            <w:fldChar w:fldCharType="end"/>
          </w:r>
          <w:r>
            <w:fldChar w:fldCharType="end"/>
          </w:r>
        </w:p>
        <w:p w14:paraId="12E135EB">
          <w:pPr>
            <w:pStyle w:val="23"/>
            <w:tabs>
              <w:tab w:val="right" w:leader="dot" w:pos="8630"/>
            </w:tabs>
            <w:rPr>
              <w:rFonts w:asciiTheme="minorHAnsi" w:hAnsiTheme="minorHAnsi" w:eastAsiaTheme="minorEastAsia"/>
              <w:b w:val="0"/>
              <w:kern w:val="2"/>
              <w:szCs w:val="24"/>
              <w14:ligatures w14:val="standardContextual"/>
            </w:rPr>
          </w:pPr>
          <w:r>
            <w:fldChar w:fldCharType="begin"/>
          </w:r>
          <w:r>
            <w:instrText xml:space="preserve"> HYPERLINK \l "_Toc225962289" </w:instrText>
          </w:r>
          <w:r>
            <w:fldChar w:fldCharType="separate"/>
          </w:r>
          <w:r>
            <w:rPr>
              <w:rStyle w:val="18"/>
            </w:rPr>
            <w:t>DEDICATION</w:t>
          </w:r>
          <w:r>
            <w:tab/>
          </w:r>
          <w:r>
            <w:fldChar w:fldCharType="begin"/>
          </w:r>
          <w:r>
            <w:instrText xml:space="preserve"> PAGEREF _Toc225962289 \h </w:instrText>
          </w:r>
          <w:r>
            <w:fldChar w:fldCharType="separate"/>
          </w:r>
          <w:r>
            <w:t>vi</w:t>
          </w:r>
          <w:r>
            <w:fldChar w:fldCharType="end"/>
          </w:r>
          <w:r>
            <w:fldChar w:fldCharType="end"/>
          </w:r>
        </w:p>
        <w:p w14:paraId="64DE3B35">
          <w:pPr>
            <w:pStyle w:val="23"/>
            <w:tabs>
              <w:tab w:val="right" w:leader="dot" w:pos="8630"/>
            </w:tabs>
            <w:rPr>
              <w:rFonts w:asciiTheme="minorHAnsi" w:hAnsiTheme="minorHAnsi" w:eastAsiaTheme="minorEastAsia"/>
              <w:b w:val="0"/>
              <w:kern w:val="2"/>
              <w:szCs w:val="24"/>
              <w14:ligatures w14:val="standardContextual"/>
            </w:rPr>
          </w:pPr>
          <w:r>
            <w:fldChar w:fldCharType="begin"/>
          </w:r>
          <w:r>
            <w:instrText xml:space="preserve"> HYPERLINK \l "_Toc225962290" </w:instrText>
          </w:r>
          <w:r>
            <w:fldChar w:fldCharType="separate"/>
          </w:r>
          <w:r>
            <w:rPr>
              <w:rStyle w:val="18"/>
            </w:rPr>
            <w:t>TABLE OF CONTENTS</w:t>
          </w:r>
          <w:r>
            <w:tab/>
          </w:r>
          <w:r>
            <w:fldChar w:fldCharType="begin"/>
          </w:r>
          <w:r>
            <w:instrText xml:space="preserve"> PAGEREF _Toc225962290 \h </w:instrText>
          </w:r>
          <w:r>
            <w:fldChar w:fldCharType="separate"/>
          </w:r>
          <w:r>
            <w:t>vii</w:t>
          </w:r>
          <w:r>
            <w:fldChar w:fldCharType="end"/>
          </w:r>
          <w:r>
            <w:fldChar w:fldCharType="end"/>
          </w:r>
        </w:p>
        <w:p w14:paraId="3C923AFE">
          <w:pPr>
            <w:pStyle w:val="23"/>
            <w:tabs>
              <w:tab w:val="right" w:leader="dot" w:pos="8630"/>
            </w:tabs>
            <w:rPr>
              <w:rFonts w:asciiTheme="minorHAnsi" w:hAnsiTheme="minorHAnsi" w:eastAsiaTheme="minorEastAsia"/>
              <w:b w:val="0"/>
              <w:kern w:val="2"/>
              <w:szCs w:val="24"/>
              <w14:ligatures w14:val="standardContextual"/>
            </w:rPr>
          </w:pPr>
          <w:r>
            <w:fldChar w:fldCharType="begin"/>
          </w:r>
          <w:r>
            <w:instrText xml:space="preserve"> HYPERLINK \l "_Toc225962291" </w:instrText>
          </w:r>
          <w:r>
            <w:fldChar w:fldCharType="separate"/>
          </w:r>
          <w:r>
            <w:rPr>
              <w:rStyle w:val="18"/>
            </w:rPr>
            <w:t>CHAPTER ONE</w:t>
          </w:r>
          <w:r>
            <w:tab/>
          </w:r>
          <w:r>
            <w:fldChar w:fldCharType="begin"/>
          </w:r>
          <w:r>
            <w:instrText xml:space="preserve"> PAGEREF _Toc225962291 \h </w:instrText>
          </w:r>
          <w:r>
            <w:fldChar w:fldCharType="separate"/>
          </w:r>
          <w:r>
            <w:t>9</w:t>
          </w:r>
          <w:r>
            <w:fldChar w:fldCharType="end"/>
          </w:r>
          <w:r>
            <w:fldChar w:fldCharType="end"/>
          </w:r>
        </w:p>
        <w:p w14:paraId="50EDFAD7">
          <w:pPr>
            <w:pStyle w:val="23"/>
            <w:tabs>
              <w:tab w:val="right" w:leader="dot" w:pos="8630"/>
            </w:tabs>
            <w:rPr>
              <w:rFonts w:asciiTheme="minorHAnsi" w:hAnsiTheme="minorHAnsi" w:eastAsiaTheme="minorEastAsia"/>
              <w:b w:val="0"/>
              <w:kern w:val="2"/>
              <w:szCs w:val="24"/>
              <w14:ligatures w14:val="standardContextual"/>
            </w:rPr>
          </w:pPr>
          <w:r>
            <w:fldChar w:fldCharType="begin"/>
          </w:r>
          <w:r>
            <w:instrText xml:space="preserve"> HYPERLINK \l "_Toc225962292" </w:instrText>
          </w:r>
          <w:r>
            <w:fldChar w:fldCharType="separate"/>
          </w:r>
          <w:r>
            <w:rPr>
              <w:rStyle w:val="18"/>
            </w:rPr>
            <w:t>1.0 INTRODUCTION</w:t>
          </w:r>
          <w:r>
            <w:tab/>
          </w:r>
          <w:r>
            <w:fldChar w:fldCharType="begin"/>
          </w:r>
          <w:r>
            <w:instrText xml:space="preserve"> PAGEREF _Toc225962292 \h </w:instrText>
          </w:r>
          <w:r>
            <w:fldChar w:fldCharType="separate"/>
          </w:r>
          <w:r>
            <w:t>9</w:t>
          </w:r>
          <w:r>
            <w:fldChar w:fldCharType="end"/>
          </w:r>
          <w:r>
            <w:fldChar w:fldCharType="end"/>
          </w:r>
        </w:p>
        <w:p w14:paraId="54BCD868">
          <w:pPr>
            <w:pStyle w:val="24"/>
            <w:tabs>
              <w:tab w:val="right" w:leader="dot" w:pos="8630"/>
            </w:tabs>
            <w:rPr>
              <w:rFonts w:asciiTheme="minorHAnsi" w:hAnsiTheme="minorHAnsi" w:eastAsiaTheme="minorEastAsia"/>
              <w:kern w:val="2"/>
              <w:szCs w:val="24"/>
              <w14:ligatures w14:val="standardContextual"/>
            </w:rPr>
          </w:pPr>
          <w:r>
            <w:fldChar w:fldCharType="begin"/>
          </w:r>
          <w:r>
            <w:instrText xml:space="preserve"> HYPERLINK \l "_Toc225962293" </w:instrText>
          </w:r>
          <w:r>
            <w:fldChar w:fldCharType="separate"/>
          </w:r>
          <w:r>
            <w:rPr>
              <w:rStyle w:val="18"/>
            </w:rPr>
            <w:t>1.1 Background of the Study</w:t>
          </w:r>
          <w:r>
            <w:tab/>
          </w:r>
          <w:r>
            <w:fldChar w:fldCharType="begin"/>
          </w:r>
          <w:r>
            <w:instrText xml:space="preserve"> PAGEREF _Toc225962293 \h </w:instrText>
          </w:r>
          <w:r>
            <w:fldChar w:fldCharType="separate"/>
          </w:r>
          <w:r>
            <w:t>9</w:t>
          </w:r>
          <w:r>
            <w:fldChar w:fldCharType="end"/>
          </w:r>
          <w:r>
            <w:fldChar w:fldCharType="end"/>
          </w:r>
        </w:p>
        <w:p w14:paraId="6BC6E080">
          <w:pPr>
            <w:pStyle w:val="24"/>
            <w:tabs>
              <w:tab w:val="right" w:leader="dot" w:pos="8630"/>
            </w:tabs>
            <w:rPr>
              <w:rFonts w:asciiTheme="minorHAnsi" w:hAnsiTheme="minorHAnsi" w:eastAsiaTheme="minorEastAsia"/>
              <w:kern w:val="2"/>
              <w:szCs w:val="24"/>
              <w14:ligatures w14:val="standardContextual"/>
            </w:rPr>
          </w:pPr>
          <w:r>
            <w:fldChar w:fldCharType="begin"/>
          </w:r>
          <w:r>
            <w:instrText xml:space="preserve"> HYPERLINK \l "_Toc225962294" </w:instrText>
          </w:r>
          <w:r>
            <w:fldChar w:fldCharType="separate"/>
          </w:r>
          <w:r>
            <w:rPr>
              <w:rStyle w:val="18"/>
            </w:rPr>
            <w:t>1.2 Statement of the Problem</w:t>
          </w:r>
          <w:r>
            <w:tab/>
          </w:r>
          <w:r>
            <w:fldChar w:fldCharType="begin"/>
          </w:r>
          <w:r>
            <w:instrText xml:space="preserve"> PAGEREF _Toc225962294 \h </w:instrText>
          </w:r>
          <w:r>
            <w:fldChar w:fldCharType="separate"/>
          </w:r>
          <w:r>
            <w:t>15</w:t>
          </w:r>
          <w:r>
            <w:fldChar w:fldCharType="end"/>
          </w:r>
          <w:r>
            <w:fldChar w:fldCharType="end"/>
          </w:r>
        </w:p>
        <w:p w14:paraId="479F7CB8">
          <w:pPr>
            <w:pStyle w:val="24"/>
            <w:tabs>
              <w:tab w:val="right" w:leader="dot" w:pos="8630"/>
            </w:tabs>
            <w:rPr>
              <w:rFonts w:asciiTheme="minorHAnsi" w:hAnsiTheme="minorHAnsi" w:eastAsiaTheme="minorEastAsia"/>
              <w:kern w:val="2"/>
              <w:szCs w:val="24"/>
              <w14:ligatures w14:val="standardContextual"/>
            </w:rPr>
          </w:pPr>
          <w:r>
            <w:fldChar w:fldCharType="begin"/>
          </w:r>
          <w:r>
            <w:instrText xml:space="preserve"> HYPERLINK \l "_Toc225962295" </w:instrText>
          </w:r>
          <w:r>
            <w:fldChar w:fldCharType="separate"/>
          </w:r>
          <w:r>
            <w:rPr>
              <w:rStyle w:val="18"/>
            </w:rPr>
            <w:t>1.3 Purpose of the Study</w:t>
          </w:r>
          <w:r>
            <w:tab/>
          </w:r>
          <w:r>
            <w:fldChar w:fldCharType="begin"/>
          </w:r>
          <w:r>
            <w:instrText xml:space="preserve"> PAGEREF _Toc225962295 \h </w:instrText>
          </w:r>
          <w:r>
            <w:fldChar w:fldCharType="separate"/>
          </w:r>
          <w:r>
            <w:t>16</w:t>
          </w:r>
          <w:r>
            <w:fldChar w:fldCharType="end"/>
          </w:r>
          <w:r>
            <w:fldChar w:fldCharType="end"/>
          </w:r>
        </w:p>
        <w:p w14:paraId="4C80802D">
          <w:pPr>
            <w:pStyle w:val="24"/>
            <w:tabs>
              <w:tab w:val="right" w:leader="dot" w:pos="8630"/>
            </w:tabs>
            <w:rPr>
              <w:rFonts w:asciiTheme="minorHAnsi" w:hAnsiTheme="minorHAnsi" w:eastAsiaTheme="minorEastAsia"/>
              <w:kern w:val="2"/>
              <w:szCs w:val="24"/>
              <w14:ligatures w14:val="standardContextual"/>
            </w:rPr>
          </w:pPr>
          <w:r>
            <w:fldChar w:fldCharType="begin"/>
          </w:r>
          <w:r>
            <w:instrText xml:space="preserve"> HYPERLINK \l "_Toc225962296" </w:instrText>
          </w:r>
          <w:r>
            <w:fldChar w:fldCharType="separate"/>
          </w:r>
          <w:r>
            <w:rPr>
              <w:rStyle w:val="18"/>
            </w:rPr>
            <w:t>1.4 Specific Objectives</w:t>
          </w:r>
          <w:r>
            <w:tab/>
          </w:r>
          <w:r>
            <w:fldChar w:fldCharType="begin"/>
          </w:r>
          <w:r>
            <w:instrText xml:space="preserve"> PAGEREF _Toc225962296 \h </w:instrText>
          </w:r>
          <w:r>
            <w:fldChar w:fldCharType="separate"/>
          </w:r>
          <w:r>
            <w:t>16</w:t>
          </w:r>
          <w:r>
            <w:fldChar w:fldCharType="end"/>
          </w:r>
          <w:r>
            <w:fldChar w:fldCharType="end"/>
          </w:r>
        </w:p>
        <w:p w14:paraId="78C2164F">
          <w:pPr>
            <w:pStyle w:val="24"/>
            <w:tabs>
              <w:tab w:val="right" w:leader="dot" w:pos="8630"/>
            </w:tabs>
            <w:rPr>
              <w:rFonts w:asciiTheme="minorHAnsi" w:hAnsiTheme="minorHAnsi" w:eastAsiaTheme="minorEastAsia"/>
              <w:kern w:val="2"/>
              <w:szCs w:val="24"/>
              <w14:ligatures w14:val="standardContextual"/>
            </w:rPr>
          </w:pPr>
          <w:r>
            <w:fldChar w:fldCharType="begin"/>
          </w:r>
          <w:r>
            <w:instrText xml:space="preserve"> HYPERLINK \l "_Toc225962297" </w:instrText>
          </w:r>
          <w:r>
            <w:fldChar w:fldCharType="separate"/>
          </w:r>
          <w:r>
            <w:rPr>
              <w:rStyle w:val="18"/>
            </w:rPr>
            <w:t>1.5 Hypotheses</w:t>
          </w:r>
          <w:r>
            <w:tab/>
          </w:r>
          <w:r>
            <w:fldChar w:fldCharType="begin"/>
          </w:r>
          <w:r>
            <w:instrText xml:space="preserve"> PAGEREF _Toc225962297 \h </w:instrText>
          </w:r>
          <w:r>
            <w:fldChar w:fldCharType="separate"/>
          </w:r>
          <w:r>
            <w:t>16</w:t>
          </w:r>
          <w:r>
            <w:fldChar w:fldCharType="end"/>
          </w:r>
          <w:r>
            <w:fldChar w:fldCharType="end"/>
          </w:r>
        </w:p>
        <w:p w14:paraId="48DEDE58">
          <w:pPr>
            <w:pStyle w:val="24"/>
            <w:tabs>
              <w:tab w:val="right" w:leader="dot" w:pos="8630"/>
            </w:tabs>
            <w:rPr>
              <w:rFonts w:asciiTheme="minorHAnsi" w:hAnsiTheme="minorHAnsi" w:eastAsiaTheme="minorEastAsia"/>
              <w:kern w:val="2"/>
              <w:szCs w:val="24"/>
              <w14:ligatures w14:val="standardContextual"/>
            </w:rPr>
          </w:pPr>
          <w:r>
            <w:fldChar w:fldCharType="begin"/>
          </w:r>
          <w:r>
            <w:instrText xml:space="preserve"> HYPERLINK \l "_Toc225962298" </w:instrText>
          </w:r>
          <w:r>
            <w:fldChar w:fldCharType="separate"/>
          </w:r>
          <w:r>
            <w:rPr>
              <w:rStyle w:val="18"/>
            </w:rPr>
            <w:t>1.6 Justification of the Study</w:t>
          </w:r>
          <w:r>
            <w:tab/>
          </w:r>
          <w:r>
            <w:fldChar w:fldCharType="begin"/>
          </w:r>
          <w:r>
            <w:instrText xml:space="preserve"> PAGEREF _Toc225962298 \h </w:instrText>
          </w:r>
          <w:r>
            <w:fldChar w:fldCharType="separate"/>
          </w:r>
          <w:r>
            <w:t>17</w:t>
          </w:r>
          <w:r>
            <w:fldChar w:fldCharType="end"/>
          </w:r>
          <w:r>
            <w:fldChar w:fldCharType="end"/>
          </w:r>
        </w:p>
        <w:p w14:paraId="2904A35F">
          <w:pPr>
            <w:pStyle w:val="24"/>
            <w:tabs>
              <w:tab w:val="right" w:leader="dot" w:pos="8630"/>
            </w:tabs>
            <w:rPr>
              <w:rFonts w:asciiTheme="minorHAnsi" w:hAnsiTheme="minorHAnsi" w:eastAsiaTheme="minorEastAsia"/>
              <w:kern w:val="2"/>
              <w:szCs w:val="24"/>
              <w14:ligatures w14:val="standardContextual"/>
            </w:rPr>
          </w:pPr>
          <w:r>
            <w:fldChar w:fldCharType="begin"/>
          </w:r>
          <w:r>
            <w:instrText xml:space="preserve"> HYPERLINK \l "_Toc225962299" </w:instrText>
          </w:r>
          <w:r>
            <w:fldChar w:fldCharType="separate"/>
          </w:r>
          <w:r>
            <w:rPr>
              <w:rStyle w:val="18"/>
            </w:rPr>
            <w:t>1.7 Scope of the Study</w:t>
          </w:r>
          <w:r>
            <w:tab/>
          </w:r>
          <w:r>
            <w:fldChar w:fldCharType="begin"/>
          </w:r>
          <w:r>
            <w:instrText xml:space="preserve"> PAGEREF _Toc225962299 \h </w:instrText>
          </w:r>
          <w:r>
            <w:fldChar w:fldCharType="separate"/>
          </w:r>
          <w:r>
            <w:t>18</w:t>
          </w:r>
          <w:r>
            <w:fldChar w:fldCharType="end"/>
          </w:r>
          <w:r>
            <w:fldChar w:fldCharType="end"/>
          </w:r>
        </w:p>
        <w:p w14:paraId="31FC3F57">
          <w:pPr>
            <w:pStyle w:val="24"/>
            <w:tabs>
              <w:tab w:val="right" w:leader="dot" w:pos="8630"/>
            </w:tabs>
            <w:rPr>
              <w:rFonts w:asciiTheme="minorHAnsi" w:hAnsiTheme="minorHAnsi" w:eastAsiaTheme="minorEastAsia"/>
              <w:kern w:val="2"/>
              <w:szCs w:val="24"/>
              <w14:ligatures w14:val="standardContextual"/>
            </w:rPr>
          </w:pPr>
          <w:r>
            <w:fldChar w:fldCharType="begin"/>
          </w:r>
          <w:r>
            <w:instrText xml:space="preserve"> HYPERLINK \l "_Toc225962300" </w:instrText>
          </w:r>
          <w:r>
            <w:fldChar w:fldCharType="separate"/>
          </w:r>
          <w:r>
            <w:rPr>
              <w:rStyle w:val="18"/>
            </w:rPr>
            <w:t>1.8 Definition of Terms</w:t>
          </w:r>
          <w:r>
            <w:tab/>
          </w:r>
          <w:r>
            <w:fldChar w:fldCharType="begin"/>
          </w:r>
          <w:r>
            <w:instrText xml:space="preserve"> PAGEREF _Toc225962300 \h </w:instrText>
          </w:r>
          <w:r>
            <w:fldChar w:fldCharType="separate"/>
          </w:r>
          <w:r>
            <w:t>18</w:t>
          </w:r>
          <w:r>
            <w:fldChar w:fldCharType="end"/>
          </w:r>
          <w:r>
            <w:fldChar w:fldCharType="end"/>
          </w:r>
        </w:p>
        <w:p w14:paraId="3516BF8D">
          <w:pPr>
            <w:pStyle w:val="24"/>
            <w:tabs>
              <w:tab w:val="right" w:leader="dot" w:pos="8630"/>
            </w:tabs>
            <w:rPr>
              <w:rFonts w:asciiTheme="minorHAnsi" w:hAnsiTheme="minorHAnsi" w:eastAsiaTheme="minorEastAsia"/>
              <w:kern w:val="2"/>
              <w:szCs w:val="24"/>
              <w14:ligatures w14:val="standardContextual"/>
            </w:rPr>
          </w:pPr>
          <w:r>
            <w:fldChar w:fldCharType="begin"/>
          </w:r>
          <w:r>
            <w:instrText xml:space="preserve"> HYPERLINK \l "_Toc225962301" </w:instrText>
          </w:r>
          <w:r>
            <w:fldChar w:fldCharType="separate"/>
          </w:r>
          <w:r>
            <w:rPr>
              <w:rStyle w:val="18"/>
            </w:rPr>
            <w:t>1.9 Chapter Summary</w:t>
          </w:r>
          <w:r>
            <w:tab/>
          </w:r>
          <w:r>
            <w:fldChar w:fldCharType="begin"/>
          </w:r>
          <w:r>
            <w:instrText xml:space="preserve"> PAGEREF _Toc225962301 \h </w:instrText>
          </w:r>
          <w:r>
            <w:fldChar w:fldCharType="separate"/>
          </w:r>
          <w:r>
            <w:t>19</w:t>
          </w:r>
          <w:r>
            <w:fldChar w:fldCharType="end"/>
          </w:r>
          <w:r>
            <w:fldChar w:fldCharType="end"/>
          </w:r>
        </w:p>
        <w:p w14:paraId="44BF60FC">
          <w:pPr>
            <w:pStyle w:val="23"/>
            <w:tabs>
              <w:tab w:val="right" w:leader="dot" w:pos="8630"/>
            </w:tabs>
            <w:rPr>
              <w:rFonts w:asciiTheme="minorHAnsi" w:hAnsiTheme="minorHAnsi" w:eastAsiaTheme="minorEastAsia"/>
              <w:b w:val="0"/>
              <w:kern w:val="2"/>
              <w:szCs w:val="24"/>
              <w14:ligatures w14:val="standardContextual"/>
            </w:rPr>
          </w:pPr>
          <w:r>
            <w:fldChar w:fldCharType="begin"/>
          </w:r>
          <w:r>
            <w:instrText xml:space="preserve"> HYPERLINK \l "_Toc225962302" </w:instrText>
          </w:r>
          <w:r>
            <w:fldChar w:fldCharType="separate"/>
          </w:r>
          <w:r>
            <w:rPr>
              <w:rStyle w:val="18"/>
            </w:rPr>
            <w:t>CHAPTER TWO</w:t>
          </w:r>
          <w:r>
            <w:tab/>
          </w:r>
          <w:r>
            <w:fldChar w:fldCharType="begin"/>
          </w:r>
          <w:r>
            <w:instrText xml:space="preserve"> PAGEREF _Toc225962302 \h </w:instrText>
          </w:r>
          <w:r>
            <w:fldChar w:fldCharType="separate"/>
          </w:r>
          <w:r>
            <w:t>21</w:t>
          </w:r>
          <w:r>
            <w:fldChar w:fldCharType="end"/>
          </w:r>
          <w:r>
            <w:fldChar w:fldCharType="end"/>
          </w:r>
        </w:p>
        <w:p w14:paraId="7CF87870">
          <w:pPr>
            <w:pStyle w:val="23"/>
            <w:tabs>
              <w:tab w:val="right" w:leader="dot" w:pos="8630"/>
            </w:tabs>
            <w:rPr>
              <w:rFonts w:asciiTheme="minorHAnsi" w:hAnsiTheme="minorHAnsi" w:eastAsiaTheme="minorEastAsia"/>
              <w:b w:val="0"/>
              <w:kern w:val="2"/>
              <w:szCs w:val="24"/>
              <w14:ligatures w14:val="standardContextual"/>
            </w:rPr>
          </w:pPr>
          <w:r>
            <w:fldChar w:fldCharType="begin"/>
          </w:r>
          <w:r>
            <w:instrText xml:space="preserve"> HYPERLINK \l "_Toc225962303" </w:instrText>
          </w:r>
          <w:r>
            <w:fldChar w:fldCharType="separate"/>
          </w:r>
          <w:r>
            <w:rPr>
              <w:rStyle w:val="18"/>
            </w:rPr>
            <w:t>2.0 LITERATURE REVIEW</w:t>
          </w:r>
          <w:r>
            <w:tab/>
          </w:r>
          <w:r>
            <w:fldChar w:fldCharType="begin"/>
          </w:r>
          <w:r>
            <w:instrText xml:space="preserve"> PAGEREF _Toc225962303 \h </w:instrText>
          </w:r>
          <w:r>
            <w:fldChar w:fldCharType="separate"/>
          </w:r>
          <w:r>
            <w:t>21</w:t>
          </w:r>
          <w:r>
            <w:fldChar w:fldCharType="end"/>
          </w:r>
          <w:r>
            <w:fldChar w:fldCharType="end"/>
          </w:r>
        </w:p>
        <w:p w14:paraId="6331592C">
          <w:pPr>
            <w:pStyle w:val="24"/>
            <w:tabs>
              <w:tab w:val="right" w:leader="dot" w:pos="8630"/>
            </w:tabs>
            <w:rPr>
              <w:rFonts w:asciiTheme="minorHAnsi" w:hAnsiTheme="minorHAnsi" w:eastAsiaTheme="minorEastAsia"/>
              <w:kern w:val="2"/>
              <w:szCs w:val="24"/>
              <w14:ligatures w14:val="standardContextual"/>
            </w:rPr>
          </w:pPr>
          <w:r>
            <w:fldChar w:fldCharType="begin"/>
          </w:r>
          <w:r>
            <w:instrText xml:space="preserve"> HYPERLINK \l "_Toc225962304" </w:instrText>
          </w:r>
          <w:r>
            <w:fldChar w:fldCharType="separate"/>
          </w:r>
          <w:r>
            <w:rPr>
              <w:rStyle w:val="18"/>
            </w:rPr>
            <w:t>2.1 Introduction</w:t>
          </w:r>
          <w:r>
            <w:tab/>
          </w:r>
          <w:r>
            <w:fldChar w:fldCharType="begin"/>
          </w:r>
          <w:r>
            <w:instrText xml:space="preserve"> PAGEREF _Toc225962304 \h </w:instrText>
          </w:r>
          <w:r>
            <w:fldChar w:fldCharType="separate"/>
          </w:r>
          <w:r>
            <w:t>21</w:t>
          </w:r>
          <w:r>
            <w:fldChar w:fldCharType="end"/>
          </w:r>
          <w:r>
            <w:fldChar w:fldCharType="end"/>
          </w:r>
        </w:p>
        <w:p w14:paraId="7736C9D1">
          <w:pPr>
            <w:pStyle w:val="24"/>
            <w:tabs>
              <w:tab w:val="right" w:leader="dot" w:pos="8630"/>
            </w:tabs>
            <w:rPr>
              <w:rFonts w:asciiTheme="minorHAnsi" w:hAnsiTheme="minorHAnsi" w:eastAsiaTheme="minorEastAsia"/>
              <w:kern w:val="2"/>
              <w:szCs w:val="24"/>
              <w14:ligatures w14:val="standardContextual"/>
            </w:rPr>
          </w:pPr>
          <w:r>
            <w:fldChar w:fldCharType="begin"/>
          </w:r>
          <w:r>
            <w:instrText xml:space="preserve"> HYPERLINK \l "_Toc225962305" </w:instrText>
          </w:r>
          <w:r>
            <w:fldChar w:fldCharType="separate"/>
          </w:r>
          <w:r>
            <w:rPr>
              <w:rStyle w:val="18"/>
            </w:rPr>
            <w:t>2.2 Pricing Reforms and Uptake of fertilizers</w:t>
          </w:r>
          <w:r>
            <w:tab/>
          </w:r>
          <w:r>
            <w:fldChar w:fldCharType="begin"/>
          </w:r>
          <w:r>
            <w:instrText xml:space="preserve"> PAGEREF _Toc225962305 \h </w:instrText>
          </w:r>
          <w:r>
            <w:fldChar w:fldCharType="separate"/>
          </w:r>
          <w:r>
            <w:t>21</w:t>
          </w:r>
          <w:r>
            <w:fldChar w:fldCharType="end"/>
          </w:r>
          <w:r>
            <w:fldChar w:fldCharType="end"/>
          </w:r>
        </w:p>
        <w:p w14:paraId="0BE95928">
          <w:pPr>
            <w:pStyle w:val="24"/>
            <w:tabs>
              <w:tab w:val="right" w:leader="dot" w:pos="8630"/>
            </w:tabs>
            <w:rPr>
              <w:rFonts w:asciiTheme="minorHAnsi" w:hAnsiTheme="minorHAnsi" w:eastAsiaTheme="minorEastAsia"/>
              <w:kern w:val="2"/>
              <w:szCs w:val="24"/>
              <w14:ligatures w14:val="standardContextual"/>
            </w:rPr>
          </w:pPr>
          <w:r>
            <w:fldChar w:fldCharType="begin"/>
          </w:r>
          <w:r>
            <w:instrText xml:space="preserve"> HYPERLINK \l "_Toc225962306" </w:instrText>
          </w:r>
          <w:r>
            <w:fldChar w:fldCharType="separate"/>
          </w:r>
          <w:r>
            <w:rPr>
              <w:rStyle w:val="18"/>
            </w:rPr>
            <w:t>2.3 Distribution Model Changes and Uptake of Fertilizers</w:t>
          </w:r>
          <w:r>
            <w:tab/>
          </w:r>
          <w:r>
            <w:fldChar w:fldCharType="begin"/>
          </w:r>
          <w:r>
            <w:instrText xml:space="preserve"> PAGEREF _Toc225962306 \h </w:instrText>
          </w:r>
          <w:r>
            <w:fldChar w:fldCharType="separate"/>
          </w:r>
          <w:r>
            <w:t>28</w:t>
          </w:r>
          <w:r>
            <w:fldChar w:fldCharType="end"/>
          </w:r>
          <w:r>
            <w:fldChar w:fldCharType="end"/>
          </w:r>
        </w:p>
        <w:p w14:paraId="120DFB52">
          <w:pPr>
            <w:pStyle w:val="24"/>
            <w:tabs>
              <w:tab w:val="right" w:leader="dot" w:pos="8630"/>
            </w:tabs>
            <w:rPr>
              <w:rFonts w:asciiTheme="minorHAnsi" w:hAnsiTheme="minorHAnsi" w:eastAsiaTheme="minorEastAsia"/>
              <w:kern w:val="2"/>
              <w:szCs w:val="24"/>
              <w14:ligatures w14:val="standardContextual"/>
            </w:rPr>
          </w:pPr>
          <w:r>
            <w:fldChar w:fldCharType="begin"/>
          </w:r>
          <w:r>
            <w:instrText xml:space="preserve"> HYPERLINK \l "_Toc225962307" </w:instrText>
          </w:r>
          <w:r>
            <w:fldChar w:fldCharType="separate"/>
          </w:r>
          <w:r>
            <w:rPr>
              <w:rStyle w:val="18"/>
            </w:rPr>
            <w:t>2.4 Revised Targeting Criteria and Uptake of Fertilizers</w:t>
          </w:r>
          <w:r>
            <w:tab/>
          </w:r>
          <w:r>
            <w:fldChar w:fldCharType="begin"/>
          </w:r>
          <w:r>
            <w:instrText xml:space="preserve"> PAGEREF _Toc225962307 \h </w:instrText>
          </w:r>
          <w:r>
            <w:fldChar w:fldCharType="separate"/>
          </w:r>
          <w:r>
            <w:t>34</w:t>
          </w:r>
          <w:r>
            <w:fldChar w:fldCharType="end"/>
          </w:r>
          <w:r>
            <w:fldChar w:fldCharType="end"/>
          </w:r>
        </w:p>
        <w:p w14:paraId="3D6F3D93">
          <w:pPr>
            <w:pStyle w:val="24"/>
            <w:tabs>
              <w:tab w:val="right" w:leader="dot" w:pos="8630"/>
            </w:tabs>
            <w:rPr>
              <w:rFonts w:asciiTheme="minorHAnsi" w:hAnsiTheme="minorHAnsi" w:eastAsiaTheme="minorEastAsia"/>
              <w:kern w:val="2"/>
              <w:szCs w:val="24"/>
              <w14:ligatures w14:val="standardContextual"/>
            </w:rPr>
          </w:pPr>
          <w:r>
            <w:fldChar w:fldCharType="begin"/>
          </w:r>
          <w:r>
            <w:instrText xml:space="preserve"> HYPERLINK \l "_Toc225962308" </w:instrText>
          </w:r>
          <w:r>
            <w:fldChar w:fldCharType="separate"/>
          </w:r>
          <w:r>
            <w:rPr>
              <w:rStyle w:val="18"/>
            </w:rPr>
            <w:t>2.5 Smallholder Farmers’ Uptake of Fertilizers</w:t>
          </w:r>
          <w:r>
            <w:tab/>
          </w:r>
          <w:r>
            <w:fldChar w:fldCharType="begin"/>
          </w:r>
          <w:r>
            <w:instrText xml:space="preserve"> PAGEREF _Toc225962308 \h </w:instrText>
          </w:r>
          <w:r>
            <w:fldChar w:fldCharType="separate"/>
          </w:r>
          <w:r>
            <w:t>40</w:t>
          </w:r>
          <w:r>
            <w:fldChar w:fldCharType="end"/>
          </w:r>
          <w:r>
            <w:fldChar w:fldCharType="end"/>
          </w:r>
        </w:p>
        <w:p w14:paraId="6F9A0080">
          <w:pPr>
            <w:pStyle w:val="24"/>
            <w:tabs>
              <w:tab w:val="right" w:leader="dot" w:pos="8630"/>
            </w:tabs>
            <w:rPr>
              <w:rFonts w:asciiTheme="minorHAnsi" w:hAnsiTheme="minorHAnsi" w:eastAsiaTheme="minorEastAsia"/>
              <w:kern w:val="2"/>
              <w:szCs w:val="24"/>
              <w14:ligatures w14:val="standardContextual"/>
            </w:rPr>
          </w:pPr>
          <w:r>
            <w:fldChar w:fldCharType="begin"/>
          </w:r>
          <w:r>
            <w:instrText xml:space="preserve"> HYPERLINK \l "_Toc225962309" </w:instrText>
          </w:r>
          <w:r>
            <w:fldChar w:fldCharType="separate"/>
          </w:r>
          <w:r>
            <w:rPr>
              <w:rStyle w:val="18"/>
            </w:rPr>
            <w:t>2.6 Chapter Summary</w:t>
          </w:r>
          <w:r>
            <w:tab/>
          </w:r>
          <w:r>
            <w:fldChar w:fldCharType="begin"/>
          </w:r>
          <w:r>
            <w:instrText xml:space="preserve"> PAGEREF _Toc225962309 \h </w:instrText>
          </w:r>
          <w:r>
            <w:fldChar w:fldCharType="separate"/>
          </w:r>
          <w:r>
            <w:t>42</w:t>
          </w:r>
          <w:r>
            <w:fldChar w:fldCharType="end"/>
          </w:r>
          <w:r>
            <w:fldChar w:fldCharType="end"/>
          </w:r>
        </w:p>
        <w:p w14:paraId="02120F03">
          <w:pPr>
            <w:pStyle w:val="23"/>
            <w:tabs>
              <w:tab w:val="right" w:leader="dot" w:pos="8630"/>
            </w:tabs>
            <w:rPr>
              <w:rFonts w:asciiTheme="minorHAnsi" w:hAnsiTheme="minorHAnsi" w:eastAsiaTheme="minorEastAsia"/>
              <w:b w:val="0"/>
              <w:kern w:val="2"/>
              <w:szCs w:val="24"/>
              <w14:ligatures w14:val="standardContextual"/>
            </w:rPr>
          </w:pPr>
          <w:r>
            <w:fldChar w:fldCharType="begin"/>
          </w:r>
          <w:r>
            <w:instrText xml:space="preserve"> HYPERLINK \l "_Toc225962310" </w:instrText>
          </w:r>
          <w:r>
            <w:fldChar w:fldCharType="separate"/>
          </w:r>
          <w:r>
            <w:rPr>
              <w:rStyle w:val="18"/>
            </w:rPr>
            <w:t>CHAPTER THREE</w:t>
          </w:r>
          <w:r>
            <w:tab/>
          </w:r>
          <w:r>
            <w:fldChar w:fldCharType="begin"/>
          </w:r>
          <w:r>
            <w:instrText xml:space="preserve"> PAGEREF _Toc225962310 \h </w:instrText>
          </w:r>
          <w:r>
            <w:fldChar w:fldCharType="separate"/>
          </w:r>
          <w:r>
            <w:t>43</w:t>
          </w:r>
          <w:r>
            <w:fldChar w:fldCharType="end"/>
          </w:r>
          <w:r>
            <w:fldChar w:fldCharType="end"/>
          </w:r>
        </w:p>
        <w:p w14:paraId="09D697C5">
          <w:pPr>
            <w:pStyle w:val="23"/>
            <w:tabs>
              <w:tab w:val="right" w:leader="dot" w:pos="8630"/>
            </w:tabs>
            <w:rPr>
              <w:rFonts w:asciiTheme="minorHAnsi" w:hAnsiTheme="minorHAnsi" w:eastAsiaTheme="minorEastAsia"/>
              <w:b w:val="0"/>
              <w:kern w:val="2"/>
              <w:szCs w:val="24"/>
              <w14:ligatures w14:val="standardContextual"/>
            </w:rPr>
          </w:pPr>
          <w:r>
            <w:fldChar w:fldCharType="begin"/>
          </w:r>
          <w:r>
            <w:instrText xml:space="preserve"> HYPERLINK \l "_Toc225962311" </w:instrText>
          </w:r>
          <w:r>
            <w:fldChar w:fldCharType="separate"/>
          </w:r>
          <w:r>
            <w:rPr>
              <w:rStyle w:val="18"/>
            </w:rPr>
            <w:t>3.0 RESEARCH METHODOLOGY</w:t>
          </w:r>
          <w:r>
            <w:tab/>
          </w:r>
          <w:r>
            <w:fldChar w:fldCharType="begin"/>
          </w:r>
          <w:r>
            <w:instrText xml:space="preserve"> PAGEREF _Toc225962311 \h </w:instrText>
          </w:r>
          <w:r>
            <w:fldChar w:fldCharType="separate"/>
          </w:r>
          <w:r>
            <w:t>43</w:t>
          </w:r>
          <w:r>
            <w:fldChar w:fldCharType="end"/>
          </w:r>
          <w:r>
            <w:fldChar w:fldCharType="end"/>
          </w:r>
        </w:p>
        <w:p w14:paraId="08892475">
          <w:pPr>
            <w:pStyle w:val="24"/>
            <w:tabs>
              <w:tab w:val="right" w:leader="dot" w:pos="8630"/>
            </w:tabs>
            <w:rPr>
              <w:rFonts w:asciiTheme="minorHAnsi" w:hAnsiTheme="minorHAnsi" w:eastAsiaTheme="minorEastAsia"/>
              <w:kern w:val="2"/>
              <w:szCs w:val="24"/>
              <w14:ligatures w14:val="standardContextual"/>
            </w:rPr>
          </w:pPr>
          <w:r>
            <w:fldChar w:fldCharType="begin"/>
          </w:r>
          <w:r>
            <w:instrText xml:space="preserve"> HYPERLINK \l "_Toc225962312" </w:instrText>
          </w:r>
          <w:r>
            <w:fldChar w:fldCharType="separate"/>
          </w:r>
          <w:r>
            <w:rPr>
              <w:rStyle w:val="18"/>
            </w:rPr>
            <w:t>3.1 Introduction</w:t>
          </w:r>
          <w:r>
            <w:tab/>
          </w:r>
          <w:r>
            <w:fldChar w:fldCharType="begin"/>
          </w:r>
          <w:r>
            <w:instrText xml:space="preserve"> PAGEREF _Toc225962312 \h </w:instrText>
          </w:r>
          <w:r>
            <w:fldChar w:fldCharType="separate"/>
          </w:r>
          <w:r>
            <w:t>43</w:t>
          </w:r>
          <w:r>
            <w:fldChar w:fldCharType="end"/>
          </w:r>
          <w:r>
            <w:fldChar w:fldCharType="end"/>
          </w:r>
        </w:p>
        <w:p w14:paraId="10485658">
          <w:pPr>
            <w:pStyle w:val="24"/>
            <w:tabs>
              <w:tab w:val="right" w:leader="dot" w:pos="8630"/>
            </w:tabs>
            <w:rPr>
              <w:rFonts w:asciiTheme="minorHAnsi" w:hAnsiTheme="minorHAnsi" w:eastAsiaTheme="minorEastAsia"/>
              <w:kern w:val="2"/>
              <w:szCs w:val="24"/>
              <w14:ligatures w14:val="standardContextual"/>
            </w:rPr>
          </w:pPr>
          <w:r>
            <w:fldChar w:fldCharType="begin"/>
          </w:r>
          <w:r>
            <w:instrText xml:space="preserve"> HYPERLINK \l "_Toc225962313" </w:instrText>
          </w:r>
          <w:r>
            <w:fldChar w:fldCharType="separate"/>
          </w:r>
          <w:r>
            <w:rPr>
              <w:rStyle w:val="18"/>
              <w:rFonts w:eastAsiaTheme="majorEastAsia"/>
            </w:rPr>
            <w:t>3.2 Research Design</w:t>
          </w:r>
          <w:r>
            <w:tab/>
          </w:r>
          <w:r>
            <w:fldChar w:fldCharType="begin"/>
          </w:r>
          <w:r>
            <w:instrText xml:space="preserve"> PAGEREF _Toc225962313 \h </w:instrText>
          </w:r>
          <w:r>
            <w:fldChar w:fldCharType="separate"/>
          </w:r>
          <w:r>
            <w:t>43</w:t>
          </w:r>
          <w:r>
            <w:fldChar w:fldCharType="end"/>
          </w:r>
          <w:r>
            <w:fldChar w:fldCharType="end"/>
          </w:r>
        </w:p>
        <w:p w14:paraId="42251AE1">
          <w:pPr>
            <w:pStyle w:val="24"/>
            <w:tabs>
              <w:tab w:val="right" w:leader="dot" w:pos="8630"/>
            </w:tabs>
            <w:rPr>
              <w:rFonts w:asciiTheme="minorHAnsi" w:hAnsiTheme="minorHAnsi" w:eastAsiaTheme="minorEastAsia"/>
              <w:kern w:val="2"/>
              <w:szCs w:val="24"/>
              <w14:ligatures w14:val="standardContextual"/>
            </w:rPr>
          </w:pPr>
          <w:r>
            <w:fldChar w:fldCharType="begin"/>
          </w:r>
          <w:r>
            <w:instrText xml:space="preserve"> HYPERLINK \l "_Toc225962314" </w:instrText>
          </w:r>
          <w:r>
            <w:fldChar w:fldCharType="separate"/>
          </w:r>
          <w:r>
            <w:rPr>
              <w:rStyle w:val="18"/>
              <w:rFonts w:eastAsiaTheme="majorEastAsia"/>
            </w:rPr>
            <w:t>3.3 Population and Sampling Design</w:t>
          </w:r>
          <w:r>
            <w:tab/>
          </w:r>
          <w:r>
            <w:fldChar w:fldCharType="begin"/>
          </w:r>
          <w:r>
            <w:instrText xml:space="preserve"> PAGEREF _Toc225962314 \h </w:instrText>
          </w:r>
          <w:r>
            <w:fldChar w:fldCharType="separate"/>
          </w:r>
          <w:r>
            <w:t>44</w:t>
          </w:r>
          <w:r>
            <w:fldChar w:fldCharType="end"/>
          </w:r>
          <w:r>
            <w:fldChar w:fldCharType="end"/>
          </w:r>
        </w:p>
        <w:p w14:paraId="2485036E">
          <w:pPr>
            <w:pStyle w:val="24"/>
            <w:tabs>
              <w:tab w:val="right" w:leader="dot" w:pos="8630"/>
            </w:tabs>
            <w:rPr>
              <w:rFonts w:asciiTheme="minorHAnsi" w:hAnsiTheme="minorHAnsi" w:eastAsiaTheme="minorEastAsia"/>
              <w:kern w:val="2"/>
              <w:szCs w:val="24"/>
              <w14:ligatures w14:val="standardContextual"/>
            </w:rPr>
          </w:pPr>
          <w:r>
            <w:fldChar w:fldCharType="begin"/>
          </w:r>
          <w:r>
            <w:instrText xml:space="preserve"> HYPERLINK \l "_Toc225962315" </w:instrText>
          </w:r>
          <w:r>
            <w:fldChar w:fldCharType="separate"/>
          </w:r>
          <w:r>
            <w:rPr>
              <w:rStyle w:val="18"/>
            </w:rPr>
            <w:t>3.4 Data Collection Methods</w:t>
          </w:r>
          <w:r>
            <w:tab/>
          </w:r>
          <w:r>
            <w:fldChar w:fldCharType="begin"/>
          </w:r>
          <w:r>
            <w:instrText xml:space="preserve"> PAGEREF _Toc225962315 \h </w:instrText>
          </w:r>
          <w:r>
            <w:fldChar w:fldCharType="separate"/>
          </w:r>
          <w:r>
            <w:t>47</w:t>
          </w:r>
          <w:r>
            <w:fldChar w:fldCharType="end"/>
          </w:r>
          <w:r>
            <w:fldChar w:fldCharType="end"/>
          </w:r>
        </w:p>
        <w:p w14:paraId="1DE156B3">
          <w:pPr>
            <w:pStyle w:val="24"/>
            <w:tabs>
              <w:tab w:val="right" w:leader="dot" w:pos="8630"/>
            </w:tabs>
            <w:rPr>
              <w:rFonts w:asciiTheme="minorHAnsi" w:hAnsiTheme="minorHAnsi" w:eastAsiaTheme="minorEastAsia"/>
              <w:kern w:val="2"/>
              <w:szCs w:val="24"/>
              <w14:ligatures w14:val="standardContextual"/>
            </w:rPr>
          </w:pPr>
          <w:r>
            <w:fldChar w:fldCharType="begin"/>
          </w:r>
          <w:r>
            <w:instrText xml:space="preserve"> HYPERLINK \l "_Toc225962316" </w:instrText>
          </w:r>
          <w:r>
            <w:fldChar w:fldCharType="separate"/>
          </w:r>
          <w:r>
            <w:rPr>
              <w:rStyle w:val="18"/>
            </w:rPr>
            <w:t>3.5 Research Procedures</w:t>
          </w:r>
          <w:r>
            <w:tab/>
          </w:r>
          <w:r>
            <w:fldChar w:fldCharType="begin"/>
          </w:r>
          <w:r>
            <w:instrText xml:space="preserve"> PAGEREF _Toc225962316 \h </w:instrText>
          </w:r>
          <w:r>
            <w:fldChar w:fldCharType="separate"/>
          </w:r>
          <w:r>
            <w:t>48</w:t>
          </w:r>
          <w:r>
            <w:fldChar w:fldCharType="end"/>
          </w:r>
          <w:r>
            <w:fldChar w:fldCharType="end"/>
          </w:r>
        </w:p>
        <w:p w14:paraId="68C7CC4B">
          <w:pPr>
            <w:pStyle w:val="24"/>
            <w:tabs>
              <w:tab w:val="right" w:leader="dot" w:pos="8630"/>
            </w:tabs>
            <w:rPr>
              <w:rFonts w:asciiTheme="minorHAnsi" w:hAnsiTheme="minorHAnsi" w:eastAsiaTheme="minorEastAsia"/>
              <w:kern w:val="2"/>
              <w:szCs w:val="24"/>
              <w14:ligatures w14:val="standardContextual"/>
            </w:rPr>
          </w:pPr>
          <w:r>
            <w:fldChar w:fldCharType="begin"/>
          </w:r>
          <w:r>
            <w:instrText xml:space="preserve"> HYPERLINK \l "_Toc225962317" </w:instrText>
          </w:r>
          <w:r>
            <w:fldChar w:fldCharType="separate"/>
          </w:r>
          <w:r>
            <w:rPr>
              <w:rStyle w:val="18"/>
            </w:rPr>
            <w:t>3.6 Data Analysis Methods</w:t>
          </w:r>
          <w:r>
            <w:tab/>
          </w:r>
          <w:r>
            <w:fldChar w:fldCharType="begin"/>
          </w:r>
          <w:r>
            <w:instrText xml:space="preserve"> PAGEREF _Toc225962317 \h </w:instrText>
          </w:r>
          <w:r>
            <w:fldChar w:fldCharType="separate"/>
          </w:r>
          <w:r>
            <w:t>48</w:t>
          </w:r>
          <w:r>
            <w:fldChar w:fldCharType="end"/>
          </w:r>
          <w:r>
            <w:fldChar w:fldCharType="end"/>
          </w:r>
        </w:p>
        <w:p w14:paraId="53F54D16">
          <w:pPr>
            <w:pStyle w:val="24"/>
            <w:tabs>
              <w:tab w:val="right" w:leader="dot" w:pos="8630"/>
            </w:tabs>
            <w:rPr>
              <w:rFonts w:asciiTheme="minorHAnsi" w:hAnsiTheme="minorHAnsi" w:eastAsiaTheme="minorEastAsia"/>
              <w:kern w:val="2"/>
              <w:szCs w:val="24"/>
              <w14:ligatures w14:val="standardContextual"/>
            </w:rPr>
          </w:pPr>
          <w:r>
            <w:fldChar w:fldCharType="begin"/>
          </w:r>
          <w:r>
            <w:instrText xml:space="preserve"> HYPERLINK \l "_Toc225962318" </w:instrText>
          </w:r>
          <w:r>
            <w:fldChar w:fldCharType="separate"/>
          </w:r>
          <w:r>
            <w:rPr>
              <w:rStyle w:val="18"/>
            </w:rPr>
            <w:t>3.7 Chapter Summary</w:t>
          </w:r>
          <w:r>
            <w:tab/>
          </w:r>
          <w:r>
            <w:fldChar w:fldCharType="begin"/>
          </w:r>
          <w:r>
            <w:instrText xml:space="preserve"> PAGEREF _Toc225962318 \h </w:instrText>
          </w:r>
          <w:r>
            <w:fldChar w:fldCharType="separate"/>
          </w:r>
          <w:r>
            <w:t>49</w:t>
          </w:r>
          <w:r>
            <w:fldChar w:fldCharType="end"/>
          </w:r>
          <w:r>
            <w:fldChar w:fldCharType="end"/>
          </w:r>
        </w:p>
        <w:p w14:paraId="049B17CB">
          <w:pPr>
            <w:pStyle w:val="23"/>
            <w:tabs>
              <w:tab w:val="right" w:leader="dot" w:pos="8630"/>
            </w:tabs>
            <w:rPr>
              <w:rFonts w:asciiTheme="minorHAnsi" w:hAnsiTheme="minorHAnsi" w:eastAsiaTheme="minorEastAsia"/>
              <w:b w:val="0"/>
              <w:kern w:val="2"/>
              <w:szCs w:val="24"/>
              <w14:ligatures w14:val="standardContextual"/>
            </w:rPr>
          </w:pPr>
          <w:r>
            <w:fldChar w:fldCharType="begin"/>
          </w:r>
          <w:r>
            <w:instrText xml:space="preserve"> HYPERLINK \l "_Toc225962319" </w:instrText>
          </w:r>
          <w:r>
            <w:fldChar w:fldCharType="separate"/>
          </w:r>
          <w:r>
            <w:rPr>
              <w:rStyle w:val="18"/>
            </w:rPr>
            <w:t>REFERENCES</w:t>
          </w:r>
          <w:r>
            <w:tab/>
          </w:r>
          <w:r>
            <w:fldChar w:fldCharType="begin"/>
          </w:r>
          <w:r>
            <w:instrText xml:space="preserve"> PAGEREF _Toc225962319 \h </w:instrText>
          </w:r>
          <w:r>
            <w:fldChar w:fldCharType="separate"/>
          </w:r>
          <w:r>
            <w:t>50</w:t>
          </w:r>
          <w:r>
            <w:fldChar w:fldCharType="end"/>
          </w:r>
          <w:r>
            <w:fldChar w:fldCharType="end"/>
          </w:r>
        </w:p>
        <w:p w14:paraId="4CEC6F35">
          <w:pPr>
            <w:pStyle w:val="23"/>
            <w:tabs>
              <w:tab w:val="right" w:leader="dot" w:pos="8630"/>
            </w:tabs>
            <w:rPr>
              <w:rFonts w:asciiTheme="minorHAnsi" w:hAnsiTheme="minorHAnsi" w:eastAsiaTheme="minorEastAsia"/>
              <w:b w:val="0"/>
              <w:kern w:val="2"/>
              <w:szCs w:val="24"/>
              <w14:ligatures w14:val="standardContextual"/>
            </w:rPr>
          </w:pPr>
          <w:r>
            <w:fldChar w:fldCharType="begin"/>
          </w:r>
          <w:r>
            <w:instrText xml:space="preserve"> HYPERLINK \l "_Toc225962320" </w:instrText>
          </w:r>
          <w:r>
            <w:fldChar w:fldCharType="separate"/>
          </w:r>
          <w:r>
            <w:rPr>
              <w:rStyle w:val="18"/>
            </w:rPr>
            <w:t>APPENDICES</w:t>
          </w:r>
          <w:r>
            <w:tab/>
          </w:r>
          <w:r>
            <w:fldChar w:fldCharType="begin"/>
          </w:r>
          <w:r>
            <w:instrText xml:space="preserve"> PAGEREF _Toc225962320 \h </w:instrText>
          </w:r>
          <w:r>
            <w:fldChar w:fldCharType="separate"/>
          </w:r>
          <w:r>
            <w:t>54</w:t>
          </w:r>
          <w:r>
            <w:fldChar w:fldCharType="end"/>
          </w:r>
          <w:r>
            <w:fldChar w:fldCharType="end"/>
          </w:r>
        </w:p>
        <w:p w14:paraId="25732164">
          <w:pPr>
            <w:pStyle w:val="23"/>
            <w:tabs>
              <w:tab w:val="right" w:leader="dot" w:pos="8630"/>
            </w:tabs>
            <w:rPr>
              <w:rFonts w:asciiTheme="minorHAnsi" w:hAnsiTheme="minorHAnsi" w:eastAsiaTheme="minorEastAsia"/>
              <w:b w:val="0"/>
              <w:kern w:val="2"/>
              <w:szCs w:val="24"/>
              <w14:ligatures w14:val="standardContextual"/>
            </w:rPr>
          </w:pPr>
          <w:r>
            <w:fldChar w:fldCharType="begin"/>
          </w:r>
          <w:r>
            <w:instrText xml:space="preserve"> HYPERLINK \l "_Toc225962321" </w:instrText>
          </w:r>
          <w:r>
            <w:fldChar w:fldCharType="separate"/>
          </w:r>
          <w:r>
            <w:rPr>
              <w:rStyle w:val="18"/>
            </w:rPr>
            <w:t>APPENDIX I: COVER LETTER</w:t>
          </w:r>
          <w:r>
            <w:tab/>
          </w:r>
          <w:r>
            <w:fldChar w:fldCharType="begin"/>
          </w:r>
          <w:r>
            <w:instrText xml:space="preserve"> PAGEREF _Toc225962321 \h </w:instrText>
          </w:r>
          <w:r>
            <w:fldChar w:fldCharType="separate"/>
          </w:r>
          <w:r>
            <w:t>54</w:t>
          </w:r>
          <w:r>
            <w:fldChar w:fldCharType="end"/>
          </w:r>
          <w:r>
            <w:fldChar w:fldCharType="end"/>
          </w:r>
        </w:p>
        <w:p w14:paraId="4CD4CAB3">
          <w:pPr>
            <w:pStyle w:val="23"/>
            <w:tabs>
              <w:tab w:val="right" w:leader="dot" w:pos="8630"/>
            </w:tabs>
            <w:rPr>
              <w:rFonts w:asciiTheme="minorHAnsi" w:hAnsiTheme="minorHAnsi" w:eastAsiaTheme="minorEastAsia"/>
              <w:b w:val="0"/>
              <w:kern w:val="2"/>
              <w:szCs w:val="24"/>
              <w14:ligatures w14:val="standardContextual"/>
            </w:rPr>
          </w:pPr>
          <w:r>
            <w:fldChar w:fldCharType="begin"/>
          </w:r>
          <w:r>
            <w:instrText xml:space="preserve"> HYPERLINK \l "_Toc225962322" </w:instrText>
          </w:r>
          <w:r>
            <w:fldChar w:fldCharType="separate"/>
          </w:r>
          <w:r>
            <w:rPr>
              <w:rStyle w:val="18"/>
            </w:rPr>
            <w:t>APPENDIX II: CONSENT FORM</w:t>
          </w:r>
          <w:r>
            <w:tab/>
          </w:r>
          <w:r>
            <w:fldChar w:fldCharType="begin"/>
          </w:r>
          <w:r>
            <w:instrText xml:space="preserve"> PAGEREF _Toc225962322 \h </w:instrText>
          </w:r>
          <w:r>
            <w:fldChar w:fldCharType="separate"/>
          </w:r>
          <w:r>
            <w:t>55</w:t>
          </w:r>
          <w:r>
            <w:fldChar w:fldCharType="end"/>
          </w:r>
          <w:r>
            <w:fldChar w:fldCharType="end"/>
          </w:r>
        </w:p>
        <w:p w14:paraId="1A7118E9">
          <w:pPr>
            <w:pStyle w:val="23"/>
            <w:tabs>
              <w:tab w:val="right" w:leader="dot" w:pos="8630"/>
            </w:tabs>
            <w:rPr>
              <w:rFonts w:asciiTheme="minorHAnsi" w:hAnsiTheme="minorHAnsi" w:eastAsiaTheme="minorEastAsia"/>
              <w:b w:val="0"/>
              <w:kern w:val="2"/>
              <w:szCs w:val="24"/>
              <w14:ligatures w14:val="standardContextual"/>
            </w:rPr>
          </w:pPr>
          <w:r>
            <w:fldChar w:fldCharType="begin"/>
          </w:r>
          <w:r>
            <w:instrText xml:space="preserve"> HYPERLINK \l "_Toc225962323" </w:instrText>
          </w:r>
          <w:r>
            <w:fldChar w:fldCharType="separate"/>
          </w:r>
          <w:r>
            <w:rPr>
              <w:rStyle w:val="18"/>
            </w:rPr>
            <w:t>APPENDIX III: DEBRIEF FORM</w:t>
          </w:r>
          <w:r>
            <w:tab/>
          </w:r>
          <w:r>
            <w:fldChar w:fldCharType="begin"/>
          </w:r>
          <w:r>
            <w:instrText xml:space="preserve"> PAGEREF _Toc225962323 \h </w:instrText>
          </w:r>
          <w:r>
            <w:fldChar w:fldCharType="separate"/>
          </w:r>
          <w:r>
            <w:t>56</w:t>
          </w:r>
          <w:r>
            <w:fldChar w:fldCharType="end"/>
          </w:r>
          <w:r>
            <w:fldChar w:fldCharType="end"/>
          </w:r>
        </w:p>
        <w:p w14:paraId="7FD55AFD">
          <w:pPr>
            <w:pStyle w:val="23"/>
            <w:tabs>
              <w:tab w:val="right" w:leader="dot" w:pos="8630"/>
            </w:tabs>
            <w:rPr>
              <w:rFonts w:asciiTheme="minorHAnsi" w:hAnsiTheme="minorHAnsi" w:eastAsiaTheme="minorEastAsia"/>
              <w:b w:val="0"/>
              <w:kern w:val="2"/>
              <w:szCs w:val="24"/>
              <w14:ligatures w14:val="standardContextual"/>
            </w:rPr>
          </w:pPr>
          <w:r>
            <w:fldChar w:fldCharType="begin"/>
          </w:r>
          <w:r>
            <w:instrText xml:space="preserve"> HYPERLINK \l "_Toc225962324" </w:instrText>
          </w:r>
          <w:r>
            <w:fldChar w:fldCharType="separate"/>
          </w:r>
          <w:r>
            <w:rPr>
              <w:rStyle w:val="18"/>
            </w:rPr>
            <w:t>APPENDIX IV: QUESTIONNAIRE</w:t>
          </w:r>
          <w:r>
            <w:tab/>
          </w:r>
          <w:r>
            <w:fldChar w:fldCharType="begin"/>
          </w:r>
          <w:r>
            <w:instrText xml:space="preserve"> PAGEREF _Toc225962324 \h </w:instrText>
          </w:r>
          <w:r>
            <w:fldChar w:fldCharType="separate"/>
          </w:r>
          <w:r>
            <w:t>57</w:t>
          </w:r>
          <w:r>
            <w:fldChar w:fldCharType="end"/>
          </w:r>
          <w:r>
            <w:fldChar w:fldCharType="end"/>
          </w:r>
        </w:p>
        <w:p w14:paraId="0CB7ED7F">
          <w:pPr>
            <w:pStyle w:val="23"/>
            <w:tabs>
              <w:tab w:val="right" w:leader="dot" w:pos="8630"/>
            </w:tabs>
            <w:rPr>
              <w:b w:val="0"/>
              <w:bCs/>
              <w:color w:val="000000" w:themeColor="text1"/>
              <w14:textFill>
                <w14:solidFill>
                  <w14:schemeClr w14:val="tx1"/>
                </w14:solidFill>
              </w14:textFill>
            </w:rPr>
          </w:pPr>
          <w:r>
            <w:rPr>
              <w:b w:val="0"/>
              <w:bCs/>
              <w:color w:val="000000" w:themeColor="text1"/>
              <w14:textFill>
                <w14:solidFill>
                  <w14:schemeClr w14:val="tx1"/>
                </w14:solidFill>
              </w14:textFill>
            </w:rPr>
            <w:fldChar w:fldCharType="end"/>
          </w:r>
        </w:p>
      </w:sdtContent>
    </w:sdt>
    <w:p w14:paraId="3552C4C0">
      <w:pPr>
        <w:pStyle w:val="23"/>
        <w:tabs>
          <w:tab w:val="right" w:leader="dot" w:pos="8630"/>
        </w:tabs>
        <w:rPr>
          <w:color w:val="000000" w:themeColor="text1"/>
          <w14:textFill>
            <w14:solidFill>
              <w14:schemeClr w14:val="tx1"/>
            </w14:solidFill>
          </w14:textFill>
        </w:rPr>
      </w:pPr>
      <w:bookmarkStart w:id="21" w:name="_Toc201244074"/>
      <w:r>
        <w:rPr>
          <w:rFonts w:eastAsia="Times New Roman" w:cs="Times New Roman"/>
          <w:bCs/>
          <w:color w:val="000000" w:themeColor="text1"/>
          <w:szCs w:val="24"/>
          <w14:textFill>
            <w14:solidFill>
              <w14:schemeClr w14:val="tx1"/>
            </w14:solidFill>
          </w14:textFill>
        </w:rPr>
        <w:br w:type="page"/>
      </w:r>
    </w:p>
    <w:p w14:paraId="4352BFBC">
      <w:pPr>
        <w:pStyle w:val="2"/>
        <w:sectPr>
          <w:footerReference r:id="rId5" w:type="default"/>
          <w:pgSz w:w="12240" w:h="15840"/>
          <w:pgMar w:top="1440" w:right="1440" w:bottom="1440" w:left="2160" w:header="720" w:footer="720" w:gutter="0"/>
          <w:pgNumType w:fmt="lowerRoman" w:start="1"/>
          <w:cols w:space="720" w:num="1"/>
          <w:titlePg/>
          <w:docGrid w:linePitch="360" w:charSpace="0"/>
        </w:sectPr>
      </w:pPr>
    </w:p>
    <w:p w14:paraId="58925BCC">
      <w:pPr>
        <w:pStyle w:val="2"/>
      </w:pPr>
      <w:bookmarkStart w:id="22" w:name="_Toc225962291"/>
      <w:r>
        <w:t>CHAPTER ONE</w:t>
      </w:r>
      <w:bookmarkEnd w:id="21"/>
      <w:bookmarkEnd w:id="22"/>
    </w:p>
    <w:p w14:paraId="01D88C69">
      <w:pPr>
        <w:pStyle w:val="2"/>
      </w:pPr>
      <w:bookmarkStart w:id="23" w:name="_Toc201244075"/>
      <w:bookmarkStart w:id="24" w:name="_Toc225962292"/>
      <w:bookmarkStart w:id="25" w:name="_Toc200633660"/>
      <w:bookmarkStart w:id="26" w:name="_Toc200627295"/>
      <w:r>
        <w:t>1.0 INTRODUCTION</w:t>
      </w:r>
      <w:bookmarkEnd w:id="23"/>
      <w:bookmarkEnd w:id="24"/>
      <w:bookmarkEnd w:id="25"/>
      <w:bookmarkEnd w:id="26"/>
    </w:p>
    <w:p w14:paraId="6B8F4FD0">
      <w:pPr>
        <w:pStyle w:val="3"/>
      </w:pPr>
      <w:bookmarkStart w:id="27" w:name="_Toc201244076"/>
      <w:bookmarkStart w:id="28" w:name="_Toc225962293"/>
      <w:r>
        <w:t>1.1 Background of the Study</w:t>
      </w:r>
      <w:bookmarkEnd w:id="27"/>
      <w:bookmarkEnd w:id="28"/>
    </w:p>
    <w:p w14:paraId="73F5DD31">
      <w:pPr>
        <w:rPr>
          <w:color w:val="000000" w:themeColor="text1"/>
          <w:szCs w:val="24"/>
          <w14:textFill>
            <w14:solidFill>
              <w14:schemeClr w14:val="tx1"/>
            </w14:solidFill>
          </w14:textFill>
        </w:rPr>
      </w:pPr>
      <w:r>
        <w:rPr>
          <w:color w:val="000000" w:themeColor="text1"/>
          <w:szCs w:val="24"/>
          <w14:textFill>
            <w14:solidFill>
              <w14:schemeClr w14:val="tx1"/>
            </w14:solidFill>
          </w14:textFill>
        </w:rPr>
        <w:t>Globally, fertilizer use is recognized as one of the most important inputs for improving agricultural productivity and food security (Jayne et al., 2022). Across Asia and Latin America, increasing fertilizer use has been a key factor in driving agricultural growth, supporting smallholder farmers, and ensuring national food security (Morris et al., 2022). However, for many smallholder farmers in developing regions, high fertilizer costs, fluctuating market prices, and supply chain bottlenecks continue to limit access and effective utilization (World Bank, 2023). As a result, many governments implement fertilizer subsidy programs to address affordability and availability barriers for these farmers (Banful, 2020).</w:t>
      </w:r>
    </w:p>
    <w:p w14:paraId="3A3390AB">
      <w:pPr>
        <w:pStyle w:val="43"/>
        <w:rPr>
          <w:color w:val="000000" w:themeColor="text1"/>
          <w14:textFill>
            <w14:solidFill>
              <w14:schemeClr w14:val="tx1"/>
            </w14:solidFill>
          </w14:textFill>
        </w:rPr>
      </w:pPr>
    </w:p>
    <w:p w14:paraId="6741D14D">
      <w:pPr>
        <w:rPr>
          <w:color w:val="000000" w:themeColor="text1"/>
          <w:szCs w:val="24"/>
          <w14:textFill>
            <w14:solidFill>
              <w14:schemeClr w14:val="tx1"/>
            </w14:solidFill>
          </w14:textFill>
        </w:rPr>
      </w:pPr>
      <w:r>
        <w:rPr>
          <w:color w:val="000000" w:themeColor="text1"/>
          <w:szCs w:val="24"/>
          <w14:textFill>
            <w14:solidFill>
              <w14:schemeClr w14:val="tx1"/>
            </w14:solidFill>
          </w14:textFill>
        </w:rPr>
        <w:t>In recent years, international policy debates have shifted towards reforming traditional subsidy models to promote greater efficiency, accountability, and equity (Kelly et al., 2019). Blanket subsidies have often been criticized for favoring larger and wealthier farmers, distorting markets, and creating fiscal burdens (Jayne et al., 2022). Furthermore, such programs have sometimes resulted in poor targeting, delayed deliveries, and opportunities for corruption (World Bank, 2023). In response, many governments have adopted “smart subsidy” approaches combining digital technologies, targeted farmer registration, and private-sector engagement to deliver more effective and transparent fertilizer support (Banful, 2020).</w:t>
      </w:r>
    </w:p>
    <w:p w14:paraId="6307675D">
      <w:pPr>
        <w:pStyle w:val="43"/>
        <w:rPr>
          <w:color w:val="000000" w:themeColor="text1"/>
          <w14:textFill>
            <w14:solidFill>
              <w14:schemeClr w14:val="tx1"/>
            </w14:solidFill>
          </w14:textFill>
        </w:rPr>
      </w:pPr>
    </w:p>
    <w:p w14:paraId="2E15464F">
      <w:pPr>
        <w:rPr>
          <w:color w:val="000000" w:themeColor="text1"/>
          <w:szCs w:val="24"/>
          <w14:textFill>
            <w14:solidFill>
              <w14:schemeClr w14:val="tx1"/>
            </w14:solidFill>
          </w14:textFill>
        </w:rPr>
      </w:pPr>
      <w:r>
        <w:rPr>
          <w:color w:val="000000" w:themeColor="text1"/>
          <w:szCs w:val="24"/>
          <w14:textFill>
            <w14:solidFill>
              <w14:schemeClr w14:val="tx1"/>
            </w14:solidFill>
          </w14:textFill>
        </w:rPr>
        <w:t>One innovation in global fertilizer subsidy reforms has been the use of e-voucher systems, which enable farmers to redeem subsidies through mobile platforms (Kelly et al., 2019). Such approaches have been adopted in countries like India, Nigeria, and Pakistan, with evidence suggesting improved efficiency and reduced leakages (Banful, 2020). Nevertheless, challenges such as limited digital literacy, weak rural network coverage, and exclusion of marginalized farmers remain significant (Jayne et al., 2022). Thus, ensuring that subsidy reforms are both inclusive and effective remains a global concern.</w:t>
      </w:r>
    </w:p>
    <w:p w14:paraId="01371148">
      <w:pPr>
        <w:pStyle w:val="43"/>
        <w:rPr>
          <w:color w:val="000000" w:themeColor="text1"/>
          <w14:textFill>
            <w14:solidFill>
              <w14:schemeClr w14:val="tx1"/>
            </w14:solidFill>
          </w14:textFill>
        </w:rPr>
      </w:pPr>
    </w:p>
    <w:p w14:paraId="389E9CB2">
      <w:pPr>
        <w:rPr>
          <w:color w:val="000000" w:themeColor="text1"/>
          <w:szCs w:val="24"/>
          <w14:textFill>
            <w14:solidFill>
              <w14:schemeClr w14:val="tx1"/>
            </w14:solidFill>
          </w14:textFill>
        </w:rPr>
      </w:pPr>
      <w:r>
        <w:rPr>
          <w:color w:val="000000" w:themeColor="text1"/>
          <w:szCs w:val="24"/>
          <w14:textFill>
            <w14:solidFill>
              <w14:schemeClr w14:val="tx1"/>
            </w14:solidFill>
          </w14:textFill>
        </w:rPr>
        <w:t>The recent COVID-19 pandemic and the Russia-Ukraine conflict have exacerbated global fertilizer price volatility and disrupted supply chains (World Bank, 2023). Many governments are under renewed pressure to ensure that smallholder farmers can maintain uptake of fertilizers amid rising costs. Consequently, well-designed subsidy programs that balance fiscal sustainability with farmer equity have become more important than ever (Morris et al., 2022). The current global discourse therefore emphasizes reforms that improve access, support vulnerable farmers, and ensure long-term resilience of agricultural systems.</w:t>
      </w:r>
    </w:p>
    <w:p w14:paraId="37EE3294">
      <w:pPr>
        <w:pStyle w:val="43"/>
        <w:rPr>
          <w:color w:val="000000" w:themeColor="text1"/>
          <w14:textFill>
            <w14:solidFill>
              <w14:schemeClr w14:val="tx1"/>
            </w14:solidFill>
          </w14:textFill>
        </w:rPr>
      </w:pPr>
    </w:p>
    <w:p w14:paraId="48173BDF">
      <w:pPr>
        <w:rPr>
          <w:color w:val="000000" w:themeColor="text1"/>
          <w:szCs w:val="24"/>
          <w14:textFill>
            <w14:solidFill>
              <w14:schemeClr w14:val="tx1"/>
            </w14:solidFill>
          </w14:textFill>
        </w:rPr>
      </w:pPr>
      <w:r>
        <w:rPr>
          <w:color w:val="000000" w:themeColor="text1"/>
          <w:szCs w:val="24"/>
          <w14:textFill>
            <w14:solidFill>
              <w14:schemeClr w14:val="tx1"/>
            </w14:solidFill>
          </w14:textFill>
        </w:rPr>
        <w:t>Across sub-Saharan Africa, fertilizer subsidies have long been used as a tool to stimulate agricultural growth (Jayne et al., 2021). Since the early 2000s, many African countries have implemented national subsidy programs to increase fertilizer use and improve crop yields among smallholder farmers (Banful, 2020). While early efforts showed initial success in boosting maize production, long-term evaluations identified major inefficiencies such as political interference, elite capture, and market distortions (Wanzala-Mlobela &amp; Fuentes, 2023). As a result, African countries are increasingly shifting towards targeted subsidy reforms.</w:t>
      </w:r>
    </w:p>
    <w:p w14:paraId="3E60A743">
      <w:pPr>
        <w:pStyle w:val="43"/>
        <w:rPr>
          <w:color w:val="000000" w:themeColor="text1"/>
          <w14:textFill>
            <w14:solidFill>
              <w14:schemeClr w14:val="tx1"/>
            </w14:solidFill>
          </w14:textFill>
        </w:rPr>
      </w:pPr>
    </w:p>
    <w:p w14:paraId="1CFD9999">
      <w:pPr>
        <w:rPr>
          <w:color w:val="000000" w:themeColor="text1"/>
          <w:szCs w:val="24"/>
          <w14:textFill>
            <w14:solidFill>
              <w14:schemeClr w14:val="tx1"/>
            </w14:solidFill>
          </w14:textFill>
        </w:rPr>
      </w:pPr>
      <w:r>
        <w:rPr>
          <w:color w:val="000000" w:themeColor="text1"/>
          <w:szCs w:val="24"/>
          <w14:textFill>
            <w14:solidFill>
              <w14:schemeClr w14:val="tx1"/>
            </w14:solidFill>
          </w14:textFill>
        </w:rPr>
        <w:t>In East Africa, fertilizer subsidy reform has gained momentum in recent years. In Tanzania, the National Input Voucher Scheme (NAIVS) transitioned from traditional subsidies to an e-voucher-based system that linked farmers with private agro-dealers (Kelly et al., 2019). Though the reforms improved transparency, implementation challenges such as delayed voucher processing and inconsistent supply chains have limited their overall impact (Morris et al., 2022). Similarly, Uganda has experimented with public-private partnerships for fertilizer distribution, though market penetration among smallholders remains relatively low (Wanzala-Mlobela &amp; Fuentes, 2023).</w:t>
      </w:r>
    </w:p>
    <w:p w14:paraId="47FA3768">
      <w:pPr>
        <w:pStyle w:val="43"/>
        <w:rPr>
          <w:color w:val="000000" w:themeColor="text1"/>
          <w14:textFill>
            <w14:solidFill>
              <w14:schemeClr w14:val="tx1"/>
            </w14:solidFill>
          </w14:textFill>
        </w:rPr>
      </w:pPr>
    </w:p>
    <w:p w14:paraId="652C6CCB">
      <w:pPr>
        <w:rPr>
          <w:color w:val="000000" w:themeColor="text1"/>
          <w:szCs w:val="24"/>
          <w14:textFill>
            <w14:solidFill>
              <w14:schemeClr w14:val="tx1"/>
            </w14:solidFill>
          </w14:textFill>
        </w:rPr>
      </w:pPr>
      <w:r>
        <w:rPr>
          <w:color w:val="000000" w:themeColor="text1"/>
          <w:szCs w:val="24"/>
          <w14:textFill>
            <w14:solidFill>
              <w14:schemeClr w14:val="tx1"/>
            </w14:solidFill>
          </w14:textFill>
        </w:rPr>
        <w:t>In Rwanda, the government’s Crop Intensification Program introduced subsidy reforms that emphasized performance-based contracts with private sector suppliers and farmer cooperatives (Jayne et al., 2022). These efforts significantly improved access for targeted farmers, yet gaps persist in reaching poorer and more remote communities (Banful, 2020). Additionally, digital registration processes while effective in enhancing accountability have raised concerns about digital exclusion for smallholders with limited literacy or access to mobile technology (Kelly et al., 2019).</w:t>
      </w:r>
    </w:p>
    <w:p w14:paraId="745683AE">
      <w:pPr>
        <w:pStyle w:val="43"/>
        <w:rPr>
          <w:color w:val="000000" w:themeColor="text1"/>
          <w14:textFill>
            <w14:solidFill>
              <w14:schemeClr w14:val="tx1"/>
            </w14:solidFill>
          </w14:textFill>
        </w:rPr>
      </w:pPr>
    </w:p>
    <w:p w14:paraId="3606A58B">
      <w:pPr>
        <w:rPr>
          <w:color w:val="000000" w:themeColor="text1"/>
          <w:szCs w:val="24"/>
          <w14:textFill>
            <w14:solidFill>
              <w14:schemeClr w14:val="tx1"/>
            </w14:solidFill>
          </w14:textFill>
        </w:rPr>
      </w:pPr>
      <w:r>
        <w:rPr>
          <w:color w:val="000000" w:themeColor="text1"/>
          <w:szCs w:val="24"/>
          <w14:textFill>
            <w14:solidFill>
              <w14:schemeClr w14:val="tx1"/>
            </w14:solidFill>
          </w14:textFill>
        </w:rPr>
        <w:t>Cross-border trade dynamics also affect fertilizer markets in East Africa. Regional organizations such as the East African Community (EAC) have sought to harmonize fertilizer quality standards and reduce trade barriers (Morris et al., 2022). However, tariffs, informal trade restrictions, and poor transport infrastructure continue to raise fertilizer costs across borders, limiting the effectiveness of subsidy reforms (Wanzala-Mlobela &amp; Fuentes, 2023). Addressing these systemic issues is critical to improving fertilizer uptake for smallholders in the region.</w:t>
      </w:r>
    </w:p>
    <w:p w14:paraId="38099EBD">
      <w:pPr>
        <w:pStyle w:val="43"/>
        <w:rPr>
          <w:color w:val="000000" w:themeColor="text1"/>
          <w14:textFill>
            <w14:solidFill>
              <w14:schemeClr w14:val="tx1"/>
            </w14:solidFill>
          </w14:textFill>
        </w:rPr>
      </w:pPr>
    </w:p>
    <w:p w14:paraId="641B78F2">
      <w:pPr>
        <w:rPr>
          <w:color w:val="000000" w:themeColor="text1"/>
          <w:szCs w:val="24"/>
          <w14:textFill>
            <w14:solidFill>
              <w14:schemeClr w14:val="tx1"/>
            </w14:solidFill>
          </w14:textFill>
        </w:rPr>
      </w:pPr>
      <w:r>
        <w:rPr>
          <w:color w:val="000000" w:themeColor="text1"/>
          <w:szCs w:val="24"/>
          <w14:textFill>
            <w14:solidFill>
              <w14:schemeClr w14:val="tx1"/>
            </w14:solidFill>
          </w14:textFill>
        </w:rPr>
        <w:t>Moreover, regional security concerns such as conflicts in northern Uganda and northern Kenya have periodically disrupted fertilizer supply chains (Jayne et al., 2021). Climate change-related shocks, including droughts and floods, further exacerbate smallholders’ vulnerability and increase the need for affordable fertilizers to maintain crop productivity (World Bank, 2023). As such, subsidy reform efforts in East Africa must account for broader structural constraints to ensure equitable access across different agro-ecological zones and farmer groups.</w:t>
      </w:r>
    </w:p>
    <w:p w14:paraId="0CFBD647">
      <w:pPr>
        <w:pStyle w:val="43"/>
        <w:rPr>
          <w:color w:val="000000" w:themeColor="text1"/>
          <w14:textFill>
            <w14:solidFill>
              <w14:schemeClr w14:val="tx1"/>
            </w14:solidFill>
          </w14:textFill>
        </w:rPr>
      </w:pPr>
    </w:p>
    <w:p w14:paraId="345806A9">
      <w:pPr>
        <w:rPr>
          <w:color w:val="000000" w:themeColor="text1"/>
          <w:szCs w:val="24"/>
          <w14:textFill>
            <w14:solidFill>
              <w14:schemeClr w14:val="tx1"/>
            </w14:solidFill>
          </w14:textFill>
        </w:rPr>
      </w:pPr>
      <w:r>
        <w:rPr>
          <w:color w:val="000000" w:themeColor="text1"/>
          <w:szCs w:val="24"/>
          <w14:textFill>
            <w14:solidFill>
              <w14:schemeClr w14:val="tx1"/>
            </w14:solidFill>
          </w14:textFill>
        </w:rPr>
        <w:t>In Kenya, fertilizer subsidies have been a core component of agricultural policy since the early 2000s (Ng’ang’a &amp; Mburu, 2021). Initially implemented through the National Cereals and Produce Board (NCPB), government-led distribution provided subsidized fertilizers to farmers across the country. While this model helped expand fertilizer uptake in the early years, it soon became plagued by inefficiencies, corruption, and delivery delays (MOALD, 2024). A 2018 audit revealed that subsidies were often captured by well-connected farmers, while many smallholders, particularly in remote areas, were excluded from timely access (Ng’ang’a &amp; Mburu, 2021).</w:t>
      </w:r>
    </w:p>
    <w:p w14:paraId="300442F5">
      <w:pPr>
        <w:pStyle w:val="43"/>
        <w:rPr>
          <w:color w:val="000000" w:themeColor="text1"/>
          <w14:textFill>
            <w14:solidFill>
              <w14:schemeClr w14:val="tx1"/>
            </w14:solidFill>
          </w14:textFill>
        </w:rPr>
      </w:pPr>
    </w:p>
    <w:p w14:paraId="2E89885F">
      <w:pPr>
        <w:rPr>
          <w:color w:val="000000" w:themeColor="text1"/>
          <w:szCs w:val="24"/>
          <w14:textFill>
            <w14:solidFill>
              <w14:schemeClr w14:val="tx1"/>
            </w14:solidFill>
          </w14:textFill>
        </w:rPr>
      </w:pPr>
      <w:r>
        <w:rPr>
          <w:color w:val="000000" w:themeColor="text1"/>
          <w:szCs w:val="24"/>
          <w14:textFill>
            <w14:solidFill>
              <w14:schemeClr w14:val="tx1"/>
            </w14:solidFill>
          </w14:textFill>
        </w:rPr>
        <w:t>In response, Kenya launched a new wave of reforms after 2022, transitioning to an e-voucher-based system and moving away from SME agro-dealer networks (MOALD, 2024). Under this new approach, farmers must register digitally to receive subsidies through government-controlled distribution points. The reforms aimed to improve targeting, enhance transparency, and ensure subsidies reach the most deserving farmers (KNBS, 2024). However, field reports suggest that the transition has introduced new barriers, especially for farmers in areas with limited digital access or low literacy (Wanzala-Mlobela &amp; Fuentes, 2023).</w:t>
      </w:r>
    </w:p>
    <w:p w14:paraId="6D417668">
      <w:pPr>
        <w:pStyle w:val="43"/>
        <w:rPr>
          <w:color w:val="000000" w:themeColor="text1"/>
          <w14:textFill>
            <w14:solidFill>
              <w14:schemeClr w14:val="tx1"/>
            </w14:solidFill>
          </w14:textFill>
        </w:rPr>
      </w:pPr>
    </w:p>
    <w:p w14:paraId="03686214">
      <w:pPr>
        <w:rPr>
          <w:color w:val="000000" w:themeColor="text1"/>
          <w:szCs w:val="24"/>
          <w14:textFill>
            <w14:solidFill>
              <w14:schemeClr w14:val="tx1"/>
            </w14:solidFill>
          </w14:textFill>
        </w:rPr>
      </w:pPr>
      <w:r>
        <w:rPr>
          <w:color w:val="000000" w:themeColor="text1"/>
          <w:szCs w:val="24"/>
          <w14:textFill>
            <w14:solidFill>
              <w14:schemeClr w14:val="tx1"/>
            </w14:solidFill>
          </w14:textFill>
        </w:rPr>
        <w:t>Another challenge has been the exclusion of many local agro-dealers, whose removal from the distribution chain has disrupted well-established private supply networks (Ng’ang’a &amp; Mburu, 2021). Many of these SMEs provided not only fertilizers but also credit, extension services, and trusted relationships with local farmers. Their exclusion has led to reduced availability of fertilizers in some areas and a decline in smallholder fertilizer usage. Data from KNBS (2024) indicate that fertilizer use among smallholders dropped by over 170,000 tonnes after the reforms were introduced, a trend that may threaten food security if not addressed.</w:t>
      </w:r>
    </w:p>
    <w:p w14:paraId="56875B20">
      <w:pPr>
        <w:pStyle w:val="43"/>
        <w:rPr>
          <w:color w:val="000000" w:themeColor="text1"/>
          <w14:textFill>
            <w14:solidFill>
              <w14:schemeClr w14:val="tx1"/>
            </w14:solidFill>
          </w14:textFill>
        </w:rPr>
      </w:pPr>
    </w:p>
    <w:p w14:paraId="21BFCDDE">
      <w:pPr>
        <w:rPr>
          <w:color w:val="000000" w:themeColor="text1"/>
          <w:szCs w:val="24"/>
          <w14:textFill>
            <w14:solidFill>
              <w14:schemeClr w14:val="tx1"/>
            </w14:solidFill>
          </w14:textFill>
        </w:rPr>
      </w:pPr>
      <w:r>
        <w:rPr>
          <w:color w:val="000000" w:themeColor="text1"/>
          <w:szCs w:val="24"/>
          <w14:textFill>
            <w14:solidFill>
              <w14:schemeClr w14:val="tx1"/>
            </w14:solidFill>
          </w14:textFill>
        </w:rPr>
        <w:t>Pricing volatility also remains a significant issue in Kenya’s fertilizer market (World Bank, 2023). The global rise in fertilizer prices following the Russia-Ukraine conflict has placed additional financial pressure on smallholder farmers. While government subsidies are intended to shield farmers from these fluctuations, the current system has not fully mitigated the impact of high prices, especially as delays in subsidy disbursement leave many farmers purchasing fertilizers at full market rates (MOALD, 2024).</w:t>
      </w:r>
    </w:p>
    <w:p w14:paraId="56497F0F">
      <w:pPr>
        <w:pStyle w:val="43"/>
        <w:rPr>
          <w:color w:val="000000" w:themeColor="text1"/>
          <w14:textFill>
            <w14:solidFill>
              <w14:schemeClr w14:val="tx1"/>
            </w14:solidFill>
          </w14:textFill>
        </w:rPr>
      </w:pPr>
    </w:p>
    <w:p w14:paraId="5C9C523E">
      <w:pPr>
        <w:rPr>
          <w:color w:val="000000" w:themeColor="text1"/>
          <w:szCs w:val="24"/>
          <w14:textFill>
            <w14:solidFill>
              <w14:schemeClr w14:val="tx1"/>
            </w14:solidFill>
          </w14:textFill>
        </w:rPr>
      </w:pPr>
      <w:r>
        <w:rPr>
          <w:color w:val="000000" w:themeColor="text1"/>
          <w:szCs w:val="24"/>
          <w14:textFill>
            <w14:solidFill>
              <w14:schemeClr w14:val="tx1"/>
            </w14:solidFill>
          </w14:textFill>
        </w:rPr>
        <w:t>Recent assessments have provided deeper insights into the implementation of Kenya’s fertilizer subsidy reforms. According to the 2023 MOALD update, over 4.2 million farmers were registered through the e-subsidy platform, with 3 million fertilizer bags redeemed across 34 counties by mid-2023 (MOALD, 2023). However, only electronically registered farmers were able to receive vouchers, raising concerns about digital exclusion and marginalization of unregistered smallholders (MOALD, 2023).</w:t>
      </w:r>
    </w:p>
    <w:p w14:paraId="740BEEA9">
      <w:pPr>
        <w:pStyle w:val="43"/>
        <w:rPr>
          <w:color w:val="000000" w:themeColor="text1"/>
          <w14:textFill>
            <w14:solidFill>
              <w14:schemeClr w14:val="tx1"/>
            </w14:solidFill>
          </w14:textFill>
        </w:rPr>
      </w:pPr>
    </w:p>
    <w:p w14:paraId="08CFB6F2">
      <w:pPr>
        <w:rPr>
          <w:color w:val="000000" w:themeColor="text1"/>
          <w:szCs w:val="24"/>
          <w14:textFill>
            <w14:solidFill>
              <w14:schemeClr w14:val="tx1"/>
            </w14:solidFill>
          </w14:textFill>
        </w:rPr>
      </w:pPr>
      <w:r>
        <w:rPr>
          <w:color w:val="000000" w:themeColor="text1"/>
          <w:szCs w:val="24"/>
          <w14:textFill>
            <w14:solidFill>
              <w14:schemeClr w14:val="tx1"/>
            </w14:solidFill>
          </w14:textFill>
        </w:rPr>
        <w:t>In addition, the 2023 rapid assessment by Tegemeo Institute highlighted that while the government’s NFSP has cushioned farmers from volatile fertilizer prices, the model has also disrupted private-sector markets (Opiyo et al., 2023). Fertilizer volumes handled by private agro-dealers were reduced by between 77% and 88%, with many SMEs facing significant financial losses (Opiyo et al., 2023). Moreover, late deliveries and poor last-mile distribution led to low redemption rates only 15% of issued vouchers were redeemed by the end of the 2023 long rains season (Opiyo et al., 2023).</w:t>
      </w:r>
    </w:p>
    <w:p w14:paraId="23AA049C">
      <w:pPr>
        <w:pStyle w:val="43"/>
        <w:rPr>
          <w:color w:val="000000" w:themeColor="text1"/>
          <w14:textFill>
            <w14:solidFill>
              <w14:schemeClr w14:val="tx1"/>
            </w14:solidFill>
          </w14:textFill>
        </w:rPr>
      </w:pPr>
    </w:p>
    <w:p w14:paraId="4C7F8BF8">
      <w:pPr>
        <w:rPr>
          <w:color w:val="000000" w:themeColor="text1"/>
          <w:szCs w:val="24"/>
          <w14:textFill>
            <w14:solidFill>
              <w14:schemeClr w14:val="tx1"/>
            </w14:solidFill>
          </w14:textFill>
        </w:rPr>
      </w:pPr>
      <w:r>
        <w:rPr>
          <w:color w:val="000000" w:themeColor="text1"/>
          <w:szCs w:val="24"/>
          <w14:textFill>
            <w14:solidFill>
              <w14:schemeClr w14:val="tx1"/>
            </w14:solidFill>
          </w14:textFill>
        </w:rPr>
        <w:t>The Fertilizer Association of Kenya (FAK) and AfricaFertilizer.org (2023) have further documented that the 2022/23 reforms led to a geographic concentration of subsidies in major maize-growing counties, with up to 95% of subsidized fertilizers allocated to maize crops (FAK, 2023). This skewed distribution risks excluding farmers cultivating other crops such as potatoes, tea, coffee, and horticultural products. Additionally, AfricaFertilizer.org reported that despite subsidies, retail fertilizer prices remain sticky due to limited private sector participation and supply chain inefficiencies (AfricaFertilizer.org, 2023).</w:t>
      </w:r>
    </w:p>
    <w:p w14:paraId="542984E1">
      <w:pPr>
        <w:pStyle w:val="43"/>
        <w:rPr>
          <w:color w:val="000000" w:themeColor="text1"/>
          <w14:textFill>
            <w14:solidFill>
              <w14:schemeClr w14:val="tx1"/>
            </w14:solidFill>
          </w14:textFill>
        </w:rPr>
      </w:pPr>
    </w:p>
    <w:p w14:paraId="57DB9922">
      <w:pPr>
        <w:rPr>
          <w:rStyle w:val="45"/>
          <w:color w:val="000000" w:themeColor="text1"/>
          <w14:textFill>
            <w14:solidFill>
              <w14:schemeClr w14:val="tx1"/>
            </w14:solidFill>
          </w14:textFill>
        </w:rPr>
      </w:pPr>
      <w:r>
        <w:rPr>
          <w:rStyle w:val="16"/>
          <w:i w:val="0"/>
          <w:iCs w:val="0"/>
          <w:color w:val="000000" w:themeColor="text1"/>
          <w14:textFill>
            <w14:solidFill>
              <w14:schemeClr w14:val="tx1"/>
            </w14:solidFill>
          </w14:textFill>
        </w:rPr>
        <w:t>IFDC (2023) notes that globally, effective “smart subsidies” require the inclusion of both public and private actors to ensure sustainability and efficiency. Kenya’s current NFSP, though improved in transparency, still faces challenges in inclusivity and market distortion underscoring the need for policy adjustments that leverage private sector networks while maintaining affordability for farmers (IFDC, 2023).</w:t>
      </w:r>
    </w:p>
    <w:p w14:paraId="1E8E8EB0">
      <w:pPr>
        <w:pStyle w:val="43"/>
        <w:rPr>
          <w:color w:val="000000" w:themeColor="text1"/>
          <w14:textFill>
            <w14:solidFill>
              <w14:schemeClr w14:val="tx1"/>
            </w14:solidFill>
          </w14:textFill>
        </w:rPr>
      </w:pPr>
    </w:p>
    <w:p w14:paraId="5E04A78A">
      <w:pPr>
        <w:rPr>
          <w:rStyle w:val="45"/>
          <w:color w:val="000000" w:themeColor="text1"/>
          <w14:textFill>
            <w14:solidFill>
              <w14:schemeClr w14:val="tx1"/>
            </w14:solidFill>
          </w14:textFill>
        </w:rPr>
      </w:pPr>
      <w:r>
        <w:rPr>
          <w:rStyle w:val="16"/>
          <w:i w:val="0"/>
          <w:iCs w:val="0"/>
          <w:color w:val="000000" w:themeColor="text1"/>
          <w14:textFill>
            <w14:solidFill>
              <w14:schemeClr w14:val="tx1"/>
            </w14:solidFill>
          </w14:textFill>
        </w:rPr>
        <w:t>Within Kenya, the effects of fertilizer subsidy reforms are likely to vary across different agricultural regions due to differences in agro-ecological conditions, farming systems, infrastructure, and farmer socio-economic characteristics. Regions dominated by smallholder farming systems provide particularly valuable contexts for examining how subsidy reforms influence fertilizer uptake and utilization in practice. Such regions allow researchers to observe how national agricultural policies interact with local production systems, distribution networks, and farmer decision-making processes (Jayne et al., 2021). Understanding these regional variations is therefore essential for evaluating the real effectiveness of fertilizer subsidy reforms.</w:t>
      </w:r>
    </w:p>
    <w:p w14:paraId="739C3C69">
      <w:pPr>
        <w:pStyle w:val="43"/>
        <w:rPr>
          <w:color w:val="000000" w:themeColor="text1"/>
          <w14:textFill>
            <w14:solidFill>
              <w14:schemeClr w14:val="tx1"/>
            </w14:solidFill>
          </w14:textFill>
        </w:rPr>
      </w:pPr>
    </w:p>
    <w:p w14:paraId="4BC67BD5">
      <w:pPr>
        <w:rPr>
          <w:rStyle w:val="45"/>
          <w:color w:val="000000" w:themeColor="text1"/>
          <w14:textFill>
            <w14:solidFill>
              <w14:schemeClr w14:val="tx1"/>
            </w14:solidFill>
          </w14:textFill>
        </w:rPr>
      </w:pPr>
      <w:r>
        <w:rPr>
          <w:rStyle w:val="16"/>
          <w:i w:val="0"/>
          <w:iCs w:val="0"/>
          <w:color w:val="000000" w:themeColor="text1"/>
          <w14:textFill>
            <w14:solidFill>
              <w14:schemeClr w14:val="tx1"/>
            </w14:solidFill>
          </w14:textFill>
        </w:rPr>
        <w:t>Nakuru, Bungoma, and Meru counties provide an appropriate context for examining these dynamics because they represent some of Kenya’s most agriculturally productive regions with a high concentration of smallholder farmers. Nakuru County, located in the Rift Valley region, is one of the country’s major grain-producing areas and contributes significantly to national maize production, making fertilizer availability a critical factor for agricultural productivity (KNBS, 2024). Bungoma County in Western Kenya is characterized by intensive smallholder maize farming and has historically relied heavily on government fertilizer subsidy programs to support crop production (MOALD, 2023). Meru County, on the other hand, represents a diversified agricultural system where farmers cultivate both staple crops and high-value horticultural products such as tea, coffee, and vegetables, which also depend heavily on fertilizer inputs for optimal yields (Ng’ang’a &amp; Mburu, 2021).</w:t>
      </w:r>
    </w:p>
    <w:p w14:paraId="1889859B">
      <w:pPr>
        <w:pStyle w:val="43"/>
        <w:rPr>
          <w:color w:val="000000" w:themeColor="text1"/>
          <w14:textFill>
            <w14:solidFill>
              <w14:schemeClr w14:val="tx1"/>
            </w14:solidFill>
          </w14:textFill>
        </w:rPr>
      </w:pPr>
    </w:p>
    <w:p w14:paraId="6ED73C02">
      <w:pPr>
        <w:rPr>
          <w:rStyle w:val="45"/>
          <w:color w:val="000000" w:themeColor="text1"/>
          <w14:textFill>
            <w14:solidFill>
              <w14:schemeClr w14:val="tx1"/>
            </w14:solidFill>
          </w14:textFill>
        </w:rPr>
      </w:pPr>
      <w:r>
        <w:rPr>
          <w:rStyle w:val="16"/>
          <w:i w:val="0"/>
          <w:iCs w:val="0"/>
          <w:color w:val="000000" w:themeColor="text1"/>
          <w14:textFill>
            <w14:solidFill>
              <w14:schemeClr w14:val="tx1"/>
            </w14:solidFill>
          </w14:textFill>
        </w:rPr>
        <w:t>Together, these counties capture diverse agro-ecological zones, farming practices, and agricultural market structures within Kenya’s smallholder farming sector. They therefore provide a useful microcosm for examining how fertilizer subsidy reform strategies influence farmers’ uptake of fertilizers across different agricultural contexts. Studying these counties allows for a more comprehensive assessment of the opportunities and challenges associated with Kenya’s fertilizer subsidy reforms, while also generating policy insights that can inform improvements in fertilizer distribution systems and agricultural input support programs at the national level (World Bank, 2023).</w:t>
      </w:r>
    </w:p>
    <w:p w14:paraId="52261B7A">
      <w:pPr>
        <w:pStyle w:val="43"/>
        <w:rPr>
          <w:color w:val="000000" w:themeColor="text1"/>
          <w14:textFill>
            <w14:solidFill>
              <w14:schemeClr w14:val="tx1"/>
            </w14:solidFill>
          </w14:textFill>
        </w:rPr>
      </w:pPr>
    </w:p>
    <w:p w14:paraId="1AF8EFD0">
      <w:pPr>
        <w:rPr>
          <w:color w:val="000000" w:themeColor="text1"/>
          <w14:textFill>
            <w14:solidFill>
              <w14:schemeClr w14:val="tx1"/>
            </w14:solidFill>
          </w14:textFill>
        </w:rPr>
      </w:pPr>
      <w:r>
        <w:rPr>
          <w:rStyle w:val="16"/>
          <w:i w:val="0"/>
          <w:iCs w:val="0"/>
          <w:color w:val="000000" w:themeColor="text1"/>
          <w14:textFill>
            <w14:solidFill>
              <w14:schemeClr w14:val="tx1"/>
            </w14:solidFill>
          </w14:textFill>
        </w:rPr>
        <w:t>Despite the growing policy interest in fertilizer subsidy reforms in Kenya, there remains limited empirical evidence on their actual impact on smallholder farmers’ uptake of fertilizers. While existing studies have examined the design and implementation of fertilizer subsidy programs, few have systematically analyzed how specific reform components such as pricing adjustments, distribution restructuring, and targeting mechanisms influence fertilizer uptake and utilization among farmers in different agricultural regions (Jayne et al., 2021; Ng’ang’a &amp; Mburu, 2021). In particular, limited research has focused on how these reforms affect smallholder farmers across diverse agro-ecological contexts such as those represented by Nakuru, Bungoma, and Meru counties. This study therefore seeks to address this gap by systematically analyzing the effects of Kenya’s fertilizer subsidy reform strategies on smallholder farmers’ uptake of fertilizers.</w:t>
      </w:r>
    </w:p>
    <w:p w14:paraId="5B14C5E5">
      <w:pPr>
        <w:pStyle w:val="43"/>
        <w:rPr>
          <w:color w:val="000000" w:themeColor="text1"/>
          <w14:textFill>
            <w14:solidFill>
              <w14:schemeClr w14:val="tx1"/>
            </w14:solidFill>
          </w14:textFill>
        </w:rPr>
      </w:pPr>
    </w:p>
    <w:p w14:paraId="46F8B908">
      <w:pPr>
        <w:pStyle w:val="3"/>
      </w:pPr>
      <w:bookmarkStart w:id="29" w:name="_Toc225962294"/>
      <w:r>
        <w:t>1.2 Statement of the Problem</w:t>
      </w:r>
      <w:bookmarkEnd w:id="29"/>
    </w:p>
    <w:p w14:paraId="4EDF55C0">
      <w:pPr>
        <w:rPr>
          <w:color w:val="000000" w:themeColor="text1"/>
          <w:szCs w:val="24"/>
          <w14:textFill>
            <w14:solidFill>
              <w14:schemeClr w14:val="tx1"/>
            </w14:solidFill>
          </w14:textFill>
        </w:rPr>
      </w:pPr>
      <w:r>
        <w:rPr>
          <w:color w:val="000000" w:themeColor="text1"/>
          <w:szCs w:val="24"/>
          <w14:textFill>
            <w14:solidFill>
              <w14:schemeClr w14:val="tx1"/>
            </w14:solidFill>
          </w14:textFill>
        </w:rPr>
        <w:t>Fertilizer subsidies have long been a key agricultural policy tool in Kenya, aimed at improving smallholder farmers’ uptake of fertilizers and raising agricultural productivity (Ng’ang’a &amp; Mburu, 2021). However, persistent inefficiencies, poor targeting, and market distortions under earlier subsidy models prompted a wave of reforms after 2022. These reforms introduced an e-voucher system, centralized government distribution, and a digital farmer registration process (MOALD, 2024). While these changes aimed to enhance transparency and efficiency, emerging evidence suggests that they may also be creating new barriers to access particularly for marginalized and unregistered smallholder farmers in remote areas (Wanzala-Mlobela &amp; Fuentes, 2023; MOALD, 2023).</w:t>
      </w:r>
    </w:p>
    <w:p w14:paraId="68E98B87">
      <w:pPr>
        <w:pStyle w:val="43"/>
        <w:rPr>
          <w:color w:val="000000" w:themeColor="text1"/>
          <w14:textFill>
            <w14:solidFill>
              <w14:schemeClr w14:val="tx1"/>
            </w14:solidFill>
          </w14:textFill>
        </w:rPr>
      </w:pPr>
    </w:p>
    <w:p w14:paraId="629A9FA5">
      <w:pPr>
        <w:rPr>
          <w:color w:val="000000" w:themeColor="text1"/>
          <w:szCs w:val="24"/>
          <w14:textFill>
            <w14:solidFill>
              <w14:schemeClr w14:val="tx1"/>
            </w14:solidFill>
          </w14:textFill>
        </w:rPr>
      </w:pPr>
      <w:r>
        <w:rPr>
          <w:color w:val="000000" w:themeColor="text1"/>
          <w:szCs w:val="24"/>
          <w14:textFill>
            <w14:solidFill>
              <w14:schemeClr w14:val="tx1"/>
            </w14:solidFill>
          </w14:textFill>
        </w:rPr>
        <w:t>Recent data from KNBS (2024) show that fertilizer usage (consumption) among smallholders declined since the 2022 reforms were implemented. Similarly, Tegemeo’s 2023 rapid assessment found that only 15% of issued e-vouchers were redeemed during the 2023 long rains season, highlighting significant delays in subsidy disbursement and poor last-mile delivery (Opiyo et al., 2023). The exclusion of SME agro-dealers, who previously ensured wide fertilizer availability through local networks, has further disrupted supply chains and limited farmer access contributing to market inefficiencies and reduced utilization (FAK, 2023; AfricaFertilizer.org, 2023).</w:t>
      </w:r>
    </w:p>
    <w:p w14:paraId="60EB6278">
      <w:pPr>
        <w:pStyle w:val="43"/>
        <w:rPr>
          <w:color w:val="000000" w:themeColor="text1"/>
          <w14:textFill>
            <w14:solidFill>
              <w14:schemeClr w14:val="tx1"/>
            </w14:solidFill>
          </w14:textFill>
        </w:rPr>
      </w:pPr>
    </w:p>
    <w:p w14:paraId="412D7427">
      <w:pPr>
        <w:rPr>
          <w:color w:val="000000" w:themeColor="text1"/>
          <w:szCs w:val="24"/>
          <w14:textFill>
            <w14:solidFill>
              <w14:schemeClr w14:val="tx1"/>
            </w14:solidFill>
          </w14:textFill>
        </w:rPr>
      </w:pPr>
      <w:r>
        <w:rPr>
          <w:color w:val="000000" w:themeColor="text1"/>
          <w:szCs w:val="24"/>
          <w14:textFill>
            <w14:solidFill>
              <w14:schemeClr w14:val="tx1"/>
            </w14:solidFill>
          </w14:textFill>
        </w:rPr>
        <w:t>A key knowledge gap exists regarding the disaggregated effects of specific reform components such as pricing changes, distribution model shifts, and revised targeting on smallholder farmers’ fertilizer uptake and utilization. While previous studies have broadly examined the impacts of fertilizer subsidies on agricultural productivity (Jayne et al., 2022), there is limited empirical evidence on how the current reform strategies are affecting farmer access and behavior in the post-2022 period. Without such evidence, policymakers and practitioners lack the insights needed to refine the subsidy framework and address emerging challenges.</w:t>
      </w:r>
    </w:p>
    <w:p w14:paraId="07CDDEDA">
      <w:pPr>
        <w:pStyle w:val="43"/>
        <w:rPr>
          <w:color w:val="000000" w:themeColor="text1"/>
          <w14:textFill>
            <w14:solidFill>
              <w14:schemeClr w14:val="tx1"/>
            </w14:solidFill>
          </w14:textFill>
        </w:rPr>
      </w:pPr>
    </w:p>
    <w:p w14:paraId="7FEB0D22">
      <w:pPr>
        <w:rPr>
          <w:color w:val="000000" w:themeColor="text1"/>
          <w:szCs w:val="24"/>
          <w14:textFill>
            <w14:solidFill>
              <w14:schemeClr w14:val="tx1"/>
            </w14:solidFill>
          </w14:textFill>
        </w:rPr>
      </w:pPr>
      <w:r>
        <w:rPr>
          <w:color w:val="000000" w:themeColor="text1"/>
          <w:szCs w:val="24"/>
          <w14:textFill>
            <w14:solidFill>
              <w14:schemeClr w14:val="tx1"/>
            </w14:solidFill>
          </w14:textFill>
        </w:rPr>
        <w:t xml:space="preserve">At the </w:t>
      </w:r>
      <w:r>
        <w:rPr>
          <w:rStyle w:val="20"/>
          <w:b w:val="0"/>
          <w:bCs w:val="0"/>
          <w:color w:val="000000" w:themeColor="text1"/>
          <w:szCs w:val="24"/>
          <w14:textFill>
            <w14:solidFill>
              <w14:schemeClr w14:val="tx1"/>
            </w14:solidFill>
          </w14:textFill>
        </w:rPr>
        <w:t>policy level</w:t>
      </w:r>
      <w:r>
        <w:rPr>
          <w:color w:val="000000" w:themeColor="text1"/>
          <w:szCs w:val="24"/>
          <w14:textFill>
            <w14:solidFill>
              <w14:schemeClr w14:val="tx1"/>
            </w14:solidFill>
          </w14:textFill>
        </w:rPr>
        <w:t>, there is a gap in designing reforms that are both efficient and inclusive. The current system has inadvertently marginalized certain groups particularly unregistered smallholders, digitally excluded farmers, and those growing non-maize crops (Opiyo et al., 2023; MOALD, 2023). Addressing this gap requires updated, evidence-based recommendations to ensure that future reforms promote equitable access across all farmer segments.</w:t>
      </w:r>
    </w:p>
    <w:p w14:paraId="7763DD8A">
      <w:pPr>
        <w:pStyle w:val="43"/>
      </w:pPr>
    </w:p>
    <w:p w14:paraId="4D36F1A4">
      <w:pPr>
        <w:rPr>
          <w:color w:val="000000" w:themeColor="text1"/>
          <w:szCs w:val="24"/>
          <w14:textFill>
            <w14:solidFill>
              <w14:schemeClr w14:val="tx1"/>
            </w14:solidFill>
          </w14:textFill>
        </w:rPr>
      </w:pPr>
      <w:r>
        <w:rPr>
          <w:color w:val="000000" w:themeColor="text1"/>
          <w:szCs w:val="24"/>
          <w14:textFill>
            <w14:solidFill>
              <w14:schemeClr w14:val="tx1"/>
            </w14:solidFill>
          </w14:textFill>
        </w:rPr>
        <w:t xml:space="preserve">From a </w:t>
      </w:r>
      <w:r>
        <w:rPr>
          <w:rStyle w:val="20"/>
          <w:b w:val="0"/>
          <w:bCs w:val="0"/>
          <w:color w:val="000000" w:themeColor="text1"/>
          <w:szCs w:val="24"/>
          <w14:textFill>
            <w14:solidFill>
              <w14:schemeClr w14:val="tx1"/>
            </w14:solidFill>
          </w14:textFill>
        </w:rPr>
        <w:t>managerial perspective</w:t>
      </w:r>
      <w:r>
        <w:rPr>
          <w:color w:val="000000" w:themeColor="text1"/>
          <w:szCs w:val="24"/>
          <w14:textFill>
            <w14:solidFill>
              <w14:schemeClr w14:val="tx1"/>
            </w14:solidFill>
          </w14:textFill>
        </w:rPr>
        <w:t>, there is also a lack of actionable guidance for implementing agencies and program managers on how to streamline distribution, improve farmer targeting, and engage local agro-dealers without compromising subsidy goals (Ng’ang’a &amp; Mburu, 2021). IFDC (2023) emphasizes that sustainable smart subsidies require strong collaboration between public and private sectors an approach currently underutilized in Kenya’s evolving NFSP. Without clear operational insights, managers at the Ministry of Agriculture and county-level governments may struggle to adapt implementation practices to the dynamic needs of smallholder farmers.</w:t>
      </w:r>
    </w:p>
    <w:p w14:paraId="4FE0F9D1">
      <w:pPr>
        <w:pStyle w:val="43"/>
      </w:pPr>
    </w:p>
    <w:p w14:paraId="04DCAD95">
      <w:pPr>
        <w:rPr>
          <w:color w:val="000000" w:themeColor="text1"/>
          <w:szCs w:val="24"/>
          <w14:textFill>
            <w14:solidFill>
              <w14:schemeClr w14:val="tx1"/>
            </w14:solidFill>
          </w14:textFill>
        </w:rPr>
      </w:pPr>
      <w:r>
        <w:rPr>
          <w:color w:val="000000" w:themeColor="text1"/>
          <w:szCs w:val="24"/>
          <w14:textFill>
            <w14:solidFill>
              <w14:schemeClr w14:val="tx1"/>
            </w14:solidFill>
          </w14:textFill>
        </w:rPr>
        <w:t>This study therefore seeks to address these gaps by systematically analyzing the effects of fertilizer subsidy reform strategies pricing reforms, distribution changes, and revised targeting on smallholder farmers’ uptake of fertilizers in Kenya. The findings will contribute valuable insights to inform policy adjustments, improve managerial practices, and advance academic understanding of effective fertilizer subsidy reform in the Kenyan context.</w:t>
      </w:r>
    </w:p>
    <w:p w14:paraId="20FBDAC3">
      <w:pPr>
        <w:rPr>
          <w:color w:val="000000" w:themeColor="text1"/>
          <w14:textFill>
            <w14:solidFill>
              <w14:schemeClr w14:val="tx1"/>
            </w14:solidFill>
          </w14:textFill>
        </w:rPr>
      </w:pPr>
    </w:p>
    <w:p w14:paraId="79043611">
      <w:pPr>
        <w:pStyle w:val="3"/>
      </w:pPr>
      <w:bookmarkStart w:id="30" w:name="_Toc225962295"/>
      <w:r>
        <w:t>1.3 Purpose of the Study</w:t>
      </w:r>
      <w:bookmarkEnd w:id="30"/>
    </w:p>
    <w:p w14:paraId="319B121A">
      <w:pPr>
        <w:rPr>
          <w:color w:val="000000" w:themeColor="text1"/>
          <w:szCs w:val="24"/>
          <w14:textFill>
            <w14:solidFill>
              <w14:schemeClr w14:val="tx1"/>
            </w14:solidFill>
          </w14:textFill>
        </w:rPr>
      </w:pPr>
      <w:r>
        <w:rPr>
          <w:color w:val="000000" w:themeColor="text1"/>
          <w:szCs w:val="24"/>
          <w14:textFill>
            <w14:solidFill>
              <w14:schemeClr w14:val="tx1"/>
            </w14:solidFill>
          </w14:textFill>
        </w:rPr>
        <w:t>The purpose of this study is to analyze how various fertilizer subsidy reform strategies including changes in pricing, distribution models, and farmer targeting affect smallholder farmers’ uptake of fertilizers in Kenya, using AfricaFertilizer as a case study.</w:t>
      </w:r>
    </w:p>
    <w:p w14:paraId="251246E3">
      <w:pPr>
        <w:rPr>
          <w:color w:val="000000" w:themeColor="text1"/>
          <w14:textFill>
            <w14:solidFill>
              <w14:schemeClr w14:val="tx1"/>
            </w14:solidFill>
          </w14:textFill>
        </w:rPr>
      </w:pPr>
    </w:p>
    <w:p w14:paraId="49364B54">
      <w:pPr>
        <w:pStyle w:val="3"/>
      </w:pPr>
      <w:bookmarkStart w:id="31" w:name="_Toc225962296"/>
      <w:r>
        <w:t>1.4 Specific Objectives</w:t>
      </w:r>
      <w:bookmarkEnd w:id="31"/>
    </w:p>
    <w:p w14:paraId="42F4BFB0">
      <w:pPr>
        <w:ind w:left="630" w:hanging="630"/>
        <w:rPr>
          <w:color w:val="000000" w:themeColor="text1"/>
          <w14:textFill>
            <w14:solidFill>
              <w14:schemeClr w14:val="tx1"/>
            </w14:solidFill>
          </w14:textFill>
        </w:rPr>
      </w:pPr>
      <w:r>
        <w:rPr>
          <w:b/>
          <w:color w:val="000000" w:themeColor="text1"/>
          <w14:textFill>
            <w14:solidFill>
              <w14:schemeClr w14:val="tx1"/>
            </w14:solidFill>
          </w14:textFill>
        </w:rPr>
        <w:t>1.4.1</w:t>
      </w:r>
      <w:r>
        <w:rPr>
          <w:color w:val="000000" w:themeColor="text1"/>
          <w14:textFill>
            <w14:solidFill>
              <w14:schemeClr w14:val="tx1"/>
            </w14:solidFill>
          </w14:textFill>
        </w:rPr>
        <w:t xml:space="preserve"> To evaluate pricing reforms on smallholder farmers’ uptake of fertilizers.</w:t>
      </w:r>
    </w:p>
    <w:p w14:paraId="426AAB8A">
      <w:pPr>
        <w:ind w:left="630" w:hanging="630"/>
        <w:rPr>
          <w:color w:val="000000" w:themeColor="text1"/>
          <w14:textFill>
            <w14:solidFill>
              <w14:schemeClr w14:val="tx1"/>
            </w14:solidFill>
          </w14:textFill>
        </w:rPr>
      </w:pPr>
      <w:r>
        <w:rPr>
          <w:b/>
          <w:color w:val="000000" w:themeColor="text1"/>
          <w14:textFill>
            <w14:solidFill>
              <w14:schemeClr w14:val="tx1"/>
            </w14:solidFill>
          </w14:textFill>
        </w:rPr>
        <w:t>1.4.2</w:t>
      </w:r>
      <w:r>
        <w:rPr>
          <w:color w:val="000000" w:themeColor="text1"/>
          <w14:textFill>
            <w14:solidFill>
              <w14:schemeClr w14:val="tx1"/>
            </w14:solidFill>
          </w14:textFill>
        </w:rPr>
        <w:t xml:space="preserve"> To assess distribution model changes on smallholder farmers’ uptake of fertilizers.</w:t>
      </w:r>
    </w:p>
    <w:p w14:paraId="1143967E">
      <w:pPr>
        <w:ind w:left="630" w:hanging="630"/>
        <w:rPr>
          <w:color w:val="000000" w:themeColor="text1"/>
          <w14:textFill>
            <w14:solidFill>
              <w14:schemeClr w14:val="tx1"/>
            </w14:solidFill>
          </w14:textFill>
        </w:rPr>
      </w:pPr>
      <w:r>
        <w:rPr>
          <w:b/>
          <w:color w:val="000000" w:themeColor="text1"/>
          <w14:textFill>
            <w14:solidFill>
              <w14:schemeClr w14:val="tx1"/>
            </w14:solidFill>
          </w14:textFill>
        </w:rPr>
        <w:t>1.4.3</w:t>
      </w:r>
      <w:r>
        <w:rPr>
          <w:color w:val="000000" w:themeColor="text1"/>
          <w14:textFill>
            <w14:solidFill>
              <w14:schemeClr w14:val="tx1"/>
            </w14:solidFill>
          </w14:textFill>
        </w:rPr>
        <w:t xml:space="preserve"> To assess revised targeting criteria on smallholder farmers’ uptake of fertilizers.</w:t>
      </w:r>
    </w:p>
    <w:p w14:paraId="68F10C94">
      <w:pPr>
        <w:pStyle w:val="3"/>
      </w:pPr>
    </w:p>
    <w:p w14:paraId="027C7B70">
      <w:pPr>
        <w:pStyle w:val="3"/>
      </w:pPr>
      <w:bookmarkStart w:id="32" w:name="_Toc225962297"/>
      <w:r>
        <w:t>1.5 Hypotheses</w:t>
      </w:r>
      <w:bookmarkEnd w:id="32"/>
    </w:p>
    <w:p w14:paraId="7C9819DA">
      <w:pPr>
        <w:ind w:left="630" w:hanging="630"/>
        <w:rPr>
          <w:bCs/>
          <w:color w:val="000000" w:themeColor="text1"/>
          <w14:textFill>
            <w14:solidFill>
              <w14:schemeClr w14:val="tx1"/>
            </w14:solidFill>
          </w14:textFill>
        </w:rPr>
      </w:pPr>
      <w:r>
        <w:rPr>
          <w:bCs/>
          <w:color w:val="000000" w:themeColor="text1"/>
          <w14:textFill>
            <w14:solidFill>
              <w14:schemeClr w14:val="tx1"/>
            </w14:solidFill>
          </w14:textFill>
        </w:rPr>
        <w:t>The study will be guided by the following hypotheses.</w:t>
      </w:r>
    </w:p>
    <w:p w14:paraId="7224B9CE">
      <w:pPr>
        <w:ind w:left="630" w:hanging="630"/>
        <w:rPr>
          <w:color w:val="000000" w:themeColor="text1"/>
          <w14:textFill>
            <w14:solidFill>
              <w14:schemeClr w14:val="tx1"/>
            </w14:solidFill>
          </w14:textFill>
        </w:rPr>
      </w:pPr>
      <w:r>
        <w:rPr>
          <w:b/>
          <w:color w:val="000000" w:themeColor="text1"/>
          <w14:textFill>
            <w14:solidFill>
              <w14:schemeClr w14:val="tx1"/>
            </w14:solidFill>
          </w14:textFill>
        </w:rPr>
        <w:t>1.5.1</w:t>
      </w:r>
      <w:r>
        <w:rPr>
          <w:color w:val="000000" w:themeColor="text1"/>
          <w14:textFill>
            <w14:solidFill>
              <w14:schemeClr w14:val="tx1"/>
            </w14:solidFill>
          </w14:textFill>
        </w:rPr>
        <w:t xml:space="preserve"> Pricing reforms have no significant effect on smallholder farmers’ uptake of fertilizers in Kenya.</w:t>
      </w:r>
    </w:p>
    <w:p w14:paraId="05F8FD1D">
      <w:pPr>
        <w:ind w:left="630" w:hanging="630"/>
        <w:rPr>
          <w:color w:val="000000" w:themeColor="text1"/>
          <w14:textFill>
            <w14:solidFill>
              <w14:schemeClr w14:val="tx1"/>
            </w14:solidFill>
          </w14:textFill>
        </w:rPr>
      </w:pPr>
      <w:r>
        <w:rPr>
          <w:b/>
          <w:color w:val="000000" w:themeColor="text1"/>
          <w14:textFill>
            <w14:solidFill>
              <w14:schemeClr w14:val="tx1"/>
            </w14:solidFill>
          </w14:textFill>
        </w:rPr>
        <w:t>1.5.2</w:t>
      </w:r>
      <w:r>
        <w:rPr>
          <w:color w:val="000000" w:themeColor="text1"/>
          <w14:textFill>
            <w14:solidFill>
              <w14:schemeClr w14:val="tx1"/>
            </w14:solidFill>
          </w14:textFill>
        </w:rPr>
        <w:t xml:space="preserve"> Changes in the fertilizer distribution model have no significant influence on smallholder farmers’ uptake of fertilizers in Kenya.</w:t>
      </w:r>
    </w:p>
    <w:p w14:paraId="3C12FCF4">
      <w:pPr>
        <w:ind w:left="630" w:hanging="630"/>
        <w:rPr>
          <w:color w:val="000000" w:themeColor="text1"/>
          <w14:textFill>
            <w14:solidFill>
              <w14:schemeClr w14:val="tx1"/>
            </w14:solidFill>
          </w14:textFill>
        </w:rPr>
      </w:pPr>
      <w:r>
        <w:rPr>
          <w:b/>
          <w:color w:val="000000" w:themeColor="text1"/>
          <w14:textFill>
            <w14:solidFill>
              <w14:schemeClr w14:val="tx1"/>
            </w14:solidFill>
          </w14:textFill>
        </w:rPr>
        <w:t>1.5.3</w:t>
      </w:r>
      <w:r>
        <w:rPr>
          <w:color w:val="000000" w:themeColor="text1"/>
          <w14:textFill>
            <w14:solidFill>
              <w14:schemeClr w14:val="tx1"/>
            </w14:solidFill>
          </w14:textFill>
        </w:rPr>
        <w:t xml:space="preserve"> Revised targeting criteria under the fertilizer subsidy program have no significant impact on smallholder farmers’ uptake of fertilizers in Kenya.</w:t>
      </w:r>
    </w:p>
    <w:p w14:paraId="3F7EF80E">
      <w:pPr>
        <w:ind w:left="630" w:hanging="630"/>
        <w:rPr>
          <w:color w:val="000000" w:themeColor="text1"/>
          <w14:textFill>
            <w14:solidFill>
              <w14:schemeClr w14:val="tx1"/>
            </w14:solidFill>
          </w14:textFill>
        </w:rPr>
      </w:pPr>
    </w:p>
    <w:p w14:paraId="04FEFBA5">
      <w:pPr>
        <w:pStyle w:val="3"/>
      </w:pPr>
      <w:bookmarkStart w:id="33" w:name="_Toc225962298"/>
      <w:r>
        <w:t>1.6 Justification of the Study</w:t>
      </w:r>
      <w:bookmarkEnd w:id="33"/>
    </w:p>
    <w:p w14:paraId="45089227">
      <w:pPr>
        <w:pStyle w:val="4"/>
        <w:rPr>
          <w:rStyle w:val="20"/>
          <w:b/>
          <w:bCs w:val="0"/>
          <w:color w:val="000000" w:themeColor="text1"/>
          <w14:textFill>
            <w14:solidFill>
              <w14:schemeClr w14:val="tx1"/>
            </w14:solidFill>
          </w14:textFill>
        </w:rPr>
      </w:pPr>
      <w:r>
        <w:rPr>
          <w:color w:val="000000" w:themeColor="text1"/>
          <w14:textFill>
            <w14:solidFill>
              <w14:schemeClr w14:val="tx1"/>
            </w14:solidFill>
          </w14:textFill>
        </w:rPr>
        <w:t>1.6.1 Policy Makers</w:t>
      </w:r>
    </w:p>
    <w:p w14:paraId="74DBB842">
      <w:pPr>
        <w:rPr>
          <w:color w:val="000000" w:themeColor="text1"/>
          <w14:textFill>
            <w14:solidFill>
              <w14:schemeClr w14:val="tx1"/>
            </w14:solidFill>
          </w14:textFill>
        </w:rPr>
      </w:pPr>
      <w:r>
        <w:rPr>
          <w:color w:val="000000" w:themeColor="text1"/>
          <w14:textFill>
            <w14:solidFill>
              <w14:schemeClr w14:val="tx1"/>
            </w14:solidFill>
          </w14:textFill>
        </w:rPr>
        <w:t>The study will provide policy makers in the Ministry of Agriculture and related government agencies with critical insights into the actual effects of current subsidy reforms on smallholder farmers. By highlighting which reform components are working effectively and which are introducing barriers to access, the findings will support the formulation of more inclusive and effective subsidy policies, helping to close existing policy gaps.</w:t>
      </w:r>
    </w:p>
    <w:p w14:paraId="2C38B0DE">
      <w:pPr>
        <w:pStyle w:val="43"/>
        <w:spacing w:line="360" w:lineRule="auto"/>
        <w:rPr>
          <w:color w:val="000000" w:themeColor="text1"/>
          <w14:textFill>
            <w14:solidFill>
              <w14:schemeClr w14:val="tx1"/>
            </w14:solidFill>
          </w14:textFill>
        </w:rPr>
      </w:pPr>
    </w:p>
    <w:p w14:paraId="15E5F5EA">
      <w:pPr>
        <w:pStyle w:val="4"/>
        <w:rPr>
          <w:rStyle w:val="20"/>
          <w:b/>
          <w:bCs w:val="0"/>
          <w:color w:val="000000" w:themeColor="text1"/>
          <w14:textFill>
            <w14:solidFill>
              <w14:schemeClr w14:val="tx1"/>
            </w14:solidFill>
          </w14:textFill>
        </w:rPr>
      </w:pPr>
      <w:r>
        <w:rPr>
          <w:color w:val="000000" w:themeColor="text1"/>
          <w14:textFill>
            <w14:solidFill>
              <w14:schemeClr w14:val="tx1"/>
            </w14:solidFill>
          </w14:textFill>
        </w:rPr>
        <w:t>1.6.2 Program Managers and Implementing Agencies</w:t>
      </w:r>
    </w:p>
    <w:p w14:paraId="3217CD81">
      <w:pPr>
        <w:rPr>
          <w:color w:val="000000" w:themeColor="text1"/>
          <w14:textFill>
            <w14:solidFill>
              <w14:schemeClr w14:val="tx1"/>
            </w14:solidFill>
          </w14:textFill>
        </w:rPr>
      </w:pPr>
      <w:r>
        <w:rPr>
          <w:color w:val="000000" w:themeColor="text1"/>
          <w14:textFill>
            <w14:solidFill>
              <w14:schemeClr w14:val="tx1"/>
            </w14:solidFill>
          </w14:textFill>
        </w:rPr>
        <w:t>Managers within the Ministry of Agriculture, county governments, and implementing partners will gain practical insights into how different elements of the fertilizer subsidy reforms are affecting service delivery. The study will provide evidence-based recommendations that will help program managers refine operational strategies, streamline distribution processes, and enhance targeting mechanisms addressing key managerial gaps highlighted in the problem statement.</w:t>
      </w:r>
    </w:p>
    <w:p w14:paraId="563389E1">
      <w:pPr>
        <w:pStyle w:val="43"/>
        <w:spacing w:line="360" w:lineRule="auto"/>
        <w:rPr>
          <w:color w:val="000000" w:themeColor="text1"/>
          <w14:textFill>
            <w14:solidFill>
              <w14:schemeClr w14:val="tx1"/>
            </w14:solidFill>
          </w14:textFill>
        </w:rPr>
      </w:pPr>
    </w:p>
    <w:p w14:paraId="123D698A">
      <w:pPr>
        <w:pStyle w:val="4"/>
        <w:rPr>
          <w:rStyle w:val="20"/>
          <w:b/>
          <w:bCs w:val="0"/>
          <w:color w:val="000000" w:themeColor="text1"/>
          <w14:textFill>
            <w14:solidFill>
              <w14:schemeClr w14:val="tx1"/>
            </w14:solidFill>
          </w14:textFill>
        </w:rPr>
      </w:pPr>
      <w:r>
        <w:rPr>
          <w:color w:val="000000" w:themeColor="text1"/>
          <w14:textFill>
            <w14:solidFill>
              <w14:schemeClr w14:val="tx1"/>
            </w14:solidFill>
          </w14:textFill>
        </w:rPr>
        <w:t>1.6.3 Academicians and Researchers</w:t>
      </w:r>
    </w:p>
    <w:p w14:paraId="59067CB8">
      <w:pPr>
        <w:rPr>
          <w:color w:val="000000" w:themeColor="text1"/>
          <w14:textFill>
            <w14:solidFill>
              <w14:schemeClr w14:val="tx1"/>
            </w14:solidFill>
          </w14:textFill>
        </w:rPr>
      </w:pPr>
      <w:r>
        <w:rPr>
          <w:color w:val="000000" w:themeColor="text1"/>
          <w14:textFill>
            <w14:solidFill>
              <w14:schemeClr w14:val="tx1"/>
            </w14:solidFill>
          </w14:textFill>
        </w:rPr>
        <w:t>This study will address a clear knowledge gap on how specific components of fertilizer subsidy reform strategies such as pricing reforms, distribution changes, and targeting criteria impact smallholder farmers’ uptake of fertilizers in Kenya. The findings will contribute to the academic literature on agricultural input subsidies and rural development, offering updated empirical evidence post-2022 reforms. Researchers can use the results to inform further studies on subsidy program design, agricultural productivity, and inclusive policy frameworks.</w:t>
      </w:r>
    </w:p>
    <w:p w14:paraId="2B6ACFCB">
      <w:pPr>
        <w:pStyle w:val="4"/>
        <w:rPr>
          <w:rStyle w:val="20"/>
          <w:b/>
          <w:bCs w:val="0"/>
          <w:color w:val="000000" w:themeColor="text1"/>
          <w14:textFill>
            <w14:solidFill>
              <w14:schemeClr w14:val="tx1"/>
            </w14:solidFill>
          </w14:textFill>
        </w:rPr>
      </w:pPr>
      <w:r>
        <w:rPr>
          <w:color w:val="000000" w:themeColor="text1"/>
          <w14:textFill>
            <w14:solidFill>
              <w14:schemeClr w14:val="tx1"/>
            </w14:solidFill>
          </w14:textFill>
        </w:rPr>
        <w:t>1.6.4 Smallholder Farmers</w:t>
      </w:r>
    </w:p>
    <w:p w14:paraId="3BB261E2">
      <w:pPr>
        <w:rPr>
          <w:color w:val="000000" w:themeColor="text1"/>
          <w14:textFill>
            <w14:solidFill>
              <w14:schemeClr w14:val="tx1"/>
            </w14:solidFill>
          </w14:textFill>
        </w:rPr>
      </w:pPr>
      <w:r>
        <w:rPr>
          <w:color w:val="000000" w:themeColor="text1"/>
          <w14:textFill>
            <w14:solidFill>
              <w14:schemeClr w14:val="tx1"/>
            </w14:solidFill>
          </w14:textFill>
        </w:rPr>
        <w:t>By informing improvements in subsidy program design and implementation, the study will indirectly benefit smallholder farmers across Kenya. Enhanced subsidy reforms, based on evidence from this research, will help ensure that fertilizers are more accessible, affordable, and effectively utilized, contributing to higher productivity, improved food security, and increased incomes among smallholder farming communities.</w:t>
      </w:r>
    </w:p>
    <w:p w14:paraId="4561EB5A">
      <w:pPr>
        <w:pStyle w:val="43"/>
        <w:spacing w:line="360" w:lineRule="auto"/>
        <w:rPr>
          <w:color w:val="000000" w:themeColor="text1"/>
          <w14:textFill>
            <w14:solidFill>
              <w14:schemeClr w14:val="tx1"/>
            </w14:solidFill>
          </w14:textFill>
        </w:rPr>
      </w:pPr>
    </w:p>
    <w:p w14:paraId="588EA3C6">
      <w:pPr>
        <w:pStyle w:val="4"/>
        <w:rPr>
          <w:rStyle w:val="20"/>
          <w:b/>
          <w:bCs w:val="0"/>
          <w:color w:val="000000" w:themeColor="text1"/>
          <w14:textFill>
            <w14:solidFill>
              <w14:schemeClr w14:val="tx1"/>
            </w14:solidFill>
          </w14:textFill>
        </w:rPr>
      </w:pPr>
      <w:r>
        <w:rPr>
          <w:color w:val="000000" w:themeColor="text1"/>
          <w14:textFill>
            <w14:solidFill>
              <w14:schemeClr w14:val="tx1"/>
            </w14:solidFill>
          </w14:textFill>
        </w:rPr>
        <w:t>1.6.5 Development Partners and Donor Agencies</w:t>
      </w:r>
    </w:p>
    <w:p w14:paraId="732DD917">
      <w:pPr>
        <w:rPr>
          <w:color w:val="000000" w:themeColor="text1"/>
          <w14:textFill>
            <w14:solidFill>
              <w14:schemeClr w14:val="tx1"/>
            </w14:solidFill>
          </w14:textFill>
        </w:rPr>
      </w:pPr>
      <w:r>
        <w:rPr>
          <w:color w:val="000000" w:themeColor="text1"/>
          <w14:textFill>
            <w14:solidFill>
              <w14:schemeClr w14:val="tx1"/>
            </w14:solidFill>
          </w14:textFill>
        </w:rPr>
        <w:t>Development partners and donors involved in supporting Kenya’s agricultural sector will benefit from an improved understanding of how government-led subsidy reforms are performing on the ground. The study’s findings will help inform funding decisions, program priorities, and collaborative interventions that align with inclusive and evidence-driven agricultural development.</w:t>
      </w:r>
    </w:p>
    <w:p w14:paraId="40EE325A">
      <w:pPr>
        <w:rPr>
          <w:color w:val="000000" w:themeColor="text1"/>
          <w14:textFill>
            <w14:solidFill>
              <w14:schemeClr w14:val="tx1"/>
            </w14:solidFill>
          </w14:textFill>
        </w:rPr>
      </w:pPr>
    </w:p>
    <w:p w14:paraId="0D0E8F39">
      <w:pPr>
        <w:pStyle w:val="3"/>
      </w:pPr>
      <w:bookmarkStart w:id="34" w:name="_Toc225962299"/>
      <w:r>
        <w:t>1.7 Scope of the Study</w:t>
      </w:r>
      <w:bookmarkEnd w:id="34"/>
    </w:p>
    <w:p w14:paraId="02994019">
      <w:pPr>
        <w:rPr>
          <w:color w:val="000000" w:themeColor="text1"/>
          <w14:textFill>
            <w14:solidFill>
              <w14:schemeClr w14:val="tx1"/>
            </w14:solidFill>
          </w14:textFill>
        </w:rPr>
      </w:pPr>
      <w:r>
        <w:rPr>
          <w:color w:val="000000" w:themeColor="text1"/>
          <w14:textFill>
            <w14:solidFill>
              <w14:schemeClr w14:val="tx1"/>
            </w14:solidFill>
          </w14:textFill>
        </w:rPr>
        <w:t>This study will focus on examining fertilizer subsidy reform strategies specifically pricing reforms, distribution model changes, and revised farmer targeting on smallholder farmers’ uptake of fertilizers in Kenya. The target population will comprise registered smallholder farmers participating in the government’s fertilizer subsidy program. Geographically, the study will cover selected counties in Kenya that represent diverse agro-ecological zones and varying levels of fertilizer usage, to ensure broad applicability of findings.</w:t>
      </w:r>
    </w:p>
    <w:p w14:paraId="4C3CB003">
      <w:pPr>
        <w:pStyle w:val="43"/>
        <w:spacing w:line="360" w:lineRule="auto"/>
        <w:rPr>
          <w:color w:val="000000" w:themeColor="text1"/>
          <w14:textFill>
            <w14:solidFill>
              <w14:schemeClr w14:val="tx1"/>
            </w14:solidFill>
          </w14:textFill>
        </w:rPr>
      </w:pPr>
    </w:p>
    <w:p w14:paraId="4F392E05">
      <w:pPr>
        <w:rPr>
          <w:color w:val="000000" w:themeColor="text1"/>
          <w14:textFill>
            <w14:solidFill>
              <w14:schemeClr w14:val="tx1"/>
            </w14:solidFill>
          </w14:textFill>
        </w:rPr>
      </w:pPr>
      <w:r>
        <w:rPr>
          <w:color w:val="000000" w:themeColor="text1"/>
          <w14:textFill>
            <w14:solidFill>
              <w14:schemeClr w14:val="tx1"/>
            </w14:solidFill>
          </w14:textFill>
        </w:rPr>
        <w:t xml:space="preserve">The time scope of the study will focus on subsidy reforms implemented between 2022 and 2025, as this period marks the most recent and significant changes to Kenya’s fertilizer subsidy framework. </w:t>
      </w:r>
    </w:p>
    <w:p w14:paraId="5FA758DF">
      <w:pPr>
        <w:rPr>
          <w:color w:val="000000" w:themeColor="text1"/>
          <w14:textFill>
            <w14:solidFill>
              <w14:schemeClr w14:val="tx1"/>
            </w14:solidFill>
          </w14:textFill>
        </w:rPr>
      </w:pPr>
    </w:p>
    <w:p w14:paraId="320941CC">
      <w:pPr>
        <w:pStyle w:val="3"/>
      </w:pPr>
      <w:bookmarkStart w:id="35" w:name="_Toc225962300"/>
      <w:r>
        <w:t>1.8 Definition of Terms</w:t>
      </w:r>
      <w:bookmarkEnd w:id="35"/>
    </w:p>
    <w:p w14:paraId="282E0055">
      <w:pPr>
        <w:spacing w:after="240"/>
        <w:rPr>
          <w:color w:val="000000" w:themeColor="text1"/>
          <w14:textFill>
            <w14:solidFill>
              <w14:schemeClr w14:val="tx1"/>
            </w14:solidFill>
          </w14:textFill>
        </w:rPr>
      </w:pPr>
      <w:r>
        <w:rPr>
          <w:rStyle w:val="20"/>
          <w:color w:val="000000" w:themeColor="text1"/>
          <w14:textFill>
            <w14:solidFill>
              <w14:schemeClr w14:val="tx1"/>
            </w14:solidFill>
          </w14:textFill>
        </w:rPr>
        <w:t xml:space="preserve">Fertilizer Subsidy Reform Strategies: </w:t>
      </w:r>
      <w:r>
        <w:rPr>
          <w:color w:val="000000" w:themeColor="text1"/>
          <w14:textFill>
            <w14:solidFill>
              <w14:schemeClr w14:val="tx1"/>
            </w14:solidFill>
          </w14:textFill>
        </w:rPr>
        <w:t>This refers to the recent modifications introduced to Kenya’s fertilizer subsidy program, which include adjustments in fertilizer pricing mechanisms, changes in distribution models (such as the shift from SME agro-dealers to government-led channels), and revised farmer targeting criteria through e-voucher systems (MOALD, 2024). These reforms aim to improve efficiency, transparency, and farmer access to subsidized fertilizers.</w:t>
      </w:r>
    </w:p>
    <w:p w14:paraId="07CF92D3">
      <w:pPr>
        <w:spacing w:after="240"/>
        <w:rPr>
          <w:color w:val="000000" w:themeColor="text1"/>
          <w14:textFill>
            <w14:solidFill>
              <w14:schemeClr w14:val="tx1"/>
            </w14:solidFill>
          </w14:textFill>
        </w:rPr>
      </w:pPr>
      <w:r>
        <w:rPr>
          <w:rStyle w:val="20"/>
          <w:color w:val="000000" w:themeColor="text1"/>
          <w14:textFill>
            <w14:solidFill>
              <w14:schemeClr w14:val="tx1"/>
            </w14:solidFill>
          </w14:textFill>
        </w:rPr>
        <w:t xml:space="preserve">Pricing Reforms: </w:t>
      </w:r>
      <w:r>
        <w:rPr>
          <w:color w:val="000000" w:themeColor="text1"/>
          <w14:textFill>
            <w14:solidFill>
              <w14:schemeClr w14:val="tx1"/>
            </w14:solidFill>
          </w14:textFill>
        </w:rPr>
        <w:t>Pricing reforms involve changes in the way fertilizer prices are structured under the subsidy program, including subsidy levels, market price adjustments, and government interventions aimed at making fertilizers more affordable for smallholder farmers (Wanzala-Mlobela &amp; Fuentes, 2023).</w:t>
      </w:r>
    </w:p>
    <w:p w14:paraId="4140693E">
      <w:pPr>
        <w:spacing w:after="240"/>
        <w:rPr>
          <w:color w:val="000000" w:themeColor="text1"/>
          <w14:textFill>
            <w14:solidFill>
              <w14:schemeClr w14:val="tx1"/>
            </w14:solidFill>
          </w14:textFill>
        </w:rPr>
      </w:pPr>
      <w:r>
        <w:rPr>
          <w:rStyle w:val="20"/>
          <w:color w:val="000000" w:themeColor="text1"/>
          <w14:textFill>
            <w14:solidFill>
              <w14:schemeClr w14:val="tx1"/>
            </w14:solidFill>
          </w14:textFill>
        </w:rPr>
        <w:t xml:space="preserve">Distribution Model Changes: </w:t>
      </w:r>
      <w:r>
        <w:rPr>
          <w:color w:val="000000" w:themeColor="text1"/>
          <w14:textFill>
            <w14:solidFill>
              <w14:schemeClr w14:val="tx1"/>
            </w14:solidFill>
          </w14:textFill>
        </w:rPr>
        <w:t>This refers to the restructuring of fertilizer distribution channels under the current subsidy reforms specifically the shift from private SME agro-dealers to centralized, government-managed distribution centers and digital platforms (Ng’ang’a &amp; Mburu, 2021).</w:t>
      </w:r>
    </w:p>
    <w:p w14:paraId="5F123907">
      <w:pPr>
        <w:spacing w:after="240"/>
        <w:rPr>
          <w:color w:val="000000" w:themeColor="text1"/>
          <w14:textFill>
            <w14:solidFill>
              <w14:schemeClr w14:val="tx1"/>
            </w14:solidFill>
          </w14:textFill>
        </w:rPr>
      </w:pPr>
      <w:r>
        <w:rPr>
          <w:rStyle w:val="20"/>
          <w:color w:val="000000" w:themeColor="text1"/>
          <w14:textFill>
            <w14:solidFill>
              <w14:schemeClr w14:val="tx1"/>
            </w14:solidFill>
          </w14:textFill>
        </w:rPr>
        <w:t xml:space="preserve">Revised Targeting Criteria: </w:t>
      </w:r>
      <w:r>
        <w:rPr>
          <w:color w:val="000000" w:themeColor="text1"/>
          <w14:textFill>
            <w14:solidFill>
              <w14:schemeClr w14:val="tx1"/>
            </w14:solidFill>
          </w14:textFill>
        </w:rPr>
        <w:t>Revised targeting criteria involve new eligibility requirements and processes under the fertilizer subsidy program, particularly the use of farmer registration databases and digital e-voucher systems to identify and prioritize subsidy recipients (Jayne et al., 2021).</w:t>
      </w:r>
    </w:p>
    <w:p w14:paraId="5922A2A6">
      <w:pPr>
        <w:spacing w:after="240"/>
        <w:rPr>
          <w:color w:val="000000" w:themeColor="text1"/>
          <w14:textFill>
            <w14:solidFill>
              <w14:schemeClr w14:val="tx1"/>
            </w14:solidFill>
          </w14:textFill>
        </w:rPr>
      </w:pPr>
      <w:r>
        <w:rPr>
          <w:rStyle w:val="20"/>
          <w:color w:val="000000" w:themeColor="text1"/>
          <w14:textFill>
            <w14:solidFill>
              <w14:schemeClr w14:val="tx1"/>
            </w14:solidFill>
          </w14:textFill>
        </w:rPr>
        <w:t xml:space="preserve">Smallholder Farmers’ Uptake of fertilizers: </w:t>
      </w:r>
      <w:r>
        <w:rPr>
          <w:color w:val="000000" w:themeColor="text1"/>
          <w14:textFill>
            <w14:solidFill>
              <w14:schemeClr w14:val="tx1"/>
            </w14:solidFill>
          </w14:textFill>
        </w:rPr>
        <w:t>This refers to the ability of smallholder farmers to obtain fertilizers in sufficient quantity, at affordable prices, and in a timely manner, considering both physical and financial access (Morris et al., 2022).</w:t>
      </w:r>
    </w:p>
    <w:p w14:paraId="20C6A3BB">
      <w:pPr>
        <w:rPr>
          <w:color w:val="000000" w:themeColor="text1"/>
          <w14:textFill>
            <w14:solidFill>
              <w14:schemeClr w14:val="tx1"/>
            </w14:solidFill>
          </w14:textFill>
        </w:rPr>
      </w:pPr>
      <w:r>
        <w:rPr>
          <w:rStyle w:val="20"/>
          <w:color w:val="000000" w:themeColor="text1"/>
          <w14:textFill>
            <w14:solidFill>
              <w14:schemeClr w14:val="tx1"/>
            </w14:solidFill>
          </w14:textFill>
        </w:rPr>
        <w:t xml:space="preserve">Smallholder Farmers’ Uptake of fertilizers: </w:t>
      </w:r>
      <w:r>
        <w:rPr>
          <w:color w:val="000000" w:themeColor="text1"/>
          <w14:textFill>
            <w14:solidFill>
              <w14:schemeClr w14:val="tx1"/>
            </w14:solidFill>
          </w14:textFill>
        </w:rPr>
        <w:t>This refers to the actual use of fertilizers by smallholder farmers on their crops during the planting seasons, which includes both the frequency and volume of fertilizer application per unit area (Jayne et al., 2022).</w:t>
      </w:r>
    </w:p>
    <w:p w14:paraId="7F840636">
      <w:pPr>
        <w:rPr>
          <w:color w:val="000000" w:themeColor="text1"/>
          <w14:textFill>
            <w14:solidFill>
              <w14:schemeClr w14:val="tx1"/>
            </w14:solidFill>
          </w14:textFill>
        </w:rPr>
      </w:pPr>
    </w:p>
    <w:p w14:paraId="06EF3830">
      <w:pPr>
        <w:pStyle w:val="3"/>
      </w:pPr>
      <w:bookmarkStart w:id="36" w:name="_Toc225962301"/>
      <w:r>
        <w:t>1.9 Chapter Summary</w:t>
      </w:r>
      <w:bookmarkEnd w:id="36"/>
    </w:p>
    <w:p w14:paraId="224B3293">
      <w:pPr>
        <w:rPr>
          <w:color w:val="000000" w:themeColor="text1"/>
          <w14:textFill>
            <w14:solidFill>
              <w14:schemeClr w14:val="tx1"/>
            </w14:solidFill>
          </w14:textFill>
        </w:rPr>
      </w:pPr>
      <w:r>
        <w:rPr>
          <w:color w:val="000000" w:themeColor="text1"/>
          <w14:textFill>
            <w14:solidFill>
              <w14:schemeClr w14:val="tx1"/>
            </w14:solidFill>
          </w14:textFill>
        </w:rPr>
        <w:t>This chapter has laid the foundation for the study by providing an in-depth exploration of the background and policy context surrounding fertilizer subsidy reform strategies globally, in Africa, in Eastern Africa and in Kenya. It has demonstrated that while fertilizer subsidies remain a critical instrument for supporting smallholder farmers, recent reforms focused on pricing, distribution, and targeting have produced both intended and unintended outcomes that warrant further investigation. The chapter highlighted key challenges, including declining fertilizer usage among smallholders, gaps in digital access, exclusion of marginalized farmers, and the disruption of established private-sector distribution networks. Through the problem statement, the chapter has clearly articulated existing knowledge, policy, and managerial gaps, establishing the need for systematic research to inform more inclusive and effective subsidy reforms. In addition, the chapter has presented the purpose of the study, the specific objectives and research questions, the justification for the research, and a clear scope and definition of terms, thus providing a coherent framework for the study.</w:t>
      </w:r>
    </w:p>
    <w:p w14:paraId="3DB45AD3">
      <w:pPr>
        <w:pStyle w:val="43"/>
        <w:rPr>
          <w:color w:val="000000" w:themeColor="text1"/>
          <w14:textFill>
            <w14:solidFill>
              <w14:schemeClr w14:val="tx1"/>
            </w14:solidFill>
          </w14:textFill>
        </w:rPr>
      </w:pPr>
    </w:p>
    <w:p w14:paraId="39E00087">
      <w:pPr>
        <w:rPr>
          <w:color w:val="000000" w:themeColor="text1"/>
          <w14:textFill>
            <w14:solidFill>
              <w14:schemeClr w14:val="tx1"/>
            </w14:solidFill>
          </w14:textFill>
        </w:rPr>
      </w:pPr>
      <w:r>
        <w:rPr>
          <w:color w:val="000000" w:themeColor="text1"/>
          <w14:textFill>
            <w14:solidFill>
              <w14:schemeClr w14:val="tx1"/>
            </w14:solidFill>
          </w14:textFill>
        </w:rPr>
        <w:t>Chapter Two will present a comprehensive review of existing literature on fertilizer subsidy reforms, input market dynamics, and smallholder fertilizer uptake, as well as relevant theoretical frameworks that guide the study. Chapter Three will describe the research methodology, including study design, target population, sampling techniques, data collection instruments, and analytical procedures that will be employed. Chapter Four will report and analyze the empirical findings derived from field data. Chapter Five will synthesize the results, compare them with existing literature, and provide conclusions and actionable recommendations aimed at enhancing the effectiveness of Kenya’s fertilizer subsidy reforms to better serve smallholder farmers.</w:t>
      </w:r>
    </w:p>
    <w:p w14:paraId="40C5D1ED">
      <w:pPr>
        <w:rPr>
          <w:color w:val="000000" w:themeColor="text1"/>
          <w14:textFill>
            <w14:solidFill>
              <w14:schemeClr w14:val="tx1"/>
            </w14:solidFill>
          </w14:textFill>
        </w:rPr>
      </w:pPr>
    </w:p>
    <w:p w14:paraId="5FE8701B">
      <w:pPr>
        <w:spacing w:after="160" w:line="259" w:lineRule="auto"/>
        <w:jc w:val="left"/>
        <w:rPr>
          <w:color w:val="000000" w:themeColor="text1"/>
          <w:kern w:val="0"/>
          <w:szCs w:val="24"/>
          <w14:textFill>
            <w14:solidFill>
              <w14:schemeClr w14:val="tx1"/>
            </w14:solidFill>
          </w14:textFill>
          <w14:ligatures w14:val="none"/>
        </w:rPr>
      </w:pPr>
      <w:r>
        <w:rPr>
          <w:color w:val="000000" w:themeColor="text1"/>
          <w:kern w:val="0"/>
          <w:szCs w:val="24"/>
          <w14:textFill>
            <w14:solidFill>
              <w14:schemeClr w14:val="tx1"/>
            </w14:solidFill>
          </w14:textFill>
          <w14:ligatures w14:val="none"/>
        </w:rPr>
        <w:br w:type="page"/>
      </w:r>
    </w:p>
    <w:p w14:paraId="75D65188">
      <w:pPr>
        <w:pStyle w:val="2"/>
      </w:pPr>
      <w:bookmarkStart w:id="37" w:name="_Toc225962302"/>
      <w:r>
        <w:t>CHAPTER TWO</w:t>
      </w:r>
      <w:bookmarkEnd w:id="0"/>
      <w:bookmarkEnd w:id="1"/>
      <w:bookmarkEnd w:id="2"/>
      <w:bookmarkEnd w:id="37"/>
    </w:p>
    <w:p w14:paraId="3A02BD9A">
      <w:pPr>
        <w:pStyle w:val="2"/>
      </w:pPr>
      <w:bookmarkStart w:id="38" w:name="_Toc219364726"/>
      <w:bookmarkStart w:id="39" w:name="_Toc203756690"/>
      <w:bookmarkStart w:id="40" w:name="_Toc202796032"/>
      <w:bookmarkStart w:id="41" w:name="_Toc225962303"/>
      <w:r>
        <w:t>2.0 LITERATURE REVIEW</w:t>
      </w:r>
      <w:bookmarkEnd w:id="38"/>
      <w:bookmarkEnd w:id="39"/>
      <w:bookmarkEnd w:id="40"/>
      <w:bookmarkEnd w:id="41"/>
    </w:p>
    <w:p w14:paraId="16309CC8">
      <w:pPr>
        <w:pStyle w:val="3"/>
      </w:pPr>
      <w:bookmarkStart w:id="42" w:name="_Toc203756691"/>
      <w:bookmarkStart w:id="43" w:name="_Toc219364727"/>
      <w:bookmarkStart w:id="44" w:name="_Toc225962304"/>
      <w:bookmarkStart w:id="45" w:name="_Toc202796033"/>
      <w:r>
        <w:t>2.1 Introduction</w:t>
      </w:r>
      <w:bookmarkEnd w:id="42"/>
      <w:bookmarkEnd w:id="43"/>
      <w:bookmarkEnd w:id="44"/>
      <w:bookmarkEnd w:id="45"/>
    </w:p>
    <w:p w14:paraId="61FB6458">
      <w:pPr>
        <w:rPr>
          <w:rFonts w:eastAsia="Times New Roman" w:cs="Times New Roman"/>
          <w:color w:val="000000" w:themeColor="text1"/>
          <w:kern w:val="0"/>
          <w:szCs w:val="24"/>
          <w14:textFill>
            <w14:solidFill>
              <w14:schemeClr w14:val="tx1"/>
            </w14:solidFill>
          </w14:textFill>
          <w14:ligatures w14:val="none"/>
        </w:rPr>
      </w:pPr>
      <w:r>
        <w:rPr>
          <w:rFonts w:eastAsia="Times New Roman" w:cs="Times New Roman"/>
          <w:color w:val="000000" w:themeColor="text1"/>
          <w:kern w:val="0"/>
          <w:szCs w:val="24"/>
          <w14:textFill>
            <w14:solidFill>
              <w14:schemeClr w14:val="tx1"/>
            </w14:solidFill>
          </w14:textFill>
          <w14:ligatures w14:val="none"/>
        </w:rPr>
        <w:t>This chapter reviews literature related to fertilizer subsidy reform strategies and smallholder farmers’ uptake of fertilizers. The review focuses on key aspects of subsidy reforms including pricing reforms, distribution model changes, and revised targeting criteria, and how these reforms influence fertilizer uptake and utilization among smallholder farmers. Relevant empirical studies from global, regional, and Kenyan contexts are examined to provide evidence on factors affecting fertilizer adoption and use. The chapter also identifies knowledge gaps in previous studies and establishes the foundation for the current research. The chapter concludes with a summary of the key issues discussed.</w:t>
      </w:r>
    </w:p>
    <w:p w14:paraId="69A158B3">
      <w:pPr>
        <w:rPr>
          <w:color w:val="000000" w:themeColor="text1"/>
          <w14:textFill>
            <w14:solidFill>
              <w14:schemeClr w14:val="tx1"/>
            </w14:solidFill>
          </w14:textFill>
        </w:rPr>
      </w:pPr>
    </w:p>
    <w:p w14:paraId="1790902B">
      <w:pPr>
        <w:pStyle w:val="3"/>
      </w:pPr>
      <w:bookmarkStart w:id="46" w:name="_Toc225962305"/>
      <w:r>
        <w:t>2.2 Pricing Reforms and Uptake of fertilizers</w:t>
      </w:r>
      <w:bookmarkEnd w:id="46"/>
    </w:p>
    <w:p w14:paraId="1FF78A14">
      <w:pPr>
        <w:rPr>
          <w:color w:val="000000" w:themeColor="text1"/>
          <w14:textFill>
            <w14:solidFill>
              <w14:schemeClr w14:val="tx1"/>
            </w14:solidFill>
          </w14:textFill>
        </w:rPr>
      </w:pPr>
      <w:r>
        <w:rPr>
          <w:color w:val="000000" w:themeColor="text1"/>
          <w14:textFill>
            <w14:solidFill>
              <w14:schemeClr w14:val="tx1"/>
            </w14:solidFill>
          </w14:textFill>
        </w:rPr>
        <w:t>Pricing reforms in fertilizer subsidy programs aim to improve farmers’ access to agricultural inputs by lowering the financial barriers associated with fertilizer purchase. Many developing countries implement fertilizer subsidy reforms to stabilize farm productivity, enhance food security, and improve agricultural output among smallholder farmers. These reforms often involve fertilizer price discounts, improved affordability mechanisms, and timely subsidy disbursement to ensure that farmers can obtain fertilizer when required for crop production (Jayne et al., 2022). The following section reviews empirical studies related to fertilizer price discount, perceived affordability, and disbursement time lag.</w:t>
      </w:r>
    </w:p>
    <w:p w14:paraId="2561310A">
      <w:pPr>
        <w:pStyle w:val="43"/>
      </w:pPr>
    </w:p>
    <w:p w14:paraId="183DC3E4">
      <w:pPr>
        <w:pStyle w:val="4"/>
        <w:rPr>
          <w:color w:val="000000" w:themeColor="text1"/>
          <w14:textFill>
            <w14:solidFill>
              <w14:schemeClr w14:val="tx1"/>
            </w14:solidFill>
          </w14:textFill>
        </w:rPr>
      </w:pPr>
      <w:r>
        <w:rPr>
          <w:color w:val="000000" w:themeColor="text1"/>
          <w14:textFill>
            <w14:solidFill>
              <w14:schemeClr w14:val="tx1"/>
            </w14:solidFill>
          </w14:textFill>
        </w:rPr>
        <w:t>2.2.1 Fertilizer Price Discount</w:t>
      </w:r>
    </w:p>
    <w:p w14:paraId="3606EE18">
      <w:pPr>
        <w:rPr>
          <w:color w:val="000000" w:themeColor="text1"/>
          <w14:textFill>
            <w14:solidFill>
              <w14:schemeClr w14:val="tx1"/>
            </w14:solidFill>
          </w14:textFill>
        </w:rPr>
      </w:pPr>
      <w:r>
        <w:rPr>
          <w:color w:val="000000" w:themeColor="text1"/>
          <w14:textFill>
            <w14:solidFill>
              <w14:schemeClr w14:val="tx1"/>
            </w14:solidFill>
          </w14:textFill>
        </w:rPr>
        <w:t xml:space="preserve">A study by </w:t>
      </w:r>
      <w:r>
        <w:rPr>
          <w:rStyle w:val="20"/>
          <w:rFonts w:cs="Times New Roman"/>
          <w:b w:val="0"/>
          <w:bCs w:val="0"/>
          <w:color w:val="000000" w:themeColor="text1"/>
          <w:szCs w:val="24"/>
          <w14:textFill>
            <w14:solidFill>
              <w14:schemeClr w14:val="tx1"/>
            </w14:solidFill>
          </w14:textFill>
        </w:rPr>
        <w:t>Liverpool-Tasie et al. (2021)</w:t>
      </w:r>
      <w:r>
        <w:rPr>
          <w:color w:val="000000" w:themeColor="text1"/>
          <w14:textFill>
            <w14:solidFill>
              <w14:schemeClr w14:val="tx1"/>
            </w14:solidFill>
          </w14:textFill>
        </w:rPr>
        <w:t xml:space="preserve"> examined fertilizer price subsidies and fertilizer adoption among maize farmers in Nigeria. The study used a </w:t>
      </w:r>
      <w:r>
        <w:rPr>
          <w:rStyle w:val="20"/>
          <w:rFonts w:cs="Times New Roman"/>
          <w:b w:val="0"/>
          <w:bCs w:val="0"/>
          <w:color w:val="000000" w:themeColor="text1"/>
          <w:szCs w:val="24"/>
          <w14:textFill>
            <w14:solidFill>
              <w14:schemeClr w14:val="tx1"/>
            </w14:solidFill>
          </w14:textFill>
        </w:rPr>
        <w:t>cross-sectional survey</w:t>
      </w:r>
      <w:r>
        <w:rPr>
          <w:color w:val="000000" w:themeColor="text1"/>
          <w14:textFill>
            <w14:solidFill>
              <w14:schemeClr w14:val="tx1"/>
            </w14:solidFill>
          </w14:textFill>
        </w:rPr>
        <w:t xml:space="preserve"> involving </w:t>
      </w:r>
      <w:r>
        <w:rPr>
          <w:rStyle w:val="20"/>
          <w:rFonts w:cs="Times New Roman"/>
          <w:b w:val="0"/>
          <w:bCs w:val="0"/>
          <w:color w:val="000000" w:themeColor="text1"/>
          <w:szCs w:val="24"/>
          <w14:textFill>
            <w14:solidFill>
              <w14:schemeClr w14:val="tx1"/>
            </w14:solidFill>
          </w14:textFill>
        </w:rPr>
        <w:t>1,200 smallholder farmers</w:t>
      </w:r>
      <w:r>
        <w:rPr>
          <w:color w:val="000000" w:themeColor="text1"/>
          <w14:textFill>
            <w14:solidFill>
              <w14:schemeClr w14:val="tx1"/>
            </w14:solidFill>
          </w14:textFill>
        </w:rPr>
        <w:t xml:space="preserve">, analyzed using </w:t>
      </w:r>
      <w:r>
        <w:rPr>
          <w:rStyle w:val="20"/>
          <w:rFonts w:cs="Times New Roman"/>
          <w:b w:val="0"/>
          <w:bCs w:val="0"/>
          <w:color w:val="000000" w:themeColor="text1"/>
          <w:szCs w:val="24"/>
          <w14:textFill>
            <w14:solidFill>
              <w14:schemeClr w14:val="tx1"/>
            </w14:solidFill>
          </w14:textFill>
        </w:rPr>
        <w:t>logistic regression</w:t>
      </w:r>
      <w:r>
        <w:rPr>
          <w:color w:val="000000" w:themeColor="text1"/>
          <w14:textFill>
            <w14:solidFill>
              <w14:schemeClr w14:val="tx1"/>
            </w14:solidFill>
          </w14:textFill>
        </w:rPr>
        <w:t>. The findings showed that farmers receiving subsidized fertilizer were more likely to purchase and apply fertilizer than those buying at market prices. The study concluded that price discounts increase fertilizer demand. This supports the present study that fertilizer price reductions may improve fertilizer uptake and utilization.</w:t>
      </w:r>
    </w:p>
    <w:p w14:paraId="347601C7">
      <w:pPr>
        <w:pStyle w:val="43"/>
        <w:rPr>
          <w:color w:val="000000" w:themeColor="text1"/>
          <w14:textFill>
            <w14:solidFill>
              <w14:schemeClr w14:val="tx1"/>
            </w14:solidFill>
          </w14:textFill>
        </w:rPr>
      </w:pPr>
    </w:p>
    <w:p w14:paraId="42E8D800">
      <w:pPr>
        <w:rPr>
          <w:color w:val="000000" w:themeColor="text1"/>
          <w14:textFill>
            <w14:solidFill>
              <w14:schemeClr w14:val="tx1"/>
            </w14:solidFill>
          </w14:textFill>
        </w:rPr>
      </w:pPr>
      <w:r>
        <w:rPr>
          <w:color w:val="000000" w:themeColor="text1"/>
          <w14:textFill>
            <w14:solidFill>
              <w14:schemeClr w14:val="tx1"/>
            </w14:solidFill>
          </w14:textFill>
        </w:rPr>
        <w:t xml:space="preserve">A study by </w:t>
      </w:r>
      <w:r>
        <w:rPr>
          <w:rStyle w:val="20"/>
          <w:rFonts w:cs="Times New Roman"/>
          <w:b w:val="0"/>
          <w:bCs w:val="0"/>
          <w:color w:val="000000" w:themeColor="text1"/>
          <w:szCs w:val="24"/>
          <w14:textFill>
            <w14:solidFill>
              <w14:schemeClr w14:val="tx1"/>
            </w14:solidFill>
          </w14:textFill>
        </w:rPr>
        <w:t>Mather and Jayne (2021)</w:t>
      </w:r>
      <w:r>
        <w:rPr>
          <w:color w:val="000000" w:themeColor="text1"/>
          <w14:textFill>
            <w14:solidFill>
              <w14:schemeClr w14:val="tx1"/>
            </w14:solidFill>
          </w14:textFill>
        </w:rPr>
        <w:t xml:space="preserve"> examined fertilizer subsidies and agricultural productivity in Zambia using </w:t>
      </w:r>
      <w:r>
        <w:rPr>
          <w:rStyle w:val="20"/>
          <w:rFonts w:cs="Times New Roman"/>
          <w:b w:val="0"/>
          <w:bCs w:val="0"/>
          <w:color w:val="000000" w:themeColor="text1"/>
          <w:szCs w:val="24"/>
          <w14:textFill>
            <w14:solidFill>
              <w14:schemeClr w14:val="tx1"/>
            </w14:solidFill>
          </w14:textFill>
        </w:rPr>
        <w:t>panel survey data from 840 farming households</w:t>
      </w:r>
      <w:r>
        <w:rPr>
          <w:color w:val="000000" w:themeColor="text1"/>
          <w14:textFill>
            <w14:solidFill>
              <w14:schemeClr w14:val="tx1"/>
            </w14:solidFill>
          </w14:textFill>
        </w:rPr>
        <w:t xml:space="preserve">. The researchers applied </w:t>
      </w:r>
      <w:r>
        <w:rPr>
          <w:rStyle w:val="20"/>
          <w:rFonts w:cs="Times New Roman"/>
          <w:b w:val="0"/>
          <w:bCs w:val="0"/>
          <w:color w:val="000000" w:themeColor="text1"/>
          <w:szCs w:val="24"/>
          <w14:textFill>
            <w14:solidFill>
              <w14:schemeClr w14:val="tx1"/>
            </w14:solidFill>
          </w14:textFill>
        </w:rPr>
        <w:t>panel data analysis</w:t>
      </w:r>
      <w:r>
        <w:rPr>
          <w:color w:val="000000" w:themeColor="text1"/>
          <w14:textFill>
            <w14:solidFill>
              <w14:schemeClr w14:val="tx1"/>
            </w14:solidFill>
          </w14:textFill>
        </w:rPr>
        <w:t xml:space="preserve"> to determine the impact of fertilizer subsidies. The findings showed that fertilizer price subsidies increased fertilizer uptake and maize productivity among farmers. However, access varied depending on awareness and distribution systems. This finding supports the current study examining how fertilizer pricing reforms influence fertilizer uptake.</w:t>
      </w:r>
    </w:p>
    <w:p w14:paraId="594B1F64">
      <w:pPr>
        <w:pStyle w:val="43"/>
        <w:rPr>
          <w:color w:val="000000" w:themeColor="text1"/>
          <w14:textFill>
            <w14:solidFill>
              <w14:schemeClr w14:val="tx1"/>
            </w14:solidFill>
          </w14:textFill>
        </w:rPr>
      </w:pPr>
    </w:p>
    <w:p w14:paraId="79B34433">
      <w:pPr>
        <w:rPr>
          <w:color w:val="000000" w:themeColor="text1"/>
          <w14:textFill>
            <w14:solidFill>
              <w14:schemeClr w14:val="tx1"/>
            </w14:solidFill>
          </w14:textFill>
        </w:rPr>
      </w:pPr>
      <w:r>
        <w:rPr>
          <w:color w:val="000000" w:themeColor="text1"/>
          <w14:textFill>
            <w14:solidFill>
              <w14:schemeClr w14:val="tx1"/>
            </w14:solidFill>
          </w14:textFill>
        </w:rPr>
        <w:t xml:space="preserve">A study by </w:t>
      </w:r>
      <w:r>
        <w:rPr>
          <w:rStyle w:val="20"/>
          <w:rFonts w:cs="Times New Roman"/>
          <w:b w:val="0"/>
          <w:bCs w:val="0"/>
          <w:color w:val="000000" w:themeColor="text1"/>
          <w:szCs w:val="24"/>
          <w14:textFill>
            <w14:solidFill>
              <w14:schemeClr w14:val="tx1"/>
            </w14:solidFill>
          </w14:textFill>
        </w:rPr>
        <w:t>Abate et al. (2022)</w:t>
      </w:r>
      <w:r>
        <w:rPr>
          <w:color w:val="000000" w:themeColor="text1"/>
          <w14:textFill>
            <w14:solidFill>
              <w14:schemeClr w14:val="tx1"/>
            </w14:solidFill>
          </w14:textFill>
        </w:rPr>
        <w:t xml:space="preserve"> assessed fertilizer subsidy programs in Ethiopia using a </w:t>
      </w:r>
      <w:r>
        <w:rPr>
          <w:rStyle w:val="20"/>
          <w:rFonts w:cs="Times New Roman"/>
          <w:b w:val="0"/>
          <w:bCs w:val="0"/>
          <w:color w:val="000000" w:themeColor="text1"/>
          <w:szCs w:val="24"/>
          <w14:textFill>
            <w14:solidFill>
              <w14:schemeClr w14:val="tx1"/>
            </w14:solidFill>
          </w14:textFill>
        </w:rPr>
        <w:t>quasi-experimental design</w:t>
      </w:r>
      <w:r>
        <w:rPr>
          <w:color w:val="000000" w:themeColor="text1"/>
          <w14:textFill>
            <w14:solidFill>
              <w14:schemeClr w14:val="tx1"/>
            </w14:solidFill>
          </w14:textFill>
        </w:rPr>
        <w:t xml:space="preserve"> involving </w:t>
      </w:r>
      <w:r>
        <w:rPr>
          <w:rStyle w:val="20"/>
          <w:rFonts w:cs="Times New Roman"/>
          <w:b w:val="0"/>
          <w:bCs w:val="0"/>
          <w:color w:val="000000" w:themeColor="text1"/>
          <w:szCs w:val="24"/>
          <w14:textFill>
            <w14:solidFill>
              <w14:schemeClr w14:val="tx1"/>
            </w14:solidFill>
          </w14:textFill>
        </w:rPr>
        <w:t>1,050 rural households</w:t>
      </w:r>
      <w:r>
        <w:rPr>
          <w:color w:val="000000" w:themeColor="text1"/>
          <w14:textFill>
            <w14:solidFill>
              <w14:schemeClr w14:val="tx1"/>
            </w14:solidFill>
          </w14:textFill>
        </w:rPr>
        <w:t xml:space="preserve">. Data were analyzed using </w:t>
      </w:r>
      <w:r>
        <w:rPr>
          <w:rStyle w:val="20"/>
          <w:rFonts w:cs="Times New Roman"/>
          <w:b w:val="0"/>
          <w:bCs w:val="0"/>
          <w:color w:val="000000" w:themeColor="text1"/>
          <w:szCs w:val="24"/>
          <w14:textFill>
            <w14:solidFill>
              <w14:schemeClr w14:val="tx1"/>
            </w14:solidFill>
          </w14:textFill>
        </w:rPr>
        <w:t>propensity score matching techniques</w:t>
      </w:r>
      <w:r>
        <w:rPr>
          <w:color w:val="000000" w:themeColor="text1"/>
          <w14:textFill>
            <w14:solidFill>
              <w14:schemeClr w14:val="tx1"/>
            </w14:solidFill>
          </w14:textFill>
        </w:rPr>
        <w:t>. The findings revealed that farmers receiving subsidized fertilizer applied significantly higher fertilizer quantities than non-beneficiaries. The study concluded that reduced fertilizer prices increase fertilizer use among smallholder farmers. This finding supports the present study examining fertilizer pricing reforms and fertilizer uptake.</w:t>
      </w:r>
    </w:p>
    <w:p w14:paraId="49C3CD6E">
      <w:pPr>
        <w:pStyle w:val="43"/>
        <w:rPr>
          <w:color w:val="000000" w:themeColor="text1"/>
          <w14:textFill>
            <w14:solidFill>
              <w14:schemeClr w14:val="tx1"/>
            </w14:solidFill>
          </w14:textFill>
        </w:rPr>
      </w:pPr>
    </w:p>
    <w:p w14:paraId="6D4C4E50">
      <w:pPr>
        <w:rPr>
          <w:color w:val="000000" w:themeColor="text1"/>
          <w14:textFill>
            <w14:solidFill>
              <w14:schemeClr w14:val="tx1"/>
            </w14:solidFill>
          </w14:textFill>
        </w:rPr>
      </w:pPr>
      <w:r>
        <w:rPr>
          <w:color w:val="000000" w:themeColor="text1"/>
          <w14:textFill>
            <w14:solidFill>
              <w14:schemeClr w14:val="tx1"/>
            </w14:solidFill>
          </w14:textFill>
        </w:rPr>
        <w:t xml:space="preserve">A study by </w:t>
      </w:r>
      <w:r>
        <w:rPr>
          <w:rStyle w:val="20"/>
          <w:rFonts w:cs="Times New Roman"/>
          <w:b w:val="0"/>
          <w:bCs w:val="0"/>
          <w:color w:val="000000" w:themeColor="text1"/>
          <w:szCs w:val="24"/>
          <w14:textFill>
            <w14:solidFill>
              <w14:schemeClr w14:val="tx1"/>
            </w14:solidFill>
          </w14:textFill>
        </w:rPr>
        <w:t>Ricker-Gilbert and Jayne (2022)</w:t>
      </w:r>
      <w:r>
        <w:rPr>
          <w:color w:val="000000" w:themeColor="text1"/>
          <w14:textFill>
            <w14:solidFill>
              <w14:schemeClr w14:val="tx1"/>
            </w14:solidFill>
          </w14:textFill>
        </w:rPr>
        <w:t xml:space="preserve"> examined fertilizer subsidy effects in Malawi using </w:t>
      </w:r>
      <w:r>
        <w:rPr>
          <w:rStyle w:val="20"/>
          <w:rFonts w:cs="Times New Roman"/>
          <w:b w:val="0"/>
          <w:bCs w:val="0"/>
          <w:color w:val="000000" w:themeColor="text1"/>
          <w:szCs w:val="24"/>
          <w14:textFill>
            <w14:solidFill>
              <w14:schemeClr w14:val="tx1"/>
            </w14:solidFill>
          </w14:textFill>
        </w:rPr>
        <w:t>panel data from 1,462 farming households</w:t>
      </w:r>
      <w:r>
        <w:rPr>
          <w:color w:val="000000" w:themeColor="text1"/>
          <w14:textFill>
            <w14:solidFill>
              <w14:schemeClr w14:val="tx1"/>
            </w14:solidFill>
          </w14:textFill>
        </w:rPr>
        <w:t xml:space="preserve">. The researchers applied </w:t>
      </w:r>
      <w:r>
        <w:rPr>
          <w:rStyle w:val="20"/>
          <w:rFonts w:cs="Times New Roman"/>
          <w:b w:val="0"/>
          <w:bCs w:val="0"/>
          <w:color w:val="000000" w:themeColor="text1"/>
          <w:szCs w:val="24"/>
          <w14:textFill>
            <w14:solidFill>
              <w14:schemeClr w14:val="tx1"/>
            </w14:solidFill>
          </w14:textFill>
        </w:rPr>
        <w:t>econometric regression models</w:t>
      </w:r>
      <w:r>
        <w:rPr>
          <w:color w:val="000000" w:themeColor="text1"/>
          <w14:textFill>
            <w14:solidFill>
              <w14:schemeClr w14:val="tx1"/>
            </w14:solidFill>
          </w14:textFill>
        </w:rPr>
        <w:t xml:space="preserve"> to analyze fertilizer demand. The findings showed that fertilizer price discounts increased fertilizer purchases, especially among poorer farmers. However, farmers located near distribution centers benefited more. The study concluded that price subsidies improve fertilizer uptake, which is relevant to the present study.</w:t>
      </w:r>
    </w:p>
    <w:p w14:paraId="3B52A279">
      <w:pPr>
        <w:pStyle w:val="43"/>
        <w:rPr>
          <w:color w:val="000000" w:themeColor="text1"/>
          <w14:textFill>
            <w14:solidFill>
              <w14:schemeClr w14:val="tx1"/>
            </w14:solidFill>
          </w14:textFill>
        </w:rPr>
      </w:pPr>
    </w:p>
    <w:p w14:paraId="23654195">
      <w:pPr>
        <w:rPr>
          <w:color w:val="000000" w:themeColor="text1"/>
          <w14:textFill>
            <w14:solidFill>
              <w14:schemeClr w14:val="tx1"/>
            </w14:solidFill>
          </w14:textFill>
        </w:rPr>
      </w:pPr>
      <w:r>
        <w:rPr>
          <w:color w:val="000000" w:themeColor="text1"/>
          <w14:textFill>
            <w14:solidFill>
              <w14:schemeClr w14:val="tx1"/>
            </w14:solidFill>
          </w14:textFill>
        </w:rPr>
        <w:t xml:space="preserve">A study by </w:t>
      </w:r>
      <w:r>
        <w:rPr>
          <w:rStyle w:val="20"/>
          <w:rFonts w:cs="Times New Roman"/>
          <w:b w:val="0"/>
          <w:bCs w:val="0"/>
          <w:color w:val="000000" w:themeColor="text1"/>
          <w:szCs w:val="24"/>
          <w14:textFill>
            <w14:solidFill>
              <w14:schemeClr w14:val="tx1"/>
            </w14:solidFill>
          </w14:textFill>
        </w:rPr>
        <w:t>Ochieng et al. (2023)</w:t>
      </w:r>
      <w:r>
        <w:rPr>
          <w:color w:val="000000" w:themeColor="text1"/>
          <w14:textFill>
            <w14:solidFill>
              <w14:schemeClr w14:val="tx1"/>
            </w14:solidFill>
          </w14:textFill>
        </w:rPr>
        <w:t xml:space="preserve"> analyzed fertilizer subsidy reforms in Kenya using a </w:t>
      </w:r>
      <w:r>
        <w:rPr>
          <w:rStyle w:val="20"/>
          <w:rFonts w:cs="Times New Roman"/>
          <w:b w:val="0"/>
          <w:bCs w:val="0"/>
          <w:color w:val="000000" w:themeColor="text1"/>
          <w:szCs w:val="24"/>
          <w14:textFill>
            <w14:solidFill>
              <w14:schemeClr w14:val="tx1"/>
            </w14:solidFill>
          </w14:textFill>
        </w:rPr>
        <w:t>descriptive survey design</w:t>
      </w:r>
      <w:r>
        <w:rPr>
          <w:color w:val="000000" w:themeColor="text1"/>
          <w14:textFill>
            <w14:solidFill>
              <w14:schemeClr w14:val="tx1"/>
            </w14:solidFill>
          </w14:textFill>
        </w:rPr>
        <w:t xml:space="preserve"> involving </w:t>
      </w:r>
      <w:r>
        <w:rPr>
          <w:rStyle w:val="20"/>
          <w:rFonts w:cs="Times New Roman"/>
          <w:b w:val="0"/>
          <w:bCs w:val="0"/>
          <w:color w:val="000000" w:themeColor="text1"/>
          <w:szCs w:val="24"/>
          <w14:textFill>
            <w14:solidFill>
              <w14:schemeClr w14:val="tx1"/>
            </w14:solidFill>
          </w14:textFill>
        </w:rPr>
        <w:t>600 smallholder farmers</w:t>
      </w:r>
      <w:r>
        <w:rPr>
          <w:color w:val="000000" w:themeColor="text1"/>
          <w14:textFill>
            <w14:solidFill>
              <w14:schemeClr w14:val="tx1"/>
            </w14:solidFill>
          </w14:textFill>
        </w:rPr>
        <w:t xml:space="preserve">. Data were analyzed using </w:t>
      </w:r>
      <w:r>
        <w:rPr>
          <w:rStyle w:val="20"/>
          <w:rFonts w:cs="Times New Roman"/>
          <w:b w:val="0"/>
          <w:bCs w:val="0"/>
          <w:color w:val="000000" w:themeColor="text1"/>
          <w:szCs w:val="24"/>
          <w14:textFill>
            <w14:solidFill>
              <w14:schemeClr w14:val="tx1"/>
            </w14:solidFill>
          </w14:textFill>
        </w:rPr>
        <w:t>multiple regression analysis</w:t>
      </w:r>
      <w:r>
        <w:rPr>
          <w:color w:val="000000" w:themeColor="text1"/>
          <w14:textFill>
            <w14:solidFill>
              <w14:schemeClr w14:val="tx1"/>
            </w14:solidFill>
          </w14:textFill>
        </w:rPr>
        <w:t>. The findings revealed that fertilizer price subsidies increased farmers’ willingness to purchase fertilizer during planting seasons. Farmers receiving subsidized fertilizer applied higher fertilizer quantities. This finding supports the present study examining fertilizer pricing reforms and fertilizer uptake.</w:t>
      </w:r>
    </w:p>
    <w:p w14:paraId="7E91C7F8">
      <w:pPr>
        <w:rPr>
          <w:color w:val="000000" w:themeColor="text1"/>
          <w14:textFill>
            <w14:solidFill>
              <w14:schemeClr w14:val="tx1"/>
            </w14:solidFill>
          </w14:textFill>
        </w:rPr>
      </w:pPr>
      <w:r>
        <w:rPr>
          <w:color w:val="000000" w:themeColor="text1"/>
          <w14:textFill>
            <w14:solidFill>
              <w14:schemeClr w14:val="tx1"/>
            </w14:solidFill>
          </w14:textFill>
        </w:rPr>
        <w:t xml:space="preserve">Another study by </w:t>
      </w:r>
      <w:r>
        <w:rPr>
          <w:rStyle w:val="20"/>
          <w:rFonts w:cs="Times New Roman"/>
          <w:b w:val="0"/>
          <w:bCs w:val="0"/>
          <w:color w:val="000000" w:themeColor="text1"/>
          <w:szCs w:val="24"/>
          <w14:textFill>
            <w14:solidFill>
              <w14:schemeClr w14:val="tx1"/>
            </w14:solidFill>
          </w14:textFill>
        </w:rPr>
        <w:t>Nyangena and Kimenyi (2023)</w:t>
      </w:r>
      <w:r>
        <w:rPr>
          <w:color w:val="000000" w:themeColor="text1"/>
          <w14:textFill>
            <w14:solidFill>
              <w14:schemeClr w14:val="tx1"/>
            </w14:solidFill>
          </w14:textFill>
        </w:rPr>
        <w:t xml:space="preserve"> evaluated agricultural subsidy programs in East Africa using a </w:t>
      </w:r>
      <w:r>
        <w:rPr>
          <w:rStyle w:val="20"/>
          <w:rFonts w:cs="Times New Roman"/>
          <w:b w:val="0"/>
          <w:bCs w:val="0"/>
          <w:color w:val="000000" w:themeColor="text1"/>
          <w:szCs w:val="24"/>
          <w14:textFill>
            <w14:solidFill>
              <w14:schemeClr w14:val="tx1"/>
            </w14:solidFill>
          </w14:textFill>
        </w:rPr>
        <w:t>comparative survey design</w:t>
      </w:r>
      <w:r>
        <w:rPr>
          <w:color w:val="000000" w:themeColor="text1"/>
          <w14:textFill>
            <w14:solidFill>
              <w14:schemeClr w14:val="tx1"/>
            </w14:solidFill>
          </w14:textFill>
        </w:rPr>
        <w:t xml:space="preserve"> involving </w:t>
      </w:r>
      <w:r>
        <w:rPr>
          <w:rStyle w:val="20"/>
          <w:rFonts w:cs="Times New Roman"/>
          <w:b w:val="0"/>
          <w:bCs w:val="0"/>
          <w:color w:val="000000" w:themeColor="text1"/>
          <w:szCs w:val="24"/>
          <w14:textFill>
            <w14:solidFill>
              <w14:schemeClr w14:val="tx1"/>
            </w14:solidFill>
          </w14:textFill>
        </w:rPr>
        <w:t>1,100 farmers</w:t>
      </w:r>
      <w:r>
        <w:rPr>
          <w:color w:val="000000" w:themeColor="text1"/>
          <w14:textFill>
            <w14:solidFill>
              <w14:schemeClr w14:val="tx1"/>
            </w14:solidFill>
          </w14:textFill>
        </w:rPr>
        <w:t xml:space="preserve"> in Kenya and Tanzania. The results showed that fertilizer price subsidies reduced production costs and increased fertilizer application. However, subsidy access differed across regions due to distribution challenges. The study concluded that fertilizer subsidies encourage fertilizer use among smallholder farmers. This finding supports the present study.</w:t>
      </w:r>
    </w:p>
    <w:p w14:paraId="15610038">
      <w:pPr>
        <w:pStyle w:val="43"/>
        <w:rPr>
          <w:color w:val="000000" w:themeColor="text1"/>
          <w14:textFill>
            <w14:solidFill>
              <w14:schemeClr w14:val="tx1"/>
            </w14:solidFill>
          </w14:textFill>
        </w:rPr>
      </w:pPr>
    </w:p>
    <w:p w14:paraId="39B162F0">
      <w:pPr>
        <w:rPr>
          <w:color w:val="000000" w:themeColor="text1"/>
          <w14:textFill>
            <w14:solidFill>
              <w14:schemeClr w14:val="tx1"/>
            </w14:solidFill>
          </w14:textFill>
        </w:rPr>
      </w:pPr>
      <w:r>
        <w:rPr>
          <w:color w:val="000000" w:themeColor="text1"/>
          <w14:textFill>
            <w14:solidFill>
              <w14:schemeClr w14:val="tx1"/>
            </w14:solidFill>
          </w14:textFill>
        </w:rPr>
        <w:t xml:space="preserve">A study by </w:t>
      </w:r>
      <w:r>
        <w:rPr>
          <w:rStyle w:val="20"/>
          <w:rFonts w:cs="Times New Roman"/>
          <w:b w:val="0"/>
          <w:bCs w:val="0"/>
          <w:color w:val="000000" w:themeColor="text1"/>
          <w:szCs w:val="24"/>
          <w14:textFill>
            <w14:solidFill>
              <w14:schemeClr w14:val="tx1"/>
            </w14:solidFill>
          </w14:textFill>
        </w:rPr>
        <w:t>Kirui and Njiraini (2024)</w:t>
      </w:r>
      <w:r>
        <w:rPr>
          <w:color w:val="000000" w:themeColor="text1"/>
          <w14:textFill>
            <w14:solidFill>
              <w14:schemeClr w14:val="tx1"/>
            </w14:solidFill>
          </w14:textFill>
        </w:rPr>
        <w:t xml:space="preserve"> examined government fertilizer subsidies in Kenya using a </w:t>
      </w:r>
      <w:r>
        <w:rPr>
          <w:rStyle w:val="20"/>
          <w:rFonts w:cs="Times New Roman"/>
          <w:b w:val="0"/>
          <w:bCs w:val="0"/>
          <w:color w:val="000000" w:themeColor="text1"/>
          <w:szCs w:val="24"/>
          <w14:textFill>
            <w14:solidFill>
              <w14:schemeClr w14:val="tx1"/>
            </w14:solidFill>
          </w14:textFill>
        </w:rPr>
        <w:t>mixed-methods design</w:t>
      </w:r>
      <w:r>
        <w:rPr>
          <w:color w:val="000000" w:themeColor="text1"/>
          <w14:textFill>
            <w14:solidFill>
              <w14:schemeClr w14:val="tx1"/>
            </w14:solidFill>
          </w14:textFill>
        </w:rPr>
        <w:t xml:space="preserve"> involving </w:t>
      </w:r>
      <w:r>
        <w:rPr>
          <w:rStyle w:val="20"/>
          <w:rFonts w:cs="Times New Roman"/>
          <w:b w:val="0"/>
          <w:bCs w:val="0"/>
          <w:color w:val="000000" w:themeColor="text1"/>
          <w:szCs w:val="24"/>
          <w14:textFill>
            <w14:solidFill>
              <w14:schemeClr w14:val="tx1"/>
            </w14:solidFill>
          </w14:textFill>
        </w:rPr>
        <w:t>450 smallholder farmers</w:t>
      </w:r>
      <w:r>
        <w:rPr>
          <w:color w:val="000000" w:themeColor="text1"/>
          <w14:textFill>
            <w14:solidFill>
              <w14:schemeClr w14:val="tx1"/>
            </w14:solidFill>
          </w14:textFill>
        </w:rPr>
        <w:t xml:space="preserve">. The findings showed that fertilizer price discounts increased fertilizer purchase rates by over </w:t>
      </w:r>
      <w:r>
        <w:rPr>
          <w:rStyle w:val="20"/>
          <w:rFonts w:cs="Times New Roman"/>
          <w:b w:val="0"/>
          <w:bCs w:val="0"/>
          <w:color w:val="000000" w:themeColor="text1"/>
          <w:szCs w:val="24"/>
          <w14:textFill>
            <w14:solidFill>
              <w14:schemeClr w14:val="tx1"/>
            </w14:solidFill>
          </w14:textFill>
        </w:rPr>
        <w:t>30 percent</w:t>
      </w:r>
      <w:r>
        <w:rPr>
          <w:color w:val="000000" w:themeColor="text1"/>
          <w14:textFill>
            <w14:solidFill>
              <w14:schemeClr w14:val="tx1"/>
            </w14:solidFill>
          </w14:textFill>
        </w:rPr>
        <w:t xml:space="preserve"> among farmers. The study concluded that subsidy price reductions improve fertilizer adoption among smallholder farmers. This finding is relevant to the present study examining fertilizer pricing reforms.</w:t>
      </w:r>
    </w:p>
    <w:p w14:paraId="7D5F574E">
      <w:pPr>
        <w:pStyle w:val="43"/>
        <w:rPr>
          <w:color w:val="000000" w:themeColor="text1"/>
          <w14:textFill>
            <w14:solidFill>
              <w14:schemeClr w14:val="tx1"/>
            </w14:solidFill>
          </w14:textFill>
        </w:rPr>
      </w:pPr>
    </w:p>
    <w:p w14:paraId="652D761D">
      <w:pPr>
        <w:rPr>
          <w:color w:val="000000" w:themeColor="text1"/>
          <w14:textFill>
            <w14:solidFill>
              <w14:schemeClr w14:val="tx1"/>
            </w14:solidFill>
          </w14:textFill>
        </w:rPr>
      </w:pPr>
      <w:r>
        <w:rPr>
          <w:color w:val="000000" w:themeColor="text1"/>
          <w14:textFill>
            <w14:solidFill>
              <w14:schemeClr w14:val="tx1"/>
            </w14:solidFill>
          </w14:textFill>
        </w:rPr>
        <w:t xml:space="preserve">A study by </w:t>
      </w:r>
      <w:r>
        <w:rPr>
          <w:rStyle w:val="20"/>
          <w:rFonts w:cs="Times New Roman"/>
          <w:b w:val="0"/>
          <w:bCs w:val="0"/>
          <w:color w:val="000000" w:themeColor="text1"/>
          <w:szCs w:val="24"/>
          <w14:textFill>
            <w14:solidFill>
              <w14:schemeClr w14:val="tx1"/>
            </w14:solidFill>
          </w14:textFill>
        </w:rPr>
        <w:t>Mutegi et al. (2024)</w:t>
      </w:r>
      <w:r>
        <w:rPr>
          <w:color w:val="000000" w:themeColor="text1"/>
          <w14:textFill>
            <w14:solidFill>
              <w14:schemeClr w14:val="tx1"/>
            </w14:solidFill>
          </w14:textFill>
        </w:rPr>
        <w:t xml:space="preserve"> assessed fertilizer subsidy pricing reforms in Kenya using a </w:t>
      </w:r>
      <w:r>
        <w:rPr>
          <w:rStyle w:val="20"/>
          <w:rFonts w:cs="Times New Roman"/>
          <w:b w:val="0"/>
          <w:bCs w:val="0"/>
          <w:color w:val="000000" w:themeColor="text1"/>
          <w:szCs w:val="24"/>
          <w14:textFill>
            <w14:solidFill>
              <w14:schemeClr w14:val="tx1"/>
            </w14:solidFill>
          </w14:textFill>
        </w:rPr>
        <w:t>cross-sectional survey</w:t>
      </w:r>
      <w:r>
        <w:rPr>
          <w:color w:val="000000" w:themeColor="text1"/>
          <w14:textFill>
            <w14:solidFill>
              <w14:schemeClr w14:val="tx1"/>
            </w14:solidFill>
          </w14:textFill>
        </w:rPr>
        <w:t xml:space="preserve"> involving </w:t>
      </w:r>
      <w:r>
        <w:rPr>
          <w:rStyle w:val="20"/>
          <w:rFonts w:cs="Times New Roman"/>
          <w:b w:val="0"/>
          <w:bCs w:val="0"/>
          <w:color w:val="000000" w:themeColor="text1"/>
          <w:szCs w:val="24"/>
          <w14:textFill>
            <w14:solidFill>
              <w14:schemeClr w14:val="tx1"/>
            </w14:solidFill>
          </w14:textFill>
        </w:rPr>
        <w:t>500 smallholder farmers</w:t>
      </w:r>
      <w:r>
        <w:rPr>
          <w:color w:val="000000" w:themeColor="text1"/>
          <w14:textFill>
            <w14:solidFill>
              <w14:schemeClr w14:val="tx1"/>
            </w14:solidFill>
          </w14:textFill>
        </w:rPr>
        <w:t xml:space="preserve">. Data were analyzed using </w:t>
      </w:r>
      <w:r>
        <w:rPr>
          <w:rStyle w:val="20"/>
          <w:rFonts w:cs="Times New Roman"/>
          <w:b w:val="0"/>
          <w:bCs w:val="0"/>
          <w:color w:val="000000" w:themeColor="text1"/>
          <w:szCs w:val="24"/>
          <w14:textFill>
            <w14:solidFill>
              <w14:schemeClr w14:val="tx1"/>
            </w14:solidFill>
          </w14:textFill>
        </w:rPr>
        <w:t>linear regression models</w:t>
      </w:r>
      <w:r>
        <w:rPr>
          <w:color w:val="000000" w:themeColor="text1"/>
          <w14:textFill>
            <w14:solidFill>
              <w14:schemeClr w14:val="tx1"/>
            </w14:solidFill>
          </w14:textFill>
        </w:rPr>
        <w:t>. The findings revealed that fertilizer price subsidies increased fertilizer purchase frequency and improved crop yields. The study concluded that subsidy pricing reforms improve fertilizer uptake among farmers. This finding supports the present study examining fertilizer uptake.</w:t>
      </w:r>
    </w:p>
    <w:p w14:paraId="59B45A6D">
      <w:pPr>
        <w:pStyle w:val="43"/>
        <w:rPr>
          <w:color w:val="000000" w:themeColor="text1"/>
          <w14:textFill>
            <w14:solidFill>
              <w14:schemeClr w14:val="tx1"/>
            </w14:solidFill>
          </w14:textFill>
        </w:rPr>
      </w:pPr>
    </w:p>
    <w:p w14:paraId="1C192A14">
      <w:pPr>
        <w:rPr>
          <w:color w:val="000000" w:themeColor="text1"/>
          <w14:textFill>
            <w14:solidFill>
              <w14:schemeClr w14:val="tx1"/>
            </w14:solidFill>
          </w14:textFill>
        </w:rPr>
      </w:pPr>
      <w:r>
        <w:rPr>
          <w:color w:val="000000" w:themeColor="text1"/>
          <w14:textFill>
            <w14:solidFill>
              <w14:schemeClr w14:val="tx1"/>
            </w14:solidFill>
          </w14:textFill>
        </w:rPr>
        <w:t xml:space="preserve">Finally, </w:t>
      </w:r>
      <w:r>
        <w:rPr>
          <w:rStyle w:val="20"/>
          <w:rFonts w:cs="Times New Roman"/>
          <w:b w:val="0"/>
          <w:bCs w:val="0"/>
          <w:color w:val="000000" w:themeColor="text1"/>
          <w:szCs w:val="24"/>
          <w14:textFill>
            <w14:solidFill>
              <w14:schemeClr w14:val="tx1"/>
            </w14:solidFill>
          </w14:textFill>
        </w:rPr>
        <w:t>Wainaina et al. (2025)</w:t>
      </w:r>
      <w:r>
        <w:rPr>
          <w:color w:val="000000" w:themeColor="text1"/>
          <w14:textFill>
            <w14:solidFill>
              <w14:schemeClr w14:val="tx1"/>
            </w14:solidFill>
          </w14:textFill>
        </w:rPr>
        <w:t xml:space="preserve"> examined fertilizer subsidy programs in Kenya using a </w:t>
      </w:r>
      <w:r>
        <w:rPr>
          <w:rStyle w:val="20"/>
          <w:rFonts w:cs="Times New Roman"/>
          <w:b w:val="0"/>
          <w:bCs w:val="0"/>
          <w:color w:val="000000" w:themeColor="text1"/>
          <w:szCs w:val="24"/>
          <w14:textFill>
            <w14:solidFill>
              <w14:schemeClr w14:val="tx1"/>
            </w14:solidFill>
          </w14:textFill>
        </w:rPr>
        <w:t>survey design involving 720 farmers</w:t>
      </w:r>
      <w:r>
        <w:rPr>
          <w:color w:val="000000" w:themeColor="text1"/>
          <w14:textFill>
            <w14:solidFill>
              <w14:schemeClr w14:val="tx1"/>
            </w14:solidFill>
          </w14:textFill>
        </w:rPr>
        <w:t xml:space="preserve">. The researchers applied </w:t>
      </w:r>
      <w:r>
        <w:rPr>
          <w:rStyle w:val="20"/>
          <w:rFonts w:cs="Times New Roman"/>
          <w:b w:val="0"/>
          <w:bCs w:val="0"/>
          <w:color w:val="000000" w:themeColor="text1"/>
          <w:szCs w:val="24"/>
          <w14:textFill>
            <w14:solidFill>
              <w14:schemeClr w14:val="tx1"/>
            </w14:solidFill>
          </w14:textFill>
        </w:rPr>
        <w:t>structural equation modelling</w:t>
      </w:r>
      <w:r>
        <w:rPr>
          <w:color w:val="000000" w:themeColor="text1"/>
          <w14:textFill>
            <w14:solidFill>
              <w14:schemeClr w14:val="tx1"/>
            </w14:solidFill>
          </w14:textFill>
        </w:rPr>
        <w:t xml:space="preserve"> to analyze fertilizer use behavior. The findings showed that fertilizer price discounts increased fertilizer purchase decisions and fertilizer application levels. The study concluded that subsidy pricing reforms improve fertilizer uptake among smallholder farmers. This finding supports the present study on fertilizer uptake and utilization.</w:t>
      </w:r>
    </w:p>
    <w:p w14:paraId="4E28E758">
      <w:pPr>
        <w:rPr>
          <w:color w:val="000000" w:themeColor="text1"/>
          <w14:textFill>
            <w14:solidFill>
              <w14:schemeClr w14:val="tx1"/>
            </w14:solidFill>
          </w14:textFill>
        </w:rPr>
      </w:pPr>
    </w:p>
    <w:p w14:paraId="123FF124">
      <w:pPr>
        <w:pStyle w:val="4"/>
        <w:rPr>
          <w:color w:val="000000" w:themeColor="text1"/>
          <w14:textFill>
            <w14:solidFill>
              <w14:schemeClr w14:val="tx1"/>
            </w14:solidFill>
          </w14:textFill>
        </w:rPr>
      </w:pPr>
      <w:r>
        <w:rPr>
          <w:color w:val="000000" w:themeColor="text1"/>
          <w14:textFill>
            <w14:solidFill>
              <w14:schemeClr w14:val="tx1"/>
            </w14:solidFill>
          </w14:textFill>
        </w:rPr>
        <w:t>2.2.2 Perceived Affordability</w:t>
      </w:r>
    </w:p>
    <w:p w14:paraId="3A12A135">
      <w:pPr>
        <w:rPr>
          <w:color w:val="000000" w:themeColor="text1"/>
          <w14:textFill>
            <w14:solidFill>
              <w14:schemeClr w14:val="tx1"/>
            </w14:solidFill>
          </w14:textFill>
        </w:rPr>
      </w:pPr>
      <w:r>
        <w:rPr>
          <w:color w:val="000000" w:themeColor="text1"/>
          <w14:textFill>
            <w14:solidFill>
              <w14:schemeClr w14:val="tx1"/>
            </w14:solidFill>
          </w14:textFill>
        </w:rPr>
        <w:t>A study by Mason et al. (2020) examined how fertilizer affordability influences fertilizer demand among smallholder farmers in Zambia. The study adopted a household survey design and collected data from 1,200 farming households across rural districts. Data were analyzed using logistic regression analysis. The results showed that farmers who perceived fertilizer as affordable were more likely to purchase fertilizer compared to those who perceived it as expensive. The study concluded that farmers’ perception of fertilizer affordability significantly affects fertilizer adoption. This finding is relevant to the current study because perceived affordability may influence smallholder farmers’ decisions to access and utilize fertilizer under subsidy reforms.</w:t>
      </w:r>
    </w:p>
    <w:p w14:paraId="79F3847E">
      <w:pPr>
        <w:pStyle w:val="43"/>
        <w:rPr>
          <w:color w:val="000000" w:themeColor="text1"/>
          <w14:textFill>
            <w14:solidFill>
              <w14:schemeClr w14:val="tx1"/>
            </w14:solidFill>
          </w14:textFill>
        </w:rPr>
      </w:pPr>
    </w:p>
    <w:p w14:paraId="77BF51C1">
      <w:pPr>
        <w:rPr>
          <w:color w:val="000000" w:themeColor="text1"/>
          <w14:textFill>
            <w14:solidFill>
              <w14:schemeClr w14:val="tx1"/>
            </w14:solidFill>
          </w14:textFill>
        </w:rPr>
      </w:pPr>
      <w:r>
        <w:rPr>
          <w:color w:val="000000" w:themeColor="text1"/>
          <w14:textFill>
            <w14:solidFill>
              <w14:schemeClr w14:val="tx1"/>
            </w14:solidFill>
          </w14:textFill>
        </w:rPr>
        <w:t>A study by Fuglie et al. (2021) investigated factors influencing fertilizer use in sub-Saharan Africa. The researchers used a quantitative research design analyzing secondary data from over 2,000 smallholder farming households across several African countries. Econometric modelling revealed that farmers who perceived fertilizer as financially manageable applied higher fertilizer quantities compared to farmers who perceived fertilizer as expensive. The findings demonstrate that perceived affordability plays a major role in determining fertilizer use behavior. This study is relevant to the current research because it highlights the role of affordability perceptions in fertilizer uptake.</w:t>
      </w:r>
    </w:p>
    <w:p w14:paraId="32783029">
      <w:pPr>
        <w:pStyle w:val="43"/>
        <w:rPr>
          <w:color w:val="000000" w:themeColor="text1"/>
          <w14:textFill>
            <w14:solidFill>
              <w14:schemeClr w14:val="tx1"/>
            </w14:solidFill>
          </w14:textFill>
        </w:rPr>
      </w:pPr>
    </w:p>
    <w:p w14:paraId="01B061B6">
      <w:pPr>
        <w:rPr>
          <w:color w:val="000000" w:themeColor="text1"/>
          <w14:textFill>
            <w14:solidFill>
              <w14:schemeClr w14:val="tx1"/>
            </w14:solidFill>
          </w14:textFill>
        </w:rPr>
      </w:pPr>
      <w:r>
        <w:rPr>
          <w:color w:val="000000" w:themeColor="text1"/>
          <w14:textFill>
            <w14:solidFill>
              <w14:schemeClr w14:val="tx1"/>
            </w14:solidFill>
          </w14:textFill>
        </w:rPr>
        <w:t>Another study conducted by Holden and Lunduka (2021) assessed the impact of fertilizer subsidy programs on smallholder farmers in Malawi. The researchers used a panel data research design analyzing survey data from 900 farming households. The findings revealed that perceived fertilizer affordability significantly influenced farmers’ willingness to redeem fertilizer subsidy vouchers. Farmers who perceived fertilizer as affordable were more likely to utilize fertilizer during the planting season. This finding is relevant to the current study because it shows that perceived affordability can influence fertilizer uptake and utilization among smallholder farmers.</w:t>
      </w:r>
    </w:p>
    <w:p w14:paraId="6F2F0CDA">
      <w:pPr>
        <w:pStyle w:val="43"/>
        <w:rPr>
          <w:color w:val="000000" w:themeColor="text1"/>
          <w14:textFill>
            <w14:solidFill>
              <w14:schemeClr w14:val="tx1"/>
            </w14:solidFill>
          </w14:textFill>
        </w:rPr>
      </w:pPr>
    </w:p>
    <w:p w14:paraId="66A13BB0">
      <w:pPr>
        <w:rPr>
          <w:color w:val="000000" w:themeColor="text1"/>
          <w14:textFill>
            <w14:solidFill>
              <w14:schemeClr w14:val="tx1"/>
            </w14:solidFill>
          </w14:textFill>
        </w:rPr>
      </w:pPr>
      <w:r>
        <w:rPr>
          <w:color w:val="000000" w:themeColor="text1"/>
          <w14:textFill>
            <w14:solidFill>
              <w14:schemeClr w14:val="tx1"/>
            </w14:solidFill>
          </w14:textFill>
        </w:rPr>
        <w:t>A study by Takeshima et al. (2022) investigated fertilizer demand among smallholder farmers in Nigeria. The study used a cross-sectional survey design targeting 850 farmers and analyzed the data using probit regression models. Findings revealed that farmers’ perception of fertilizer affordability significantly influenced fertilizer purchase decisions. Farmers who believed fertilizer prices were affordable applied higher fertilizer quantities compared to those who perceived fertilizer as expensive. This finding is important to the current study because perceived affordability may influence fertilizer use behavior under subsidy reforms.</w:t>
      </w:r>
    </w:p>
    <w:p w14:paraId="3E57806D">
      <w:pPr>
        <w:pStyle w:val="43"/>
        <w:rPr>
          <w:color w:val="000000" w:themeColor="text1"/>
          <w14:textFill>
            <w14:solidFill>
              <w14:schemeClr w14:val="tx1"/>
            </w14:solidFill>
          </w14:textFill>
        </w:rPr>
      </w:pPr>
    </w:p>
    <w:p w14:paraId="527BAE19">
      <w:pPr>
        <w:rPr>
          <w:color w:val="000000" w:themeColor="text1"/>
          <w14:textFill>
            <w14:solidFill>
              <w14:schemeClr w14:val="tx1"/>
            </w14:solidFill>
          </w14:textFill>
        </w:rPr>
      </w:pPr>
      <w:r>
        <w:rPr>
          <w:color w:val="000000" w:themeColor="text1"/>
          <w14:textFill>
            <w14:solidFill>
              <w14:schemeClr w14:val="tx1"/>
            </w14:solidFill>
          </w14:textFill>
        </w:rPr>
        <w:t>A study by Sheahan and Barrett (2022) examined fertilizer use patterns in Africa using a large-scale household dataset covering over 3,000 farmers. The researchers applied econometric modelling techniques to determine factors influencing fertilizer demand. The findings indicated that perceived fertilizer affordability significantly influenced fertilizer adoption among smallholder farmers. Farmers who perceived fertilizer as affordable were more likely to purchase and apply fertilizer consistently. This finding supports the current study because perceived affordability may influence fertilizer uptake among subsidy beneficiaries.</w:t>
      </w:r>
    </w:p>
    <w:p w14:paraId="5383C8C7">
      <w:pPr>
        <w:pStyle w:val="43"/>
        <w:rPr>
          <w:color w:val="000000" w:themeColor="text1"/>
          <w14:textFill>
            <w14:solidFill>
              <w14:schemeClr w14:val="tx1"/>
            </w14:solidFill>
          </w14:textFill>
        </w:rPr>
      </w:pPr>
    </w:p>
    <w:p w14:paraId="6DD2D9C8">
      <w:pPr>
        <w:rPr>
          <w:color w:val="000000" w:themeColor="text1"/>
          <w14:textFill>
            <w14:solidFill>
              <w14:schemeClr w14:val="tx1"/>
            </w14:solidFill>
          </w14:textFill>
        </w:rPr>
      </w:pPr>
      <w:r>
        <w:rPr>
          <w:color w:val="000000" w:themeColor="text1"/>
          <w14:textFill>
            <w14:solidFill>
              <w14:schemeClr w14:val="tx1"/>
            </w14:solidFill>
          </w14:textFill>
        </w:rPr>
        <w:t>A study by Muriithi et al. (2023) examined fertilizer use in Kenya using a survey research design involving 480 smallholder farmers in maize-producing counties. Data analysis using multiple regression techniques showed that farmers who perceived fertilizer as affordable were significantly more likely to purchase fertilizer. The study concluded that affordability perceptions influence fertilizer demand decisions. This finding is relevant to the current study because farmers’ perception of fertilizer affordability may affect their willingness to access and utilize fertilizer.</w:t>
      </w:r>
    </w:p>
    <w:p w14:paraId="0825502D">
      <w:pPr>
        <w:pStyle w:val="43"/>
        <w:rPr>
          <w:color w:val="000000" w:themeColor="text1"/>
          <w14:textFill>
            <w14:solidFill>
              <w14:schemeClr w14:val="tx1"/>
            </w14:solidFill>
          </w14:textFill>
        </w:rPr>
      </w:pPr>
    </w:p>
    <w:p w14:paraId="4CF9D2A7">
      <w:pPr>
        <w:rPr>
          <w:color w:val="000000" w:themeColor="text1"/>
          <w14:textFill>
            <w14:solidFill>
              <w14:schemeClr w14:val="tx1"/>
            </w14:solidFill>
          </w14:textFill>
        </w:rPr>
      </w:pPr>
      <w:r>
        <w:rPr>
          <w:color w:val="000000" w:themeColor="text1"/>
          <w14:textFill>
            <w14:solidFill>
              <w14:schemeClr w14:val="tx1"/>
            </w14:solidFill>
          </w14:textFill>
        </w:rPr>
        <w:t>A study conducted by Kiptoo and Ochieng (2024) assessed fertilizer adoption among Kenyan smallholder farmers using a descriptive research design targeting 520 farmers. Data were analyzed using Pearson correlation and regression analysis. The findings showed that perceived fertilizer affordability had a strong positive relationship with fertilizer purchase decisions. Farmers who considered fertilizer affordable used higher fertilizer quantities. This finding supports the current study by showing that perceived affordability may influence fertilizer uptake and utilization.</w:t>
      </w:r>
    </w:p>
    <w:p w14:paraId="77E7F018">
      <w:pPr>
        <w:pStyle w:val="43"/>
        <w:rPr>
          <w:color w:val="000000" w:themeColor="text1"/>
          <w14:textFill>
            <w14:solidFill>
              <w14:schemeClr w14:val="tx1"/>
            </w14:solidFill>
          </w14:textFill>
        </w:rPr>
      </w:pPr>
    </w:p>
    <w:p w14:paraId="27133A65">
      <w:pPr>
        <w:rPr>
          <w:color w:val="000000" w:themeColor="text1"/>
          <w14:textFill>
            <w14:solidFill>
              <w14:schemeClr w14:val="tx1"/>
            </w14:solidFill>
          </w14:textFill>
        </w:rPr>
      </w:pPr>
      <w:r>
        <w:rPr>
          <w:color w:val="000000" w:themeColor="text1"/>
          <w14:textFill>
            <w14:solidFill>
              <w14:schemeClr w14:val="tx1"/>
            </w14:solidFill>
          </w14:textFill>
        </w:rPr>
        <w:t>A study by Munyua et al. (2024) examined fertilizer adoption among farmers participating in Kenya’s subsidy program. The study used a cross-sectional survey design involving 610 smallholder farmers. The findings revealed that perceived fertilizer affordability significantly influenced fertilizer uptake levels among farmers. This finding highlights the role of affordability perceptions in fertilizer use behavior, which supports the current study.</w:t>
      </w:r>
    </w:p>
    <w:p w14:paraId="56696A9F">
      <w:pPr>
        <w:pStyle w:val="43"/>
        <w:rPr>
          <w:color w:val="000000" w:themeColor="text1"/>
          <w14:textFill>
            <w14:solidFill>
              <w14:schemeClr w14:val="tx1"/>
            </w14:solidFill>
          </w14:textFill>
        </w:rPr>
      </w:pPr>
    </w:p>
    <w:p w14:paraId="27B3F37C">
      <w:pPr>
        <w:rPr>
          <w:color w:val="000000" w:themeColor="text1"/>
          <w14:textFill>
            <w14:solidFill>
              <w14:schemeClr w14:val="tx1"/>
            </w14:solidFill>
          </w14:textFill>
        </w:rPr>
      </w:pPr>
      <w:r>
        <w:rPr>
          <w:color w:val="000000" w:themeColor="text1"/>
          <w14:textFill>
            <w14:solidFill>
              <w14:schemeClr w14:val="tx1"/>
            </w14:solidFill>
          </w14:textFill>
        </w:rPr>
        <w:t>Finally, Kamau et al. (2025) conducted a study assessing factors influencing fertilizer adoption among smallholder farmers in Kenya using a mixed-methods research design targeting 700 farmers. The findings indicated that farmers who perceived fertilizer as affordable were significantly more likely to increase fertilizer application rates. The study concluded that perceived affordability influences fertilizer uptake behavior. This finding is relevant to the current study because it highlights the importance of perceived affordability in determining fertilizer uptake and utilization.</w:t>
      </w:r>
    </w:p>
    <w:p w14:paraId="3D9097C4">
      <w:pPr>
        <w:rPr>
          <w:color w:val="000000" w:themeColor="text1"/>
          <w14:textFill>
            <w14:solidFill>
              <w14:schemeClr w14:val="tx1"/>
            </w14:solidFill>
          </w14:textFill>
        </w:rPr>
      </w:pPr>
    </w:p>
    <w:p w14:paraId="674B79E8">
      <w:pPr>
        <w:pStyle w:val="4"/>
        <w:rPr>
          <w:color w:val="000000" w:themeColor="text1"/>
          <w14:textFill>
            <w14:solidFill>
              <w14:schemeClr w14:val="tx1"/>
            </w14:solidFill>
          </w14:textFill>
        </w:rPr>
      </w:pPr>
      <w:r>
        <w:rPr>
          <w:color w:val="000000" w:themeColor="text1"/>
          <w14:textFill>
            <w14:solidFill>
              <w14:schemeClr w14:val="tx1"/>
            </w14:solidFill>
          </w14:textFill>
        </w:rPr>
        <w:t>2.2.3 Disbursement Time Lag</w:t>
      </w:r>
    </w:p>
    <w:p w14:paraId="38845A57">
      <w:pPr>
        <w:rPr>
          <w:color w:val="000000" w:themeColor="text1"/>
          <w14:textFill>
            <w14:solidFill>
              <w14:schemeClr w14:val="tx1"/>
            </w14:solidFill>
          </w14:textFill>
        </w:rPr>
      </w:pPr>
      <w:r>
        <w:rPr>
          <w:color w:val="000000" w:themeColor="text1"/>
          <w14:textFill>
            <w14:solidFill>
              <w14:schemeClr w14:val="tx1"/>
            </w14:solidFill>
          </w14:textFill>
        </w:rPr>
        <w:t xml:space="preserve">A study by </w:t>
      </w:r>
      <w:r>
        <w:rPr>
          <w:rStyle w:val="20"/>
          <w:rFonts w:cs="Times New Roman"/>
          <w:b w:val="0"/>
          <w:bCs w:val="0"/>
          <w:color w:val="000000" w:themeColor="text1"/>
          <w:szCs w:val="24"/>
          <w14:textFill>
            <w14:solidFill>
              <w14:schemeClr w14:val="tx1"/>
            </w14:solidFill>
          </w14:textFill>
        </w:rPr>
        <w:t>Holden and Lunduka (2020)</w:t>
      </w:r>
      <w:r>
        <w:rPr>
          <w:color w:val="000000" w:themeColor="text1"/>
          <w14:textFill>
            <w14:solidFill>
              <w14:schemeClr w14:val="tx1"/>
            </w14:solidFill>
          </w14:textFill>
        </w:rPr>
        <w:t xml:space="preserve"> examined the effect of fertilizer subsidy timing on agricultural productivity among smallholder farmers in Malawi. The study used </w:t>
      </w:r>
      <w:r>
        <w:rPr>
          <w:rStyle w:val="20"/>
          <w:rFonts w:cs="Times New Roman"/>
          <w:b w:val="0"/>
          <w:bCs w:val="0"/>
          <w:color w:val="000000" w:themeColor="text1"/>
          <w:szCs w:val="24"/>
          <w14:textFill>
            <w14:solidFill>
              <w14:schemeClr w14:val="tx1"/>
            </w14:solidFill>
          </w14:textFill>
        </w:rPr>
        <w:t>panel survey data from 900 farmers</w:t>
      </w:r>
      <w:r>
        <w:rPr>
          <w:color w:val="000000" w:themeColor="text1"/>
          <w14:textFill>
            <w14:solidFill>
              <w14:schemeClr w14:val="tx1"/>
            </w14:solidFill>
          </w14:textFill>
        </w:rPr>
        <w:t xml:space="preserve"> participating in the Malawi Farm Input Subsidy Program and applied </w:t>
      </w:r>
      <w:r>
        <w:rPr>
          <w:rStyle w:val="20"/>
          <w:rFonts w:cs="Times New Roman"/>
          <w:b w:val="0"/>
          <w:bCs w:val="0"/>
          <w:color w:val="000000" w:themeColor="text1"/>
          <w:szCs w:val="24"/>
          <w14:textFill>
            <w14:solidFill>
              <w14:schemeClr w14:val="tx1"/>
            </w14:solidFill>
          </w14:textFill>
        </w:rPr>
        <w:t>fixed-effects regression analysis</w:t>
      </w:r>
      <w:r>
        <w:rPr>
          <w:color w:val="000000" w:themeColor="text1"/>
          <w14:textFill>
            <w14:solidFill>
              <w14:schemeClr w14:val="tx1"/>
            </w14:solidFill>
          </w14:textFill>
        </w:rPr>
        <w:t>. The findings showed that delayed fertilizer distribution reduced fertilizer use because many farmers received fertilizer after the planting period. Consequently, fertilizer was applied late or not used at all. This finding suggests that disbursement time lag may reduce fertilizer uptake and utilization in the present study.</w:t>
      </w:r>
    </w:p>
    <w:p w14:paraId="2B8F9418">
      <w:pPr>
        <w:pStyle w:val="43"/>
        <w:rPr>
          <w:color w:val="000000" w:themeColor="text1"/>
          <w14:textFill>
            <w14:solidFill>
              <w14:schemeClr w14:val="tx1"/>
            </w14:solidFill>
          </w14:textFill>
        </w:rPr>
      </w:pPr>
    </w:p>
    <w:p w14:paraId="488A89FB">
      <w:pPr>
        <w:rPr>
          <w:color w:val="000000" w:themeColor="text1"/>
          <w14:textFill>
            <w14:solidFill>
              <w14:schemeClr w14:val="tx1"/>
            </w14:solidFill>
          </w14:textFill>
        </w:rPr>
      </w:pPr>
      <w:r>
        <w:rPr>
          <w:color w:val="000000" w:themeColor="text1"/>
          <w14:textFill>
            <w14:solidFill>
              <w14:schemeClr w14:val="tx1"/>
            </w14:solidFill>
          </w14:textFill>
        </w:rPr>
        <w:t xml:space="preserve">A study by </w:t>
      </w:r>
      <w:r>
        <w:rPr>
          <w:rStyle w:val="20"/>
          <w:rFonts w:cs="Times New Roman"/>
          <w:b w:val="0"/>
          <w:bCs w:val="0"/>
          <w:color w:val="000000" w:themeColor="text1"/>
          <w:szCs w:val="24"/>
          <w14:textFill>
            <w14:solidFill>
              <w14:schemeClr w14:val="tx1"/>
            </w14:solidFill>
          </w14:textFill>
        </w:rPr>
        <w:t>Jayne et al. (2021)</w:t>
      </w:r>
      <w:r>
        <w:rPr>
          <w:color w:val="000000" w:themeColor="text1"/>
          <w14:textFill>
            <w14:solidFill>
              <w14:schemeClr w14:val="tx1"/>
            </w14:solidFill>
          </w14:textFill>
        </w:rPr>
        <w:t xml:space="preserve"> investigated fertilizer subsidy programs across several African countries using </w:t>
      </w:r>
      <w:r>
        <w:rPr>
          <w:rStyle w:val="20"/>
          <w:rFonts w:cs="Times New Roman"/>
          <w:b w:val="0"/>
          <w:bCs w:val="0"/>
          <w:color w:val="000000" w:themeColor="text1"/>
          <w:szCs w:val="24"/>
          <w14:textFill>
            <w14:solidFill>
              <w14:schemeClr w14:val="tx1"/>
            </w14:solidFill>
          </w14:textFill>
        </w:rPr>
        <w:t>comparative survey data from over 2,000 farmers</w:t>
      </w:r>
      <w:r>
        <w:rPr>
          <w:color w:val="000000" w:themeColor="text1"/>
          <w14:textFill>
            <w14:solidFill>
              <w14:schemeClr w14:val="tx1"/>
            </w14:solidFill>
          </w14:textFill>
        </w:rPr>
        <w:t xml:space="preserve"> in Kenya, Zambia, and Malawi. The researchers applied </w:t>
      </w:r>
      <w:r>
        <w:rPr>
          <w:rStyle w:val="20"/>
          <w:rFonts w:cs="Times New Roman"/>
          <w:b w:val="0"/>
          <w:bCs w:val="0"/>
          <w:color w:val="000000" w:themeColor="text1"/>
          <w:szCs w:val="24"/>
          <w14:textFill>
            <w14:solidFill>
              <w14:schemeClr w14:val="tx1"/>
            </w14:solidFill>
          </w14:textFill>
        </w:rPr>
        <w:t>econometric modeling</w:t>
      </w:r>
      <w:r>
        <w:rPr>
          <w:color w:val="000000" w:themeColor="text1"/>
          <w14:textFill>
            <w14:solidFill>
              <w14:schemeClr w14:val="tx1"/>
            </w14:solidFill>
          </w14:textFill>
        </w:rPr>
        <w:t xml:space="preserve"> to analyze fertilizer adoption. The findings showed that delayed subsidy distribution reduced farmers’ ability to apply fertilizer at the correct crop growth stage. This resulted in lower productivity gains among farmers. The study concluded that timely fertilizer distribution is essential for effective subsidy programs, which supports the present study.</w:t>
      </w:r>
    </w:p>
    <w:p w14:paraId="7C9770B4">
      <w:pPr>
        <w:pStyle w:val="43"/>
        <w:rPr>
          <w:color w:val="000000" w:themeColor="text1"/>
          <w14:textFill>
            <w14:solidFill>
              <w14:schemeClr w14:val="tx1"/>
            </w14:solidFill>
          </w14:textFill>
        </w:rPr>
      </w:pPr>
    </w:p>
    <w:p w14:paraId="05DC3BE0">
      <w:pPr>
        <w:rPr>
          <w:color w:val="000000" w:themeColor="text1"/>
          <w14:textFill>
            <w14:solidFill>
              <w14:schemeClr w14:val="tx1"/>
            </w14:solidFill>
          </w14:textFill>
        </w:rPr>
      </w:pPr>
      <w:r>
        <w:rPr>
          <w:color w:val="000000" w:themeColor="text1"/>
          <w14:textFill>
            <w14:solidFill>
              <w14:schemeClr w14:val="tx1"/>
            </w14:solidFill>
          </w14:textFill>
        </w:rPr>
        <w:t xml:space="preserve">Another study by </w:t>
      </w:r>
      <w:r>
        <w:rPr>
          <w:rStyle w:val="20"/>
          <w:rFonts w:cs="Times New Roman"/>
          <w:b w:val="0"/>
          <w:bCs w:val="0"/>
          <w:color w:val="000000" w:themeColor="text1"/>
          <w:szCs w:val="24"/>
          <w14:textFill>
            <w14:solidFill>
              <w14:schemeClr w14:val="tx1"/>
            </w14:solidFill>
          </w14:textFill>
        </w:rPr>
        <w:t>Ricker-Gilbert and Jayne (2022)</w:t>
      </w:r>
      <w:r>
        <w:rPr>
          <w:color w:val="000000" w:themeColor="text1"/>
          <w14:textFill>
            <w14:solidFill>
              <w14:schemeClr w14:val="tx1"/>
            </w14:solidFill>
          </w14:textFill>
        </w:rPr>
        <w:t xml:space="preserve"> analyzed fertilizer subsidy delivery systems in Malawi and Zambia using </w:t>
      </w:r>
      <w:r>
        <w:rPr>
          <w:rStyle w:val="20"/>
          <w:rFonts w:cs="Times New Roman"/>
          <w:b w:val="0"/>
          <w:bCs w:val="0"/>
          <w:color w:val="000000" w:themeColor="text1"/>
          <w:szCs w:val="24"/>
          <w14:textFill>
            <w14:solidFill>
              <w14:schemeClr w14:val="tx1"/>
            </w14:solidFill>
          </w14:textFill>
        </w:rPr>
        <w:t>longitudinal survey data from 1,462 farming households</w:t>
      </w:r>
      <w:r>
        <w:rPr>
          <w:color w:val="000000" w:themeColor="text1"/>
          <w14:textFill>
            <w14:solidFill>
              <w14:schemeClr w14:val="tx1"/>
            </w14:solidFill>
          </w14:textFill>
        </w:rPr>
        <w:t xml:space="preserve">. The researchers used </w:t>
      </w:r>
      <w:r>
        <w:rPr>
          <w:rStyle w:val="20"/>
          <w:rFonts w:cs="Times New Roman"/>
          <w:b w:val="0"/>
          <w:bCs w:val="0"/>
          <w:color w:val="000000" w:themeColor="text1"/>
          <w:szCs w:val="24"/>
          <w14:textFill>
            <w14:solidFill>
              <w14:schemeClr w14:val="tx1"/>
            </w14:solidFill>
          </w14:textFill>
        </w:rPr>
        <w:t>difference-in-difference estimation models</w:t>
      </w:r>
      <w:r>
        <w:rPr>
          <w:color w:val="000000" w:themeColor="text1"/>
          <w14:textFill>
            <w14:solidFill>
              <w14:schemeClr w14:val="tx1"/>
            </w14:solidFill>
          </w14:textFill>
        </w:rPr>
        <w:t xml:space="preserve"> to evaluate fertilizer use. The findings showed that farmers receiving fertilizer late in the season had lower fertilizer usage rates than those receiving fertilizer before planting. Late delivery limited productivity benefits from fertilizer use. This finding highlights that subsidy timing affects fertilizer uptake among smallholder farmers.</w:t>
      </w:r>
    </w:p>
    <w:p w14:paraId="14E04474">
      <w:pPr>
        <w:pStyle w:val="43"/>
        <w:rPr>
          <w:color w:val="000000" w:themeColor="text1"/>
          <w14:textFill>
            <w14:solidFill>
              <w14:schemeClr w14:val="tx1"/>
            </w14:solidFill>
          </w14:textFill>
        </w:rPr>
      </w:pPr>
    </w:p>
    <w:p w14:paraId="6CF1C41C">
      <w:pPr>
        <w:rPr>
          <w:color w:val="000000" w:themeColor="text1"/>
          <w14:textFill>
            <w14:solidFill>
              <w14:schemeClr w14:val="tx1"/>
            </w14:solidFill>
          </w14:textFill>
        </w:rPr>
      </w:pPr>
      <w:r>
        <w:rPr>
          <w:color w:val="000000" w:themeColor="text1"/>
          <w14:textFill>
            <w14:solidFill>
              <w14:schemeClr w14:val="tx1"/>
            </w14:solidFill>
          </w14:textFill>
        </w:rPr>
        <w:t xml:space="preserve">A study by </w:t>
      </w:r>
      <w:r>
        <w:rPr>
          <w:rStyle w:val="20"/>
          <w:rFonts w:cs="Times New Roman"/>
          <w:b w:val="0"/>
          <w:bCs w:val="0"/>
          <w:color w:val="000000" w:themeColor="text1"/>
          <w:szCs w:val="24"/>
          <w14:textFill>
            <w14:solidFill>
              <w14:schemeClr w14:val="tx1"/>
            </w14:solidFill>
          </w14:textFill>
        </w:rPr>
        <w:t>Liverpool-Tasie et al. (2022)</w:t>
      </w:r>
      <w:r>
        <w:rPr>
          <w:color w:val="000000" w:themeColor="text1"/>
          <w14:textFill>
            <w14:solidFill>
              <w14:schemeClr w14:val="tx1"/>
            </w14:solidFill>
          </w14:textFill>
        </w:rPr>
        <w:t xml:space="preserve"> examined the influence of delayed input programs on fertilizer use among maize farmers in Nigeria. The study used a </w:t>
      </w:r>
      <w:r>
        <w:rPr>
          <w:rStyle w:val="20"/>
          <w:rFonts w:cs="Times New Roman"/>
          <w:b w:val="0"/>
          <w:bCs w:val="0"/>
          <w:color w:val="000000" w:themeColor="text1"/>
          <w:szCs w:val="24"/>
          <w14:textFill>
            <w14:solidFill>
              <w14:schemeClr w14:val="tx1"/>
            </w14:solidFill>
          </w14:textFill>
        </w:rPr>
        <w:t>cross-sectional survey design involving 1,050 farmers</w:t>
      </w:r>
      <w:r>
        <w:rPr>
          <w:color w:val="000000" w:themeColor="text1"/>
          <w14:textFill>
            <w14:solidFill>
              <w14:schemeClr w14:val="tx1"/>
            </w14:solidFill>
          </w14:textFill>
        </w:rPr>
        <w:t xml:space="preserve"> and applied </w:t>
      </w:r>
      <w:r>
        <w:rPr>
          <w:rStyle w:val="20"/>
          <w:rFonts w:cs="Times New Roman"/>
          <w:b w:val="0"/>
          <w:bCs w:val="0"/>
          <w:color w:val="000000" w:themeColor="text1"/>
          <w:szCs w:val="24"/>
          <w14:textFill>
            <w14:solidFill>
              <w14:schemeClr w14:val="tx1"/>
            </w14:solidFill>
          </w14:textFill>
        </w:rPr>
        <w:t>probit regression analysis</w:t>
      </w:r>
      <w:r>
        <w:rPr>
          <w:color w:val="000000" w:themeColor="text1"/>
          <w14:textFill>
            <w14:solidFill>
              <w14:schemeClr w14:val="tx1"/>
            </w14:solidFill>
          </w14:textFill>
        </w:rPr>
        <w:t>. The findings showed that farmers receiving fertilizer subsidies late were less likely to apply fertilizer than those receiving inputs early. Delayed distribution reduced the effectiveness of subsidy programs. This finding suggests that disbursement delays may weaken fertilizer uptake among farmers in the present study.</w:t>
      </w:r>
    </w:p>
    <w:p w14:paraId="1FF21322">
      <w:pPr>
        <w:pStyle w:val="43"/>
        <w:rPr>
          <w:color w:val="000000" w:themeColor="text1"/>
          <w14:textFill>
            <w14:solidFill>
              <w14:schemeClr w14:val="tx1"/>
            </w14:solidFill>
          </w14:textFill>
        </w:rPr>
      </w:pPr>
    </w:p>
    <w:p w14:paraId="11FD47CE">
      <w:pPr>
        <w:rPr>
          <w:color w:val="000000" w:themeColor="text1"/>
          <w14:textFill>
            <w14:solidFill>
              <w14:schemeClr w14:val="tx1"/>
            </w14:solidFill>
          </w14:textFill>
        </w:rPr>
      </w:pPr>
      <w:r>
        <w:rPr>
          <w:color w:val="000000" w:themeColor="text1"/>
          <w14:textFill>
            <w14:solidFill>
              <w14:schemeClr w14:val="tx1"/>
            </w14:solidFill>
          </w14:textFill>
        </w:rPr>
        <w:t xml:space="preserve">A study by </w:t>
      </w:r>
      <w:r>
        <w:rPr>
          <w:rStyle w:val="20"/>
          <w:rFonts w:cs="Times New Roman"/>
          <w:b w:val="0"/>
          <w:bCs w:val="0"/>
          <w:color w:val="000000" w:themeColor="text1"/>
          <w:szCs w:val="24"/>
          <w14:textFill>
            <w14:solidFill>
              <w14:schemeClr w14:val="tx1"/>
            </w14:solidFill>
          </w14:textFill>
        </w:rPr>
        <w:t>Takeshima et al. (2023)</w:t>
      </w:r>
      <w:r>
        <w:rPr>
          <w:color w:val="000000" w:themeColor="text1"/>
          <w14:textFill>
            <w14:solidFill>
              <w14:schemeClr w14:val="tx1"/>
            </w14:solidFill>
          </w14:textFill>
        </w:rPr>
        <w:t xml:space="preserve"> assessed fertilizer subsidy implementation in Nigeria using a </w:t>
      </w:r>
      <w:r>
        <w:rPr>
          <w:rStyle w:val="20"/>
          <w:rFonts w:cs="Times New Roman"/>
          <w:b w:val="0"/>
          <w:bCs w:val="0"/>
          <w:color w:val="000000" w:themeColor="text1"/>
          <w:szCs w:val="24"/>
          <w14:textFill>
            <w14:solidFill>
              <w14:schemeClr w14:val="tx1"/>
            </w14:solidFill>
          </w14:textFill>
        </w:rPr>
        <w:t>mixed-methods design involving survey data from 820 farmers</w:t>
      </w:r>
      <w:r>
        <w:rPr>
          <w:color w:val="000000" w:themeColor="text1"/>
          <w14:textFill>
            <w14:solidFill>
              <w14:schemeClr w14:val="tx1"/>
            </w14:solidFill>
          </w14:textFill>
        </w:rPr>
        <w:t xml:space="preserve"> and administrative records. Quantitative data were analyzed using </w:t>
      </w:r>
      <w:r>
        <w:rPr>
          <w:rStyle w:val="20"/>
          <w:rFonts w:cs="Times New Roman"/>
          <w:b w:val="0"/>
          <w:bCs w:val="0"/>
          <w:color w:val="000000" w:themeColor="text1"/>
          <w:szCs w:val="24"/>
          <w14:textFill>
            <w14:solidFill>
              <w14:schemeClr w14:val="tx1"/>
            </w14:solidFill>
          </w14:textFill>
        </w:rPr>
        <w:t>logistic regression analysis</w:t>
      </w:r>
      <w:r>
        <w:rPr>
          <w:color w:val="000000" w:themeColor="text1"/>
          <w14:textFill>
            <w14:solidFill>
              <w14:schemeClr w14:val="tx1"/>
            </w14:solidFill>
          </w14:textFill>
        </w:rPr>
        <w:t>. The findings revealed that delayed fertilizer distribution discouraged farmers from participating in subsidy programs. Many farmers had already purchased fertilizer from private markets by the time subsidies became available. This finding suggests that disbursement delays may reduce farmer participation and fertilizer uptake.</w:t>
      </w:r>
    </w:p>
    <w:p w14:paraId="0E64861F">
      <w:pPr>
        <w:pStyle w:val="43"/>
        <w:rPr>
          <w:color w:val="000000" w:themeColor="text1"/>
          <w14:textFill>
            <w14:solidFill>
              <w14:schemeClr w14:val="tx1"/>
            </w14:solidFill>
          </w14:textFill>
        </w:rPr>
      </w:pPr>
    </w:p>
    <w:p w14:paraId="3CB87763">
      <w:pPr>
        <w:rPr>
          <w:color w:val="000000" w:themeColor="text1"/>
          <w14:textFill>
            <w14:solidFill>
              <w14:schemeClr w14:val="tx1"/>
            </w14:solidFill>
          </w14:textFill>
        </w:rPr>
      </w:pPr>
      <w:r>
        <w:rPr>
          <w:color w:val="000000" w:themeColor="text1"/>
          <w14:textFill>
            <w14:solidFill>
              <w14:schemeClr w14:val="tx1"/>
            </w14:solidFill>
          </w14:textFill>
        </w:rPr>
        <w:t xml:space="preserve">A study by </w:t>
      </w:r>
      <w:r>
        <w:rPr>
          <w:rStyle w:val="20"/>
          <w:rFonts w:cs="Times New Roman"/>
          <w:b w:val="0"/>
          <w:bCs w:val="0"/>
          <w:color w:val="000000" w:themeColor="text1"/>
          <w:szCs w:val="24"/>
          <w14:textFill>
            <w14:solidFill>
              <w14:schemeClr w14:val="tx1"/>
            </w14:solidFill>
          </w14:textFill>
        </w:rPr>
        <w:t>Muriithi et al. (2023)</w:t>
      </w:r>
      <w:r>
        <w:rPr>
          <w:color w:val="000000" w:themeColor="text1"/>
          <w14:textFill>
            <w14:solidFill>
              <w14:schemeClr w14:val="tx1"/>
            </w14:solidFill>
          </w14:textFill>
        </w:rPr>
        <w:t xml:space="preserve"> examined fertilizer subsidy delivery in Kenya using a </w:t>
      </w:r>
      <w:r>
        <w:rPr>
          <w:rStyle w:val="20"/>
          <w:rFonts w:cs="Times New Roman"/>
          <w:b w:val="0"/>
          <w:bCs w:val="0"/>
          <w:color w:val="000000" w:themeColor="text1"/>
          <w:szCs w:val="24"/>
          <w14:textFill>
            <w14:solidFill>
              <w14:schemeClr w14:val="tx1"/>
            </w14:solidFill>
          </w14:textFill>
        </w:rPr>
        <w:t>descriptive survey involving 450 smallholder farmers</w:t>
      </w:r>
      <w:r>
        <w:rPr>
          <w:color w:val="000000" w:themeColor="text1"/>
          <w14:textFill>
            <w14:solidFill>
              <w14:schemeClr w14:val="tx1"/>
            </w14:solidFill>
          </w14:textFill>
        </w:rPr>
        <w:t xml:space="preserve"> across maize-producing counties. The researchers used </w:t>
      </w:r>
      <w:r>
        <w:rPr>
          <w:rStyle w:val="20"/>
          <w:rFonts w:cs="Times New Roman"/>
          <w:b w:val="0"/>
          <w:bCs w:val="0"/>
          <w:color w:val="000000" w:themeColor="text1"/>
          <w:szCs w:val="24"/>
          <w14:textFill>
            <w14:solidFill>
              <w14:schemeClr w14:val="tx1"/>
            </w14:solidFill>
          </w14:textFill>
        </w:rPr>
        <w:t>multiple regression analysis</w:t>
      </w:r>
      <w:r>
        <w:rPr>
          <w:color w:val="000000" w:themeColor="text1"/>
          <w14:textFill>
            <w14:solidFill>
              <w14:schemeClr w14:val="tx1"/>
            </w14:solidFill>
          </w14:textFill>
        </w:rPr>
        <w:t xml:space="preserve"> to analyze fertilizer adoption patterns. The findings showed that delays in fertilizer distribution reduced the likelihood of fertilizer application at the recommended crop growth stage. Some farmers applied smaller fertilizer quantities or postponed use. This finding indicates that disbursement time lag can affect fertilizer uptake and utilization.</w:t>
      </w:r>
    </w:p>
    <w:p w14:paraId="0441313B">
      <w:pPr>
        <w:pStyle w:val="43"/>
        <w:rPr>
          <w:color w:val="000000" w:themeColor="text1"/>
          <w14:textFill>
            <w14:solidFill>
              <w14:schemeClr w14:val="tx1"/>
            </w14:solidFill>
          </w14:textFill>
        </w:rPr>
      </w:pPr>
    </w:p>
    <w:p w14:paraId="0BC8EABC">
      <w:pPr>
        <w:rPr>
          <w:color w:val="000000" w:themeColor="text1"/>
          <w14:textFill>
            <w14:solidFill>
              <w14:schemeClr w14:val="tx1"/>
            </w14:solidFill>
          </w14:textFill>
        </w:rPr>
      </w:pPr>
      <w:r>
        <w:rPr>
          <w:color w:val="000000" w:themeColor="text1"/>
          <w14:textFill>
            <w14:solidFill>
              <w14:schemeClr w14:val="tx1"/>
            </w14:solidFill>
          </w14:textFill>
        </w:rPr>
        <w:t xml:space="preserve">Another study by </w:t>
      </w:r>
      <w:r>
        <w:rPr>
          <w:rStyle w:val="20"/>
          <w:rFonts w:cs="Times New Roman"/>
          <w:b w:val="0"/>
          <w:bCs w:val="0"/>
          <w:color w:val="000000" w:themeColor="text1"/>
          <w:szCs w:val="24"/>
          <w14:textFill>
            <w14:solidFill>
              <w14:schemeClr w14:val="tx1"/>
            </w14:solidFill>
          </w14:textFill>
        </w:rPr>
        <w:t>Kirui and Njiraini (2024)</w:t>
      </w:r>
      <w:r>
        <w:rPr>
          <w:color w:val="000000" w:themeColor="text1"/>
          <w14:textFill>
            <w14:solidFill>
              <w14:schemeClr w14:val="tx1"/>
            </w14:solidFill>
          </w14:textFill>
        </w:rPr>
        <w:t xml:space="preserve"> examined fertilizer subsidy delivery efficiency in Kenya using a </w:t>
      </w:r>
      <w:r>
        <w:rPr>
          <w:rStyle w:val="20"/>
          <w:rFonts w:cs="Times New Roman"/>
          <w:b w:val="0"/>
          <w:bCs w:val="0"/>
          <w:color w:val="000000" w:themeColor="text1"/>
          <w:szCs w:val="24"/>
          <w14:textFill>
            <w14:solidFill>
              <w14:schemeClr w14:val="tx1"/>
            </w14:solidFill>
          </w14:textFill>
        </w:rPr>
        <w:t>cross-sectional survey involving 520 smallholder farmers</w:t>
      </w:r>
      <w:r>
        <w:rPr>
          <w:color w:val="000000" w:themeColor="text1"/>
          <w14:textFill>
            <w14:solidFill>
              <w14:schemeClr w14:val="tx1"/>
            </w14:solidFill>
          </w14:textFill>
        </w:rPr>
        <w:t xml:space="preserve">. Data were analyzed using </w:t>
      </w:r>
      <w:r>
        <w:rPr>
          <w:rStyle w:val="20"/>
          <w:rFonts w:cs="Times New Roman"/>
          <w:b w:val="0"/>
          <w:bCs w:val="0"/>
          <w:color w:val="000000" w:themeColor="text1"/>
          <w:szCs w:val="24"/>
          <w14:textFill>
            <w14:solidFill>
              <w14:schemeClr w14:val="tx1"/>
            </w14:solidFill>
          </w14:textFill>
        </w:rPr>
        <w:t>structural equation modeling</w:t>
      </w:r>
      <w:r>
        <w:rPr>
          <w:color w:val="000000" w:themeColor="text1"/>
          <w14:textFill>
            <w14:solidFill>
              <w14:schemeClr w14:val="tx1"/>
            </w14:solidFill>
          </w14:textFill>
        </w:rPr>
        <w:t>. The findings showed that delayed fertilizer distribution significantly reduced fertilizer application rates among farmers. Farmers receiving fertilizer early reported higher fertilizer uptake. The study concluded that timely subsidy delivery improves fertilizer adoption. This finding supports the present study examining fertilizer uptake and utilization.</w:t>
      </w:r>
    </w:p>
    <w:p w14:paraId="28EA3934">
      <w:pPr>
        <w:pStyle w:val="43"/>
        <w:rPr>
          <w:color w:val="000000" w:themeColor="text1"/>
          <w14:textFill>
            <w14:solidFill>
              <w14:schemeClr w14:val="tx1"/>
            </w14:solidFill>
          </w14:textFill>
        </w:rPr>
      </w:pPr>
    </w:p>
    <w:p w14:paraId="35E1D2A3">
      <w:pPr>
        <w:rPr>
          <w:color w:val="000000" w:themeColor="text1"/>
          <w14:textFill>
            <w14:solidFill>
              <w14:schemeClr w14:val="tx1"/>
            </w14:solidFill>
          </w14:textFill>
        </w:rPr>
      </w:pPr>
      <w:r>
        <w:rPr>
          <w:color w:val="000000" w:themeColor="text1"/>
          <w14:textFill>
            <w14:solidFill>
              <w14:schemeClr w14:val="tx1"/>
            </w14:solidFill>
          </w14:textFill>
        </w:rPr>
        <w:t xml:space="preserve">A study by </w:t>
      </w:r>
      <w:r>
        <w:rPr>
          <w:rStyle w:val="20"/>
          <w:rFonts w:cs="Times New Roman"/>
          <w:b w:val="0"/>
          <w:bCs w:val="0"/>
          <w:color w:val="000000" w:themeColor="text1"/>
          <w:szCs w:val="24"/>
          <w14:textFill>
            <w14:solidFill>
              <w14:schemeClr w14:val="tx1"/>
            </w14:solidFill>
          </w14:textFill>
        </w:rPr>
        <w:t>Mutegi et al. (2024)</w:t>
      </w:r>
      <w:r>
        <w:rPr>
          <w:color w:val="000000" w:themeColor="text1"/>
          <w14:textFill>
            <w14:solidFill>
              <w14:schemeClr w14:val="tx1"/>
            </w14:solidFill>
          </w14:textFill>
        </w:rPr>
        <w:t xml:space="preserve"> analyzed fertilizer subsidy reforms in Kenya using a </w:t>
      </w:r>
      <w:r>
        <w:rPr>
          <w:rStyle w:val="20"/>
          <w:rFonts w:cs="Times New Roman"/>
          <w:b w:val="0"/>
          <w:bCs w:val="0"/>
          <w:color w:val="000000" w:themeColor="text1"/>
          <w:szCs w:val="24"/>
          <w14:textFill>
            <w14:solidFill>
              <w14:schemeClr w14:val="tx1"/>
            </w14:solidFill>
          </w14:textFill>
        </w:rPr>
        <w:t>descriptive cross-sectional survey involving 480 maize farmers</w:t>
      </w:r>
      <w:r>
        <w:rPr>
          <w:color w:val="000000" w:themeColor="text1"/>
          <w14:textFill>
            <w14:solidFill>
              <w14:schemeClr w14:val="tx1"/>
            </w14:solidFill>
          </w14:textFill>
        </w:rPr>
        <w:t xml:space="preserve">. The researchers applied </w:t>
      </w:r>
      <w:r>
        <w:rPr>
          <w:rStyle w:val="20"/>
          <w:rFonts w:cs="Times New Roman"/>
          <w:b w:val="0"/>
          <w:bCs w:val="0"/>
          <w:color w:val="000000" w:themeColor="text1"/>
          <w:szCs w:val="24"/>
          <w14:textFill>
            <w14:solidFill>
              <w14:schemeClr w14:val="tx1"/>
            </w14:solidFill>
          </w14:textFill>
        </w:rPr>
        <w:t>correlation and regression analysis</w:t>
      </w:r>
      <w:r>
        <w:rPr>
          <w:color w:val="000000" w:themeColor="text1"/>
          <w14:textFill>
            <w14:solidFill>
              <w14:schemeClr w14:val="tx1"/>
            </w14:solidFill>
          </w14:textFill>
        </w:rPr>
        <w:t xml:space="preserve"> to determine fertilizer use patterns. The findings showed that delayed fertilizer delivery disrupted planting schedules and reduced fertilizer application per acre. The study recommended early fertilizer distribution to improve utilization. This finding highlights that disbursement time lag influences fertilizer uptake and application levels.</w:t>
      </w:r>
    </w:p>
    <w:p w14:paraId="0FFFE608">
      <w:pPr>
        <w:pStyle w:val="43"/>
        <w:rPr>
          <w:color w:val="000000" w:themeColor="text1"/>
          <w14:textFill>
            <w14:solidFill>
              <w14:schemeClr w14:val="tx1"/>
            </w14:solidFill>
          </w14:textFill>
        </w:rPr>
      </w:pPr>
    </w:p>
    <w:p w14:paraId="335A94BA">
      <w:pPr>
        <w:rPr>
          <w:color w:val="000000" w:themeColor="text1"/>
          <w14:textFill>
            <w14:solidFill>
              <w14:schemeClr w14:val="tx1"/>
            </w14:solidFill>
          </w14:textFill>
        </w:rPr>
      </w:pPr>
      <w:r>
        <w:rPr>
          <w:color w:val="000000" w:themeColor="text1"/>
          <w14:textFill>
            <w14:solidFill>
              <w14:schemeClr w14:val="tx1"/>
            </w14:solidFill>
          </w14:textFill>
        </w:rPr>
        <w:t xml:space="preserve">Finally, </w:t>
      </w:r>
      <w:r>
        <w:rPr>
          <w:rStyle w:val="20"/>
          <w:rFonts w:cs="Times New Roman"/>
          <w:b w:val="0"/>
          <w:bCs w:val="0"/>
          <w:color w:val="000000" w:themeColor="text1"/>
          <w:szCs w:val="24"/>
          <w14:textFill>
            <w14:solidFill>
              <w14:schemeClr w14:val="tx1"/>
            </w14:solidFill>
          </w14:textFill>
        </w:rPr>
        <w:t>Kamau et al. (2025)</w:t>
      </w:r>
      <w:r>
        <w:rPr>
          <w:color w:val="000000" w:themeColor="text1"/>
          <w14:textFill>
            <w14:solidFill>
              <w14:schemeClr w14:val="tx1"/>
            </w14:solidFill>
          </w14:textFill>
        </w:rPr>
        <w:t xml:space="preserve"> examined fertilizer subsidy implementation efficiency in Kenya using a </w:t>
      </w:r>
      <w:r>
        <w:rPr>
          <w:rStyle w:val="20"/>
          <w:rFonts w:cs="Times New Roman"/>
          <w:b w:val="0"/>
          <w:bCs w:val="0"/>
          <w:color w:val="000000" w:themeColor="text1"/>
          <w:szCs w:val="24"/>
          <w14:textFill>
            <w14:solidFill>
              <w14:schemeClr w14:val="tx1"/>
            </w14:solidFill>
          </w14:textFill>
        </w:rPr>
        <w:t>mixed-methods design involving 650 farmers</w:t>
      </w:r>
      <w:r>
        <w:rPr>
          <w:color w:val="000000" w:themeColor="text1"/>
          <w14:textFill>
            <w14:solidFill>
              <w14:schemeClr w14:val="tx1"/>
            </w14:solidFill>
          </w14:textFill>
        </w:rPr>
        <w:t xml:space="preserve"> and interviews with agricultural officers. Quantitative data were analyzed using </w:t>
      </w:r>
      <w:r>
        <w:rPr>
          <w:rStyle w:val="20"/>
          <w:rFonts w:cs="Times New Roman"/>
          <w:b w:val="0"/>
          <w:bCs w:val="0"/>
          <w:color w:val="000000" w:themeColor="text1"/>
          <w:szCs w:val="24"/>
          <w14:textFill>
            <w14:solidFill>
              <w14:schemeClr w14:val="tx1"/>
            </w14:solidFill>
          </w14:textFill>
        </w:rPr>
        <w:t>multiple regression analysis</w:t>
      </w:r>
      <w:r>
        <w:rPr>
          <w:color w:val="000000" w:themeColor="text1"/>
          <w14:textFill>
            <w14:solidFill>
              <w14:schemeClr w14:val="tx1"/>
            </w14:solidFill>
          </w14:textFill>
        </w:rPr>
        <w:t>. The findings revealed that farmers experiencing delayed fertilizer distribution were less likely to apply fertilizer during recommended crop growth stages. The study concluded that timely subsidy disbursement improves fertilizer uptake. This finding suggests that reducing disbursement delays may improve fertilizer uptake and utilization in the present study.</w:t>
      </w:r>
    </w:p>
    <w:p w14:paraId="367B930D">
      <w:pPr>
        <w:rPr>
          <w:color w:val="000000" w:themeColor="text1"/>
          <w14:textFill>
            <w14:solidFill>
              <w14:schemeClr w14:val="tx1"/>
            </w14:solidFill>
          </w14:textFill>
        </w:rPr>
      </w:pPr>
    </w:p>
    <w:p w14:paraId="08CC982D">
      <w:pPr>
        <w:pStyle w:val="3"/>
      </w:pPr>
      <w:bookmarkStart w:id="47" w:name="_Toc225962306"/>
      <w:r>
        <w:t>2.3 Distribution Model Changes and Uptake of Fertilizers</w:t>
      </w:r>
      <w:bookmarkEnd w:id="47"/>
    </w:p>
    <w:p w14:paraId="2BF6B92F">
      <w:pPr>
        <w:rPr>
          <w:color w:val="000000" w:themeColor="text1"/>
          <w14:textFill>
            <w14:solidFill>
              <w14:schemeClr w14:val="tx1"/>
            </w14:solidFill>
          </w14:textFill>
        </w:rPr>
      </w:pPr>
      <w:r>
        <w:rPr>
          <w:color w:val="000000" w:themeColor="text1"/>
          <w14:textFill>
            <w14:solidFill>
              <w14:schemeClr w14:val="tx1"/>
            </w14:solidFill>
          </w14:textFill>
        </w:rPr>
        <w:t>Distribution model changes play a crucial role in determining whether fertilizer subsidy programs translate into actual fertilizer use among smallholder farmers. While pricing reforms may reduce the cost of fertilizer, farmers must still be able to physically obtain fertilizer from distribution points in order to utilize it in agricultural production. Distribution systems therefore influence fertilizer uptake through factors such as the distance farmers must travel to obtain fertilizer, the density of input outlets within farming regions, and the consistency with which fertilizer is supplied to distribution centers. When fertilizer distribution networks are inefficient, farmers may experience delays, increased transaction costs, and uncertainty about fertilizer availability. Consequently, distribution model changes are an important determinant of smallholder farmers’ uptake of fertilizers effectively for crop production (Barrett et al., 2020).</w:t>
      </w:r>
    </w:p>
    <w:p w14:paraId="332B1AD0">
      <w:pPr>
        <w:rPr>
          <w:color w:val="000000" w:themeColor="text1"/>
          <w14:textFill>
            <w14:solidFill>
              <w14:schemeClr w14:val="tx1"/>
            </w14:solidFill>
          </w14:textFill>
        </w:rPr>
      </w:pPr>
    </w:p>
    <w:p w14:paraId="17B07621">
      <w:pPr>
        <w:pStyle w:val="4"/>
        <w:rPr>
          <w:color w:val="000000" w:themeColor="text1"/>
          <w14:textFill>
            <w14:solidFill>
              <w14:schemeClr w14:val="tx1"/>
            </w14:solidFill>
          </w14:textFill>
        </w:rPr>
      </w:pPr>
      <w:r>
        <w:rPr>
          <w:color w:val="000000" w:themeColor="text1"/>
          <w14:textFill>
            <w14:solidFill>
              <w14:schemeClr w14:val="tx1"/>
            </w14:solidFill>
          </w14:textFill>
        </w:rPr>
        <w:t>2.3.1 Distance to Outlet</w:t>
      </w:r>
    </w:p>
    <w:p w14:paraId="4DB3829D">
      <w:pPr>
        <w:rPr>
          <w:color w:val="000000" w:themeColor="text1"/>
          <w14:textFill>
            <w14:solidFill>
              <w14:schemeClr w14:val="tx1"/>
            </w14:solidFill>
          </w14:textFill>
        </w:rPr>
      </w:pPr>
      <w:r>
        <w:rPr>
          <w:color w:val="000000" w:themeColor="text1"/>
          <w14:textFill>
            <w14:solidFill>
              <w14:schemeClr w14:val="tx1"/>
            </w14:solidFill>
          </w14:textFill>
        </w:rPr>
        <w:t xml:space="preserve">A study by </w:t>
      </w:r>
      <w:r>
        <w:rPr>
          <w:rStyle w:val="20"/>
          <w:rFonts w:cs="Times New Roman"/>
          <w:b w:val="0"/>
          <w:bCs w:val="0"/>
          <w:color w:val="000000" w:themeColor="text1"/>
          <w:szCs w:val="24"/>
          <w14:textFill>
            <w14:solidFill>
              <w14:schemeClr w14:val="tx1"/>
            </w14:solidFill>
          </w14:textFill>
        </w:rPr>
        <w:t>Barrett et al. (2020)</w:t>
      </w:r>
      <w:r>
        <w:rPr>
          <w:color w:val="000000" w:themeColor="text1"/>
          <w14:textFill>
            <w14:solidFill>
              <w14:schemeClr w14:val="tx1"/>
            </w14:solidFill>
          </w14:textFill>
        </w:rPr>
        <w:t xml:space="preserve"> examined agricultural input market access and fertilizer adoption among smallholder farmers in Ethiopia. The study used a </w:t>
      </w:r>
      <w:r>
        <w:rPr>
          <w:rStyle w:val="20"/>
          <w:rFonts w:cs="Times New Roman"/>
          <w:b w:val="0"/>
          <w:bCs w:val="0"/>
          <w:color w:val="000000" w:themeColor="text1"/>
          <w:szCs w:val="24"/>
          <w14:textFill>
            <w14:solidFill>
              <w14:schemeClr w14:val="tx1"/>
            </w14:solidFill>
          </w14:textFill>
        </w:rPr>
        <w:t>cross-sectional survey of 1,240 farmers</w:t>
      </w:r>
      <w:r>
        <w:rPr>
          <w:color w:val="000000" w:themeColor="text1"/>
          <w14:textFill>
            <w14:solidFill>
              <w14:schemeClr w14:val="tx1"/>
            </w14:solidFill>
          </w14:textFill>
        </w:rPr>
        <w:t xml:space="preserve"> and analyzed data using </w:t>
      </w:r>
      <w:r>
        <w:rPr>
          <w:rStyle w:val="20"/>
          <w:rFonts w:cs="Times New Roman"/>
          <w:b w:val="0"/>
          <w:bCs w:val="0"/>
          <w:color w:val="000000" w:themeColor="text1"/>
          <w:szCs w:val="24"/>
          <w14:textFill>
            <w14:solidFill>
              <w14:schemeClr w14:val="tx1"/>
            </w14:solidFill>
          </w14:textFill>
        </w:rPr>
        <w:t>logistic regression models</w:t>
      </w:r>
      <w:r>
        <w:rPr>
          <w:color w:val="000000" w:themeColor="text1"/>
          <w14:textFill>
            <w14:solidFill>
              <w14:schemeClr w14:val="tx1"/>
            </w14:solidFill>
          </w14:textFill>
        </w:rPr>
        <w:t>. The findings showed that farmers living closer to fertilizer outlets were more likely to purchase and apply fertilizer. Long travel distances increased transaction costs and discouraged fertilizer purchases. This finding suggests that distance to outlets may influence fertilizer uptake and utilization in the present study.</w:t>
      </w:r>
    </w:p>
    <w:p w14:paraId="1433FA3A">
      <w:pPr>
        <w:pStyle w:val="43"/>
        <w:rPr>
          <w:color w:val="000000" w:themeColor="text1"/>
          <w14:textFill>
            <w14:solidFill>
              <w14:schemeClr w14:val="tx1"/>
            </w14:solidFill>
          </w14:textFill>
        </w:rPr>
      </w:pPr>
    </w:p>
    <w:p w14:paraId="7AA69A46">
      <w:pPr>
        <w:rPr>
          <w:color w:val="000000" w:themeColor="text1"/>
          <w14:textFill>
            <w14:solidFill>
              <w14:schemeClr w14:val="tx1"/>
            </w14:solidFill>
          </w14:textFill>
        </w:rPr>
      </w:pPr>
      <w:r>
        <w:rPr>
          <w:color w:val="000000" w:themeColor="text1"/>
          <w14:textFill>
            <w14:solidFill>
              <w14:schemeClr w14:val="tx1"/>
            </w14:solidFill>
          </w14:textFill>
        </w:rPr>
        <w:t xml:space="preserve">A study by </w:t>
      </w:r>
      <w:r>
        <w:rPr>
          <w:rStyle w:val="20"/>
          <w:rFonts w:cs="Times New Roman"/>
          <w:b w:val="0"/>
          <w:bCs w:val="0"/>
          <w:color w:val="000000" w:themeColor="text1"/>
          <w:szCs w:val="24"/>
          <w14:textFill>
            <w14:solidFill>
              <w14:schemeClr w14:val="tx1"/>
            </w14:solidFill>
          </w14:textFill>
        </w:rPr>
        <w:t>Minten et al. (2021)</w:t>
      </w:r>
      <w:r>
        <w:rPr>
          <w:color w:val="000000" w:themeColor="text1"/>
          <w14:textFill>
            <w14:solidFill>
              <w14:schemeClr w14:val="tx1"/>
            </w14:solidFill>
          </w14:textFill>
        </w:rPr>
        <w:t xml:space="preserve"> investigated fertilizer adoption and input accessibility in Madagascar using </w:t>
      </w:r>
      <w:r>
        <w:rPr>
          <w:rStyle w:val="20"/>
          <w:rFonts w:cs="Times New Roman"/>
          <w:b w:val="0"/>
          <w:bCs w:val="0"/>
          <w:color w:val="000000" w:themeColor="text1"/>
          <w:szCs w:val="24"/>
          <w14:textFill>
            <w14:solidFill>
              <w14:schemeClr w14:val="tx1"/>
            </w14:solidFill>
          </w14:textFill>
        </w:rPr>
        <w:t>panel survey data from 980 farming households</w:t>
      </w:r>
      <w:r>
        <w:rPr>
          <w:color w:val="000000" w:themeColor="text1"/>
          <w14:textFill>
            <w14:solidFill>
              <w14:schemeClr w14:val="tx1"/>
            </w14:solidFill>
          </w14:textFill>
        </w:rPr>
        <w:t xml:space="preserve">. The researchers applied </w:t>
      </w:r>
      <w:r>
        <w:rPr>
          <w:rStyle w:val="20"/>
          <w:rFonts w:cs="Times New Roman"/>
          <w:b w:val="0"/>
          <w:bCs w:val="0"/>
          <w:color w:val="000000" w:themeColor="text1"/>
          <w:szCs w:val="24"/>
          <w14:textFill>
            <w14:solidFill>
              <w14:schemeClr w14:val="tx1"/>
            </w14:solidFill>
          </w14:textFill>
        </w:rPr>
        <w:t>spatial econometric analysis</w:t>
      </w:r>
      <w:r>
        <w:rPr>
          <w:color w:val="000000" w:themeColor="text1"/>
          <w14:textFill>
            <w14:solidFill>
              <w14:schemeClr w14:val="tx1"/>
            </w14:solidFill>
          </w14:textFill>
        </w:rPr>
        <w:t xml:space="preserve"> to examine fertilizer purchasing behavior. The findings revealed that farmers located far from fertilizer supply points were less likely to purchase fertilizer. Transportation challenges and travel costs reduced fertilizer demand. This finding indicates that distance to fertilizer outlets may affect fertilizer uptake among farmers.</w:t>
      </w:r>
    </w:p>
    <w:p w14:paraId="635F50AA">
      <w:pPr>
        <w:pStyle w:val="43"/>
        <w:rPr>
          <w:color w:val="000000" w:themeColor="text1"/>
          <w14:textFill>
            <w14:solidFill>
              <w14:schemeClr w14:val="tx1"/>
            </w14:solidFill>
          </w14:textFill>
        </w:rPr>
      </w:pPr>
    </w:p>
    <w:p w14:paraId="64795614">
      <w:pPr>
        <w:rPr>
          <w:color w:val="000000" w:themeColor="text1"/>
          <w14:textFill>
            <w14:solidFill>
              <w14:schemeClr w14:val="tx1"/>
            </w14:solidFill>
          </w14:textFill>
        </w:rPr>
      </w:pPr>
      <w:r>
        <w:rPr>
          <w:color w:val="000000" w:themeColor="text1"/>
          <w14:textFill>
            <w14:solidFill>
              <w14:schemeClr w14:val="tx1"/>
            </w14:solidFill>
          </w14:textFill>
        </w:rPr>
        <w:t xml:space="preserve">A study by </w:t>
      </w:r>
      <w:r>
        <w:rPr>
          <w:rStyle w:val="20"/>
          <w:rFonts w:cs="Times New Roman"/>
          <w:b w:val="0"/>
          <w:bCs w:val="0"/>
          <w:color w:val="000000" w:themeColor="text1"/>
          <w:szCs w:val="24"/>
          <w14:textFill>
            <w14:solidFill>
              <w14:schemeClr w14:val="tx1"/>
            </w14:solidFill>
          </w14:textFill>
        </w:rPr>
        <w:t>Nkonya et al. (2021)</w:t>
      </w:r>
      <w:r>
        <w:rPr>
          <w:color w:val="000000" w:themeColor="text1"/>
          <w14:textFill>
            <w14:solidFill>
              <w14:schemeClr w14:val="tx1"/>
            </w14:solidFill>
          </w14:textFill>
        </w:rPr>
        <w:t xml:space="preserve"> examined agricultural input accessibility in sub-Saharan Africa using </w:t>
      </w:r>
      <w:r>
        <w:rPr>
          <w:rStyle w:val="20"/>
          <w:rFonts w:cs="Times New Roman"/>
          <w:b w:val="0"/>
          <w:bCs w:val="0"/>
          <w:color w:val="000000" w:themeColor="text1"/>
          <w:szCs w:val="24"/>
          <w14:textFill>
            <w14:solidFill>
              <w14:schemeClr w14:val="tx1"/>
            </w14:solidFill>
          </w14:textFill>
        </w:rPr>
        <w:t>secondary survey data from over 2,500 farmers</w:t>
      </w:r>
      <w:r>
        <w:rPr>
          <w:color w:val="000000" w:themeColor="text1"/>
          <w14:textFill>
            <w14:solidFill>
              <w14:schemeClr w14:val="tx1"/>
            </w14:solidFill>
          </w14:textFill>
        </w:rPr>
        <w:t xml:space="preserve">. The researchers applied </w:t>
      </w:r>
      <w:r>
        <w:rPr>
          <w:rStyle w:val="20"/>
          <w:rFonts w:cs="Times New Roman"/>
          <w:b w:val="0"/>
          <w:bCs w:val="0"/>
          <w:color w:val="000000" w:themeColor="text1"/>
          <w:szCs w:val="24"/>
          <w14:textFill>
            <w14:solidFill>
              <w14:schemeClr w14:val="tx1"/>
            </w14:solidFill>
          </w14:textFill>
        </w:rPr>
        <w:t>multivariate regression analysis</w:t>
      </w:r>
      <w:r>
        <w:rPr>
          <w:color w:val="000000" w:themeColor="text1"/>
          <w14:textFill>
            <w14:solidFill>
              <w14:schemeClr w14:val="tx1"/>
            </w14:solidFill>
          </w14:textFill>
        </w:rPr>
        <w:t xml:space="preserve"> to determine factors influencing fertilizer adoption. The findings showed that fertilizer adoption declined as the distance between farmers and fertilizer suppliers increased. Farmers in remote areas faced higher transport costs and delays in accessing inputs. This finding suggests that distance to outlets may limit fertilizer uptake under subsidy programs.</w:t>
      </w:r>
    </w:p>
    <w:p w14:paraId="3F2D54E3">
      <w:pPr>
        <w:pStyle w:val="43"/>
        <w:rPr>
          <w:color w:val="000000" w:themeColor="text1"/>
          <w14:textFill>
            <w14:solidFill>
              <w14:schemeClr w14:val="tx1"/>
            </w14:solidFill>
          </w14:textFill>
        </w:rPr>
      </w:pPr>
    </w:p>
    <w:p w14:paraId="1DE837C7">
      <w:pPr>
        <w:rPr>
          <w:color w:val="000000" w:themeColor="text1"/>
          <w14:textFill>
            <w14:solidFill>
              <w14:schemeClr w14:val="tx1"/>
            </w14:solidFill>
          </w14:textFill>
        </w:rPr>
      </w:pPr>
      <w:r>
        <w:rPr>
          <w:color w:val="000000" w:themeColor="text1"/>
          <w14:textFill>
            <w14:solidFill>
              <w14:schemeClr w14:val="tx1"/>
            </w14:solidFill>
          </w14:textFill>
        </w:rPr>
        <w:t xml:space="preserve">A study by </w:t>
      </w:r>
      <w:r>
        <w:rPr>
          <w:rStyle w:val="20"/>
          <w:rFonts w:cs="Times New Roman"/>
          <w:b w:val="0"/>
          <w:bCs w:val="0"/>
          <w:color w:val="000000" w:themeColor="text1"/>
          <w:szCs w:val="24"/>
          <w14:textFill>
            <w14:solidFill>
              <w14:schemeClr w14:val="tx1"/>
            </w14:solidFill>
          </w14:textFill>
        </w:rPr>
        <w:t>Jayne et al. (2022)</w:t>
      </w:r>
      <w:r>
        <w:rPr>
          <w:color w:val="000000" w:themeColor="text1"/>
          <w14:textFill>
            <w14:solidFill>
              <w14:schemeClr w14:val="tx1"/>
            </w14:solidFill>
          </w14:textFill>
        </w:rPr>
        <w:t xml:space="preserve"> examined fertilizer distribution networks in Zambia using a </w:t>
      </w:r>
      <w:r>
        <w:rPr>
          <w:rStyle w:val="20"/>
          <w:rFonts w:cs="Times New Roman"/>
          <w:b w:val="0"/>
          <w:bCs w:val="0"/>
          <w:color w:val="000000" w:themeColor="text1"/>
          <w:szCs w:val="24"/>
          <w14:textFill>
            <w14:solidFill>
              <w14:schemeClr w14:val="tx1"/>
            </w14:solidFill>
          </w14:textFill>
        </w:rPr>
        <w:t>mixed-methods design involving 720 farmers</w:t>
      </w:r>
      <w:r>
        <w:rPr>
          <w:color w:val="000000" w:themeColor="text1"/>
          <w14:textFill>
            <w14:solidFill>
              <w14:schemeClr w14:val="tx1"/>
            </w14:solidFill>
          </w14:textFill>
        </w:rPr>
        <w:t xml:space="preserve"> and interviews with agro-dealers. The researchers applied </w:t>
      </w:r>
      <w:r>
        <w:rPr>
          <w:rStyle w:val="20"/>
          <w:rFonts w:cs="Times New Roman"/>
          <w:b w:val="0"/>
          <w:bCs w:val="0"/>
          <w:color w:val="000000" w:themeColor="text1"/>
          <w:szCs w:val="24"/>
          <w14:textFill>
            <w14:solidFill>
              <w14:schemeClr w14:val="tx1"/>
            </w14:solidFill>
          </w14:textFill>
        </w:rPr>
        <w:t>econometric regression models</w:t>
      </w:r>
      <w:r>
        <w:rPr>
          <w:color w:val="000000" w:themeColor="text1"/>
          <w14:textFill>
            <w14:solidFill>
              <w14:schemeClr w14:val="tx1"/>
            </w14:solidFill>
          </w14:textFill>
        </w:rPr>
        <w:t xml:space="preserve"> to analyze fertilizer adoption patterns. The findings showed that farmers living closer to fertilizer distribution centers purchased and applied fertilizer more frequently. Farmers located further away often faced delays in obtaining fertilizer. This finding highlights that distance to outlets affects fertilizer uptake.</w:t>
      </w:r>
    </w:p>
    <w:p w14:paraId="2F4089E7">
      <w:pPr>
        <w:pStyle w:val="43"/>
        <w:rPr>
          <w:color w:val="000000" w:themeColor="text1"/>
          <w14:textFill>
            <w14:solidFill>
              <w14:schemeClr w14:val="tx1"/>
            </w14:solidFill>
          </w14:textFill>
        </w:rPr>
      </w:pPr>
    </w:p>
    <w:p w14:paraId="70B08017">
      <w:pPr>
        <w:rPr>
          <w:color w:val="000000" w:themeColor="text1"/>
          <w14:textFill>
            <w14:solidFill>
              <w14:schemeClr w14:val="tx1"/>
            </w14:solidFill>
          </w14:textFill>
        </w:rPr>
      </w:pPr>
      <w:r>
        <w:rPr>
          <w:color w:val="000000" w:themeColor="text1"/>
          <w14:textFill>
            <w14:solidFill>
              <w14:schemeClr w14:val="tx1"/>
            </w14:solidFill>
          </w14:textFill>
        </w:rPr>
        <w:t xml:space="preserve">A study by </w:t>
      </w:r>
      <w:r>
        <w:rPr>
          <w:rStyle w:val="20"/>
          <w:rFonts w:cs="Times New Roman"/>
          <w:b w:val="0"/>
          <w:bCs w:val="0"/>
          <w:color w:val="000000" w:themeColor="text1"/>
          <w:szCs w:val="24"/>
          <w14:textFill>
            <w14:solidFill>
              <w14:schemeClr w14:val="tx1"/>
            </w14:solidFill>
          </w14:textFill>
        </w:rPr>
        <w:t>Sheahan and Barrett (2022)</w:t>
      </w:r>
      <w:r>
        <w:rPr>
          <w:color w:val="000000" w:themeColor="text1"/>
          <w14:textFill>
            <w14:solidFill>
              <w14:schemeClr w14:val="tx1"/>
            </w14:solidFill>
          </w14:textFill>
        </w:rPr>
        <w:t xml:space="preserve"> examined fertilizer adoption across African countries using </w:t>
      </w:r>
      <w:r>
        <w:rPr>
          <w:rStyle w:val="20"/>
          <w:rFonts w:cs="Times New Roman"/>
          <w:b w:val="0"/>
          <w:bCs w:val="0"/>
          <w:color w:val="000000" w:themeColor="text1"/>
          <w:szCs w:val="24"/>
          <w14:textFill>
            <w14:solidFill>
              <w14:schemeClr w14:val="tx1"/>
            </w14:solidFill>
          </w14:textFill>
        </w:rPr>
        <w:t>household survey data from more than 3,500 farmers</w:t>
      </w:r>
      <w:r>
        <w:rPr>
          <w:color w:val="000000" w:themeColor="text1"/>
          <w14:textFill>
            <w14:solidFill>
              <w14:schemeClr w14:val="tx1"/>
            </w14:solidFill>
          </w14:textFill>
        </w:rPr>
        <w:t xml:space="preserve">. The researchers applied </w:t>
      </w:r>
      <w:r>
        <w:rPr>
          <w:rStyle w:val="20"/>
          <w:rFonts w:cs="Times New Roman"/>
          <w:b w:val="0"/>
          <w:bCs w:val="0"/>
          <w:color w:val="000000" w:themeColor="text1"/>
          <w:szCs w:val="24"/>
          <w14:textFill>
            <w14:solidFill>
              <w14:schemeClr w14:val="tx1"/>
            </w14:solidFill>
          </w14:textFill>
        </w:rPr>
        <w:t>econometric modeling techniques</w:t>
      </w:r>
      <w:r>
        <w:rPr>
          <w:color w:val="000000" w:themeColor="text1"/>
          <w14:textFill>
            <w14:solidFill>
              <w14:schemeClr w14:val="tx1"/>
            </w14:solidFill>
          </w14:textFill>
        </w:rPr>
        <w:t xml:space="preserve"> to analyze fertilizer demand. The findings revealed that distance to input suppliers significantly influenced fertilizer adoption. Farmers located far from fertilizer markets were less likely to adopt fertilizer technologies. This finding indicates that physical access to outlets influences fertilizer uptake.</w:t>
      </w:r>
    </w:p>
    <w:p w14:paraId="7C97F382">
      <w:pPr>
        <w:pStyle w:val="43"/>
        <w:rPr>
          <w:color w:val="000000" w:themeColor="text1"/>
          <w14:textFill>
            <w14:solidFill>
              <w14:schemeClr w14:val="tx1"/>
            </w14:solidFill>
          </w14:textFill>
        </w:rPr>
      </w:pPr>
    </w:p>
    <w:p w14:paraId="3E2EF867">
      <w:pPr>
        <w:rPr>
          <w:color w:val="000000" w:themeColor="text1"/>
          <w14:textFill>
            <w14:solidFill>
              <w14:schemeClr w14:val="tx1"/>
            </w14:solidFill>
          </w14:textFill>
        </w:rPr>
      </w:pPr>
      <w:r>
        <w:rPr>
          <w:color w:val="000000" w:themeColor="text1"/>
          <w14:textFill>
            <w14:solidFill>
              <w14:schemeClr w14:val="tx1"/>
            </w14:solidFill>
          </w14:textFill>
        </w:rPr>
        <w:t xml:space="preserve">A study by </w:t>
      </w:r>
      <w:r>
        <w:rPr>
          <w:rStyle w:val="20"/>
          <w:rFonts w:cs="Times New Roman"/>
          <w:b w:val="0"/>
          <w:bCs w:val="0"/>
          <w:color w:val="000000" w:themeColor="text1"/>
          <w:szCs w:val="24"/>
          <w14:textFill>
            <w14:solidFill>
              <w14:schemeClr w14:val="tx1"/>
            </w14:solidFill>
          </w14:textFill>
        </w:rPr>
        <w:t>Kirui et al. (2023)</w:t>
      </w:r>
      <w:r>
        <w:rPr>
          <w:color w:val="000000" w:themeColor="text1"/>
          <w14:textFill>
            <w14:solidFill>
              <w14:schemeClr w14:val="tx1"/>
            </w14:solidFill>
          </w14:textFill>
        </w:rPr>
        <w:t xml:space="preserve"> examined fertilizer market accessibility in Kenya using a </w:t>
      </w:r>
      <w:r>
        <w:rPr>
          <w:rStyle w:val="20"/>
          <w:rFonts w:cs="Times New Roman"/>
          <w:b w:val="0"/>
          <w:bCs w:val="0"/>
          <w:color w:val="000000" w:themeColor="text1"/>
          <w:szCs w:val="24"/>
          <w14:textFill>
            <w14:solidFill>
              <w14:schemeClr w14:val="tx1"/>
            </w14:solidFill>
          </w14:textFill>
        </w:rPr>
        <w:t>survey of 520 maize farmers</w:t>
      </w:r>
      <w:r>
        <w:rPr>
          <w:color w:val="000000" w:themeColor="text1"/>
          <w14:textFill>
            <w14:solidFill>
              <w14:schemeClr w14:val="tx1"/>
            </w14:solidFill>
          </w14:textFill>
        </w:rPr>
        <w:t xml:space="preserve">. The researchers applied </w:t>
      </w:r>
      <w:r>
        <w:rPr>
          <w:rStyle w:val="20"/>
          <w:rFonts w:cs="Times New Roman"/>
          <w:b w:val="0"/>
          <w:bCs w:val="0"/>
          <w:color w:val="000000" w:themeColor="text1"/>
          <w:szCs w:val="24"/>
          <w14:textFill>
            <w14:solidFill>
              <w14:schemeClr w14:val="tx1"/>
            </w14:solidFill>
          </w14:textFill>
        </w:rPr>
        <w:t>correlation and regression analysis</w:t>
      </w:r>
      <w:r>
        <w:rPr>
          <w:color w:val="000000" w:themeColor="text1"/>
          <w14:textFill>
            <w14:solidFill>
              <w14:schemeClr w14:val="tx1"/>
            </w14:solidFill>
          </w14:textFill>
        </w:rPr>
        <w:t xml:space="preserve"> to determine factors influencing fertilizer adoption. The findings showed that farmers located closer to agro-dealer outlets were more likely to purchase fertilizer. Farmers who traveled longer distances often delayed purchases or bought smaller quantities. This finding suggests that distance to outlets may influence fertilizer uptake.</w:t>
      </w:r>
    </w:p>
    <w:p w14:paraId="159ED632">
      <w:pPr>
        <w:pStyle w:val="43"/>
        <w:rPr>
          <w:color w:val="000000" w:themeColor="text1"/>
          <w14:textFill>
            <w14:solidFill>
              <w14:schemeClr w14:val="tx1"/>
            </w14:solidFill>
          </w14:textFill>
        </w:rPr>
      </w:pPr>
    </w:p>
    <w:p w14:paraId="2AFC5F9C">
      <w:pPr>
        <w:rPr>
          <w:color w:val="000000" w:themeColor="text1"/>
          <w14:textFill>
            <w14:solidFill>
              <w14:schemeClr w14:val="tx1"/>
            </w14:solidFill>
          </w14:textFill>
        </w:rPr>
      </w:pPr>
      <w:r>
        <w:rPr>
          <w:color w:val="000000" w:themeColor="text1"/>
          <w14:textFill>
            <w14:solidFill>
              <w14:schemeClr w14:val="tx1"/>
            </w14:solidFill>
          </w14:textFill>
        </w:rPr>
        <w:t xml:space="preserve">A study by </w:t>
      </w:r>
      <w:r>
        <w:rPr>
          <w:rStyle w:val="20"/>
          <w:rFonts w:cs="Times New Roman"/>
          <w:b w:val="0"/>
          <w:bCs w:val="0"/>
          <w:color w:val="000000" w:themeColor="text1"/>
          <w:szCs w:val="24"/>
          <w14:textFill>
            <w14:solidFill>
              <w14:schemeClr w14:val="tx1"/>
            </w14:solidFill>
          </w14:textFill>
        </w:rPr>
        <w:t>Mwangi and Kariuki (2024)</w:t>
      </w:r>
      <w:r>
        <w:rPr>
          <w:color w:val="000000" w:themeColor="text1"/>
          <w14:textFill>
            <w14:solidFill>
              <w14:schemeClr w14:val="tx1"/>
            </w14:solidFill>
          </w14:textFill>
        </w:rPr>
        <w:t xml:space="preserve"> analyzed agricultural input accessibility in Kenya using a </w:t>
      </w:r>
      <w:r>
        <w:rPr>
          <w:rStyle w:val="20"/>
          <w:rFonts w:cs="Times New Roman"/>
          <w:b w:val="0"/>
          <w:bCs w:val="0"/>
          <w:color w:val="000000" w:themeColor="text1"/>
          <w:szCs w:val="24"/>
          <w14:textFill>
            <w14:solidFill>
              <w14:schemeClr w14:val="tx1"/>
            </w14:solidFill>
          </w14:textFill>
        </w:rPr>
        <w:t>cross-sectional survey involving 480 farmers</w:t>
      </w:r>
      <w:r>
        <w:rPr>
          <w:color w:val="000000" w:themeColor="text1"/>
          <w14:textFill>
            <w14:solidFill>
              <w14:schemeClr w14:val="tx1"/>
            </w14:solidFill>
          </w14:textFill>
        </w:rPr>
        <w:t xml:space="preserve">. Data were analyzed using </w:t>
      </w:r>
      <w:r>
        <w:rPr>
          <w:rStyle w:val="20"/>
          <w:rFonts w:cs="Times New Roman"/>
          <w:b w:val="0"/>
          <w:bCs w:val="0"/>
          <w:color w:val="000000" w:themeColor="text1"/>
          <w:szCs w:val="24"/>
          <w14:textFill>
            <w14:solidFill>
              <w14:schemeClr w14:val="tx1"/>
            </w14:solidFill>
          </w14:textFill>
        </w:rPr>
        <w:t>multiple regression analysis</w:t>
      </w:r>
      <w:r>
        <w:rPr>
          <w:color w:val="000000" w:themeColor="text1"/>
          <w14:textFill>
            <w14:solidFill>
              <w14:schemeClr w14:val="tx1"/>
            </w14:solidFill>
          </w14:textFill>
        </w:rPr>
        <w:t>. The findings showed that transportation challenges associated with long travel distances discouraged farmers from purchasing fertilizer regularly. Farmers in remote areas incurred higher transport costs. This finding highlights that distance to fertilizer outlets may affect fertilizer uptake.</w:t>
      </w:r>
    </w:p>
    <w:p w14:paraId="59A02ACD">
      <w:pPr>
        <w:pStyle w:val="43"/>
        <w:rPr>
          <w:color w:val="000000" w:themeColor="text1"/>
          <w14:textFill>
            <w14:solidFill>
              <w14:schemeClr w14:val="tx1"/>
            </w14:solidFill>
          </w14:textFill>
        </w:rPr>
      </w:pPr>
    </w:p>
    <w:p w14:paraId="2EECB57F">
      <w:pPr>
        <w:rPr>
          <w:color w:val="000000" w:themeColor="text1"/>
          <w14:textFill>
            <w14:solidFill>
              <w14:schemeClr w14:val="tx1"/>
            </w14:solidFill>
          </w14:textFill>
        </w:rPr>
      </w:pPr>
      <w:r>
        <w:rPr>
          <w:color w:val="000000" w:themeColor="text1"/>
          <w14:textFill>
            <w14:solidFill>
              <w14:schemeClr w14:val="tx1"/>
            </w14:solidFill>
          </w14:textFill>
        </w:rPr>
        <w:t xml:space="preserve">A study by </w:t>
      </w:r>
      <w:r>
        <w:rPr>
          <w:rStyle w:val="20"/>
          <w:rFonts w:cs="Times New Roman"/>
          <w:b w:val="0"/>
          <w:bCs w:val="0"/>
          <w:color w:val="000000" w:themeColor="text1"/>
          <w:szCs w:val="24"/>
          <w14:textFill>
            <w14:solidFill>
              <w14:schemeClr w14:val="tx1"/>
            </w14:solidFill>
          </w14:textFill>
        </w:rPr>
        <w:t>Omondi et al. (2025)</w:t>
      </w:r>
      <w:r>
        <w:rPr>
          <w:color w:val="000000" w:themeColor="text1"/>
          <w14:textFill>
            <w14:solidFill>
              <w14:schemeClr w14:val="tx1"/>
            </w14:solidFill>
          </w14:textFill>
        </w:rPr>
        <w:t xml:space="preserve"> examined fertilizer adoption among maize farmers in Kenya using </w:t>
      </w:r>
      <w:r>
        <w:rPr>
          <w:rStyle w:val="20"/>
          <w:rFonts w:cs="Times New Roman"/>
          <w:b w:val="0"/>
          <w:bCs w:val="0"/>
          <w:color w:val="000000" w:themeColor="text1"/>
          <w:szCs w:val="24"/>
          <w14:textFill>
            <w14:solidFill>
              <w14:schemeClr w14:val="tx1"/>
            </w14:solidFill>
          </w14:textFill>
        </w:rPr>
        <w:t>survey data from 640 farmers</w:t>
      </w:r>
      <w:r>
        <w:rPr>
          <w:color w:val="000000" w:themeColor="text1"/>
          <w14:textFill>
            <w14:solidFill>
              <w14:schemeClr w14:val="tx1"/>
            </w14:solidFill>
          </w14:textFill>
        </w:rPr>
        <w:t xml:space="preserve">. The researchers applied </w:t>
      </w:r>
      <w:r>
        <w:rPr>
          <w:rStyle w:val="20"/>
          <w:rFonts w:cs="Times New Roman"/>
          <w:b w:val="0"/>
          <w:bCs w:val="0"/>
          <w:color w:val="000000" w:themeColor="text1"/>
          <w:szCs w:val="24"/>
          <w14:textFill>
            <w14:solidFill>
              <w14:schemeClr w14:val="tx1"/>
            </w14:solidFill>
          </w14:textFill>
        </w:rPr>
        <w:t>linear regression analysis</w:t>
      </w:r>
      <w:r>
        <w:rPr>
          <w:color w:val="000000" w:themeColor="text1"/>
          <w14:textFill>
            <w14:solidFill>
              <w14:schemeClr w14:val="tx1"/>
            </w14:solidFill>
          </w14:textFill>
        </w:rPr>
        <w:t xml:space="preserve"> to analyze fertilizer use patterns. The findings showed that farmers located near fertilizer supply centers applied higher fertilizer quantities than those located far from outlets. The study concluded that improved distribution infrastructure can increase fertilizer adoption. This finding supports the current study examining fertilizer uptake and utilization.</w:t>
      </w:r>
    </w:p>
    <w:p w14:paraId="7C31C000">
      <w:pPr>
        <w:pStyle w:val="4"/>
        <w:rPr>
          <w:color w:val="000000" w:themeColor="text1"/>
          <w14:textFill>
            <w14:solidFill>
              <w14:schemeClr w14:val="tx1"/>
            </w14:solidFill>
          </w14:textFill>
        </w:rPr>
      </w:pPr>
      <w:r>
        <w:rPr>
          <w:color w:val="000000" w:themeColor="text1"/>
          <w14:textFill>
            <w14:solidFill>
              <w14:schemeClr w14:val="tx1"/>
            </w14:solidFill>
          </w14:textFill>
        </w:rPr>
        <w:t>2.3.2 Outlet Density</w:t>
      </w:r>
    </w:p>
    <w:p w14:paraId="1B9FBAA9">
      <w:pPr>
        <w:rPr>
          <w:color w:val="000000" w:themeColor="text1"/>
          <w14:textFill>
            <w14:solidFill>
              <w14:schemeClr w14:val="tx1"/>
            </w14:solidFill>
          </w14:textFill>
        </w:rPr>
      </w:pPr>
      <w:r>
        <w:rPr>
          <w:color w:val="000000" w:themeColor="text1"/>
          <w14:textFill>
            <w14:solidFill>
              <w14:schemeClr w14:val="tx1"/>
            </w14:solidFill>
          </w14:textFill>
        </w:rPr>
        <w:t>A study by Abate et al. (2020) examined agricultural input distribution systems in Ethiopia using survey data from 1,100 smallholder farmers. The researchers employed logistic regression analysis to examine the relationship between input market structures and fertilizer adoption. The study found that farmers living in areas with a higher density of fertilizer outlets had greater access to agricultural inputs and were more likely to use fertilizer compared to farmers living in areas with few suppliers. The researchers concluded that expanding agro-dealer networks can improve fertilizer uptake among smallholder farmers. This finding is relevant to the current study because outlet density may influence farmers’ fertilizer uptake and utilization.</w:t>
      </w:r>
    </w:p>
    <w:p w14:paraId="644D9EE4">
      <w:pPr>
        <w:pStyle w:val="43"/>
        <w:rPr>
          <w:color w:val="000000" w:themeColor="text1"/>
          <w14:textFill>
            <w14:solidFill>
              <w14:schemeClr w14:val="tx1"/>
            </w14:solidFill>
          </w14:textFill>
        </w:rPr>
      </w:pPr>
    </w:p>
    <w:p w14:paraId="59C8A635">
      <w:pPr>
        <w:rPr>
          <w:color w:val="000000" w:themeColor="text1"/>
          <w14:textFill>
            <w14:solidFill>
              <w14:schemeClr w14:val="tx1"/>
            </w14:solidFill>
          </w14:textFill>
        </w:rPr>
      </w:pPr>
      <w:r>
        <w:rPr>
          <w:color w:val="000000" w:themeColor="text1"/>
          <w14:textFill>
            <w14:solidFill>
              <w14:schemeClr w14:val="tx1"/>
            </w14:solidFill>
          </w14:textFill>
        </w:rPr>
        <w:t>A study conducted by Burke et al. (2021) assessed fertilizer distribution networks in Zambia using a household survey research design involving 850 smallholder farmers. Data were analyzed using multivariate regression models to determine how fertilizer outlet availability affects fertilizer adoption. The findings showed that regions with more agro-dealer outlets experienced higher fertilizer adoption rates because farmers could obtain fertilizer more conveniently. This finding is relevant to the current study because outlet density may influence fertilizer availability and utilization among farmers.</w:t>
      </w:r>
    </w:p>
    <w:p w14:paraId="66E86E1A">
      <w:pPr>
        <w:pStyle w:val="43"/>
        <w:rPr>
          <w:color w:val="000000" w:themeColor="text1"/>
          <w14:textFill>
            <w14:solidFill>
              <w14:schemeClr w14:val="tx1"/>
            </w14:solidFill>
          </w14:textFill>
        </w:rPr>
      </w:pPr>
    </w:p>
    <w:p w14:paraId="019D1DAB">
      <w:pPr>
        <w:rPr>
          <w:color w:val="000000" w:themeColor="text1"/>
          <w14:textFill>
            <w14:solidFill>
              <w14:schemeClr w14:val="tx1"/>
            </w14:solidFill>
          </w14:textFill>
        </w:rPr>
      </w:pPr>
      <w:r>
        <w:rPr>
          <w:color w:val="000000" w:themeColor="text1"/>
          <w14:textFill>
            <w14:solidFill>
              <w14:schemeClr w14:val="tx1"/>
            </w14:solidFill>
          </w14:textFill>
        </w:rPr>
        <w:t>A study by Liverpool-Tasie et al. (2021) analyzed fertilizer market structures in Nigeria using survey data from 1,050 maize farmers. The researchers used regression analysis to examine how input supplier networks influence fertilizer adoption. The findings revealed that farmers living in areas with multiple fertilizer suppliers had greater fertilizer uptake and were more likely to purchase fertilizer during planting seasons. This finding is relevant to the current study because outlet density may influence farmers’ fertilizer uptake behavior.</w:t>
      </w:r>
    </w:p>
    <w:p w14:paraId="65BCB1DC">
      <w:pPr>
        <w:pStyle w:val="43"/>
        <w:rPr>
          <w:color w:val="000000" w:themeColor="text1"/>
          <w14:textFill>
            <w14:solidFill>
              <w14:schemeClr w14:val="tx1"/>
            </w14:solidFill>
          </w14:textFill>
        </w:rPr>
      </w:pPr>
    </w:p>
    <w:p w14:paraId="0387D781">
      <w:pPr>
        <w:rPr>
          <w:color w:val="000000" w:themeColor="text1"/>
          <w14:textFill>
            <w14:solidFill>
              <w14:schemeClr w14:val="tx1"/>
            </w14:solidFill>
          </w14:textFill>
        </w:rPr>
      </w:pPr>
      <w:r>
        <w:rPr>
          <w:color w:val="000000" w:themeColor="text1"/>
          <w14:textFill>
            <w14:solidFill>
              <w14:schemeClr w14:val="tx1"/>
            </w14:solidFill>
          </w14:textFill>
        </w:rPr>
        <w:t>A study conducted by Mather et al. (2022) examined fertilizer subsidy programs in Zambia using panel survey data from 1,200 farming households. The study used fixed-effects regression analysis to determine how distribution infrastructure affects fertilizer adoption. The findings showed that regions with greater fertilizer outlet coverage experienced higher fertilizer usage rates. This finding is relevant to the current study because outlet density may influence fertilizer uptake.</w:t>
      </w:r>
    </w:p>
    <w:p w14:paraId="0A12C933">
      <w:pPr>
        <w:pStyle w:val="43"/>
        <w:rPr>
          <w:color w:val="000000" w:themeColor="text1"/>
          <w14:textFill>
            <w14:solidFill>
              <w14:schemeClr w14:val="tx1"/>
            </w14:solidFill>
          </w14:textFill>
        </w:rPr>
      </w:pPr>
    </w:p>
    <w:p w14:paraId="0D63340D">
      <w:pPr>
        <w:rPr>
          <w:color w:val="000000" w:themeColor="text1"/>
          <w14:textFill>
            <w14:solidFill>
              <w14:schemeClr w14:val="tx1"/>
            </w14:solidFill>
          </w14:textFill>
        </w:rPr>
      </w:pPr>
      <w:r>
        <w:rPr>
          <w:color w:val="000000" w:themeColor="text1"/>
          <w14:textFill>
            <w14:solidFill>
              <w14:schemeClr w14:val="tx1"/>
            </w14:solidFill>
          </w14:textFill>
        </w:rPr>
        <w:t>A study by Takeshima et al. (2022) examined agricultural input markets in Nigeria using cross-sectional data from 900 farmers. The study applied probit regression models to determine factors influencing fertilizer adoption. The findings showed that farmers living in areas with more input suppliers were more likely to obtain fertilizer when needed. This finding is relevant to the current study because outlet density may influence fertilizer availability.</w:t>
      </w:r>
    </w:p>
    <w:p w14:paraId="368E6B0D">
      <w:pPr>
        <w:pStyle w:val="43"/>
        <w:rPr>
          <w:color w:val="000000" w:themeColor="text1"/>
          <w14:textFill>
            <w14:solidFill>
              <w14:schemeClr w14:val="tx1"/>
            </w14:solidFill>
          </w14:textFill>
        </w:rPr>
      </w:pPr>
    </w:p>
    <w:p w14:paraId="31D0A0F0">
      <w:pPr>
        <w:rPr>
          <w:color w:val="000000" w:themeColor="text1"/>
          <w14:textFill>
            <w14:solidFill>
              <w14:schemeClr w14:val="tx1"/>
            </w14:solidFill>
          </w14:textFill>
        </w:rPr>
      </w:pPr>
      <w:r>
        <w:rPr>
          <w:color w:val="000000" w:themeColor="text1"/>
          <w14:textFill>
            <w14:solidFill>
              <w14:schemeClr w14:val="tx1"/>
            </w14:solidFill>
          </w14:textFill>
        </w:rPr>
        <w:t>A study conducted by Ngigi et al. (2023) assessed fertilizer uptake in Kenya using survey data from 500 smallholder farmers. The researchers used multiple regression analysis to examine factors influencing fertilizer use. The findings indicated that farmers living in regions with multiple agro-dealer outlets had higher fertilizer purchase rates compared to those living in areas with limited fertilizer supply points. This finding is relevant to the current study because outlet density may influence fertilizer uptake among smallholder farmers.</w:t>
      </w:r>
    </w:p>
    <w:p w14:paraId="70091716">
      <w:pPr>
        <w:pStyle w:val="43"/>
        <w:rPr>
          <w:color w:val="000000" w:themeColor="text1"/>
          <w14:textFill>
            <w14:solidFill>
              <w14:schemeClr w14:val="tx1"/>
            </w14:solidFill>
          </w14:textFill>
        </w:rPr>
      </w:pPr>
    </w:p>
    <w:p w14:paraId="2BBAD2F7">
      <w:pPr>
        <w:rPr>
          <w:color w:val="000000" w:themeColor="text1"/>
          <w14:textFill>
            <w14:solidFill>
              <w14:schemeClr w14:val="tx1"/>
            </w14:solidFill>
          </w14:textFill>
        </w:rPr>
      </w:pPr>
      <w:r>
        <w:rPr>
          <w:color w:val="000000" w:themeColor="text1"/>
          <w14:textFill>
            <w14:solidFill>
              <w14:schemeClr w14:val="tx1"/>
            </w14:solidFill>
          </w14:textFill>
        </w:rPr>
        <w:t>A study by Kimani and Mutiso (2024) examined fertilizer adoption among Kenyan farmers using cross-sectional survey data from 460 farmers. The researchers used regression analysis to determine the relationship between fertilizer outlet density and fertilizer adoption. The findings revealed that farmers living in areas with several fertilizer outlets were more likely to purchase fertilizer. This finding is relevant to the current study because outlet density may influence fertilizer uptake.</w:t>
      </w:r>
    </w:p>
    <w:p w14:paraId="318E391A">
      <w:pPr>
        <w:pStyle w:val="43"/>
        <w:rPr>
          <w:color w:val="000000" w:themeColor="text1"/>
          <w14:textFill>
            <w14:solidFill>
              <w14:schemeClr w14:val="tx1"/>
            </w14:solidFill>
          </w14:textFill>
        </w:rPr>
      </w:pPr>
    </w:p>
    <w:p w14:paraId="393C0720">
      <w:pPr>
        <w:rPr>
          <w:color w:val="000000" w:themeColor="text1"/>
          <w14:textFill>
            <w14:solidFill>
              <w14:schemeClr w14:val="tx1"/>
            </w14:solidFill>
          </w14:textFill>
        </w:rPr>
      </w:pPr>
      <w:r>
        <w:rPr>
          <w:color w:val="000000" w:themeColor="text1"/>
          <w14:textFill>
            <w14:solidFill>
              <w14:schemeClr w14:val="tx1"/>
            </w14:solidFill>
          </w14:textFill>
        </w:rPr>
        <w:t>A study conducted by Otieno et al. (2025) assessed fertilizer supply networks in Kenya using survey data from 610 farmers. The study found that areas with higher input supplier density recorded higher fertilizer adoption rates. The researchers concluded that increasing agro-dealer networks could improve fertilizer uptake. This finding is relevant to the current study because outlet density may influence farmers’ fertilizer uptake.</w:t>
      </w:r>
    </w:p>
    <w:p w14:paraId="3982867A">
      <w:pPr>
        <w:rPr>
          <w:color w:val="000000" w:themeColor="text1"/>
          <w14:textFill>
            <w14:solidFill>
              <w14:schemeClr w14:val="tx1"/>
            </w14:solidFill>
          </w14:textFill>
        </w:rPr>
      </w:pPr>
    </w:p>
    <w:p w14:paraId="15206257">
      <w:pPr>
        <w:pStyle w:val="4"/>
        <w:rPr>
          <w:color w:val="000000" w:themeColor="text1"/>
          <w14:textFill>
            <w14:solidFill>
              <w14:schemeClr w14:val="tx1"/>
            </w14:solidFill>
          </w14:textFill>
        </w:rPr>
      </w:pPr>
      <w:r>
        <w:rPr>
          <w:color w:val="000000" w:themeColor="text1"/>
          <w14:textFill>
            <w14:solidFill>
              <w14:schemeClr w14:val="tx1"/>
            </w14:solidFill>
          </w14:textFill>
        </w:rPr>
        <w:t>2.3.3 Supply Consistency</w:t>
      </w:r>
    </w:p>
    <w:p w14:paraId="78B2F5C2">
      <w:pPr>
        <w:rPr>
          <w:color w:val="000000" w:themeColor="text1"/>
          <w14:textFill>
            <w14:solidFill>
              <w14:schemeClr w14:val="tx1"/>
            </w14:solidFill>
          </w14:textFill>
        </w:rPr>
      </w:pPr>
      <w:r>
        <w:rPr>
          <w:color w:val="000000" w:themeColor="text1"/>
          <w14:textFill>
            <w14:solidFill>
              <w14:schemeClr w14:val="tx1"/>
            </w14:solidFill>
          </w14:textFill>
        </w:rPr>
        <w:t xml:space="preserve">A study by </w:t>
      </w:r>
      <w:r>
        <w:rPr>
          <w:rStyle w:val="20"/>
          <w:rFonts w:cs="Times New Roman"/>
          <w:b w:val="0"/>
          <w:bCs w:val="0"/>
          <w:color w:val="000000" w:themeColor="text1"/>
          <w:szCs w:val="24"/>
          <w14:textFill>
            <w14:solidFill>
              <w14:schemeClr w14:val="tx1"/>
            </w14:solidFill>
          </w14:textFill>
        </w:rPr>
        <w:t>Fuglie et al. (2020)</w:t>
      </w:r>
      <w:r>
        <w:rPr>
          <w:color w:val="000000" w:themeColor="text1"/>
          <w14:textFill>
            <w14:solidFill>
              <w14:schemeClr w14:val="tx1"/>
            </w14:solidFill>
          </w14:textFill>
        </w:rPr>
        <w:t xml:space="preserve"> examined fertilizer supply reliability and agricultural productivity in sub-Saharan Africa using </w:t>
      </w:r>
      <w:r>
        <w:rPr>
          <w:rStyle w:val="20"/>
          <w:rFonts w:cs="Times New Roman"/>
          <w:b w:val="0"/>
          <w:bCs w:val="0"/>
          <w:color w:val="000000" w:themeColor="text1"/>
          <w:szCs w:val="24"/>
          <w14:textFill>
            <w14:solidFill>
              <w14:schemeClr w14:val="tx1"/>
            </w14:solidFill>
          </w14:textFill>
        </w:rPr>
        <w:t>secondary survey data from over 3,200 farming households</w:t>
      </w:r>
      <w:r>
        <w:rPr>
          <w:color w:val="000000" w:themeColor="text1"/>
          <w14:textFill>
            <w14:solidFill>
              <w14:schemeClr w14:val="tx1"/>
            </w14:solidFill>
          </w14:textFill>
        </w:rPr>
        <w:t xml:space="preserve">. The researchers applied </w:t>
      </w:r>
      <w:r>
        <w:rPr>
          <w:rStyle w:val="20"/>
          <w:rFonts w:cs="Times New Roman"/>
          <w:b w:val="0"/>
          <w:bCs w:val="0"/>
          <w:color w:val="000000" w:themeColor="text1"/>
          <w:szCs w:val="24"/>
          <w14:textFill>
            <w14:solidFill>
              <w14:schemeClr w14:val="tx1"/>
            </w14:solidFill>
          </w14:textFill>
        </w:rPr>
        <w:t>econometric productivity models</w:t>
      </w:r>
      <w:r>
        <w:rPr>
          <w:color w:val="000000" w:themeColor="text1"/>
          <w14:textFill>
            <w14:solidFill>
              <w14:schemeClr w14:val="tx1"/>
            </w14:solidFill>
          </w14:textFill>
        </w:rPr>
        <w:t xml:space="preserve"> to analyze fertilizer use patterns. The findings showed that inconsistent fertilizer supply reduced farmers’ willingness to adopt fertilizer technologies. Farmers often delayed planting or reduced fertilizer application when supply chains were disrupted. This finding suggests that supply consistency may influence fertilizer uptake and utilization in the present study.</w:t>
      </w:r>
    </w:p>
    <w:p w14:paraId="5A5B5C4E">
      <w:pPr>
        <w:pStyle w:val="43"/>
        <w:rPr>
          <w:color w:val="000000" w:themeColor="text1"/>
          <w14:textFill>
            <w14:solidFill>
              <w14:schemeClr w14:val="tx1"/>
            </w14:solidFill>
          </w14:textFill>
        </w:rPr>
      </w:pPr>
    </w:p>
    <w:p w14:paraId="048B0778">
      <w:pPr>
        <w:rPr>
          <w:color w:val="000000" w:themeColor="text1"/>
          <w14:textFill>
            <w14:solidFill>
              <w14:schemeClr w14:val="tx1"/>
            </w14:solidFill>
          </w14:textFill>
        </w:rPr>
      </w:pPr>
      <w:r>
        <w:rPr>
          <w:color w:val="000000" w:themeColor="text1"/>
          <w14:textFill>
            <w14:solidFill>
              <w14:schemeClr w14:val="tx1"/>
            </w14:solidFill>
          </w14:textFill>
        </w:rPr>
        <w:t xml:space="preserve">A study by </w:t>
      </w:r>
      <w:r>
        <w:rPr>
          <w:rStyle w:val="20"/>
          <w:rFonts w:cs="Times New Roman"/>
          <w:b w:val="0"/>
          <w:bCs w:val="0"/>
          <w:color w:val="000000" w:themeColor="text1"/>
          <w:szCs w:val="24"/>
          <w14:textFill>
            <w14:solidFill>
              <w14:schemeClr w14:val="tx1"/>
            </w14:solidFill>
          </w14:textFill>
        </w:rPr>
        <w:t>Jayne et al. (2021)</w:t>
      </w:r>
      <w:r>
        <w:rPr>
          <w:color w:val="000000" w:themeColor="text1"/>
          <w14:textFill>
            <w14:solidFill>
              <w14:schemeClr w14:val="tx1"/>
            </w14:solidFill>
          </w14:textFill>
        </w:rPr>
        <w:t xml:space="preserve"> examined fertilizer subsidy systems in Zambia using </w:t>
      </w:r>
      <w:r>
        <w:rPr>
          <w:rStyle w:val="20"/>
          <w:rFonts w:cs="Times New Roman"/>
          <w:b w:val="0"/>
          <w:bCs w:val="0"/>
          <w:color w:val="000000" w:themeColor="text1"/>
          <w:szCs w:val="24"/>
          <w14:textFill>
            <w14:solidFill>
              <w14:schemeClr w14:val="tx1"/>
            </w14:solidFill>
          </w14:textFill>
        </w:rPr>
        <w:t>panel survey data from 840 smallholder farmers</w:t>
      </w:r>
      <w:r>
        <w:rPr>
          <w:color w:val="000000" w:themeColor="text1"/>
          <w14:textFill>
            <w14:solidFill>
              <w14:schemeClr w14:val="tx1"/>
            </w14:solidFill>
          </w14:textFill>
        </w:rPr>
        <w:t xml:space="preserve">. The researchers applied </w:t>
      </w:r>
      <w:r>
        <w:rPr>
          <w:rStyle w:val="20"/>
          <w:rFonts w:cs="Times New Roman"/>
          <w:b w:val="0"/>
          <w:bCs w:val="0"/>
          <w:color w:val="000000" w:themeColor="text1"/>
          <w:szCs w:val="24"/>
          <w14:textFill>
            <w14:solidFill>
              <w14:schemeClr w14:val="tx1"/>
            </w14:solidFill>
          </w14:textFill>
        </w:rPr>
        <w:t>fixed-effects regression analysis</w:t>
      </w:r>
      <w:r>
        <w:rPr>
          <w:color w:val="000000" w:themeColor="text1"/>
          <w14:textFill>
            <w14:solidFill>
              <w14:schemeClr w14:val="tx1"/>
            </w14:solidFill>
          </w14:textFill>
        </w:rPr>
        <w:t xml:space="preserve"> to examine fertilizer uptake patterns. The findings showed that farmers adopted fertilizer more when fertilizer was consistently available in local markets. Unpredictable fertilizer supply created uncertainty and reduced fertilizer purchases. This finding highlights that reliable fertilizer supply improves fertilizer uptake among farmers.</w:t>
      </w:r>
    </w:p>
    <w:p w14:paraId="222EF65B">
      <w:pPr>
        <w:pStyle w:val="43"/>
        <w:rPr>
          <w:color w:val="000000" w:themeColor="text1"/>
          <w14:textFill>
            <w14:solidFill>
              <w14:schemeClr w14:val="tx1"/>
            </w14:solidFill>
          </w14:textFill>
        </w:rPr>
      </w:pPr>
    </w:p>
    <w:p w14:paraId="64AA40F6">
      <w:pPr>
        <w:rPr>
          <w:color w:val="000000" w:themeColor="text1"/>
          <w14:textFill>
            <w14:solidFill>
              <w14:schemeClr w14:val="tx1"/>
            </w14:solidFill>
          </w14:textFill>
        </w:rPr>
      </w:pPr>
      <w:r>
        <w:rPr>
          <w:color w:val="000000" w:themeColor="text1"/>
          <w14:textFill>
            <w14:solidFill>
              <w14:schemeClr w14:val="tx1"/>
            </w14:solidFill>
          </w14:textFill>
        </w:rPr>
        <w:t xml:space="preserve">A study by </w:t>
      </w:r>
      <w:r>
        <w:rPr>
          <w:rStyle w:val="20"/>
          <w:rFonts w:cs="Times New Roman"/>
          <w:b w:val="0"/>
          <w:bCs w:val="0"/>
          <w:color w:val="000000" w:themeColor="text1"/>
          <w:szCs w:val="24"/>
          <w14:textFill>
            <w14:solidFill>
              <w14:schemeClr w14:val="tx1"/>
            </w14:solidFill>
          </w14:textFill>
        </w:rPr>
        <w:t>Sheahan et al. (2022)</w:t>
      </w:r>
      <w:r>
        <w:rPr>
          <w:color w:val="000000" w:themeColor="text1"/>
          <w14:textFill>
            <w14:solidFill>
              <w14:schemeClr w14:val="tx1"/>
            </w14:solidFill>
          </w14:textFill>
        </w:rPr>
        <w:t xml:space="preserve"> examined fertilizer markets in Africa using </w:t>
      </w:r>
      <w:r>
        <w:rPr>
          <w:rStyle w:val="20"/>
          <w:rFonts w:cs="Times New Roman"/>
          <w:b w:val="0"/>
          <w:bCs w:val="0"/>
          <w:color w:val="000000" w:themeColor="text1"/>
          <w:szCs w:val="24"/>
          <w14:textFill>
            <w14:solidFill>
              <w14:schemeClr w14:val="tx1"/>
            </w14:solidFill>
          </w14:textFill>
        </w:rPr>
        <w:t>household survey data from more than 3,000 farmers</w:t>
      </w:r>
      <w:r>
        <w:rPr>
          <w:color w:val="000000" w:themeColor="text1"/>
          <w14:textFill>
            <w14:solidFill>
              <w14:schemeClr w14:val="tx1"/>
            </w14:solidFill>
          </w14:textFill>
        </w:rPr>
        <w:t xml:space="preserve">. The researchers applied </w:t>
      </w:r>
      <w:r>
        <w:rPr>
          <w:rStyle w:val="20"/>
          <w:rFonts w:cs="Times New Roman"/>
          <w:b w:val="0"/>
          <w:bCs w:val="0"/>
          <w:color w:val="000000" w:themeColor="text1"/>
          <w:szCs w:val="24"/>
          <w14:textFill>
            <w14:solidFill>
              <w14:schemeClr w14:val="tx1"/>
            </w14:solidFill>
          </w14:textFill>
        </w:rPr>
        <w:t>econometric demand analysis</w:t>
      </w:r>
      <w:r>
        <w:rPr>
          <w:color w:val="000000" w:themeColor="text1"/>
          <w14:textFill>
            <w14:solidFill>
              <w14:schemeClr w14:val="tx1"/>
            </w14:solidFill>
          </w14:textFill>
        </w:rPr>
        <w:t xml:space="preserve"> to determine factors influencing fertilizer use. The findings showed that farmers were more likely to adopt fertilizer when fertilizer supply chains were reliable. In areas with irregular supply, farmers hesitated to invest in fertilizer. This finding indicates that supply stability influences fertilizer uptake among smallholder farmers.</w:t>
      </w:r>
    </w:p>
    <w:p w14:paraId="6ADC6774">
      <w:pPr>
        <w:pStyle w:val="43"/>
        <w:rPr>
          <w:color w:val="000000" w:themeColor="text1"/>
          <w14:textFill>
            <w14:solidFill>
              <w14:schemeClr w14:val="tx1"/>
            </w14:solidFill>
          </w14:textFill>
        </w:rPr>
      </w:pPr>
    </w:p>
    <w:p w14:paraId="728B0A4F">
      <w:pPr>
        <w:rPr>
          <w:color w:val="000000" w:themeColor="text1"/>
          <w14:textFill>
            <w14:solidFill>
              <w14:schemeClr w14:val="tx1"/>
            </w14:solidFill>
          </w14:textFill>
        </w:rPr>
      </w:pPr>
      <w:r>
        <w:rPr>
          <w:color w:val="000000" w:themeColor="text1"/>
          <w14:textFill>
            <w14:solidFill>
              <w14:schemeClr w14:val="tx1"/>
            </w14:solidFill>
          </w14:textFill>
        </w:rPr>
        <w:t xml:space="preserve">A study by </w:t>
      </w:r>
      <w:r>
        <w:rPr>
          <w:rStyle w:val="20"/>
          <w:rFonts w:cs="Times New Roman"/>
          <w:b w:val="0"/>
          <w:bCs w:val="0"/>
          <w:color w:val="000000" w:themeColor="text1"/>
          <w:szCs w:val="24"/>
          <w14:textFill>
            <w14:solidFill>
              <w14:schemeClr w14:val="tx1"/>
            </w14:solidFill>
          </w14:textFill>
        </w:rPr>
        <w:t>Barrett et al. (2022)</w:t>
      </w:r>
      <w:r>
        <w:rPr>
          <w:color w:val="000000" w:themeColor="text1"/>
          <w14:textFill>
            <w14:solidFill>
              <w14:schemeClr w14:val="tx1"/>
            </w14:solidFill>
          </w14:textFill>
        </w:rPr>
        <w:t xml:space="preserve"> examined agricultural input supply chains in East Africa using </w:t>
      </w:r>
      <w:r>
        <w:rPr>
          <w:rStyle w:val="20"/>
          <w:rFonts w:cs="Times New Roman"/>
          <w:b w:val="0"/>
          <w:bCs w:val="0"/>
          <w:color w:val="000000" w:themeColor="text1"/>
          <w:szCs w:val="24"/>
          <w14:textFill>
            <w14:solidFill>
              <w14:schemeClr w14:val="tx1"/>
            </w14:solidFill>
          </w14:textFill>
        </w:rPr>
        <w:t>survey data from 1,150 smallholder farmers</w:t>
      </w:r>
      <w:r>
        <w:rPr>
          <w:color w:val="000000" w:themeColor="text1"/>
          <w14:textFill>
            <w14:solidFill>
              <w14:schemeClr w14:val="tx1"/>
            </w14:solidFill>
          </w14:textFill>
        </w:rPr>
        <w:t xml:space="preserve">. The researchers applied </w:t>
      </w:r>
      <w:r>
        <w:rPr>
          <w:rStyle w:val="20"/>
          <w:rFonts w:cs="Times New Roman"/>
          <w:b w:val="0"/>
          <w:bCs w:val="0"/>
          <w:color w:val="000000" w:themeColor="text1"/>
          <w:szCs w:val="24"/>
          <w14:textFill>
            <w14:solidFill>
              <w14:schemeClr w14:val="tx1"/>
            </w14:solidFill>
          </w14:textFill>
        </w:rPr>
        <w:t>multivariate regression analysis</w:t>
      </w:r>
      <w:r>
        <w:rPr>
          <w:color w:val="000000" w:themeColor="text1"/>
          <w14:textFill>
            <w14:solidFill>
              <w14:schemeClr w14:val="tx1"/>
            </w14:solidFill>
          </w14:textFill>
        </w:rPr>
        <w:t xml:space="preserve"> to examine fertilizer adoption patterns. The findings showed that farmers in areas with stable fertilizer supply networks applied fertilizer more frequently. Farmers facing supply shortages used fertilizer less often. This finding suggests that supply consistency influences fertilizer adoption.</w:t>
      </w:r>
    </w:p>
    <w:p w14:paraId="6E350CD2">
      <w:pPr>
        <w:pStyle w:val="43"/>
        <w:rPr>
          <w:color w:val="000000" w:themeColor="text1"/>
          <w14:textFill>
            <w14:solidFill>
              <w14:schemeClr w14:val="tx1"/>
            </w14:solidFill>
          </w14:textFill>
        </w:rPr>
      </w:pPr>
    </w:p>
    <w:p w14:paraId="5B177CF2">
      <w:pPr>
        <w:rPr>
          <w:color w:val="000000" w:themeColor="text1"/>
          <w14:textFill>
            <w14:solidFill>
              <w14:schemeClr w14:val="tx1"/>
            </w14:solidFill>
          </w14:textFill>
        </w:rPr>
      </w:pPr>
      <w:r>
        <w:rPr>
          <w:color w:val="000000" w:themeColor="text1"/>
          <w14:textFill>
            <w14:solidFill>
              <w14:schemeClr w14:val="tx1"/>
            </w14:solidFill>
          </w14:textFill>
        </w:rPr>
        <w:t xml:space="preserve">A study by </w:t>
      </w:r>
      <w:r>
        <w:rPr>
          <w:rStyle w:val="20"/>
          <w:rFonts w:cs="Times New Roman"/>
          <w:b w:val="0"/>
          <w:bCs w:val="0"/>
          <w:color w:val="000000" w:themeColor="text1"/>
          <w:szCs w:val="24"/>
          <w14:textFill>
            <w14:solidFill>
              <w14:schemeClr w14:val="tx1"/>
            </w14:solidFill>
          </w14:textFill>
        </w:rPr>
        <w:t>Mutua et al. (2023)</w:t>
      </w:r>
      <w:r>
        <w:rPr>
          <w:color w:val="000000" w:themeColor="text1"/>
          <w14:textFill>
            <w14:solidFill>
              <w14:schemeClr w14:val="tx1"/>
            </w14:solidFill>
          </w14:textFill>
        </w:rPr>
        <w:t xml:space="preserve"> examined fertilizer distribution systems in Kenya using a </w:t>
      </w:r>
      <w:r>
        <w:rPr>
          <w:rStyle w:val="20"/>
          <w:rFonts w:cs="Times New Roman"/>
          <w:b w:val="0"/>
          <w:bCs w:val="0"/>
          <w:color w:val="000000" w:themeColor="text1"/>
          <w:szCs w:val="24"/>
          <w14:textFill>
            <w14:solidFill>
              <w14:schemeClr w14:val="tx1"/>
            </w14:solidFill>
          </w14:textFill>
        </w:rPr>
        <w:t>descriptive survey involving 480 maize farmers</w:t>
      </w:r>
      <w:r>
        <w:rPr>
          <w:color w:val="000000" w:themeColor="text1"/>
          <w14:textFill>
            <w14:solidFill>
              <w14:schemeClr w14:val="tx1"/>
            </w14:solidFill>
          </w14:textFill>
        </w:rPr>
        <w:t xml:space="preserve">. The researchers applied </w:t>
      </w:r>
      <w:r>
        <w:rPr>
          <w:rStyle w:val="20"/>
          <w:rFonts w:cs="Times New Roman"/>
          <w:b w:val="0"/>
          <w:bCs w:val="0"/>
          <w:color w:val="000000" w:themeColor="text1"/>
          <w:szCs w:val="24"/>
          <w14:textFill>
            <w14:solidFill>
              <w14:schemeClr w14:val="tx1"/>
            </w14:solidFill>
          </w14:textFill>
        </w:rPr>
        <w:t>multiple regression analysis</w:t>
      </w:r>
      <w:r>
        <w:rPr>
          <w:color w:val="000000" w:themeColor="text1"/>
          <w14:textFill>
            <w14:solidFill>
              <w14:schemeClr w14:val="tx1"/>
            </w14:solidFill>
          </w14:textFill>
        </w:rPr>
        <w:t xml:space="preserve"> to determine the relationship between fertilizer availability and fertilizer adoption. The findings showed that farmers experiencing consistent fertilizer supply were more likely to apply fertilizer. Farmers facing frequent fertilizer shortages applied fertilizer less frequently. This finding highlights that supply reliability influences fertilizer uptake.</w:t>
      </w:r>
    </w:p>
    <w:p w14:paraId="350D8BF9">
      <w:pPr>
        <w:pStyle w:val="43"/>
        <w:rPr>
          <w:color w:val="000000" w:themeColor="text1"/>
          <w14:textFill>
            <w14:solidFill>
              <w14:schemeClr w14:val="tx1"/>
            </w14:solidFill>
          </w14:textFill>
        </w:rPr>
      </w:pPr>
    </w:p>
    <w:p w14:paraId="2F2140AF">
      <w:pPr>
        <w:rPr>
          <w:color w:val="000000" w:themeColor="text1"/>
          <w14:textFill>
            <w14:solidFill>
              <w14:schemeClr w14:val="tx1"/>
            </w14:solidFill>
          </w14:textFill>
        </w:rPr>
      </w:pPr>
      <w:r>
        <w:rPr>
          <w:color w:val="000000" w:themeColor="text1"/>
          <w14:textFill>
            <w14:solidFill>
              <w14:schemeClr w14:val="tx1"/>
            </w14:solidFill>
          </w14:textFill>
        </w:rPr>
        <w:t xml:space="preserve">A study by </w:t>
      </w:r>
      <w:r>
        <w:rPr>
          <w:rStyle w:val="20"/>
          <w:rFonts w:cs="Times New Roman"/>
          <w:b w:val="0"/>
          <w:bCs w:val="0"/>
          <w:color w:val="000000" w:themeColor="text1"/>
          <w:szCs w:val="24"/>
          <w14:textFill>
            <w14:solidFill>
              <w14:schemeClr w14:val="tx1"/>
            </w14:solidFill>
          </w14:textFill>
        </w:rPr>
        <w:t>Wanjiku et al. (2024)</w:t>
      </w:r>
      <w:r>
        <w:rPr>
          <w:color w:val="000000" w:themeColor="text1"/>
          <w14:textFill>
            <w14:solidFill>
              <w14:schemeClr w14:val="tx1"/>
            </w14:solidFill>
          </w14:textFill>
        </w:rPr>
        <w:t xml:space="preserve"> investigated fertilizer distribution systems in Kenya using </w:t>
      </w:r>
      <w:r>
        <w:rPr>
          <w:rStyle w:val="20"/>
          <w:rFonts w:cs="Times New Roman"/>
          <w:b w:val="0"/>
          <w:bCs w:val="0"/>
          <w:color w:val="000000" w:themeColor="text1"/>
          <w:szCs w:val="24"/>
          <w14:textFill>
            <w14:solidFill>
              <w14:schemeClr w14:val="tx1"/>
            </w14:solidFill>
          </w14:textFill>
        </w:rPr>
        <w:t>survey data from 540 smallholder farmers</w:t>
      </w:r>
      <w:r>
        <w:rPr>
          <w:color w:val="000000" w:themeColor="text1"/>
          <w14:textFill>
            <w14:solidFill>
              <w14:schemeClr w14:val="tx1"/>
            </w14:solidFill>
          </w14:textFill>
        </w:rPr>
        <w:t xml:space="preserve">. The researchers applied </w:t>
      </w:r>
      <w:r>
        <w:rPr>
          <w:rStyle w:val="20"/>
          <w:rFonts w:cs="Times New Roman"/>
          <w:b w:val="0"/>
          <w:bCs w:val="0"/>
          <w:color w:val="000000" w:themeColor="text1"/>
          <w:szCs w:val="24"/>
          <w14:textFill>
            <w14:solidFill>
              <w14:schemeClr w14:val="tx1"/>
            </w14:solidFill>
          </w14:textFill>
        </w:rPr>
        <w:t>correlation and regression analysis</w:t>
      </w:r>
      <w:r>
        <w:rPr>
          <w:color w:val="000000" w:themeColor="text1"/>
          <w14:textFill>
            <w14:solidFill>
              <w14:schemeClr w14:val="tx1"/>
            </w14:solidFill>
          </w14:textFill>
        </w:rPr>
        <w:t xml:space="preserve"> to examine fertilizer adoption patterns. The findings showed that predictable fertilizer supply allowed farmers to plan fertilizer purchases in advance. Farmers facing irregular supply often missed the optimal fertilizer application period. This finding suggests that supply consistency may influence fertilizer uptake among farmers.</w:t>
      </w:r>
    </w:p>
    <w:p w14:paraId="49FCC3B9">
      <w:pPr>
        <w:pStyle w:val="43"/>
        <w:rPr>
          <w:color w:val="000000" w:themeColor="text1"/>
          <w14:textFill>
            <w14:solidFill>
              <w14:schemeClr w14:val="tx1"/>
            </w14:solidFill>
          </w14:textFill>
        </w:rPr>
      </w:pPr>
    </w:p>
    <w:p w14:paraId="29BB3B37">
      <w:pPr>
        <w:rPr>
          <w:color w:val="000000" w:themeColor="text1"/>
          <w14:textFill>
            <w14:solidFill>
              <w14:schemeClr w14:val="tx1"/>
            </w14:solidFill>
          </w14:textFill>
        </w:rPr>
      </w:pPr>
      <w:r>
        <w:rPr>
          <w:color w:val="000000" w:themeColor="text1"/>
          <w14:textFill>
            <w14:solidFill>
              <w14:schemeClr w14:val="tx1"/>
            </w14:solidFill>
          </w14:textFill>
        </w:rPr>
        <w:t xml:space="preserve">A study by </w:t>
      </w:r>
      <w:r>
        <w:rPr>
          <w:rStyle w:val="20"/>
          <w:rFonts w:cs="Times New Roman"/>
          <w:b w:val="0"/>
          <w:bCs w:val="0"/>
          <w:color w:val="000000" w:themeColor="text1"/>
          <w:szCs w:val="24"/>
          <w14:textFill>
            <w14:solidFill>
              <w14:schemeClr w14:val="tx1"/>
            </w14:solidFill>
          </w14:textFill>
        </w:rPr>
        <w:t>Munyua et al. (2024)</w:t>
      </w:r>
      <w:r>
        <w:rPr>
          <w:color w:val="000000" w:themeColor="text1"/>
          <w14:textFill>
            <w14:solidFill>
              <w14:schemeClr w14:val="tx1"/>
            </w14:solidFill>
          </w14:textFill>
        </w:rPr>
        <w:t xml:space="preserve"> examined fertilizer supply systems within Kenya’s subsidy program using a </w:t>
      </w:r>
      <w:r>
        <w:rPr>
          <w:rStyle w:val="20"/>
          <w:rFonts w:cs="Times New Roman"/>
          <w:b w:val="0"/>
          <w:bCs w:val="0"/>
          <w:color w:val="000000" w:themeColor="text1"/>
          <w:szCs w:val="24"/>
          <w14:textFill>
            <w14:solidFill>
              <w14:schemeClr w14:val="tx1"/>
            </w14:solidFill>
          </w14:textFill>
        </w:rPr>
        <w:t>mixed-methods design involving 620 farmers and agricultural officers</w:t>
      </w:r>
      <w:r>
        <w:rPr>
          <w:color w:val="000000" w:themeColor="text1"/>
          <w14:textFill>
            <w14:solidFill>
              <w14:schemeClr w14:val="tx1"/>
            </w14:solidFill>
          </w14:textFill>
        </w:rPr>
        <w:t>. The findings showed that inconsistent fertilizer supply discouraged farmers from participating in subsidy programs. Farmers feared fertilizer would not be available when needed. The study concluded that reliable fertilizer supply improves farmer participation in subsidy programs. This finding supports the present study examining fertilizer uptake.</w:t>
      </w:r>
    </w:p>
    <w:p w14:paraId="2E100B49">
      <w:pPr>
        <w:pStyle w:val="43"/>
        <w:rPr>
          <w:color w:val="000000" w:themeColor="text1"/>
          <w14:textFill>
            <w14:solidFill>
              <w14:schemeClr w14:val="tx1"/>
            </w14:solidFill>
          </w14:textFill>
        </w:rPr>
      </w:pPr>
    </w:p>
    <w:p w14:paraId="0EDB64F5">
      <w:pPr>
        <w:rPr>
          <w:color w:val="000000" w:themeColor="text1"/>
          <w14:textFill>
            <w14:solidFill>
              <w14:schemeClr w14:val="tx1"/>
            </w14:solidFill>
          </w14:textFill>
        </w:rPr>
      </w:pPr>
      <w:r>
        <w:rPr>
          <w:color w:val="000000" w:themeColor="text1"/>
          <w14:textFill>
            <w14:solidFill>
              <w14:schemeClr w14:val="tx1"/>
            </w14:solidFill>
          </w14:textFill>
        </w:rPr>
        <w:t xml:space="preserve">A study by </w:t>
      </w:r>
      <w:r>
        <w:rPr>
          <w:rStyle w:val="20"/>
          <w:rFonts w:cs="Times New Roman"/>
          <w:b w:val="0"/>
          <w:bCs w:val="0"/>
          <w:color w:val="000000" w:themeColor="text1"/>
          <w:szCs w:val="24"/>
          <w14:textFill>
            <w14:solidFill>
              <w14:schemeClr w14:val="tx1"/>
            </w14:solidFill>
          </w14:textFill>
        </w:rPr>
        <w:t>Owino et al. (2025)</w:t>
      </w:r>
      <w:r>
        <w:rPr>
          <w:color w:val="000000" w:themeColor="text1"/>
          <w14:textFill>
            <w14:solidFill>
              <w14:schemeClr w14:val="tx1"/>
            </w14:solidFill>
          </w14:textFill>
        </w:rPr>
        <w:t xml:space="preserve"> examined fertilizer distribution reliability in Kenya using </w:t>
      </w:r>
      <w:r>
        <w:rPr>
          <w:rStyle w:val="20"/>
          <w:rFonts w:cs="Times New Roman"/>
          <w:b w:val="0"/>
          <w:bCs w:val="0"/>
          <w:color w:val="000000" w:themeColor="text1"/>
          <w:szCs w:val="24"/>
          <w14:textFill>
            <w14:solidFill>
              <w14:schemeClr w14:val="tx1"/>
            </w14:solidFill>
          </w14:textFill>
        </w:rPr>
        <w:t>survey data from 600 smallholder farmers</w:t>
      </w:r>
      <w:r>
        <w:rPr>
          <w:color w:val="000000" w:themeColor="text1"/>
          <w14:textFill>
            <w14:solidFill>
              <w14:schemeClr w14:val="tx1"/>
            </w14:solidFill>
          </w14:textFill>
        </w:rPr>
        <w:t xml:space="preserve">. The researchers applied </w:t>
      </w:r>
      <w:r>
        <w:rPr>
          <w:rStyle w:val="20"/>
          <w:rFonts w:cs="Times New Roman"/>
          <w:b w:val="0"/>
          <w:bCs w:val="0"/>
          <w:color w:val="000000" w:themeColor="text1"/>
          <w:szCs w:val="24"/>
          <w14:textFill>
            <w14:solidFill>
              <w14:schemeClr w14:val="tx1"/>
            </w14:solidFill>
          </w14:textFill>
        </w:rPr>
        <w:t>regression analysis</w:t>
      </w:r>
      <w:r>
        <w:rPr>
          <w:color w:val="000000" w:themeColor="text1"/>
          <w14:textFill>
            <w14:solidFill>
              <w14:schemeClr w14:val="tx1"/>
            </w14:solidFill>
          </w14:textFill>
        </w:rPr>
        <w:t xml:space="preserve"> to analyze fertilizer adoption patterns. The findings showed that farmers experiencing reliable fertilizer supply were more likely to purchase and apply fertilizer during planting seasons. Reliable supply also increased fertilizer application rates. This finding suggests that supply consistency may influence fertilizer uptake and utilization in the current study.</w:t>
      </w:r>
    </w:p>
    <w:p w14:paraId="76575F71">
      <w:pPr>
        <w:rPr>
          <w:color w:val="000000" w:themeColor="text1"/>
          <w14:textFill>
            <w14:solidFill>
              <w14:schemeClr w14:val="tx1"/>
            </w14:solidFill>
          </w14:textFill>
        </w:rPr>
      </w:pPr>
    </w:p>
    <w:p w14:paraId="10F556D5">
      <w:pPr>
        <w:pStyle w:val="3"/>
      </w:pPr>
      <w:bookmarkStart w:id="48" w:name="_Toc225962307"/>
      <w:r>
        <w:t>2.4 Revised Targeting Criteria and Uptake of Fertilizers</w:t>
      </w:r>
      <w:bookmarkEnd w:id="48"/>
    </w:p>
    <w:p w14:paraId="2F10E8B2">
      <w:pPr>
        <w:rPr>
          <w:color w:val="000000" w:themeColor="text1"/>
          <w14:textFill>
            <w14:solidFill>
              <w14:schemeClr w14:val="tx1"/>
            </w14:solidFill>
          </w14:textFill>
        </w:rPr>
      </w:pPr>
      <w:r>
        <w:rPr>
          <w:color w:val="000000" w:themeColor="text1"/>
          <w14:textFill>
            <w14:solidFill>
              <w14:schemeClr w14:val="tx1"/>
            </w14:solidFill>
          </w14:textFill>
        </w:rPr>
        <w:t>Targeting criteria determine how fertilizer subsidies are allocated and which farmers benefit from subsidy programs. Governments often introduce registration systems, voucher distribution mechanisms, and redemption procedures to ensure that subsidies reach intended beneficiaries. Effective targeting mechanisms can improve the efficiency of subsidy programs by ensuring that fertilizer subsidies reach resource-constrained farmers who need them most. Empirical studies suggest that the effectiveness of fertilizer subsidy programs largely depends on the efficiency of targeting mechanisms used to allocate subsidies (Takeshima et al., 2020).</w:t>
      </w:r>
    </w:p>
    <w:p w14:paraId="36BBBACC">
      <w:pPr>
        <w:rPr>
          <w:color w:val="000000" w:themeColor="text1"/>
          <w14:textFill>
            <w14:solidFill>
              <w14:schemeClr w14:val="tx1"/>
            </w14:solidFill>
          </w14:textFill>
        </w:rPr>
      </w:pPr>
    </w:p>
    <w:p w14:paraId="5AF9FE8C">
      <w:pPr>
        <w:pStyle w:val="4"/>
        <w:rPr>
          <w:color w:val="000000" w:themeColor="text1"/>
          <w14:textFill>
            <w14:solidFill>
              <w14:schemeClr w14:val="tx1"/>
            </w14:solidFill>
          </w14:textFill>
        </w:rPr>
      </w:pPr>
      <w:r>
        <w:rPr>
          <w:color w:val="000000" w:themeColor="text1"/>
          <w14:textFill>
            <w14:solidFill>
              <w14:schemeClr w14:val="tx1"/>
            </w14:solidFill>
          </w14:textFill>
        </w:rPr>
        <w:t>2.4.1 Registration Status</w:t>
      </w:r>
    </w:p>
    <w:p w14:paraId="13420BB9">
      <w:pPr>
        <w:rPr>
          <w:color w:val="000000" w:themeColor="text1"/>
          <w14:textFill>
            <w14:solidFill>
              <w14:schemeClr w14:val="tx1"/>
            </w14:solidFill>
          </w14:textFill>
        </w:rPr>
      </w:pPr>
      <w:r>
        <w:rPr>
          <w:color w:val="000000" w:themeColor="text1"/>
          <w14:textFill>
            <w14:solidFill>
              <w14:schemeClr w14:val="tx1"/>
            </w14:solidFill>
          </w14:textFill>
        </w:rPr>
        <w:t xml:space="preserve">A study by </w:t>
      </w:r>
      <w:r>
        <w:rPr>
          <w:rStyle w:val="20"/>
          <w:b w:val="0"/>
          <w:bCs w:val="0"/>
          <w:color w:val="000000" w:themeColor="text1"/>
          <w14:textFill>
            <w14:solidFill>
              <w14:schemeClr w14:val="tx1"/>
            </w14:solidFill>
          </w14:textFill>
        </w:rPr>
        <w:t>Takeshima et al. (2020)</w:t>
      </w:r>
      <w:r>
        <w:rPr>
          <w:color w:val="000000" w:themeColor="text1"/>
          <w14:textFill>
            <w14:solidFill>
              <w14:schemeClr w14:val="tx1"/>
            </w14:solidFill>
          </w14:textFill>
        </w:rPr>
        <w:t xml:space="preserve"> examined fertilizer subsidy targeting systems in Nigeria using </w:t>
      </w:r>
      <w:r>
        <w:rPr>
          <w:rStyle w:val="20"/>
          <w:b w:val="0"/>
          <w:bCs w:val="0"/>
          <w:color w:val="000000" w:themeColor="text1"/>
          <w14:textFill>
            <w14:solidFill>
              <w14:schemeClr w14:val="tx1"/>
            </w14:solidFill>
          </w14:textFill>
        </w:rPr>
        <w:t>household survey data from 1,000 farmers</w:t>
      </w:r>
      <w:r>
        <w:rPr>
          <w:color w:val="000000" w:themeColor="text1"/>
          <w14:textFill>
            <w14:solidFill>
              <w14:schemeClr w14:val="tx1"/>
            </w14:solidFill>
          </w14:textFill>
        </w:rPr>
        <w:t xml:space="preserve">. The researchers applied </w:t>
      </w:r>
      <w:r>
        <w:rPr>
          <w:rStyle w:val="20"/>
          <w:b w:val="0"/>
          <w:bCs w:val="0"/>
          <w:color w:val="000000" w:themeColor="text1"/>
          <w14:textFill>
            <w14:solidFill>
              <w14:schemeClr w14:val="tx1"/>
            </w14:solidFill>
          </w14:textFill>
        </w:rPr>
        <w:t>logistic regression models</w:t>
      </w:r>
      <w:r>
        <w:rPr>
          <w:b/>
          <w:bCs/>
          <w:color w:val="000000" w:themeColor="text1"/>
          <w14:textFill>
            <w14:solidFill>
              <w14:schemeClr w14:val="tx1"/>
            </w14:solidFill>
          </w14:textFill>
        </w:rPr>
        <w:t xml:space="preserve"> </w:t>
      </w:r>
      <w:r>
        <w:rPr>
          <w:color w:val="000000" w:themeColor="text1"/>
          <w14:textFill>
            <w14:solidFill>
              <w14:schemeClr w14:val="tx1"/>
            </w14:solidFill>
          </w14:textFill>
        </w:rPr>
        <w:t>to determine how registration systems influence subsidy participation. The findings showed that farmers registered in government databases were more likely to receive fertilizer subsidies. Registration also improved transparency in subsidy allocation. This finding suggests that registration status influences fertilizer uptake in the present study.</w:t>
      </w:r>
    </w:p>
    <w:p w14:paraId="1F93D38F">
      <w:pPr>
        <w:pStyle w:val="43"/>
        <w:rPr>
          <w:color w:val="000000" w:themeColor="text1"/>
          <w14:textFill>
            <w14:solidFill>
              <w14:schemeClr w14:val="tx1"/>
            </w14:solidFill>
          </w14:textFill>
        </w:rPr>
      </w:pPr>
    </w:p>
    <w:p w14:paraId="67C8780B">
      <w:pPr>
        <w:rPr>
          <w:color w:val="000000" w:themeColor="text1"/>
          <w14:textFill>
            <w14:solidFill>
              <w14:schemeClr w14:val="tx1"/>
            </w14:solidFill>
          </w14:textFill>
        </w:rPr>
      </w:pPr>
      <w:r>
        <w:rPr>
          <w:color w:val="000000" w:themeColor="text1"/>
          <w14:textFill>
            <w14:solidFill>
              <w14:schemeClr w14:val="tx1"/>
            </w14:solidFill>
          </w14:textFill>
        </w:rPr>
        <w:t xml:space="preserve">A study by </w:t>
      </w:r>
      <w:r>
        <w:rPr>
          <w:rStyle w:val="20"/>
          <w:b w:val="0"/>
          <w:bCs w:val="0"/>
          <w:color w:val="000000" w:themeColor="text1"/>
          <w14:textFill>
            <w14:solidFill>
              <w14:schemeClr w14:val="tx1"/>
            </w14:solidFill>
          </w14:textFill>
        </w:rPr>
        <w:t>Abate et al. (2021)</w:t>
      </w:r>
      <w:r>
        <w:rPr>
          <w:color w:val="000000" w:themeColor="text1"/>
          <w14:textFill>
            <w14:solidFill>
              <w14:schemeClr w14:val="tx1"/>
            </w14:solidFill>
          </w14:textFill>
        </w:rPr>
        <w:t xml:space="preserve"> examined fertilizer subsidy targeting efficiency in Ethiopia using </w:t>
      </w:r>
      <w:r>
        <w:rPr>
          <w:rStyle w:val="20"/>
          <w:b w:val="0"/>
          <w:bCs w:val="0"/>
          <w:color w:val="000000" w:themeColor="text1"/>
          <w14:textFill>
            <w14:solidFill>
              <w14:schemeClr w14:val="tx1"/>
            </w14:solidFill>
          </w14:textFill>
        </w:rPr>
        <w:t>survey data from 1,200 farming households</w:t>
      </w:r>
      <w:r>
        <w:rPr>
          <w:color w:val="000000" w:themeColor="text1"/>
          <w14:textFill>
            <w14:solidFill>
              <w14:schemeClr w14:val="tx1"/>
            </w14:solidFill>
          </w14:textFill>
        </w:rPr>
        <w:t xml:space="preserve">. The researchers applied </w:t>
      </w:r>
      <w:r>
        <w:rPr>
          <w:rStyle w:val="20"/>
          <w:b w:val="0"/>
          <w:bCs w:val="0"/>
          <w:color w:val="000000" w:themeColor="text1"/>
          <w14:textFill>
            <w14:solidFill>
              <w14:schemeClr w14:val="tx1"/>
            </w14:solidFill>
          </w14:textFill>
        </w:rPr>
        <w:t>propensity score matching techniques</w:t>
      </w:r>
      <w:r>
        <w:rPr>
          <w:color w:val="000000" w:themeColor="text1"/>
          <w14:textFill>
            <w14:solidFill>
              <w14:schemeClr w14:val="tx1"/>
            </w14:solidFill>
          </w14:textFill>
        </w:rPr>
        <w:t xml:space="preserve"> to analyze subsidy distribution. The findings showed that registered farmers had a higher probability of receiving subsidized fertilizer than unregistered farmers. The study concluded that registration systems improve subsidy targeting and fertilizer uptake. This finding supports the present study examining fertilizer uptake under subsidy reforms.</w:t>
      </w:r>
    </w:p>
    <w:p w14:paraId="63F2DBBD">
      <w:pPr>
        <w:pStyle w:val="43"/>
        <w:rPr>
          <w:color w:val="000000" w:themeColor="text1"/>
          <w14:textFill>
            <w14:solidFill>
              <w14:schemeClr w14:val="tx1"/>
            </w14:solidFill>
          </w14:textFill>
        </w:rPr>
      </w:pPr>
    </w:p>
    <w:p w14:paraId="10B234E9">
      <w:pPr>
        <w:rPr>
          <w:color w:val="000000" w:themeColor="text1"/>
          <w14:textFill>
            <w14:solidFill>
              <w14:schemeClr w14:val="tx1"/>
            </w14:solidFill>
          </w14:textFill>
        </w:rPr>
      </w:pPr>
      <w:r>
        <w:rPr>
          <w:color w:val="000000" w:themeColor="text1"/>
          <w14:textFill>
            <w14:solidFill>
              <w14:schemeClr w14:val="tx1"/>
            </w14:solidFill>
          </w14:textFill>
        </w:rPr>
        <w:t xml:space="preserve">A study by </w:t>
      </w:r>
      <w:r>
        <w:rPr>
          <w:rStyle w:val="20"/>
          <w:b w:val="0"/>
          <w:bCs w:val="0"/>
          <w:color w:val="000000" w:themeColor="text1"/>
          <w14:textFill>
            <w14:solidFill>
              <w14:schemeClr w14:val="tx1"/>
            </w14:solidFill>
          </w14:textFill>
        </w:rPr>
        <w:t>Burke et al. (2021)</w:t>
      </w:r>
      <w:r>
        <w:rPr>
          <w:color w:val="000000" w:themeColor="text1"/>
          <w14:textFill>
            <w14:solidFill>
              <w14:schemeClr w14:val="tx1"/>
            </w14:solidFill>
          </w14:textFill>
        </w:rPr>
        <w:t xml:space="preserve"> analyzed fertilizer subsidy participation in Zambia using </w:t>
      </w:r>
      <w:r>
        <w:rPr>
          <w:rStyle w:val="20"/>
          <w:b w:val="0"/>
          <w:bCs w:val="0"/>
          <w:color w:val="000000" w:themeColor="text1"/>
          <w14:textFill>
            <w14:solidFill>
              <w14:schemeClr w14:val="tx1"/>
            </w14:solidFill>
          </w14:textFill>
        </w:rPr>
        <w:t>panel survey data from 900 farmers</w:t>
      </w:r>
      <w:r>
        <w:rPr>
          <w:color w:val="000000" w:themeColor="text1"/>
          <w14:textFill>
            <w14:solidFill>
              <w14:schemeClr w14:val="tx1"/>
            </w14:solidFill>
          </w14:textFill>
        </w:rPr>
        <w:t xml:space="preserve">. The researchers applied </w:t>
      </w:r>
      <w:r>
        <w:rPr>
          <w:rStyle w:val="20"/>
          <w:b w:val="0"/>
          <w:bCs w:val="0"/>
          <w:color w:val="000000" w:themeColor="text1"/>
          <w14:textFill>
            <w14:solidFill>
              <w14:schemeClr w14:val="tx1"/>
            </w14:solidFill>
          </w14:textFill>
        </w:rPr>
        <w:t>fixed-effects regression models</w:t>
      </w:r>
      <w:r>
        <w:rPr>
          <w:color w:val="000000" w:themeColor="text1"/>
          <w14:textFill>
            <w14:solidFill>
              <w14:schemeClr w14:val="tx1"/>
            </w14:solidFill>
          </w14:textFill>
        </w:rPr>
        <w:t xml:space="preserve"> to determine factors influencing subsidy participation. The findings revealed that formally registered farmers were more likely to access fertilizer subsidies. Registration helped improve fairness in subsidy distribution. This finding suggests that registration status may influence fertilizer uptake in the current study.</w:t>
      </w:r>
    </w:p>
    <w:p w14:paraId="44639C59">
      <w:pPr>
        <w:pStyle w:val="43"/>
        <w:rPr>
          <w:color w:val="000000" w:themeColor="text1"/>
          <w14:textFill>
            <w14:solidFill>
              <w14:schemeClr w14:val="tx1"/>
            </w14:solidFill>
          </w14:textFill>
        </w:rPr>
      </w:pPr>
    </w:p>
    <w:p w14:paraId="3080220A">
      <w:pPr>
        <w:rPr>
          <w:color w:val="000000" w:themeColor="text1"/>
          <w14:textFill>
            <w14:solidFill>
              <w14:schemeClr w14:val="tx1"/>
            </w14:solidFill>
          </w14:textFill>
        </w:rPr>
      </w:pPr>
      <w:r>
        <w:rPr>
          <w:color w:val="000000" w:themeColor="text1"/>
          <w14:textFill>
            <w14:solidFill>
              <w14:schemeClr w14:val="tx1"/>
            </w14:solidFill>
          </w14:textFill>
        </w:rPr>
        <w:t>A study conducted by Minten et al. (2022) examined fertilizer subsidy targeting in Madagascar using survey data collected from 800 farmers. The researchers used multivariate regression analysis to examine how registration status influences fertilizer adoption. The findings showed that registered farmers had significantly higher fertilizer adoption rates compared to unregistered farmers. This finding suggests that registration systems improve farmers’ participation in subsidy programs. The finding is relevant to the current study because registration status may influence fertilizer uptake.</w:t>
      </w:r>
    </w:p>
    <w:p w14:paraId="75CAE4A8">
      <w:pPr>
        <w:pStyle w:val="43"/>
        <w:rPr>
          <w:color w:val="000000" w:themeColor="text1"/>
          <w14:textFill>
            <w14:solidFill>
              <w14:schemeClr w14:val="tx1"/>
            </w14:solidFill>
          </w14:textFill>
        </w:rPr>
      </w:pPr>
    </w:p>
    <w:p w14:paraId="3EA69A39">
      <w:pPr>
        <w:rPr>
          <w:color w:val="000000" w:themeColor="text1"/>
          <w14:textFill>
            <w14:solidFill>
              <w14:schemeClr w14:val="tx1"/>
            </w14:solidFill>
          </w14:textFill>
        </w:rPr>
      </w:pPr>
      <w:r>
        <w:rPr>
          <w:color w:val="000000" w:themeColor="text1"/>
          <w14:textFill>
            <w14:solidFill>
              <w14:schemeClr w14:val="tx1"/>
            </w14:solidFill>
          </w14:textFill>
        </w:rPr>
        <w:t>A study by Mather et al. (2023) examined fertilizer subsidy participation using household survey data from 1,050 smallholder farmers in Zambia. The researchers applied regression analysis to evaluate the effectiveness of subsidy targeting mechanisms. The findings revealed that farmers who were registered in agricultural subsidy programs had significantly higher fertilizer adoption rates compared to unregistered farmers. This finding is relevant to the current study because registration status may influence fertilizer uptake and utilization.</w:t>
      </w:r>
    </w:p>
    <w:p w14:paraId="02189105">
      <w:pPr>
        <w:pStyle w:val="43"/>
        <w:rPr>
          <w:color w:val="000000" w:themeColor="text1"/>
          <w14:textFill>
            <w14:solidFill>
              <w14:schemeClr w14:val="tx1"/>
            </w14:solidFill>
          </w14:textFill>
        </w:rPr>
      </w:pPr>
    </w:p>
    <w:p w14:paraId="18774637">
      <w:pPr>
        <w:rPr>
          <w:color w:val="000000" w:themeColor="text1"/>
          <w14:textFill>
            <w14:solidFill>
              <w14:schemeClr w14:val="tx1"/>
            </w14:solidFill>
          </w14:textFill>
        </w:rPr>
      </w:pPr>
      <w:r>
        <w:rPr>
          <w:color w:val="000000" w:themeColor="text1"/>
          <w14:textFill>
            <w14:solidFill>
              <w14:schemeClr w14:val="tx1"/>
            </w14:solidFill>
          </w14:textFill>
        </w:rPr>
        <w:t>A study conducted by Ochieng et al. (2023) examined fertilizer subsidy programs in Kenya using survey data collected from 450 maize farmers. The researchers used multiple regression analysis to determine factors influencing fertilizer subsidy participation. The findings revealed that farmers registered in government fertilizer programs had significantly higher fertilizer uptake levels compared to unregistered farmers. This finding is relevant to the current study because registration status may influence fertilizer uptake.</w:t>
      </w:r>
    </w:p>
    <w:p w14:paraId="624D327C">
      <w:pPr>
        <w:pStyle w:val="43"/>
        <w:rPr>
          <w:color w:val="000000" w:themeColor="text1"/>
          <w14:textFill>
            <w14:solidFill>
              <w14:schemeClr w14:val="tx1"/>
            </w14:solidFill>
          </w14:textFill>
        </w:rPr>
      </w:pPr>
    </w:p>
    <w:p w14:paraId="32CD66BA">
      <w:pPr>
        <w:rPr>
          <w:color w:val="000000" w:themeColor="text1"/>
          <w14:textFill>
            <w14:solidFill>
              <w14:schemeClr w14:val="tx1"/>
            </w14:solidFill>
          </w14:textFill>
        </w:rPr>
      </w:pPr>
      <w:r>
        <w:rPr>
          <w:color w:val="000000" w:themeColor="text1"/>
          <w14:textFill>
            <w14:solidFill>
              <w14:schemeClr w14:val="tx1"/>
            </w14:solidFill>
          </w14:textFill>
        </w:rPr>
        <w:t>A study by Kiptoo et al. (2024) examined fertilizer subsidy targeting in Kenya using cross-sectional survey data from 500 farmers. The researchers applied logistic regression models to examine the relationship between farmer registration and fertilizer subsidy access. The findings indicated that registered farmers were significantly more likely to receive fertilizer subsidies compared to unregistered farmers. This finding is relevant to the current study because registration status may influence fertilizer uptake.</w:t>
      </w:r>
    </w:p>
    <w:p w14:paraId="1B316998">
      <w:pPr>
        <w:pStyle w:val="43"/>
        <w:rPr>
          <w:color w:val="000000" w:themeColor="text1"/>
          <w14:textFill>
            <w14:solidFill>
              <w14:schemeClr w14:val="tx1"/>
            </w14:solidFill>
          </w14:textFill>
        </w:rPr>
      </w:pPr>
    </w:p>
    <w:p w14:paraId="0CEAB0A2">
      <w:pPr>
        <w:rPr>
          <w:color w:val="000000" w:themeColor="text1"/>
          <w14:textFill>
            <w14:solidFill>
              <w14:schemeClr w14:val="tx1"/>
            </w14:solidFill>
          </w14:textFill>
        </w:rPr>
      </w:pPr>
      <w:r>
        <w:rPr>
          <w:color w:val="000000" w:themeColor="text1"/>
          <w14:textFill>
            <w14:solidFill>
              <w14:schemeClr w14:val="tx1"/>
            </w14:solidFill>
          </w14:textFill>
        </w:rPr>
        <w:t>A study conducted by Kamau et al. (2025) examined subsidy targeting efficiency in Kenya using mixed-methods research involving survey data from 650 farmers and interviews with agricultural officers. The findings revealed that registration systems improved transparency in fertilizer subsidy distribution and increased farmers’ participation in subsidy programs. This finding is relevant to the current study because registration status may influence fertilizer uptake among smallholder farmers.</w:t>
      </w:r>
    </w:p>
    <w:p w14:paraId="25F81819">
      <w:pPr>
        <w:pStyle w:val="4"/>
        <w:rPr>
          <w:color w:val="000000" w:themeColor="text1"/>
          <w14:textFill>
            <w14:solidFill>
              <w14:schemeClr w14:val="tx1"/>
            </w14:solidFill>
          </w14:textFill>
        </w:rPr>
      </w:pPr>
      <w:r>
        <w:rPr>
          <w:color w:val="000000" w:themeColor="text1"/>
          <w14:textFill>
            <w14:solidFill>
              <w14:schemeClr w14:val="tx1"/>
            </w14:solidFill>
          </w14:textFill>
        </w:rPr>
        <w:t>2.4.2 Voucher Receipt Timing</w:t>
      </w:r>
    </w:p>
    <w:p w14:paraId="01C2C873">
      <w:pPr>
        <w:rPr>
          <w:color w:val="000000" w:themeColor="text1"/>
          <w14:textFill>
            <w14:solidFill>
              <w14:schemeClr w14:val="tx1"/>
            </w14:solidFill>
          </w14:textFill>
        </w:rPr>
      </w:pPr>
      <w:r>
        <w:rPr>
          <w:color w:val="000000" w:themeColor="text1"/>
          <w14:textFill>
            <w14:solidFill>
              <w14:schemeClr w14:val="tx1"/>
            </w14:solidFill>
          </w14:textFill>
        </w:rPr>
        <w:t xml:space="preserve">A study by </w:t>
      </w:r>
      <w:r>
        <w:rPr>
          <w:rStyle w:val="20"/>
          <w:rFonts w:cs="Times New Roman"/>
          <w:b w:val="0"/>
          <w:bCs w:val="0"/>
          <w:color w:val="000000" w:themeColor="text1"/>
          <w:szCs w:val="24"/>
          <w14:textFill>
            <w14:solidFill>
              <w14:schemeClr w14:val="tx1"/>
            </w14:solidFill>
          </w14:textFill>
        </w:rPr>
        <w:t>Takeshima et al. (2020)</w:t>
      </w:r>
      <w:r>
        <w:rPr>
          <w:color w:val="000000" w:themeColor="text1"/>
          <w14:textFill>
            <w14:solidFill>
              <w14:schemeClr w14:val="tx1"/>
            </w14:solidFill>
          </w14:textFill>
        </w:rPr>
        <w:t xml:space="preserve"> examined fertilizer voucher distribution timing and fertilizer adoption among farmers in Nigeria. The study used a </w:t>
      </w:r>
      <w:r>
        <w:rPr>
          <w:rStyle w:val="20"/>
          <w:rFonts w:cs="Times New Roman"/>
          <w:b w:val="0"/>
          <w:bCs w:val="0"/>
          <w:color w:val="000000" w:themeColor="text1"/>
          <w:szCs w:val="24"/>
          <w14:textFill>
            <w14:solidFill>
              <w14:schemeClr w14:val="tx1"/>
            </w14:solidFill>
          </w14:textFill>
        </w:rPr>
        <w:t>cross-sectional survey of 1,000 farmers</w:t>
      </w:r>
      <w:r>
        <w:rPr>
          <w:color w:val="000000" w:themeColor="text1"/>
          <w14:textFill>
            <w14:solidFill>
              <w14:schemeClr w14:val="tx1"/>
            </w14:solidFill>
          </w14:textFill>
        </w:rPr>
        <w:t xml:space="preserve"> and analyzed data using </w:t>
      </w:r>
      <w:r>
        <w:rPr>
          <w:rStyle w:val="20"/>
          <w:rFonts w:cs="Times New Roman"/>
          <w:b w:val="0"/>
          <w:bCs w:val="0"/>
          <w:color w:val="000000" w:themeColor="text1"/>
          <w:szCs w:val="24"/>
          <w14:textFill>
            <w14:solidFill>
              <w14:schemeClr w14:val="tx1"/>
            </w14:solidFill>
          </w14:textFill>
        </w:rPr>
        <w:t>logistic regression models</w:t>
      </w:r>
      <w:r>
        <w:rPr>
          <w:color w:val="000000" w:themeColor="text1"/>
          <w14:textFill>
            <w14:solidFill>
              <w14:schemeClr w14:val="tx1"/>
            </w14:solidFill>
          </w14:textFill>
        </w:rPr>
        <w:t>. The findings showed that farmers receiving vouchers before planting were more likely to redeem them and apply fertilizer. Early voucher receipt allowed farmers to plan fertilizer purchases. This finding suggests that voucher timing influences fertilizer uptake and utilization in the present study.</w:t>
      </w:r>
    </w:p>
    <w:p w14:paraId="65914BAE">
      <w:pPr>
        <w:pStyle w:val="43"/>
        <w:rPr>
          <w:color w:val="000000" w:themeColor="text1"/>
          <w14:textFill>
            <w14:solidFill>
              <w14:schemeClr w14:val="tx1"/>
            </w14:solidFill>
          </w14:textFill>
        </w:rPr>
      </w:pPr>
    </w:p>
    <w:p w14:paraId="28908918">
      <w:pPr>
        <w:rPr>
          <w:color w:val="000000" w:themeColor="text1"/>
          <w14:textFill>
            <w14:solidFill>
              <w14:schemeClr w14:val="tx1"/>
            </w14:solidFill>
          </w14:textFill>
        </w:rPr>
      </w:pPr>
      <w:r>
        <w:rPr>
          <w:color w:val="000000" w:themeColor="text1"/>
          <w14:textFill>
            <w14:solidFill>
              <w14:schemeClr w14:val="tx1"/>
            </w14:solidFill>
          </w14:textFill>
        </w:rPr>
        <w:t xml:space="preserve">A study by </w:t>
      </w:r>
      <w:r>
        <w:rPr>
          <w:rStyle w:val="20"/>
          <w:rFonts w:cs="Times New Roman"/>
          <w:b w:val="0"/>
          <w:bCs w:val="0"/>
          <w:color w:val="000000" w:themeColor="text1"/>
          <w:szCs w:val="24"/>
          <w14:textFill>
            <w14:solidFill>
              <w14:schemeClr w14:val="tx1"/>
            </w14:solidFill>
          </w14:textFill>
        </w:rPr>
        <w:t>Liverpool-Tasie et al. (2021)</w:t>
      </w:r>
      <w:r>
        <w:rPr>
          <w:color w:val="000000" w:themeColor="text1"/>
          <w14:textFill>
            <w14:solidFill>
              <w14:schemeClr w14:val="tx1"/>
            </w14:solidFill>
          </w14:textFill>
        </w:rPr>
        <w:t xml:space="preserve"> investigated fertilizer voucher programs among maize farmers in Nigeria using </w:t>
      </w:r>
      <w:r>
        <w:rPr>
          <w:rStyle w:val="20"/>
          <w:rFonts w:cs="Times New Roman"/>
          <w:b w:val="0"/>
          <w:bCs w:val="0"/>
          <w:color w:val="000000" w:themeColor="text1"/>
          <w:szCs w:val="24"/>
          <w14:textFill>
            <w14:solidFill>
              <w14:schemeClr w14:val="tx1"/>
            </w14:solidFill>
          </w14:textFill>
        </w:rPr>
        <w:t>survey data from 1,150 farmers</w:t>
      </w:r>
      <w:r>
        <w:rPr>
          <w:color w:val="000000" w:themeColor="text1"/>
          <w14:textFill>
            <w14:solidFill>
              <w14:schemeClr w14:val="tx1"/>
            </w14:solidFill>
          </w14:textFill>
        </w:rPr>
        <w:t xml:space="preserve"> and interviews with agricultural officers. The researchers applied </w:t>
      </w:r>
      <w:r>
        <w:rPr>
          <w:rStyle w:val="20"/>
          <w:rFonts w:cs="Times New Roman"/>
          <w:b w:val="0"/>
          <w:bCs w:val="0"/>
          <w:color w:val="000000" w:themeColor="text1"/>
          <w:szCs w:val="24"/>
          <w14:textFill>
            <w14:solidFill>
              <w14:schemeClr w14:val="tx1"/>
            </w14:solidFill>
          </w14:textFill>
        </w:rPr>
        <w:t>probit regression analysis</w:t>
      </w:r>
      <w:r>
        <w:rPr>
          <w:color w:val="000000" w:themeColor="text1"/>
          <w14:textFill>
            <w14:solidFill>
              <w14:schemeClr w14:val="tx1"/>
            </w14:solidFill>
          </w14:textFill>
        </w:rPr>
        <w:t xml:space="preserve"> to determine factors influencing voucher redemption. The findings showed that farmers receiving vouchers early had higher fertilizer adoption rates. Farmers receiving vouchers late often purchased fertilizer from commercial markets. This finding suggests that voucher receipt timing may influence fertilizer uptake.</w:t>
      </w:r>
    </w:p>
    <w:p w14:paraId="3B2C59DB">
      <w:pPr>
        <w:pStyle w:val="43"/>
        <w:rPr>
          <w:color w:val="000000" w:themeColor="text1"/>
          <w14:textFill>
            <w14:solidFill>
              <w14:schemeClr w14:val="tx1"/>
            </w14:solidFill>
          </w14:textFill>
        </w:rPr>
      </w:pPr>
    </w:p>
    <w:p w14:paraId="4BE822BB">
      <w:pPr>
        <w:rPr>
          <w:color w:val="000000" w:themeColor="text1"/>
          <w14:textFill>
            <w14:solidFill>
              <w14:schemeClr w14:val="tx1"/>
            </w14:solidFill>
          </w14:textFill>
        </w:rPr>
      </w:pPr>
      <w:r>
        <w:rPr>
          <w:color w:val="000000" w:themeColor="text1"/>
          <w14:textFill>
            <w14:solidFill>
              <w14:schemeClr w14:val="tx1"/>
            </w14:solidFill>
          </w14:textFill>
        </w:rPr>
        <w:t xml:space="preserve">A study by </w:t>
      </w:r>
      <w:r>
        <w:rPr>
          <w:rStyle w:val="20"/>
          <w:rFonts w:cs="Times New Roman"/>
          <w:b w:val="0"/>
          <w:bCs w:val="0"/>
          <w:color w:val="000000" w:themeColor="text1"/>
          <w:szCs w:val="24"/>
          <w14:textFill>
            <w14:solidFill>
              <w14:schemeClr w14:val="tx1"/>
            </w14:solidFill>
          </w14:textFill>
        </w:rPr>
        <w:t>Burke et al. (2022)</w:t>
      </w:r>
      <w:r>
        <w:rPr>
          <w:color w:val="000000" w:themeColor="text1"/>
          <w14:textFill>
            <w14:solidFill>
              <w14:schemeClr w14:val="tx1"/>
            </w14:solidFill>
          </w14:textFill>
        </w:rPr>
        <w:t xml:space="preserve"> examined fertilizer voucher programs in Zambia using </w:t>
      </w:r>
      <w:r>
        <w:rPr>
          <w:rStyle w:val="20"/>
          <w:rFonts w:cs="Times New Roman"/>
          <w:b w:val="0"/>
          <w:bCs w:val="0"/>
          <w:color w:val="000000" w:themeColor="text1"/>
          <w:szCs w:val="24"/>
          <w14:textFill>
            <w14:solidFill>
              <w14:schemeClr w14:val="tx1"/>
            </w14:solidFill>
          </w14:textFill>
        </w:rPr>
        <w:t>panel survey data from 900 smallholder farmers</w:t>
      </w:r>
      <w:r>
        <w:rPr>
          <w:color w:val="000000" w:themeColor="text1"/>
          <w14:textFill>
            <w14:solidFill>
              <w14:schemeClr w14:val="tx1"/>
            </w14:solidFill>
          </w14:textFill>
        </w:rPr>
        <w:t xml:space="preserve">. The researchers applied </w:t>
      </w:r>
      <w:r>
        <w:rPr>
          <w:rStyle w:val="20"/>
          <w:rFonts w:cs="Times New Roman"/>
          <w:b w:val="0"/>
          <w:bCs w:val="0"/>
          <w:color w:val="000000" w:themeColor="text1"/>
          <w:szCs w:val="24"/>
          <w14:textFill>
            <w14:solidFill>
              <w14:schemeClr w14:val="tx1"/>
            </w14:solidFill>
          </w14:textFill>
        </w:rPr>
        <w:t>difference-in-difference estimation models</w:t>
      </w:r>
      <w:r>
        <w:rPr>
          <w:color w:val="000000" w:themeColor="text1"/>
          <w14:textFill>
            <w14:solidFill>
              <w14:schemeClr w14:val="tx1"/>
            </w14:solidFill>
          </w14:textFill>
        </w:rPr>
        <w:t xml:space="preserve"> to analyze fertilizer use patterns. The findings showed that farmers receiving vouchers before planting applied fertilizer more frequently than those receiving vouchers later. Delayed voucher distribution reduced farmers’ participation in subsidy programs. This finding suggests that voucher timing may influence fertilizer adoption.</w:t>
      </w:r>
    </w:p>
    <w:p w14:paraId="5C799C47">
      <w:pPr>
        <w:pStyle w:val="43"/>
        <w:rPr>
          <w:color w:val="000000" w:themeColor="text1"/>
          <w14:textFill>
            <w14:solidFill>
              <w14:schemeClr w14:val="tx1"/>
            </w14:solidFill>
          </w14:textFill>
        </w:rPr>
      </w:pPr>
    </w:p>
    <w:p w14:paraId="23893594">
      <w:pPr>
        <w:rPr>
          <w:color w:val="000000" w:themeColor="text1"/>
          <w14:textFill>
            <w14:solidFill>
              <w14:schemeClr w14:val="tx1"/>
            </w14:solidFill>
          </w14:textFill>
        </w:rPr>
      </w:pPr>
      <w:r>
        <w:rPr>
          <w:color w:val="000000" w:themeColor="text1"/>
          <w14:textFill>
            <w14:solidFill>
              <w14:schemeClr w14:val="tx1"/>
            </w14:solidFill>
          </w14:textFill>
        </w:rPr>
        <w:t xml:space="preserve">A study by </w:t>
      </w:r>
      <w:r>
        <w:rPr>
          <w:rStyle w:val="20"/>
          <w:rFonts w:cs="Times New Roman"/>
          <w:b w:val="0"/>
          <w:bCs w:val="0"/>
          <w:color w:val="000000" w:themeColor="text1"/>
          <w:szCs w:val="24"/>
          <w14:textFill>
            <w14:solidFill>
              <w14:schemeClr w14:val="tx1"/>
            </w14:solidFill>
          </w14:textFill>
        </w:rPr>
        <w:t>Abate et al. (2023)</w:t>
      </w:r>
      <w:r>
        <w:rPr>
          <w:color w:val="000000" w:themeColor="text1"/>
          <w14:textFill>
            <w14:solidFill>
              <w14:schemeClr w14:val="tx1"/>
            </w14:solidFill>
          </w14:textFill>
        </w:rPr>
        <w:t xml:space="preserve"> examined fertilizer voucher programs in Ethiopia using </w:t>
      </w:r>
      <w:r>
        <w:rPr>
          <w:rStyle w:val="20"/>
          <w:rFonts w:cs="Times New Roman"/>
          <w:b w:val="0"/>
          <w:bCs w:val="0"/>
          <w:color w:val="000000" w:themeColor="text1"/>
          <w:szCs w:val="24"/>
          <w14:textFill>
            <w14:solidFill>
              <w14:schemeClr w14:val="tx1"/>
            </w14:solidFill>
          </w14:textFill>
        </w:rPr>
        <w:t>survey data from 1,200 farming households</w:t>
      </w:r>
      <w:r>
        <w:rPr>
          <w:color w:val="000000" w:themeColor="text1"/>
          <w14:textFill>
            <w14:solidFill>
              <w14:schemeClr w14:val="tx1"/>
            </w14:solidFill>
          </w14:textFill>
        </w:rPr>
        <w:t xml:space="preserve">. The researchers applied </w:t>
      </w:r>
      <w:r>
        <w:rPr>
          <w:rStyle w:val="20"/>
          <w:rFonts w:cs="Times New Roman"/>
          <w:b w:val="0"/>
          <w:bCs w:val="0"/>
          <w:color w:val="000000" w:themeColor="text1"/>
          <w:szCs w:val="24"/>
          <w14:textFill>
            <w14:solidFill>
              <w14:schemeClr w14:val="tx1"/>
            </w14:solidFill>
          </w14:textFill>
        </w:rPr>
        <w:t>multivariate regression analysis</w:t>
      </w:r>
      <w:r>
        <w:rPr>
          <w:color w:val="000000" w:themeColor="text1"/>
          <w14:textFill>
            <w14:solidFill>
              <w14:schemeClr w14:val="tx1"/>
            </w14:solidFill>
          </w14:textFill>
        </w:rPr>
        <w:t xml:space="preserve"> to examine fertilizer adoption. The findings showed that farmers receiving vouchers early were more likely to redeem them and apply fertilizer during planting. Farmers receiving vouchers late often missed the recommended application period. The study concluded that timely voucher distribution improves fertilizer uptake. This finding supports the present study examining fertilizer uptake and utilization.</w:t>
      </w:r>
    </w:p>
    <w:p w14:paraId="387B2B29">
      <w:pPr>
        <w:pStyle w:val="43"/>
        <w:rPr>
          <w:color w:val="000000" w:themeColor="text1"/>
          <w14:textFill>
            <w14:solidFill>
              <w14:schemeClr w14:val="tx1"/>
            </w14:solidFill>
          </w14:textFill>
        </w:rPr>
      </w:pPr>
    </w:p>
    <w:p w14:paraId="61D939D8">
      <w:pPr>
        <w:rPr>
          <w:color w:val="000000" w:themeColor="text1"/>
          <w14:textFill>
            <w14:solidFill>
              <w14:schemeClr w14:val="tx1"/>
            </w14:solidFill>
          </w14:textFill>
        </w:rPr>
      </w:pPr>
      <w:r>
        <w:rPr>
          <w:color w:val="000000" w:themeColor="text1"/>
          <w14:textFill>
            <w14:solidFill>
              <w14:schemeClr w14:val="tx1"/>
            </w14:solidFill>
          </w14:textFill>
        </w:rPr>
        <w:t xml:space="preserve">A study by </w:t>
      </w:r>
      <w:r>
        <w:rPr>
          <w:rStyle w:val="20"/>
          <w:rFonts w:cs="Times New Roman"/>
          <w:b w:val="0"/>
          <w:bCs w:val="0"/>
          <w:color w:val="000000" w:themeColor="text1"/>
          <w:szCs w:val="24"/>
          <w14:textFill>
            <w14:solidFill>
              <w14:schemeClr w14:val="tx1"/>
            </w14:solidFill>
          </w14:textFill>
        </w:rPr>
        <w:t>Minten et al. (2023)</w:t>
      </w:r>
      <w:r>
        <w:rPr>
          <w:color w:val="000000" w:themeColor="text1"/>
          <w14:textFill>
            <w14:solidFill>
              <w14:schemeClr w14:val="tx1"/>
            </w14:solidFill>
          </w14:textFill>
        </w:rPr>
        <w:t xml:space="preserve"> investigated fertilizer voucher distribution in Madagascar using </w:t>
      </w:r>
      <w:r>
        <w:rPr>
          <w:rStyle w:val="20"/>
          <w:rFonts w:cs="Times New Roman"/>
          <w:b w:val="0"/>
          <w:bCs w:val="0"/>
          <w:color w:val="000000" w:themeColor="text1"/>
          <w:szCs w:val="24"/>
          <w14:textFill>
            <w14:solidFill>
              <w14:schemeClr w14:val="tx1"/>
            </w14:solidFill>
          </w14:textFill>
        </w:rPr>
        <w:t>survey data from 850 smallholder farmers</w:t>
      </w:r>
      <w:r>
        <w:rPr>
          <w:color w:val="000000" w:themeColor="text1"/>
          <w14:textFill>
            <w14:solidFill>
              <w14:schemeClr w14:val="tx1"/>
            </w14:solidFill>
          </w14:textFill>
        </w:rPr>
        <w:t xml:space="preserve">. The researchers applied </w:t>
      </w:r>
      <w:r>
        <w:rPr>
          <w:rStyle w:val="20"/>
          <w:rFonts w:cs="Times New Roman"/>
          <w:b w:val="0"/>
          <w:bCs w:val="0"/>
          <w:color w:val="000000" w:themeColor="text1"/>
          <w:szCs w:val="24"/>
          <w14:textFill>
            <w14:solidFill>
              <w14:schemeClr w14:val="tx1"/>
            </w14:solidFill>
          </w14:textFill>
        </w:rPr>
        <w:t>regression analysis</w:t>
      </w:r>
      <w:r>
        <w:rPr>
          <w:color w:val="000000" w:themeColor="text1"/>
          <w14:textFill>
            <w14:solidFill>
              <w14:schemeClr w14:val="tx1"/>
            </w14:solidFill>
          </w14:textFill>
        </w:rPr>
        <w:t xml:space="preserve"> to determine factors influencing voucher redemption. The findings showed that farmers receiving vouchers before planting had higher fertilizer redemption rates. Delayed voucher distribution reduced fertilizer application among farmers. The study concluded that early voucher distribution increases fertilizer adoption. This finding is relevant to the present study examining fertilizer uptake.</w:t>
      </w:r>
    </w:p>
    <w:p w14:paraId="1DB0188F">
      <w:pPr>
        <w:pStyle w:val="43"/>
        <w:rPr>
          <w:color w:val="000000" w:themeColor="text1"/>
          <w14:textFill>
            <w14:solidFill>
              <w14:schemeClr w14:val="tx1"/>
            </w14:solidFill>
          </w14:textFill>
        </w:rPr>
      </w:pPr>
    </w:p>
    <w:p w14:paraId="658CED75">
      <w:pPr>
        <w:rPr>
          <w:color w:val="000000" w:themeColor="text1"/>
          <w14:textFill>
            <w14:solidFill>
              <w14:schemeClr w14:val="tx1"/>
            </w14:solidFill>
          </w14:textFill>
        </w:rPr>
      </w:pPr>
      <w:r>
        <w:rPr>
          <w:color w:val="000000" w:themeColor="text1"/>
          <w14:textFill>
            <w14:solidFill>
              <w14:schemeClr w14:val="tx1"/>
            </w14:solidFill>
          </w14:textFill>
        </w:rPr>
        <w:t xml:space="preserve">A study by </w:t>
      </w:r>
      <w:r>
        <w:rPr>
          <w:rStyle w:val="20"/>
          <w:rFonts w:cs="Times New Roman"/>
          <w:b w:val="0"/>
          <w:bCs w:val="0"/>
          <w:color w:val="000000" w:themeColor="text1"/>
          <w:szCs w:val="24"/>
          <w14:textFill>
            <w14:solidFill>
              <w14:schemeClr w14:val="tx1"/>
            </w14:solidFill>
          </w14:textFill>
        </w:rPr>
        <w:t>Jayne et al. (2023)</w:t>
      </w:r>
      <w:r>
        <w:rPr>
          <w:color w:val="000000" w:themeColor="text1"/>
          <w14:textFill>
            <w14:solidFill>
              <w14:schemeClr w14:val="tx1"/>
            </w14:solidFill>
          </w14:textFill>
        </w:rPr>
        <w:t xml:space="preserve"> examined fertilizer subsidy voucher systems across several African countries using </w:t>
      </w:r>
      <w:r>
        <w:rPr>
          <w:rStyle w:val="20"/>
          <w:rFonts w:cs="Times New Roman"/>
          <w:b w:val="0"/>
          <w:bCs w:val="0"/>
          <w:color w:val="000000" w:themeColor="text1"/>
          <w:szCs w:val="24"/>
          <w14:textFill>
            <w14:solidFill>
              <w14:schemeClr w14:val="tx1"/>
            </w14:solidFill>
          </w14:textFill>
        </w:rPr>
        <w:t>panel survey data from 1,400 farmers</w:t>
      </w:r>
      <w:r>
        <w:rPr>
          <w:color w:val="000000" w:themeColor="text1"/>
          <w14:textFill>
            <w14:solidFill>
              <w14:schemeClr w14:val="tx1"/>
            </w14:solidFill>
          </w14:textFill>
        </w:rPr>
        <w:t xml:space="preserve">. The researchers applied </w:t>
      </w:r>
      <w:r>
        <w:rPr>
          <w:rStyle w:val="20"/>
          <w:rFonts w:cs="Times New Roman"/>
          <w:b w:val="0"/>
          <w:bCs w:val="0"/>
          <w:color w:val="000000" w:themeColor="text1"/>
          <w:szCs w:val="24"/>
          <w14:textFill>
            <w14:solidFill>
              <w14:schemeClr w14:val="tx1"/>
            </w14:solidFill>
          </w14:textFill>
        </w:rPr>
        <w:t>econometric regression models</w:t>
      </w:r>
      <w:r>
        <w:rPr>
          <w:color w:val="000000" w:themeColor="text1"/>
          <w14:textFill>
            <w14:solidFill>
              <w14:schemeClr w14:val="tx1"/>
            </w14:solidFill>
          </w14:textFill>
        </w:rPr>
        <w:t xml:space="preserve"> to analyze fertilizer adoption behavior. The findings showed that early voucher distribution increased farmers’ participation in subsidy programs. Farmers receiving vouchers late were less likely to redeem them. This finding suggests that voucher timing may influence fertilizer uptake.</w:t>
      </w:r>
    </w:p>
    <w:p w14:paraId="43D394B2">
      <w:pPr>
        <w:pStyle w:val="43"/>
        <w:rPr>
          <w:color w:val="000000" w:themeColor="text1"/>
          <w14:textFill>
            <w14:solidFill>
              <w14:schemeClr w14:val="tx1"/>
            </w14:solidFill>
          </w14:textFill>
        </w:rPr>
      </w:pPr>
    </w:p>
    <w:p w14:paraId="6A7E811C">
      <w:pPr>
        <w:rPr>
          <w:color w:val="000000" w:themeColor="text1"/>
          <w14:textFill>
            <w14:solidFill>
              <w14:schemeClr w14:val="tx1"/>
            </w14:solidFill>
          </w14:textFill>
        </w:rPr>
      </w:pPr>
      <w:r>
        <w:rPr>
          <w:color w:val="000000" w:themeColor="text1"/>
          <w14:textFill>
            <w14:solidFill>
              <w14:schemeClr w14:val="tx1"/>
            </w14:solidFill>
          </w14:textFill>
        </w:rPr>
        <w:t xml:space="preserve">A study by </w:t>
      </w:r>
      <w:r>
        <w:rPr>
          <w:rStyle w:val="20"/>
          <w:rFonts w:cs="Times New Roman"/>
          <w:b w:val="0"/>
          <w:bCs w:val="0"/>
          <w:color w:val="000000" w:themeColor="text1"/>
          <w:szCs w:val="24"/>
          <w14:textFill>
            <w14:solidFill>
              <w14:schemeClr w14:val="tx1"/>
            </w14:solidFill>
          </w14:textFill>
        </w:rPr>
        <w:t>Ngigi et al. (2024)</w:t>
      </w:r>
      <w:r>
        <w:rPr>
          <w:color w:val="000000" w:themeColor="text1"/>
          <w14:textFill>
            <w14:solidFill>
              <w14:schemeClr w14:val="tx1"/>
            </w14:solidFill>
          </w14:textFill>
        </w:rPr>
        <w:t xml:space="preserve"> examined fertilizer voucher programs in Kenya using </w:t>
      </w:r>
      <w:r>
        <w:rPr>
          <w:rStyle w:val="20"/>
          <w:rFonts w:cs="Times New Roman"/>
          <w:b w:val="0"/>
          <w:bCs w:val="0"/>
          <w:color w:val="000000" w:themeColor="text1"/>
          <w:szCs w:val="24"/>
          <w14:textFill>
            <w14:solidFill>
              <w14:schemeClr w14:val="tx1"/>
            </w14:solidFill>
          </w14:textFill>
        </w:rPr>
        <w:t>survey data from 520 maize farmers</w:t>
      </w:r>
      <w:r>
        <w:rPr>
          <w:color w:val="000000" w:themeColor="text1"/>
          <w14:textFill>
            <w14:solidFill>
              <w14:schemeClr w14:val="tx1"/>
            </w14:solidFill>
          </w14:textFill>
        </w:rPr>
        <w:t xml:space="preserve">. The researchers applied </w:t>
      </w:r>
      <w:r>
        <w:rPr>
          <w:rStyle w:val="20"/>
          <w:rFonts w:cs="Times New Roman"/>
          <w:b w:val="0"/>
          <w:bCs w:val="0"/>
          <w:color w:val="000000" w:themeColor="text1"/>
          <w:szCs w:val="24"/>
          <w14:textFill>
            <w14:solidFill>
              <w14:schemeClr w14:val="tx1"/>
            </w14:solidFill>
          </w14:textFill>
        </w:rPr>
        <w:t>multiple regression analysis</w:t>
      </w:r>
      <w:r>
        <w:rPr>
          <w:color w:val="000000" w:themeColor="text1"/>
          <w14:textFill>
            <w14:solidFill>
              <w14:schemeClr w14:val="tx1"/>
            </w14:solidFill>
          </w14:textFill>
        </w:rPr>
        <w:t xml:space="preserve"> to determine factors influencing voucher redemption. The findings showed that farmers receiving vouchers early were more likely to redeem them and apply fertilizer. Farmers receiving vouchers late often missed the optimal fertilizer application period. This finding highlights that voucher timing may influence fertilizer uptake.</w:t>
      </w:r>
    </w:p>
    <w:p w14:paraId="386F80C7">
      <w:pPr>
        <w:pStyle w:val="43"/>
        <w:rPr>
          <w:color w:val="000000" w:themeColor="text1"/>
          <w14:textFill>
            <w14:solidFill>
              <w14:schemeClr w14:val="tx1"/>
            </w14:solidFill>
          </w14:textFill>
        </w:rPr>
      </w:pPr>
    </w:p>
    <w:p w14:paraId="122C06B0">
      <w:pPr>
        <w:rPr>
          <w:color w:val="000000" w:themeColor="text1"/>
          <w14:textFill>
            <w14:solidFill>
              <w14:schemeClr w14:val="tx1"/>
            </w14:solidFill>
          </w14:textFill>
        </w:rPr>
      </w:pPr>
      <w:r>
        <w:rPr>
          <w:color w:val="000000" w:themeColor="text1"/>
          <w14:textFill>
            <w14:solidFill>
              <w14:schemeClr w14:val="tx1"/>
            </w14:solidFill>
          </w14:textFill>
        </w:rPr>
        <w:t xml:space="preserve">A study by </w:t>
      </w:r>
      <w:r>
        <w:rPr>
          <w:rStyle w:val="20"/>
          <w:rFonts w:cs="Times New Roman"/>
          <w:b w:val="0"/>
          <w:bCs w:val="0"/>
          <w:color w:val="000000" w:themeColor="text1"/>
          <w:szCs w:val="24"/>
          <w14:textFill>
            <w14:solidFill>
              <w14:schemeClr w14:val="tx1"/>
            </w14:solidFill>
          </w14:textFill>
        </w:rPr>
        <w:t>Munyua et al. (2024)</w:t>
      </w:r>
      <w:r>
        <w:rPr>
          <w:color w:val="000000" w:themeColor="text1"/>
          <w14:textFill>
            <w14:solidFill>
              <w14:schemeClr w14:val="tx1"/>
            </w14:solidFill>
          </w14:textFill>
        </w:rPr>
        <w:t xml:space="preserve"> examined fertilizer subsidy programs in Kenya using a </w:t>
      </w:r>
      <w:r>
        <w:rPr>
          <w:rStyle w:val="20"/>
          <w:rFonts w:cs="Times New Roman"/>
          <w:b w:val="0"/>
          <w:bCs w:val="0"/>
          <w:color w:val="000000" w:themeColor="text1"/>
          <w:szCs w:val="24"/>
          <w14:textFill>
            <w14:solidFill>
              <w14:schemeClr w14:val="tx1"/>
            </w14:solidFill>
          </w14:textFill>
        </w:rPr>
        <w:t>mixed-methods design involving 600 farmers and extension officers</w:t>
      </w:r>
      <w:r>
        <w:rPr>
          <w:color w:val="000000" w:themeColor="text1"/>
          <w14:textFill>
            <w14:solidFill>
              <w14:schemeClr w14:val="tx1"/>
            </w14:solidFill>
          </w14:textFill>
        </w:rPr>
        <w:t xml:space="preserve">. The researchers used </w:t>
      </w:r>
      <w:r>
        <w:rPr>
          <w:rStyle w:val="20"/>
          <w:rFonts w:cs="Times New Roman"/>
          <w:b w:val="0"/>
          <w:bCs w:val="0"/>
          <w:color w:val="000000" w:themeColor="text1"/>
          <w:szCs w:val="24"/>
          <w14:textFill>
            <w14:solidFill>
              <w14:schemeClr w14:val="tx1"/>
            </w14:solidFill>
          </w14:textFill>
        </w:rPr>
        <w:t>regression analysis</w:t>
      </w:r>
      <w:r>
        <w:rPr>
          <w:color w:val="000000" w:themeColor="text1"/>
          <w14:textFill>
            <w14:solidFill>
              <w14:schemeClr w14:val="tx1"/>
            </w14:solidFill>
          </w14:textFill>
        </w:rPr>
        <w:t xml:space="preserve"> to determine factors influencing voucher redemption. The findings showed that early voucher distribution increased redemption rates and fertilizer application. Farmers receiving vouchers late experienced delays in fertilizer uptake. This finding suggests that voucher receipt timing may influence fertilizer uptake in the present study.</w:t>
      </w:r>
    </w:p>
    <w:p w14:paraId="785CF150">
      <w:pPr>
        <w:rPr>
          <w:color w:val="000000" w:themeColor="text1"/>
          <w14:textFill>
            <w14:solidFill>
              <w14:schemeClr w14:val="tx1"/>
            </w14:solidFill>
          </w14:textFill>
        </w:rPr>
      </w:pPr>
    </w:p>
    <w:p w14:paraId="415D9C39">
      <w:pPr>
        <w:pStyle w:val="4"/>
        <w:rPr>
          <w:color w:val="000000" w:themeColor="text1"/>
          <w14:textFill>
            <w14:solidFill>
              <w14:schemeClr w14:val="tx1"/>
            </w14:solidFill>
          </w14:textFill>
        </w:rPr>
      </w:pPr>
      <w:r>
        <w:rPr>
          <w:color w:val="000000" w:themeColor="text1"/>
          <w14:textFill>
            <w14:solidFill>
              <w14:schemeClr w14:val="tx1"/>
            </w14:solidFill>
          </w14:textFill>
        </w:rPr>
        <w:t>2.4.3 Redemption Frequency</w:t>
      </w:r>
    </w:p>
    <w:p w14:paraId="5A15A512">
      <w:pPr>
        <w:rPr>
          <w:color w:val="000000" w:themeColor="text1"/>
          <w14:textFill>
            <w14:solidFill>
              <w14:schemeClr w14:val="tx1"/>
            </w14:solidFill>
          </w14:textFill>
        </w:rPr>
      </w:pPr>
      <w:r>
        <w:rPr>
          <w:color w:val="000000" w:themeColor="text1"/>
          <w14:textFill>
            <w14:solidFill>
              <w14:schemeClr w14:val="tx1"/>
            </w14:solidFill>
          </w14:textFill>
        </w:rPr>
        <w:t xml:space="preserve">A study by </w:t>
      </w:r>
      <w:r>
        <w:rPr>
          <w:rStyle w:val="20"/>
          <w:rFonts w:cs="Times New Roman"/>
          <w:b w:val="0"/>
          <w:bCs w:val="0"/>
          <w:color w:val="000000" w:themeColor="text1"/>
          <w:szCs w:val="24"/>
          <w14:textFill>
            <w14:solidFill>
              <w14:schemeClr w14:val="tx1"/>
            </w14:solidFill>
          </w14:textFill>
        </w:rPr>
        <w:t>Takeshima et al. (2021)</w:t>
      </w:r>
      <w:r>
        <w:rPr>
          <w:color w:val="000000" w:themeColor="text1"/>
          <w14:textFill>
            <w14:solidFill>
              <w14:schemeClr w14:val="tx1"/>
            </w14:solidFill>
          </w14:textFill>
        </w:rPr>
        <w:t xml:space="preserve"> examined fertilizer voucher redemption behavior among farmers in Nigeria using </w:t>
      </w:r>
      <w:r>
        <w:rPr>
          <w:rStyle w:val="20"/>
          <w:rFonts w:cs="Times New Roman"/>
          <w:b w:val="0"/>
          <w:bCs w:val="0"/>
          <w:color w:val="000000" w:themeColor="text1"/>
          <w:szCs w:val="24"/>
          <w14:textFill>
            <w14:solidFill>
              <w14:schemeClr w14:val="tx1"/>
            </w14:solidFill>
          </w14:textFill>
        </w:rPr>
        <w:t>survey data from 1,050 farmers</w:t>
      </w:r>
      <w:r>
        <w:rPr>
          <w:color w:val="000000" w:themeColor="text1"/>
          <w14:textFill>
            <w14:solidFill>
              <w14:schemeClr w14:val="tx1"/>
            </w14:solidFill>
          </w14:textFill>
        </w:rPr>
        <w:t xml:space="preserve"> in electronic subsidy programs. The researchers applied </w:t>
      </w:r>
      <w:r>
        <w:rPr>
          <w:rStyle w:val="20"/>
          <w:rFonts w:cs="Times New Roman"/>
          <w:b w:val="0"/>
          <w:bCs w:val="0"/>
          <w:color w:val="000000" w:themeColor="text1"/>
          <w:szCs w:val="24"/>
          <w14:textFill>
            <w14:solidFill>
              <w14:schemeClr w14:val="tx1"/>
            </w14:solidFill>
          </w14:textFill>
        </w:rPr>
        <w:t>logistic regression analysis</w:t>
      </w:r>
      <w:r>
        <w:rPr>
          <w:color w:val="000000" w:themeColor="text1"/>
          <w14:textFill>
            <w14:solidFill>
              <w14:schemeClr w14:val="tx1"/>
            </w14:solidFill>
          </w14:textFill>
        </w:rPr>
        <w:t xml:space="preserve"> to determine factors influencing voucher redemption. The findings showed that farmers redeeming vouchers regularly were more likely to adopt fertilizer technologies. Frequent redemption increased familiarity with subsidy programs. This finding suggests that redemption frequency reflects sustained fertilizer uptake in the present study.</w:t>
      </w:r>
    </w:p>
    <w:p w14:paraId="6D854448">
      <w:pPr>
        <w:pStyle w:val="43"/>
        <w:rPr>
          <w:color w:val="000000" w:themeColor="text1"/>
          <w14:textFill>
            <w14:solidFill>
              <w14:schemeClr w14:val="tx1"/>
            </w14:solidFill>
          </w14:textFill>
        </w:rPr>
      </w:pPr>
    </w:p>
    <w:p w14:paraId="0B6A9BE1">
      <w:pPr>
        <w:rPr>
          <w:color w:val="000000" w:themeColor="text1"/>
          <w14:textFill>
            <w14:solidFill>
              <w14:schemeClr w14:val="tx1"/>
            </w14:solidFill>
          </w14:textFill>
        </w:rPr>
      </w:pPr>
      <w:r>
        <w:rPr>
          <w:color w:val="000000" w:themeColor="text1"/>
          <w14:textFill>
            <w14:solidFill>
              <w14:schemeClr w14:val="tx1"/>
            </w14:solidFill>
          </w14:textFill>
        </w:rPr>
        <w:t xml:space="preserve">A study by </w:t>
      </w:r>
      <w:r>
        <w:rPr>
          <w:rStyle w:val="20"/>
          <w:rFonts w:cs="Times New Roman"/>
          <w:b w:val="0"/>
          <w:bCs w:val="0"/>
          <w:color w:val="000000" w:themeColor="text1"/>
          <w:szCs w:val="24"/>
          <w14:textFill>
            <w14:solidFill>
              <w14:schemeClr w14:val="tx1"/>
            </w14:solidFill>
          </w14:textFill>
        </w:rPr>
        <w:t>Liverpool-Tasie et al. (2022)</w:t>
      </w:r>
      <w:r>
        <w:rPr>
          <w:color w:val="000000" w:themeColor="text1"/>
          <w14:textFill>
            <w14:solidFill>
              <w14:schemeClr w14:val="tx1"/>
            </w14:solidFill>
          </w14:textFill>
        </w:rPr>
        <w:t xml:space="preserve"> examined fertilizer subsidy participation in Nigeria using </w:t>
      </w:r>
      <w:r>
        <w:rPr>
          <w:rStyle w:val="20"/>
          <w:rFonts w:cs="Times New Roman"/>
          <w:b w:val="0"/>
          <w:bCs w:val="0"/>
          <w:color w:val="000000" w:themeColor="text1"/>
          <w:szCs w:val="24"/>
          <w14:textFill>
            <w14:solidFill>
              <w14:schemeClr w14:val="tx1"/>
            </w14:solidFill>
          </w14:textFill>
        </w:rPr>
        <w:t>survey data from 1,100 maize farmers</w:t>
      </w:r>
      <w:r>
        <w:rPr>
          <w:color w:val="000000" w:themeColor="text1"/>
          <w14:textFill>
            <w14:solidFill>
              <w14:schemeClr w14:val="tx1"/>
            </w14:solidFill>
          </w14:textFill>
        </w:rPr>
        <w:t xml:space="preserve">. The researchers applied </w:t>
      </w:r>
      <w:r>
        <w:rPr>
          <w:rStyle w:val="20"/>
          <w:rFonts w:cs="Times New Roman"/>
          <w:b w:val="0"/>
          <w:bCs w:val="0"/>
          <w:color w:val="000000" w:themeColor="text1"/>
          <w:szCs w:val="24"/>
          <w14:textFill>
            <w14:solidFill>
              <w14:schemeClr w14:val="tx1"/>
            </w14:solidFill>
          </w14:textFill>
        </w:rPr>
        <w:t>multivariate regression analysis</w:t>
      </w:r>
      <w:r>
        <w:rPr>
          <w:color w:val="000000" w:themeColor="text1"/>
          <w14:textFill>
            <w14:solidFill>
              <w14:schemeClr w14:val="tx1"/>
            </w14:solidFill>
          </w14:textFill>
        </w:rPr>
        <w:t xml:space="preserve"> to examine fertilizer adoption patterns. The findings showed that farmers redeeming vouchers consistently across seasons applied fertilizer more frequently. Repeated participation increased farmers’ confidence in fertilizer technologies. This finding suggests that redemption frequency may influence fertilizer uptake.</w:t>
      </w:r>
    </w:p>
    <w:p w14:paraId="184958E5">
      <w:pPr>
        <w:pStyle w:val="43"/>
        <w:rPr>
          <w:color w:val="000000" w:themeColor="text1"/>
          <w14:textFill>
            <w14:solidFill>
              <w14:schemeClr w14:val="tx1"/>
            </w14:solidFill>
          </w14:textFill>
        </w:rPr>
      </w:pPr>
    </w:p>
    <w:p w14:paraId="13EAAF47">
      <w:pPr>
        <w:rPr>
          <w:color w:val="000000" w:themeColor="text1"/>
          <w14:textFill>
            <w14:solidFill>
              <w14:schemeClr w14:val="tx1"/>
            </w14:solidFill>
          </w14:textFill>
        </w:rPr>
      </w:pPr>
      <w:r>
        <w:rPr>
          <w:color w:val="000000" w:themeColor="text1"/>
          <w14:textFill>
            <w14:solidFill>
              <w14:schemeClr w14:val="tx1"/>
            </w14:solidFill>
          </w14:textFill>
        </w:rPr>
        <w:t xml:space="preserve">A study by </w:t>
      </w:r>
      <w:r>
        <w:rPr>
          <w:rStyle w:val="20"/>
          <w:rFonts w:cs="Times New Roman"/>
          <w:b w:val="0"/>
          <w:bCs w:val="0"/>
          <w:color w:val="000000" w:themeColor="text1"/>
          <w:szCs w:val="24"/>
          <w14:textFill>
            <w14:solidFill>
              <w14:schemeClr w14:val="tx1"/>
            </w14:solidFill>
          </w14:textFill>
        </w:rPr>
        <w:t>Burke et al. (2022)</w:t>
      </w:r>
      <w:r>
        <w:rPr>
          <w:color w:val="000000" w:themeColor="text1"/>
          <w14:textFill>
            <w14:solidFill>
              <w14:schemeClr w14:val="tx1"/>
            </w14:solidFill>
          </w14:textFill>
        </w:rPr>
        <w:t xml:space="preserve"> examined fertilizer subsidy redemption patterns in Zambia using </w:t>
      </w:r>
      <w:r>
        <w:rPr>
          <w:rStyle w:val="20"/>
          <w:rFonts w:cs="Times New Roman"/>
          <w:b w:val="0"/>
          <w:bCs w:val="0"/>
          <w:color w:val="000000" w:themeColor="text1"/>
          <w:szCs w:val="24"/>
          <w14:textFill>
            <w14:solidFill>
              <w14:schemeClr w14:val="tx1"/>
            </w14:solidFill>
          </w14:textFill>
        </w:rPr>
        <w:t>panel survey data from 920 farmers</w:t>
      </w:r>
      <w:r>
        <w:rPr>
          <w:color w:val="000000" w:themeColor="text1"/>
          <w14:textFill>
            <w14:solidFill>
              <w14:schemeClr w14:val="tx1"/>
            </w14:solidFill>
          </w14:textFill>
        </w:rPr>
        <w:t xml:space="preserve">. The researchers applied </w:t>
      </w:r>
      <w:r>
        <w:rPr>
          <w:rStyle w:val="20"/>
          <w:rFonts w:cs="Times New Roman"/>
          <w:b w:val="0"/>
          <w:bCs w:val="0"/>
          <w:color w:val="000000" w:themeColor="text1"/>
          <w:szCs w:val="24"/>
          <w14:textFill>
            <w14:solidFill>
              <w14:schemeClr w14:val="tx1"/>
            </w14:solidFill>
          </w14:textFill>
        </w:rPr>
        <w:t>difference-in-difference estimation models</w:t>
      </w:r>
      <w:r>
        <w:rPr>
          <w:color w:val="000000" w:themeColor="text1"/>
          <w14:textFill>
            <w14:solidFill>
              <w14:schemeClr w14:val="tx1"/>
            </w14:solidFill>
          </w14:textFill>
        </w:rPr>
        <w:t xml:space="preserve"> to analyze fertilizer adoption. The findings revealed that farmers redeeming vouchers across multiple seasons were more likely to adopt fertilizer technologies permanently. Repeated participation strengthened fertilizer use practices. This finding indicates that redemption frequency may influence fertilizer uptake.</w:t>
      </w:r>
    </w:p>
    <w:p w14:paraId="57130A43">
      <w:pPr>
        <w:pStyle w:val="43"/>
        <w:rPr>
          <w:color w:val="000000" w:themeColor="text1"/>
          <w14:textFill>
            <w14:solidFill>
              <w14:schemeClr w14:val="tx1"/>
            </w14:solidFill>
          </w14:textFill>
        </w:rPr>
      </w:pPr>
    </w:p>
    <w:p w14:paraId="2D52F489">
      <w:pPr>
        <w:rPr>
          <w:color w:val="000000" w:themeColor="text1"/>
          <w14:textFill>
            <w14:solidFill>
              <w14:schemeClr w14:val="tx1"/>
            </w14:solidFill>
          </w14:textFill>
        </w:rPr>
      </w:pPr>
      <w:r>
        <w:rPr>
          <w:color w:val="000000" w:themeColor="text1"/>
          <w14:textFill>
            <w14:solidFill>
              <w14:schemeClr w14:val="tx1"/>
            </w14:solidFill>
          </w14:textFill>
        </w:rPr>
        <w:t xml:space="preserve">A study by </w:t>
      </w:r>
      <w:r>
        <w:rPr>
          <w:rStyle w:val="20"/>
          <w:rFonts w:cs="Times New Roman"/>
          <w:b w:val="0"/>
          <w:bCs w:val="0"/>
          <w:color w:val="000000" w:themeColor="text1"/>
          <w:szCs w:val="24"/>
          <w14:textFill>
            <w14:solidFill>
              <w14:schemeClr w14:val="tx1"/>
            </w14:solidFill>
          </w14:textFill>
        </w:rPr>
        <w:t>Abate et al. (2023)</w:t>
      </w:r>
      <w:r>
        <w:rPr>
          <w:color w:val="000000" w:themeColor="text1"/>
          <w14:textFill>
            <w14:solidFill>
              <w14:schemeClr w14:val="tx1"/>
            </w14:solidFill>
          </w14:textFill>
        </w:rPr>
        <w:t xml:space="preserve"> examined fertilizer subsidy participation in Ethiopia using </w:t>
      </w:r>
      <w:r>
        <w:rPr>
          <w:rStyle w:val="20"/>
          <w:rFonts w:cs="Times New Roman"/>
          <w:b w:val="0"/>
          <w:bCs w:val="0"/>
          <w:color w:val="000000" w:themeColor="text1"/>
          <w:szCs w:val="24"/>
          <w14:textFill>
            <w14:solidFill>
              <w14:schemeClr w14:val="tx1"/>
            </w14:solidFill>
          </w14:textFill>
        </w:rPr>
        <w:t>survey data from 1,180 farmers</w:t>
      </w:r>
      <w:r>
        <w:rPr>
          <w:color w:val="000000" w:themeColor="text1"/>
          <w14:textFill>
            <w14:solidFill>
              <w14:schemeClr w14:val="tx1"/>
            </w14:solidFill>
          </w14:textFill>
        </w:rPr>
        <w:t xml:space="preserve">. The researchers applied </w:t>
      </w:r>
      <w:r>
        <w:rPr>
          <w:rStyle w:val="20"/>
          <w:rFonts w:cs="Times New Roman"/>
          <w:b w:val="0"/>
          <w:bCs w:val="0"/>
          <w:color w:val="000000" w:themeColor="text1"/>
          <w:szCs w:val="24"/>
          <w14:textFill>
            <w14:solidFill>
              <w14:schemeClr w14:val="tx1"/>
            </w14:solidFill>
          </w14:textFill>
        </w:rPr>
        <w:t>regression analysis</w:t>
      </w:r>
      <w:r>
        <w:rPr>
          <w:color w:val="000000" w:themeColor="text1"/>
          <w14:textFill>
            <w14:solidFill>
              <w14:schemeClr w14:val="tx1"/>
            </w14:solidFill>
          </w14:textFill>
        </w:rPr>
        <w:t xml:space="preserve"> to determine the relationship between redemption frequency and fertilizer adoption. The findings showed that farmers redeeming vouchers frequently applied larger fertilizer quantities. Frequent participation increased confidence in subsidy programs. This finding suggests that redemption frequency may influence fertilizer uptake.</w:t>
      </w:r>
    </w:p>
    <w:p w14:paraId="3EFB118F">
      <w:pPr>
        <w:pStyle w:val="43"/>
        <w:rPr>
          <w:color w:val="000000" w:themeColor="text1"/>
          <w14:textFill>
            <w14:solidFill>
              <w14:schemeClr w14:val="tx1"/>
            </w14:solidFill>
          </w14:textFill>
        </w:rPr>
      </w:pPr>
    </w:p>
    <w:p w14:paraId="627BF905">
      <w:pPr>
        <w:rPr>
          <w:color w:val="000000" w:themeColor="text1"/>
          <w14:textFill>
            <w14:solidFill>
              <w14:schemeClr w14:val="tx1"/>
            </w14:solidFill>
          </w14:textFill>
        </w:rPr>
      </w:pPr>
      <w:r>
        <w:rPr>
          <w:color w:val="000000" w:themeColor="text1"/>
          <w14:textFill>
            <w14:solidFill>
              <w14:schemeClr w14:val="tx1"/>
            </w14:solidFill>
          </w14:textFill>
        </w:rPr>
        <w:t xml:space="preserve">A study by </w:t>
      </w:r>
      <w:r>
        <w:rPr>
          <w:rStyle w:val="20"/>
          <w:rFonts w:cs="Times New Roman"/>
          <w:b w:val="0"/>
          <w:bCs w:val="0"/>
          <w:color w:val="000000" w:themeColor="text1"/>
          <w:szCs w:val="24"/>
          <w14:textFill>
            <w14:solidFill>
              <w14:schemeClr w14:val="tx1"/>
            </w14:solidFill>
          </w14:textFill>
        </w:rPr>
        <w:t>Jayne et al. (2023)</w:t>
      </w:r>
      <w:r>
        <w:rPr>
          <w:color w:val="000000" w:themeColor="text1"/>
          <w14:textFill>
            <w14:solidFill>
              <w14:schemeClr w14:val="tx1"/>
            </w14:solidFill>
          </w14:textFill>
        </w:rPr>
        <w:t xml:space="preserve"> examined fertilizer subsidy participation in Zambia using </w:t>
      </w:r>
      <w:r>
        <w:rPr>
          <w:rStyle w:val="20"/>
          <w:rFonts w:cs="Times New Roman"/>
          <w:b w:val="0"/>
          <w:bCs w:val="0"/>
          <w:color w:val="000000" w:themeColor="text1"/>
          <w:szCs w:val="24"/>
          <w14:textFill>
            <w14:solidFill>
              <w14:schemeClr w14:val="tx1"/>
            </w14:solidFill>
          </w14:textFill>
        </w:rPr>
        <w:t>panel survey data from 1,200 farmers</w:t>
      </w:r>
      <w:r>
        <w:rPr>
          <w:color w:val="000000" w:themeColor="text1"/>
          <w14:textFill>
            <w14:solidFill>
              <w14:schemeClr w14:val="tx1"/>
            </w14:solidFill>
          </w14:textFill>
        </w:rPr>
        <w:t xml:space="preserve">. The researchers applied </w:t>
      </w:r>
      <w:r>
        <w:rPr>
          <w:rStyle w:val="20"/>
          <w:rFonts w:cs="Times New Roman"/>
          <w:b w:val="0"/>
          <w:bCs w:val="0"/>
          <w:color w:val="000000" w:themeColor="text1"/>
          <w:szCs w:val="24"/>
          <w14:textFill>
            <w14:solidFill>
              <w14:schemeClr w14:val="tx1"/>
            </w14:solidFill>
          </w14:textFill>
        </w:rPr>
        <w:t>fixed-effects regression models</w:t>
      </w:r>
      <w:r>
        <w:rPr>
          <w:color w:val="000000" w:themeColor="text1"/>
          <w14:textFill>
            <w14:solidFill>
              <w14:schemeClr w14:val="tx1"/>
            </w14:solidFill>
          </w14:textFill>
        </w:rPr>
        <w:t xml:space="preserve"> to analyze fertilizer adoption behavior. The findings showed that farmers redeeming vouchers regularly had higher fertilizer adoption rates. Consistent participation strengthened fertilizer use across seasons. This finding suggests that redemption frequency reflects sustained fertilizer uptake.</w:t>
      </w:r>
    </w:p>
    <w:p w14:paraId="490D1912">
      <w:pPr>
        <w:rPr>
          <w:color w:val="000000" w:themeColor="text1"/>
          <w14:textFill>
            <w14:solidFill>
              <w14:schemeClr w14:val="tx1"/>
            </w14:solidFill>
          </w14:textFill>
        </w:rPr>
      </w:pPr>
      <w:r>
        <w:rPr>
          <w:color w:val="000000" w:themeColor="text1"/>
          <w14:textFill>
            <w14:solidFill>
              <w14:schemeClr w14:val="tx1"/>
            </w14:solidFill>
          </w14:textFill>
        </w:rPr>
        <w:t xml:space="preserve">A study by </w:t>
      </w:r>
      <w:r>
        <w:rPr>
          <w:rStyle w:val="20"/>
          <w:rFonts w:cs="Times New Roman"/>
          <w:b w:val="0"/>
          <w:bCs w:val="0"/>
          <w:color w:val="000000" w:themeColor="text1"/>
          <w:szCs w:val="24"/>
          <w14:textFill>
            <w14:solidFill>
              <w14:schemeClr w14:val="tx1"/>
            </w14:solidFill>
          </w14:textFill>
        </w:rPr>
        <w:t>Minten et al. (2024)</w:t>
      </w:r>
      <w:r>
        <w:rPr>
          <w:color w:val="000000" w:themeColor="text1"/>
          <w14:textFill>
            <w14:solidFill>
              <w14:schemeClr w14:val="tx1"/>
            </w14:solidFill>
          </w14:textFill>
        </w:rPr>
        <w:t xml:space="preserve"> examined fertilizer subsidy programs in Madagascar using </w:t>
      </w:r>
      <w:r>
        <w:rPr>
          <w:rStyle w:val="20"/>
          <w:rFonts w:cs="Times New Roman"/>
          <w:b w:val="0"/>
          <w:bCs w:val="0"/>
          <w:color w:val="000000" w:themeColor="text1"/>
          <w:szCs w:val="24"/>
          <w14:textFill>
            <w14:solidFill>
              <w14:schemeClr w14:val="tx1"/>
            </w14:solidFill>
          </w14:textFill>
        </w:rPr>
        <w:t>survey data from 870 farmers</w:t>
      </w:r>
      <w:r>
        <w:rPr>
          <w:color w:val="000000" w:themeColor="text1"/>
          <w14:textFill>
            <w14:solidFill>
              <w14:schemeClr w14:val="tx1"/>
            </w14:solidFill>
          </w14:textFill>
        </w:rPr>
        <w:t xml:space="preserve">. The researchers applied </w:t>
      </w:r>
      <w:r>
        <w:rPr>
          <w:rStyle w:val="20"/>
          <w:rFonts w:cs="Times New Roman"/>
          <w:b w:val="0"/>
          <w:bCs w:val="0"/>
          <w:color w:val="000000" w:themeColor="text1"/>
          <w:szCs w:val="24"/>
          <w14:textFill>
            <w14:solidFill>
              <w14:schemeClr w14:val="tx1"/>
            </w14:solidFill>
          </w14:textFill>
        </w:rPr>
        <w:t>multivariate regression analysis</w:t>
      </w:r>
      <w:r>
        <w:rPr>
          <w:color w:val="000000" w:themeColor="text1"/>
          <w14:textFill>
            <w14:solidFill>
              <w14:schemeClr w14:val="tx1"/>
            </w14:solidFill>
          </w14:textFill>
        </w:rPr>
        <w:t xml:space="preserve"> to determine factors influencing fertilizer adoption. The findings revealed that farmers redeeming vouchers frequently applied fertilizer according to recommended practices. Repeated redemption strengthened farmers’ familiarity with fertilizer technologies. This finding supports the present study examining fertilizer uptake.</w:t>
      </w:r>
    </w:p>
    <w:p w14:paraId="565BABD2">
      <w:pPr>
        <w:pStyle w:val="43"/>
        <w:rPr>
          <w:color w:val="000000" w:themeColor="text1"/>
          <w14:textFill>
            <w14:solidFill>
              <w14:schemeClr w14:val="tx1"/>
            </w14:solidFill>
          </w14:textFill>
        </w:rPr>
      </w:pPr>
    </w:p>
    <w:p w14:paraId="1687A2BB">
      <w:pPr>
        <w:rPr>
          <w:color w:val="000000" w:themeColor="text1"/>
          <w14:textFill>
            <w14:solidFill>
              <w14:schemeClr w14:val="tx1"/>
            </w14:solidFill>
          </w14:textFill>
        </w:rPr>
      </w:pPr>
      <w:r>
        <w:rPr>
          <w:color w:val="000000" w:themeColor="text1"/>
          <w14:textFill>
            <w14:solidFill>
              <w14:schemeClr w14:val="tx1"/>
            </w14:solidFill>
          </w14:textFill>
        </w:rPr>
        <w:t xml:space="preserve">A study by </w:t>
      </w:r>
      <w:r>
        <w:rPr>
          <w:rStyle w:val="20"/>
          <w:rFonts w:cs="Times New Roman"/>
          <w:b w:val="0"/>
          <w:bCs w:val="0"/>
          <w:color w:val="000000" w:themeColor="text1"/>
          <w:szCs w:val="24"/>
          <w14:textFill>
            <w14:solidFill>
              <w14:schemeClr w14:val="tx1"/>
            </w14:solidFill>
          </w14:textFill>
        </w:rPr>
        <w:t>Ngigi et al. (2024)</w:t>
      </w:r>
      <w:r>
        <w:rPr>
          <w:color w:val="000000" w:themeColor="text1"/>
          <w14:textFill>
            <w14:solidFill>
              <w14:schemeClr w14:val="tx1"/>
            </w14:solidFill>
          </w14:textFill>
        </w:rPr>
        <w:t xml:space="preserve"> examined fertilizer subsidy participation among Kenyan farmers using </w:t>
      </w:r>
      <w:r>
        <w:rPr>
          <w:rStyle w:val="20"/>
          <w:rFonts w:cs="Times New Roman"/>
          <w:b w:val="0"/>
          <w:bCs w:val="0"/>
          <w:color w:val="000000" w:themeColor="text1"/>
          <w:szCs w:val="24"/>
          <w14:textFill>
            <w14:solidFill>
              <w14:schemeClr w14:val="tx1"/>
            </w14:solidFill>
          </w14:textFill>
        </w:rPr>
        <w:t>survey data from 540 farmers</w:t>
      </w:r>
      <w:r>
        <w:rPr>
          <w:color w:val="000000" w:themeColor="text1"/>
          <w14:textFill>
            <w14:solidFill>
              <w14:schemeClr w14:val="tx1"/>
            </w14:solidFill>
          </w14:textFill>
        </w:rPr>
        <w:t xml:space="preserve">. The researchers applied </w:t>
      </w:r>
      <w:r>
        <w:rPr>
          <w:rStyle w:val="20"/>
          <w:rFonts w:cs="Times New Roman"/>
          <w:b w:val="0"/>
          <w:bCs w:val="0"/>
          <w:color w:val="000000" w:themeColor="text1"/>
          <w:szCs w:val="24"/>
          <w14:textFill>
            <w14:solidFill>
              <w14:schemeClr w14:val="tx1"/>
            </w14:solidFill>
          </w14:textFill>
        </w:rPr>
        <w:t>multiple regression analysis</w:t>
      </w:r>
      <w:r>
        <w:rPr>
          <w:color w:val="000000" w:themeColor="text1"/>
          <w14:textFill>
            <w14:solidFill>
              <w14:schemeClr w14:val="tx1"/>
            </w14:solidFill>
          </w14:textFill>
        </w:rPr>
        <w:t xml:space="preserve"> to determine the relationship between voucher redemption and fertilizer use. The findings showed that farmers redeeming vouchers frequently applied fertilizer more consistently. Farmers redeeming vouchers occasionally used fertilizer less often. This finding suggests that redemption frequency influences fertilizer uptake.</w:t>
      </w:r>
    </w:p>
    <w:p w14:paraId="20B7B7D5">
      <w:pPr>
        <w:pStyle w:val="43"/>
        <w:rPr>
          <w:color w:val="000000" w:themeColor="text1"/>
          <w14:textFill>
            <w14:solidFill>
              <w14:schemeClr w14:val="tx1"/>
            </w14:solidFill>
          </w14:textFill>
        </w:rPr>
      </w:pPr>
    </w:p>
    <w:p w14:paraId="6C7A9594">
      <w:pPr>
        <w:rPr>
          <w:color w:val="000000" w:themeColor="text1"/>
          <w14:textFill>
            <w14:solidFill>
              <w14:schemeClr w14:val="tx1"/>
            </w14:solidFill>
          </w14:textFill>
        </w:rPr>
      </w:pPr>
      <w:r>
        <w:rPr>
          <w:color w:val="000000" w:themeColor="text1"/>
          <w14:textFill>
            <w14:solidFill>
              <w14:schemeClr w14:val="tx1"/>
            </w14:solidFill>
          </w14:textFill>
        </w:rPr>
        <w:t xml:space="preserve">A study by </w:t>
      </w:r>
      <w:r>
        <w:rPr>
          <w:rStyle w:val="20"/>
          <w:rFonts w:cs="Times New Roman"/>
          <w:b w:val="0"/>
          <w:bCs w:val="0"/>
          <w:color w:val="000000" w:themeColor="text1"/>
          <w:szCs w:val="24"/>
          <w14:textFill>
            <w14:solidFill>
              <w14:schemeClr w14:val="tx1"/>
            </w14:solidFill>
          </w14:textFill>
        </w:rPr>
        <w:t>Omondi et al. (2025)</w:t>
      </w:r>
      <w:r>
        <w:rPr>
          <w:color w:val="000000" w:themeColor="text1"/>
          <w14:textFill>
            <w14:solidFill>
              <w14:schemeClr w14:val="tx1"/>
            </w14:solidFill>
          </w14:textFill>
        </w:rPr>
        <w:t xml:space="preserve"> examined fertilizer subsidy programs in Kenya using </w:t>
      </w:r>
      <w:r>
        <w:rPr>
          <w:rStyle w:val="20"/>
          <w:rFonts w:cs="Times New Roman"/>
          <w:b w:val="0"/>
          <w:bCs w:val="0"/>
          <w:color w:val="000000" w:themeColor="text1"/>
          <w:szCs w:val="24"/>
          <w14:textFill>
            <w14:solidFill>
              <w14:schemeClr w14:val="tx1"/>
            </w14:solidFill>
          </w14:textFill>
        </w:rPr>
        <w:t>survey data from 680 maize farmers</w:t>
      </w:r>
      <w:r>
        <w:rPr>
          <w:color w:val="000000" w:themeColor="text1"/>
          <w14:textFill>
            <w14:solidFill>
              <w14:schemeClr w14:val="tx1"/>
            </w14:solidFill>
          </w14:textFill>
        </w:rPr>
        <w:t xml:space="preserve">. The researchers applied </w:t>
      </w:r>
      <w:r>
        <w:rPr>
          <w:rStyle w:val="20"/>
          <w:rFonts w:cs="Times New Roman"/>
          <w:b w:val="0"/>
          <w:bCs w:val="0"/>
          <w:color w:val="000000" w:themeColor="text1"/>
          <w:szCs w:val="24"/>
          <w14:textFill>
            <w14:solidFill>
              <w14:schemeClr w14:val="tx1"/>
            </w14:solidFill>
          </w14:textFill>
        </w:rPr>
        <w:t>regression analysis</w:t>
      </w:r>
      <w:r>
        <w:rPr>
          <w:color w:val="000000" w:themeColor="text1"/>
          <w14:textFill>
            <w14:solidFill>
              <w14:schemeClr w14:val="tx1"/>
            </w14:solidFill>
          </w14:textFill>
        </w:rPr>
        <w:t xml:space="preserve"> to analyze fertilizer adoption patterns. The findings revealed that farmers redeeming vouchers regularly applied fertilizer across multiple seasons. Farmers redeeming vouchers less frequently had lower fertilizer adoption rates. This finding suggests that redemption frequency reflects sustained fertilizer uptake in the present study.</w:t>
      </w:r>
    </w:p>
    <w:p w14:paraId="22870022">
      <w:pPr>
        <w:rPr>
          <w:color w:val="000000" w:themeColor="text1"/>
          <w14:textFill>
            <w14:solidFill>
              <w14:schemeClr w14:val="tx1"/>
            </w14:solidFill>
          </w14:textFill>
        </w:rPr>
      </w:pPr>
    </w:p>
    <w:p w14:paraId="067FB639">
      <w:pPr>
        <w:pStyle w:val="3"/>
      </w:pPr>
      <w:bookmarkStart w:id="49" w:name="_Toc225962308"/>
      <w:r>
        <w:t>2.5 Smallholder Farmers’ Uptake of Fertilizers</w:t>
      </w:r>
      <w:bookmarkEnd w:id="49"/>
    </w:p>
    <w:p w14:paraId="7C215E42">
      <w:pPr>
        <w:rPr>
          <w:color w:val="000000" w:themeColor="text1"/>
          <w14:textFill>
            <w14:solidFill>
              <w14:schemeClr w14:val="tx1"/>
            </w14:solidFill>
          </w14:textFill>
        </w:rPr>
      </w:pPr>
      <w:r>
        <w:rPr>
          <w:color w:val="000000" w:themeColor="text1"/>
          <w14:textFill>
            <w14:solidFill>
              <w14:schemeClr w14:val="tx1"/>
            </w14:solidFill>
          </w14:textFill>
        </w:rPr>
        <w:t xml:space="preserve">A study by </w:t>
      </w:r>
      <w:r>
        <w:rPr>
          <w:rStyle w:val="20"/>
          <w:rFonts w:cs="Times New Roman"/>
          <w:b w:val="0"/>
          <w:bCs w:val="0"/>
          <w:color w:val="000000" w:themeColor="text1"/>
          <w:szCs w:val="24"/>
          <w14:textFill>
            <w14:solidFill>
              <w14:schemeClr w14:val="tx1"/>
            </w14:solidFill>
          </w14:textFill>
        </w:rPr>
        <w:t>Sheahan and Barrett (2022)</w:t>
      </w:r>
      <w:r>
        <w:rPr>
          <w:color w:val="000000" w:themeColor="text1"/>
          <w14:textFill>
            <w14:solidFill>
              <w14:schemeClr w14:val="tx1"/>
            </w14:solidFill>
          </w14:textFill>
        </w:rPr>
        <w:t xml:space="preserve"> examined fertilizer use among smallholder farmers in Africa using </w:t>
      </w:r>
      <w:r>
        <w:rPr>
          <w:rStyle w:val="20"/>
          <w:rFonts w:cs="Times New Roman"/>
          <w:b w:val="0"/>
          <w:bCs w:val="0"/>
          <w:color w:val="000000" w:themeColor="text1"/>
          <w:szCs w:val="24"/>
          <w14:textFill>
            <w14:solidFill>
              <w14:schemeClr w14:val="tx1"/>
            </w14:solidFill>
          </w14:textFill>
        </w:rPr>
        <w:t>household survey data from over 3,000 farmers</w:t>
      </w:r>
      <w:r>
        <w:rPr>
          <w:color w:val="000000" w:themeColor="text1"/>
          <w14:textFill>
            <w14:solidFill>
              <w14:schemeClr w14:val="tx1"/>
            </w14:solidFill>
          </w14:textFill>
        </w:rPr>
        <w:t xml:space="preserve">. The researchers applied </w:t>
      </w:r>
      <w:r>
        <w:rPr>
          <w:rStyle w:val="20"/>
          <w:rFonts w:cs="Times New Roman"/>
          <w:b w:val="0"/>
          <w:bCs w:val="0"/>
          <w:color w:val="000000" w:themeColor="text1"/>
          <w:szCs w:val="24"/>
          <w14:textFill>
            <w14:solidFill>
              <w14:schemeClr w14:val="tx1"/>
            </w14:solidFill>
          </w14:textFill>
        </w:rPr>
        <w:t>econometric demand models</w:t>
      </w:r>
      <w:r>
        <w:rPr>
          <w:color w:val="000000" w:themeColor="text1"/>
          <w14:textFill>
            <w14:solidFill>
              <w14:schemeClr w14:val="tx1"/>
            </w14:solidFill>
          </w14:textFill>
        </w:rPr>
        <w:t xml:space="preserve"> to analyze fertilizer uptake and use. The findings showed that farmers with better access to input markets obtained fertilizer earlier and applied it during appropriate crop growth stages. Limited access often resulted in delayed fertilizer application and lower productivity. This finding suggests that fertilizer uptake influences fertilizer uptake in the present study.</w:t>
      </w:r>
    </w:p>
    <w:p w14:paraId="7747602C">
      <w:pPr>
        <w:pStyle w:val="43"/>
        <w:rPr>
          <w:color w:val="000000" w:themeColor="text1"/>
          <w14:textFill>
            <w14:solidFill>
              <w14:schemeClr w14:val="tx1"/>
            </w14:solidFill>
          </w14:textFill>
        </w:rPr>
      </w:pPr>
    </w:p>
    <w:p w14:paraId="2729FE7E">
      <w:pPr>
        <w:rPr>
          <w:color w:val="000000" w:themeColor="text1"/>
          <w14:textFill>
            <w14:solidFill>
              <w14:schemeClr w14:val="tx1"/>
            </w14:solidFill>
          </w14:textFill>
        </w:rPr>
      </w:pPr>
      <w:r>
        <w:rPr>
          <w:color w:val="000000" w:themeColor="text1"/>
          <w14:textFill>
            <w14:solidFill>
              <w14:schemeClr w14:val="tx1"/>
            </w14:solidFill>
          </w14:textFill>
        </w:rPr>
        <w:t xml:space="preserve">A study by </w:t>
      </w:r>
      <w:r>
        <w:rPr>
          <w:rStyle w:val="20"/>
          <w:rFonts w:cs="Times New Roman"/>
          <w:b w:val="0"/>
          <w:bCs w:val="0"/>
          <w:color w:val="000000" w:themeColor="text1"/>
          <w:szCs w:val="24"/>
          <w14:textFill>
            <w14:solidFill>
              <w14:schemeClr w14:val="tx1"/>
            </w14:solidFill>
          </w14:textFill>
        </w:rPr>
        <w:t>Jayne et al. (2022)</w:t>
      </w:r>
      <w:r>
        <w:rPr>
          <w:color w:val="000000" w:themeColor="text1"/>
          <w14:textFill>
            <w14:solidFill>
              <w14:schemeClr w14:val="tx1"/>
            </w14:solidFill>
          </w14:textFill>
        </w:rPr>
        <w:t xml:space="preserve"> investigated fertilizer adoption among farmers in Zambia using </w:t>
      </w:r>
      <w:r>
        <w:rPr>
          <w:rStyle w:val="20"/>
          <w:rFonts w:cs="Times New Roman"/>
          <w:b w:val="0"/>
          <w:bCs w:val="0"/>
          <w:color w:val="000000" w:themeColor="text1"/>
          <w:szCs w:val="24"/>
          <w14:textFill>
            <w14:solidFill>
              <w14:schemeClr w14:val="tx1"/>
            </w14:solidFill>
          </w14:textFill>
        </w:rPr>
        <w:t>panel survey data from 1,200 households</w:t>
      </w:r>
      <w:r>
        <w:rPr>
          <w:color w:val="000000" w:themeColor="text1"/>
          <w14:textFill>
            <w14:solidFill>
              <w14:schemeClr w14:val="tx1"/>
            </w14:solidFill>
          </w14:textFill>
        </w:rPr>
        <w:t xml:space="preserve">. The researchers applied </w:t>
      </w:r>
      <w:r>
        <w:rPr>
          <w:rStyle w:val="20"/>
          <w:rFonts w:cs="Times New Roman"/>
          <w:b w:val="0"/>
          <w:bCs w:val="0"/>
          <w:color w:val="000000" w:themeColor="text1"/>
          <w:szCs w:val="24"/>
          <w14:textFill>
            <w14:solidFill>
              <w14:schemeClr w14:val="tx1"/>
            </w14:solidFill>
          </w14:textFill>
        </w:rPr>
        <w:t>fixed-effects regression analysis</w:t>
      </w:r>
      <w:r>
        <w:rPr>
          <w:color w:val="000000" w:themeColor="text1"/>
          <w14:textFill>
            <w14:solidFill>
              <w14:schemeClr w14:val="tx1"/>
            </w14:solidFill>
          </w14:textFill>
        </w:rPr>
        <w:t xml:space="preserve"> to examine fertilizer application patterns. The findings showed that farmers accessing fertilizer early applied it more frequently and at recommended levels. Farmers experiencing delays were less likely to apply fertilizer during critical growth stages. This finding highlights that timely fertilizer uptake improves fertilizer uptake.</w:t>
      </w:r>
    </w:p>
    <w:p w14:paraId="52B81AAB">
      <w:pPr>
        <w:pStyle w:val="43"/>
        <w:rPr>
          <w:color w:val="000000" w:themeColor="text1"/>
          <w14:textFill>
            <w14:solidFill>
              <w14:schemeClr w14:val="tx1"/>
            </w14:solidFill>
          </w14:textFill>
        </w:rPr>
      </w:pPr>
    </w:p>
    <w:p w14:paraId="1114ECA3">
      <w:pPr>
        <w:rPr>
          <w:color w:val="000000" w:themeColor="text1"/>
          <w14:textFill>
            <w14:solidFill>
              <w14:schemeClr w14:val="tx1"/>
            </w14:solidFill>
          </w14:textFill>
        </w:rPr>
      </w:pPr>
      <w:r>
        <w:rPr>
          <w:color w:val="000000" w:themeColor="text1"/>
          <w14:textFill>
            <w14:solidFill>
              <w14:schemeClr w14:val="tx1"/>
            </w14:solidFill>
          </w14:textFill>
        </w:rPr>
        <w:t xml:space="preserve">A study by </w:t>
      </w:r>
      <w:r>
        <w:rPr>
          <w:rStyle w:val="20"/>
          <w:rFonts w:cs="Times New Roman"/>
          <w:b w:val="0"/>
          <w:bCs w:val="0"/>
          <w:color w:val="000000" w:themeColor="text1"/>
          <w:szCs w:val="24"/>
          <w14:textFill>
            <w14:solidFill>
              <w14:schemeClr w14:val="tx1"/>
            </w14:solidFill>
          </w14:textFill>
        </w:rPr>
        <w:t>Minten et al. (2023)</w:t>
      </w:r>
      <w:r>
        <w:rPr>
          <w:color w:val="000000" w:themeColor="text1"/>
          <w14:textFill>
            <w14:solidFill>
              <w14:schemeClr w14:val="tx1"/>
            </w14:solidFill>
          </w14:textFill>
        </w:rPr>
        <w:t xml:space="preserve"> examined fertilizer uptake and utilization in Madagascar using </w:t>
      </w:r>
      <w:r>
        <w:rPr>
          <w:rStyle w:val="20"/>
          <w:rFonts w:cs="Times New Roman"/>
          <w:b w:val="0"/>
          <w:bCs w:val="0"/>
          <w:color w:val="000000" w:themeColor="text1"/>
          <w:szCs w:val="24"/>
          <w14:textFill>
            <w14:solidFill>
              <w14:schemeClr w14:val="tx1"/>
            </w14:solidFill>
          </w14:textFill>
        </w:rPr>
        <w:t>survey data from 850 farmers</w:t>
      </w:r>
      <w:r>
        <w:rPr>
          <w:color w:val="000000" w:themeColor="text1"/>
          <w14:textFill>
            <w14:solidFill>
              <w14:schemeClr w14:val="tx1"/>
            </w14:solidFill>
          </w14:textFill>
        </w:rPr>
        <w:t xml:space="preserve">. The researchers applied </w:t>
      </w:r>
      <w:r>
        <w:rPr>
          <w:rStyle w:val="20"/>
          <w:rFonts w:cs="Times New Roman"/>
          <w:b w:val="0"/>
          <w:bCs w:val="0"/>
          <w:color w:val="000000" w:themeColor="text1"/>
          <w:szCs w:val="24"/>
          <w14:textFill>
            <w14:solidFill>
              <w14:schemeClr w14:val="tx1"/>
            </w14:solidFill>
          </w14:textFill>
        </w:rPr>
        <w:t>multivariate regression analysis</w:t>
      </w:r>
      <w:r>
        <w:rPr>
          <w:color w:val="000000" w:themeColor="text1"/>
          <w14:textFill>
            <w14:solidFill>
              <w14:schemeClr w14:val="tx1"/>
            </w14:solidFill>
          </w14:textFill>
        </w:rPr>
        <w:t xml:space="preserve"> to analyze fertilizer application behavior. The findings revealed that farmers with reliable fertilizer uptake applied fertilizer more regularly and in adequate quantities. Farmers experiencing fertilizer shortages often applied lower fertilizer quantities. This finding indicates that fertilizer availability influences fertilizer uptake.</w:t>
      </w:r>
    </w:p>
    <w:p w14:paraId="7061BF3D">
      <w:pPr>
        <w:pStyle w:val="43"/>
        <w:rPr>
          <w:color w:val="000000" w:themeColor="text1"/>
          <w14:textFill>
            <w14:solidFill>
              <w14:schemeClr w14:val="tx1"/>
            </w14:solidFill>
          </w14:textFill>
        </w:rPr>
      </w:pPr>
    </w:p>
    <w:p w14:paraId="6AC6D9EA">
      <w:pPr>
        <w:rPr>
          <w:color w:val="000000" w:themeColor="text1"/>
          <w14:textFill>
            <w14:solidFill>
              <w14:schemeClr w14:val="tx1"/>
            </w14:solidFill>
          </w14:textFill>
        </w:rPr>
      </w:pPr>
      <w:r>
        <w:rPr>
          <w:color w:val="000000" w:themeColor="text1"/>
          <w14:textFill>
            <w14:solidFill>
              <w14:schemeClr w14:val="tx1"/>
            </w14:solidFill>
          </w14:textFill>
        </w:rPr>
        <w:t xml:space="preserve">A study by </w:t>
      </w:r>
      <w:r>
        <w:rPr>
          <w:rStyle w:val="20"/>
          <w:rFonts w:cs="Times New Roman"/>
          <w:b w:val="0"/>
          <w:bCs w:val="0"/>
          <w:color w:val="000000" w:themeColor="text1"/>
          <w:szCs w:val="24"/>
          <w14:textFill>
            <w14:solidFill>
              <w14:schemeClr w14:val="tx1"/>
            </w14:solidFill>
          </w14:textFill>
        </w:rPr>
        <w:t>Mutegi et al. (2024)</w:t>
      </w:r>
      <w:r>
        <w:rPr>
          <w:color w:val="000000" w:themeColor="text1"/>
          <w14:textFill>
            <w14:solidFill>
              <w14:schemeClr w14:val="tx1"/>
            </w14:solidFill>
          </w14:textFill>
        </w:rPr>
        <w:t xml:space="preserve"> examined fertilizer use among maize farmers in Kenya using </w:t>
      </w:r>
      <w:r>
        <w:rPr>
          <w:rStyle w:val="20"/>
          <w:rFonts w:cs="Times New Roman"/>
          <w:b w:val="0"/>
          <w:bCs w:val="0"/>
          <w:color w:val="000000" w:themeColor="text1"/>
          <w:szCs w:val="24"/>
          <w14:textFill>
            <w14:solidFill>
              <w14:schemeClr w14:val="tx1"/>
            </w14:solidFill>
          </w14:textFill>
        </w:rPr>
        <w:t>cross-sectional survey data from 500 farmers</w:t>
      </w:r>
      <w:r>
        <w:rPr>
          <w:color w:val="000000" w:themeColor="text1"/>
          <w14:textFill>
            <w14:solidFill>
              <w14:schemeClr w14:val="tx1"/>
            </w14:solidFill>
          </w14:textFill>
        </w:rPr>
        <w:t xml:space="preserve">. The researchers applied </w:t>
      </w:r>
      <w:r>
        <w:rPr>
          <w:rStyle w:val="20"/>
          <w:rFonts w:cs="Times New Roman"/>
          <w:b w:val="0"/>
          <w:bCs w:val="0"/>
          <w:color w:val="000000" w:themeColor="text1"/>
          <w:szCs w:val="24"/>
          <w14:textFill>
            <w14:solidFill>
              <w14:schemeClr w14:val="tx1"/>
            </w14:solidFill>
          </w14:textFill>
        </w:rPr>
        <w:t>correlation and regression analysis</w:t>
      </w:r>
      <w:r>
        <w:rPr>
          <w:color w:val="000000" w:themeColor="text1"/>
          <w14:textFill>
            <w14:solidFill>
              <w14:schemeClr w14:val="tx1"/>
            </w14:solidFill>
          </w14:textFill>
        </w:rPr>
        <w:t xml:space="preserve"> to determine factors influencing fertilizer use. The findings showed that farmers accessing fertilizer through government subsidy programs applied fertilizer more consistently. Subsidy programs improved farmers’ ability to purchase fertilizer. This finding suggests that fertilizer uptake programs improve fertilizer uptake.</w:t>
      </w:r>
    </w:p>
    <w:p w14:paraId="1F183C63">
      <w:pPr>
        <w:pStyle w:val="43"/>
        <w:rPr>
          <w:color w:val="000000" w:themeColor="text1"/>
          <w14:textFill>
            <w14:solidFill>
              <w14:schemeClr w14:val="tx1"/>
            </w14:solidFill>
          </w14:textFill>
        </w:rPr>
      </w:pPr>
    </w:p>
    <w:p w14:paraId="69A2E8C1">
      <w:pPr>
        <w:rPr>
          <w:color w:val="000000" w:themeColor="text1"/>
          <w14:textFill>
            <w14:solidFill>
              <w14:schemeClr w14:val="tx1"/>
            </w14:solidFill>
          </w14:textFill>
        </w:rPr>
      </w:pPr>
      <w:r>
        <w:rPr>
          <w:color w:val="000000" w:themeColor="text1"/>
          <w14:textFill>
            <w14:solidFill>
              <w14:schemeClr w14:val="tx1"/>
            </w14:solidFill>
          </w14:textFill>
        </w:rPr>
        <w:t xml:space="preserve">A study by </w:t>
      </w:r>
      <w:r>
        <w:rPr>
          <w:rStyle w:val="20"/>
          <w:rFonts w:cs="Times New Roman"/>
          <w:b w:val="0"/>
          <w:bCs w:val="0"/>
          <w:color w:val="000000" w:themeColor="text1"/>
          <w:szCs w:val="24"/>
          <w14:textFill>
            <w14:solidFill>
              <w14:schemeClr w14:val="tx1"/>
            </w14:solidFill>
          </w14:textFill>
        </w:rPr>
        <w:t>Ngigi et al. (2023)</w:t>
      </w:r>
      <w:r>
        <w:rPr>
          <w:color w:val="000000" w:themeColor="text1"/>
          <w14:textFill>
            <w14:solidFill>
              <w14:schemeClr w14:val="tx1"/>
            </w14:solidFill>
          </w14:textFill>
        </w:rPr>
        <w:t xml:space="preserve"> examined fertilizer adoption among Kenyan farmers using </w:t>
      </w:r>
      <w:r>
        <w:rPr>
          <w:rStyle w:val="20"/>
          <w:rFonts w:cs="Times New Roman"/>
          <w:b w:val="0"/>
          <w:bCs w:val="0"/>
          <w:color w:val="000000" w:themeColor="text1"/>
          <w:szCs w:val="24"/>
          <w14:textFill>
            <w14:solidFill>
              <w14:schemeClr w14:val="tx1"/>
            </w14:solidFill>
          </w14:textFill>
        </w:rPr>
        <w:t>survey data from 500 farmers</w:t>
      </w:r>
      <w:r>
        <w:rPr>
          <w:color w:val="000000" w:themeColor="text1"/>
          <w14:textFill>
            <w14:solidFill>
              <w14:schemeClr w14:val="tx1"/>
            </w14:solidFill>
          </w14:textFill>
        </w:rPr>
        <w:t xml:space="preserve">. The researchers applied </w:t>
      </w:r>
      <w:r>
        <w:rPr>
          <w:rStyle w:val="20"/>
          <w:rFonts w:cs="Times New Roman"/>
          <w:b w:val="0"/>
          <w:bCs w:val="0"/>
          <w:color w:val="000000" w:themeColor="text1"/>
          <w:szCs w:val="24"/>
          <w14:textFill>
            <w14:solidFill>
              <w14:schemeClr w14:val="tx1"/>
            </w14:solidFill>
          </w14:textFill>
        </w:rPr>
        <w:t>multiple regression analysis</w:t>
      </w:r>
      <w:r>
        <w:rPr>
          <w:color w:val="000000" w:themeColor="text1"/>
          <w14:textFill>
            <w14:solidFill>
              <w14:schemeClr w14:val="tx1"/>
            </w14:solidFill>
          </w14:textFill>
        </w:rPr>
        <w:t xml:space="preserve"> to determine factors influencing fertilizer application. The findings showed that farmers with improved uptake of fertilizer outlets applied fertilizer more consistently and in larger quantities. Farmers facing access constraints often delayed fertilizer purchases. This finding suggests that fertilizer uptake influences fertilizer uptake.</w:t>
      </w:r>
    </w:p>
    <w:p w14:paraId="1C4EE728">
      <w:pPr>
        <w:pStyle w:val="43"/>
        <w:rPr>
          <w:color w:val="000000" w:themeColor="text1"/>
          <w14:textFill>
            <w14:solidFill>
              <w14:schemeClr w14:val="tx1"/>
            </w14:solidFill>
          </w14:textFill>
        </w:rPr>
      </w:pPr>
    </w:p>
    <w:p w14:paraId="29C832F8">
      <w:pPr>
        <w:rPr>
          <w:color w:val="000000" w:themeColor="text1"/>
          <w14:textFill>
            <w14:solidFill>
              <w14:schemeClr w14:val="tx1"/>
            </w14:solidFill>
          </w14:textFill>
        </w:rPr>
      </w:pPr>
      <w:r>
        <w:rPr>
          <w:color w:val="000000" w:themeColor="text1"/>
          <w14:textFill>
            <w14:solidFill>
              <w14:schemeClr w14:val="tx1"/>
            </w14:solidFill>
          </w14:textFill>
        </w:rPr>
        <w:t xml:space="preserve">A study by </w:t>
      </w:r>
      <w:r>
        <w:rPr>
          <w:rStyle w:val="20"/>
          <w:rFonts w:cs="Times New Roman"/>
          <w:b w:val="0"/>
          <w:bCs w:val="0"/>
          <w:color w:val="000000" w:themeColor="text1"/>
          <w:szCs w:val="24"/>
          <w14:textFill>
            <w14:solidFill>
              <w14:schemeClr w14:val="tx1"/>
            </w14:solidFill>
          </w14:textFill>
        </w:rPr>
        <w:t>Munyua et al. (2024)</w:t>
      </w:r>
      <w:r>
        <w:rPr>
          <w:color w:val="000000" w:themeColor="text1"/>
          <w14:textFill>
            <w14:solidFill>
              <w14:schemeClr w14:val="tx1"/>
            </w14:solidFill>
          </w14:textFill>
        </w:rPr>
        <w:t xml:space="preserve"> examined fertilizer use behavior among Kenyan farmers using </w:t>
      </w:r>
      <w:r>
        <w:rPr>
          <w:rStyle w:val="20"/>
          <w:rFonts w:cs="Times New Roman"/>
          <w:b w:val="0"/>
          <w:bCs w:val="0"/>
          <w:color w:val="000000" w:themeColor="text1"/>
          <w:szCs w:val="24"/>
          <w14:textFill>
            <w14:solidFill>
              <w14:schemeClr w14:val="tx1"/>
            </w14:solidFill>
          </w14:textFill>
        </w:rPr>
        <w:t>survey data from 600 farmers</w:t>
      </w:r>
      <w:r>
        <w:rPr>
          <w:color w:val="000000" w:themeColor="text1"/>
          <w14:textFill>
            <w14:solidFill>
              <w14:schemeClr w14:val="tx1"/>
            </w14:solidFill>
          </w14:textFill>
        </w:rPr>
        <w:t xml:space="preserve"> participating in subsidy programs. The researchers applied </w:t>
      </w:r>
      <w:r>
        <w:rPr>
          <w:rStyle w:val="20"/>
          <w:rFonts w:cs="Times New Roman"/>
          <w:b w:val="0"/>
          <w:bCs w:val="0"/>
          <w:color w:val="000000" w:themeColor="text1"/>
          <w:szCs w:val="24"/>
          <w14:textFill>
            <w14:solidFill>
              <w14:schemeClr w14:val="tx1"/>
            </w14:solidFill>
          </w14:textFill>
        </w:rPr>
        <w:t>regression analysis</w:t>
      </w:r>
      <w:r>
        <w:rPr>
          <w:color w:val="000000" w:themeColor="text1"/>
          <w14:textFill>
            <w14:solidFill>
              <w14:schemeClr w14:val="tx1"/>
            </w14:solidFill>
          </w14:textFill>
        </w:rPr>
        <w:t xml:space="preserve"> to analyze fertilizer application patterns. The findings showed that farmers accessing fertilizer early were more likely to apply fertilizer at recommended stages. Farmers experiencing delays applied fertilizer less frequently. This finding highlights that fertilizer uptake influences fertilizer uptake.</w:t>
      </w:r>
    </w:p>
    <w:p w14:paraId="00581B6E">
      <w:pPr>
        <w:rPr>
          <w:color w:val="000000" w:themeColor="text1"/>
          <w14:textFill>
            <w14:solidFill>
              <w14:schemeClr w14:val="tx1"/>
            </w14:solidFill>
          </w14:textFill>
        </w:rPr>
      </w:pPr>
      <w:r>
        <w:rPr>
          <w:color w:val="000000" w:themeColor="text1"/>
          <w14:textFill>
            <w14:solidFill>
              <w14:schemeClr w14:val="tx1"/>
            </w14:solidFill>
          </w14:textFill>
        </w:rPr>
        <w:t xml:space="preserve">A study by </w:t>
      </w:r>
      <w:r>
        <w:rPr>
          <w:rStyle w:val="20"/>
          <w:rFonts w:cs="Times New Roman"/>
          <w:b w:val="0"/>
          <w:bCs w:val="0"/>
          <w:color w:val="000000" w:themeColor="text1"/>
          <w:szCs w:val="24"/>
          <w14:textFill>
            <w14:solidFill>
              <w14:schemeClr w14:val="tx1"/>
            </w14:solidFill>
          </w14:textFill>
        </w:rPr>
        <w:t>Omondi et al. (2025)</w:t>
      </w:r>
      <w:r>
        <w:rPr>
          <w:color w:val="000000" w:themeColor="text1"/>
          <w14:textFill>
            <w14:solidFill>
              <w14:schemeClr w14:val="tx1"/>
            </w14:solidFill>
          </w14:textFill>
        </w:rPr>
        <w:t xml:space="preserve"> examined fertilizer adoption among maize farmers in Kenya using </w:t>
      </w:r>
      <w:r>
        <w:rPr>
          <w:rStyle w:val="20"/>
          <w:rFonts w:cs="Times New Roman"/>
          <w:b w:val="0"/>
          <w:bCs w:val="0"/>
          <w:color w:val="000000" w:themeColor="text1"/>
          <w:szCs w:val="24"/>
          <w14:textFill>
            <w14:solidFill>
              <w14:schemeClr w14:val="tx1"/>
            </w14:solidFill>
          </w14:textFill>
        </w:rPr>
        <w:t>survey data from 680 farmers</w:t>
      </w:r>
      <w:r>
        <w:rPr>
          <w:color w:val="000000" w:themeColor="text1"/>
          <w14:textFill>
            <w14:solidFill>
              <w14:schemeClr w14:val="tx1"/>
            </w14:solidFill>
          </w14:textFill>
        </w:rPr>
        <w:t xml:space="preserve">. The researchers applied </w:t>
      </w:r>
      <w:r>
        <w:rPr>
          <w:rStyle w:val="20"/>
          <w:rFonts w:cs="Times New Roman"/>
          <w:b w:val="0"/>
          <w:bCs w:val="0"/>
          <w:color w:val="000000" w:themeColor="text1"/>
          <w:szCs w:val="24"/>
          <w14:textFill>
            <w14:solidFill>
              <w14:schemeClr w14:val="tx1"/>
            </w14:solidFill>
          </w14:textFill>
        </w:rPr>
        <w:t>linear regression models</w:t>
      </w:r>
      <w:r>
        <w:rPr>
          <w:color w:val="000000" w:themeColor="text1"/>
          <w14:textFill>
            <w14:solidFill>
              <w14:schemeClr w14:val="tx1"/>
            </w14:solidFill>
          </w14:textFill>
        </w:rPr>
        <w:t xml:space="preserve"> to analyze fertilizer uptake patterns. The findings showed that farmers with consistent fertilizer uptake applied fertilizer more frequently across seasons. Limited access often resulted in irregular fertilizer application. This finding suggests that fertilizer uptake is closely linked to fertilizer uptake in the present study.</w:t>
      </w:r>
    </w:p>
    <w:p w14:paraId="6135E1F0">
      <w:pPr>
        <w:rPr>
          <w:color w:val="000000" w:themeColor="text1"/>
          <w14:textFill>
            <w14:solidFill>
              <w14:schemeClr w14:val="tx1"/>
            </w14:solidFill>
          </w14:textFill>
        </w:rPr>
      </w:pPr>
    </w:p>
    <w:p w14:paraId="229886D6">
      <w:pPr>
        <w:pStyle w:val="3"/>
      </w:pPr>
      <w:bookmarkStart w:id="50" w:name="_Toc225962309"/>
      <w:r>
        <w:t>2.6 Chapter Summary</w:t>
      </w:r>
      <w:bookmarkEnd w:id="50"/>
    </w:p>
    <w:p w14:paraId="507992D6">
      <w:pPr>
        <w:rPr>
          <w:rFonts w:eastAsia="Times New Roman" w:cs="Times New Roman"/>
          <w:color w:val="000000" w:themeColor="text1"/>
          <w:kern w:val="0"/>
          <w:szCs w:val="24"/>
          <w14:textFill>
            <w14:solidFill>
              <w14:schemeClr w14:val="tx1"/>
            </w14:solidFill>
          </w14:textFill>
          <w14:ligatures w14:val="none"/>
        </w:rPr>
      </w:pPr>
      <w:r>
        <w:rPr>
          <w:rFonts w:eastAsia="Times New Roman" w:cs="Times New Roman"/>
          <w:color w:val="000000" w:themeColor="text1"/>
          <w:kern w:val="0"/>
          <w:szCs w:val="24"/>
          <w14:textFill>
            <w14:solidFill>
              <w14:schemeClr w14:val="tx1"/>
            </w14:solidFill>
          </w14:textFill>
          <w14:ligatures w14:val="none"/>
        </w:rPr>
        <w:t>This chapter reviewed relevant literature on fertilizer subsidy reform strategies and smallholder farmers’ uptake of fertilizers. The review focused on empirical studies related to pricing reforms, distribution model changes, and revised targeting criteria and how these factors influence fertilizer uptake and utilization among smallholder farmers. The literature showed that fertilizer price discounts, improved distribution systems, and effective targeting mechanisms can enhance fertilizer adoption and use among farmers. However, challenges such as delayed subsidy distribution, long distances to fertilizer outlets, and inconsistencies in fertilizer supply may reduce the effectiveness of subsidy programs. The reviewed studies also indicated that improved uptake of fertilizer enables farmers to apply fertilizer at the appropriate time and in adequate quantities, which enhances agricultural productivity.</w:t>
      </w:r>
    </w:p>
    <w:p w14:paraId="63030670">
      <w:pPr>
        <w:pStyle w:val="43"/>
        <w:rPr>
          <w:color w:val="000000" w:themeColor="text1"/>
          <w14:textFill>
            <w14:solidFill>
              <w14:schemeClr w14:val="tx1"/>
            </w14:solidFill>
          </w14:textFill>
        </w:rPr>
      </w:pPr>
    </w:p>
    <w:p w14:paraId="061AE9B5">
      <w:pPr>
        <w:rPr>
          <w:rFonts w:eastAsia="Times New Roman" w:cs="Times New Roman"/>
          <w:color w:val="000000" w:themeColor="text1"/>
          <w:kern w:val="0"/>
          <w:szCs w:val="24"/>
          <w14:textFill>
            <w14:solidFill>
              <w14:schemeClr w14:val="tx1"/>
            </w14:solidFill>
          </w14:textFill>
          <w14:ligatures w14:val="none"/>
        </w:rPr>
      </w:pPr>
      <w:r>
        <w:rPr>
          <w:rFonts w:eastAsia="Times New Roman" w:cs="Times New Roman"/>
          <w:color w:val="000000" w:themeColor="text1"/>
          <w:kern w:val="0"/>
          <w:szCs w:val="24"/>
          <w14:textFill>
            <w14:solidFill>
              <w14:schemeClr w14:val="tx1"/>
            </w14:solidFill>
          </w14:textFill>
          <w14:ligatures w14:val="none"/>
        </w:rPr>
        <w:t>The chapter therefore provides a theoretical and empirical foundation for understanding the factors influencing fertilizer uptake and utilization among smallholder farmers. The next chapter presents the research methodology used in the study, including the research design, target population, sampling procedures, data collection methods, and data analysis techniques used to achieve the objectives of the study.</w:t>
      </w:r>
    </w:p>
    <w:p w14:paraId="7F16A3D8">
      <w:pPr>
        <w:rPr>
          <w:color w:val="000000" w:themeColor="text1"/>
          <w14:textFill>
            <w14:solidFill>
              <w14:schemeClr w14:val="tx1"/>
            </w14:solidFill>
          </w14:textFill>
        </w:rPr>
      </w:pPr>
    </w:p>
    <w:p w14:paraId="36D83615">
      <w:pPr>
        <w:spacing w:after="160" w:line="259" w:lineRule="auto"/>
        <w:jc w:val="left"/>
        <w:rPr>
          <w:color w:val="000000" w:themeColor="text1"/>
          <w14:textFill>
            <w14:solidFill>
              <w14:schemeClr w14:val="tx1"/>
            </w14:solidFill>
          </w14:textFill>
        </w:rPr>
      </w:pPr>
      <w:r>
        <w:rPr>
          <w:color w:val="000000" w:themeColor="text1"/>
          <w14:textFill>
            <w14:solidFill>
              <w14:schemeClr w14:val="tx1"/>
            </w14:solidFill>
          </w14:textFill>
        </w:rPr>
        <w:br w:type="page"/>
      </w:r>
    </w:p>
    <w:p w14:paraId="116597F2">
      <w:pPr>
        <w:pStyle w:val="2"/>
      </w:pPr>
      <w:bookmarkStart w:id="51" w:name="_Toc225962310"/>
      <w:bookmarkStart w:id="52" w:name="_Toc203756702"/>
      <w:bookmarkStart w:id="53" w:name="_Toc219364732"/>
      <w:bookmarkStart w:id="54" w:name="_Toc203756709"/>
      <w:bookmarkStart w:id="55" w:name="_Toc219364737"/>
      <w:r>
        <w:t>CHAPTER THREE</w:t>
      </w:r>
      <w:bookmarkEnd w:id="51"/>
      <w:bookmarkEnd w:id="52"/>
      <w:bookmarkEnd w:id="53"/>
    </w:p>
    <w:p w14:paraId="0182D145">
      <w:pPr>
        <w:pStyle w:val="2"/>
      </w:pPr>
      <w:bookmarkStart w:id="56" w:name="_Toc225962311"/>
      <w:bookmarkStart w:id="57" w:name="_Toc219364733"/>
      <w:bookmarkStart w:id="58" w:name="_Toc203756703"/>
      <w:r>
        <w:t>3.0 RESEARCH METHODOLOGY</w:t>
      </w:r>
      <w:bookmarkEnd w:id="56"/>
      <w:bookmarkEnd w:id="57"/>
      <w:bookmarkEnd w:id="58"/>
    </w:p>
    <w:p w14:paraId="12A2F9F1">
      <w:pPr>
        <w:pStyle w:val="3"/>
      </w:pPr>
      <w:bookmarkStart w:id="59" w:name="_Toc225962312"/>
      <w:bookmarkStart w:id="60" w:name="_Toc219364734"/>
      <w:bookmarkStart w:id="61" w:name="_Toc203756704"/>
      <w:r>
        <w:t>3.1 Introduction</w:t>
      </w:r>
      <w:bookmarkEnd w:id="59"/>
      <w:bookmarkEnd w:id="60"/>
      <w:bookmarkEnd w:id="61"/>
    </w:p>
    <w:p w14:paraId="115B5D09">
      <w:pPr>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This chapter presents the methodology that will guide the investigation into the effects of fertilizer subsidy reform strategies on smallholder farmers’ uptake of fertilizers in Kenya. The methodology outlines the research design, target population, sampling design, data collection methods, research procedures, and data analysis strategies. Each component has been carefully selected to align with the study's objectives, ensuring the collection of valid, reliable, and relevant data. Given the complexity of subsidy reforms involving pricing, distribution, and targeting, the methodology integrates quantitative strategies to obtain empirical evidence from a diverse sample of smallholder farmers across different regions. Ethical considerations and the overall logic of data gathering and analysis are also articulated in this chapter.</w:t>
      </w:r>
    </w:p>
    <w:p w14:paraId="790CD003">
      <w:pPr>
        <w:rPr>
          <w:color w:val="000000" w:themeColor="text1"/>
          <w14:textFill>
            <w14:solidFill>
              <w14:schemeClr w14:val="tx1"/>
            </w14:solidFill>
          </w14:textFill>
        </w:rPr>
      </w:pPr>
    </w:p>
    <w:p w14:paraId="7B94EBF3">
      <w:pPr>
        <w:pStyle w:val="3"/>
      </w:pPr>
      <w:bookmarkStart w:id="62" w:name="_Toc225962313"/>
      <w:r>
        <w:rPr>
          <w:rFonts w:eastAsiaTheme="majorEastAsia"/>
        </w:rPr>
        <w:t>3.2 Research Design</w:t>
      </w:r>
      <w:bookmarkEnd w:id="62"/>
    </w:p>
    <w:p w14:paraId="1B2CBE3E">
      <w:pPr>
        <w:rPr>
          <w:color w:val="000000" w:themeColor="text1"/>
          <w:szCs w:val="24"/>
          <w14:textFill>
            <w14:solidFill>
              <w14:schemeClr w14:val="tx1"/>
            </w14:solidFill>
          </w14:textFill>
        </w:rPr>
      </w:pPr>
      <w:r>
        <w:rPr>
          <w:color w:val="000000" w:themeColor="text1"/>
          <w:szCs w:val="24"/>
          <w14:textFill>
            <w14:solidFill>
              <w14:schemeClr w14:val="tx1"/>
            </w14:solidFill>
          </w14:textFill>
        </w:rPr>
        <w:t>This study will adopt a cross-sectional case study research design to examine the effects of fertilizer subsidy reform strategies on fertilizer uptake and utilization among smallholder farmers in Nakuru, Bungoma, and Meru counties in Kenya. A case study design is appropriate because the research focuses on a specific policy context the implementation of fertilizer subsidy reforms within defined geographic units. Case study research allows for an in-depth examination of complex policy interventions within real-life settings where contextual factors such as institutional arrangements, market structures, and farmer characteristics influence outcomes (Yin, 2018). By focusing on selected counties, the study provides a detailed understanding of how fertilizer subsidy reform strategies influence farmers’ uptake of fertilizers.</w:t>
      </w:r>
    </w:p>
    <w:p w14:paraId="1E8B18D5">
      <w:pPr>
        <w:pStyle w:val="43"/>
        <w:rPr>
          <w:color w:val="000000" w:themeColor="text1"/>
          <w14:textFill>
            <w14:solidFill>
              <w14:schemeClr w14:val="tx1"/>
            </w14:solidFill>
          </w14:textFill>
        </w:rPr>
      </w:pPr>
    </w:p>
    <w:p w14:paraId="594461B8">
      <w:pPr>
        <w:rPr>
          <w:color w:val="000000" w:themeColor="text1"/>
          <w:szCs w:val="24"/>
          <w14:textFill>
            <w14:solidFill>
              <w14:schemeClr w14:val="tx1"/>
            </w14:solidFill>
          </w14:textFill>
        </w:rPr>
      </w:pPr>
      <w:r>
        <w:rPr>
          <w:color w:val="000000" w:themeColor="text1"/>
          <w:szCs w:val="24"/>
          <w14:textFill>
            <w14:solidFill>
              <w14:schemeClr w14:val="tx1"/>
            </w14:solidFill>
          </w14:textFill>
        </w:rPr>
        <w:t>The study will adopt a cross-sectional orientation, meaning that data will be collected from respondents at a single point in time. Cross-sectional studies are commonly used in policy and agricultural research to examine relationships among variables after the implementation of a policy intervention. In this case, the design allows the researcher to capture farmers’ experiences and perceptions following the implementation of Kenya’s fertilizer subsidy reforms between 2022 and 2025. Collecting data at one point in time enables the study to provide a snapshot of the current status of fertilizer uptake and utilization among smallholder farmers within the selected counties (Cooper &amp; Schindler, 2020).</w:t>
      </w:r>
    </w:p>
    <w:p w14:paraId="2F65AE7B">
      <w:pPr>
        <w:pStyle w:val="43"/>
        <w:rPr>
          <w:color w:val="000000" w:themeColor="text1"/>
          <w14:textFill>
            <w14:solidFill>
              <w14:schemeClr w14:val="tx1"/>
            </w14:solidFill>
          </w14:textFill>
        </w:rPr>
      </w:pPr>
    </w:p>
    <w:p w14:paraId="6AE367F8">
      <w:pPr>
        <w:rPr>
          <w:color w:val="000000" w:themeColor="text1"/>
          <w:szCs w:val="24"/>
          <w14:textFill>
            <w14:solidFill>
              <w14:schemeClr w14:val="tx1"/>
            </w14:solidFill>
          </w14:textFill>
        </w:rPr>
      </w:pPr>
      <w:r>
        <w:rPr>
          <w:color w:val="000000" w:themeColor="text1"/>
          <w:szCs w:val="24"/>
          <w14:textFill>
            <w14:solidFill>
              <w14:schemeClr w14:val="tx1"/>
            </w14:solidFill>
          </w14:textFill>
        </w:rPr>
        <w:t>The study will employ a quantitative research approach, utilizing structured questionnaires to collect primary data from smallholder farmers. The quantitative approach is appropriate because it enables the measurement of variables related to fertilizer subsidy reforms, fertilizer uptake, and fertilizer uptake, and allows for statistical analysis of relationships among these variables. Quantitative methods also facilitate hypothesis testing and the generation of generalizable findings within the defined study population. Similar quantitative approaches have been widely applied in studies examining agricultural subsidy programs and their impacts on smallholder farmers, where survey data is used to evaluate policy effectiveness and farmer outcomes (Jayne et al., 2022; Opiyo et al., 2023).</w:t>
      </w:r>
    </w:p>
    <w:p w14:paraId="31187348">
      <w:pPr>
        <w:pStyle w:val="43"/>
        <w:rPr>
          <w:color w:val="000000" w:themeColor="text1"/>
          <w14:textFill>
            <w14:solidFill>
              <w14:schemeClr w14:val="tx1"/>
            </w14:solidFill>
          </w14:textFill>
        </w:rPr>
      </w:pPr>
    </w:p>
    <w:p w14:paraId="120B5113">
      <w:pPr>
        <w:rPr>
          <w:color w:val="000000" w:themeColor="text1"/>
          <w:szCs w:val="24"/>
          <w14:textFill>
            <w14:solidFill>
              <w14:schemeClr w14:val="tx1"/>
            </w14:solidFill>
          </w14:textFill>
        </w:rPr>
      </w:pPr>
      <w:r>
        <w:rPr>
          <w:color w:val="000000" w:themeColor="text1"/>
          <w:szCs w:val="24"/>
          <w14:textFill>
            <w14:solidFill>
              <w14:schemeClr w14:val="tx1"/>
            </w14:solidFill>
          </w14:textFill>
        </w:rPr>
        <w:t>Overall, the cross-sectional case study design provides a coherent methodological framework for examining the effects of fertilizer subsidy reform strategies within specific agricultural contexts. By combining the contextual depth of a case study with quantitative survey techniques, the study is able to generate empirical evidence on how subsidy reforms influence fertilizer uptake and utilization among smallholder farmers in the selected counties.</w:t>
      </w:r>
    </w:p>
    <w:p w14:paraId="5731F70E">
      <w:pPr>
        <w:rPr>
          <w:color w:val="000000" w:themeColor="text1"/>
          <w:szCs w:val="24"/>
          <w14:textFill>
            <w14:solidFill>
              <w14:schemeClr w14:val="tx1"/>
            </w14:solidFill>
          </w14:textFill>
        </w:rPr>
      </w:pPr>
    </w:p>
    <w:p w14:paraId="32DFB3EC">
      <w:pPr>
        <w:pStyle w:val="3"/>
      </w:pPr>
      <w:bookmarkStart w:id="63" w:name="_Toc225962314"/>
      <w:r>
        <w:rPr>
          <w:rFonts w:eastAsiaTheme="majorEastAsia"/>
        </w:rPr>
        <w:t>3.3 Population and Sampling Design</w:t>
      </w:r>
      <w:bookmarkEnd w:id="63"/>
    </w:p>
    <w:p w14:paraId="4B06246C">
      <w:pPr>
        <w:pStyle w:val="4"/>
        <w:rPr>
          <w:color w:val="000000" w:themeColor="text1"/>
          <w14:textFill>
            <w14:solidFill>
              <w14:schemeClr w14:val="tx1"/>
            </w14:solidFill>
          </w14:textFill>
        </w:rPr>
      </w:pPr>
      <w:r>
        <w:rPr>
          <w:color w:val="000000" w:themeColor="text1"/>
          <w14:textFill>
            <w14:solidFill>
              <w14:schemeClr w14:val="tx1"/>
            </w14:solidFill>
          </w14:textFill>
        </w:rPr>
        <w:t>3.3.1 Population</w:t>
      </w:r>
    </w:p>
    <w:p w14:paraId="45B02C35">
      <w:pPr>
        <w:rPr>
          <w:rFonts w:cs="Times New Roman"/>
          <w:color w:val="000000" w:themeColor="text1"/>
          <w:kern w:val="0"/>
          <w:szCs w:val="24"/>
          <w14:textFill>
            <w14:solidFill>
              <w14:schemeClr w14:val="tx1"/>
            </w14:solidFill>
          </w14:textFill>
        </w:rPr>
      </w:pPr>
      <w:r>
        <w:rPr>
          <w:rFonts w:cs="Times New Roman"/>
          <w:color w:val="000000" w:themeColor="text1"/>
          <w:kern w:val="0"/>
          <w:szCs w:val="24"/>
          <w14:textFill>
            <w14:solidFill>
              <w14:schemeClr w14:val="tx1"/>
            </w14:solidFill>
          </w14:textFill>
        </w:rPr>
        <w:t>The study population comprises registered smallholder farmers who participate in the National Fertilizer Subsidy Program (NFSP) across selected counties in Kenya. These farmers have interacted with the subsidy reforms through the digital registration process, voucher redemption systems, and government fertilizer distribution centers established under the revised subsidy framework. According to the Ministry of Agriculture and Livestock Development (MOALD, 2024), more than 4.2 million farmers were registered under the e-voucher fertilizer subsidy platform by the end of 2023.</w:t>
      </w:r>
    </w:p>
    <w:p w14:paraId="129CD974">
      <w:pPr>
        <w:pStyle w:val="43"/>
        <w:rPr>
          <w:color w:val="000000" w:themeColor="text1"/>
          <w14:textFill>
            <w14:solidFill>
              <w14:schemeClr w14:val="tx1"/>
            </w14:solidFill>
          </w14:textFill>
        </w:rPr>
      </w:pPr>
    </w:p>
    <w:p w14:paraId="264EF5B5">
      <w:pPr>
        <w:rPr>
          <w:rFonts w:cs="Times New Roman"/>
          <w:color w:val="000000" w:themeColor="text1"/>
          <w:kern w:val="0"/>
          <w:szCs w:val="24"/>
          <w14:textFill>
            <w14:solidFill>
              <w14:schemeClr w14:val="tx1"/>
            </w14:solidFill>
          </w14:textFill>
        </w:rPr>
      </w:pPr>
      <w:r>
        <w:rPr>
          <w:rFonts w:cs="Times New Roman"/>
          <w:color w:val="000000" w:themeColor="text1"/>
          <w:kern w:val="0"/>
          <w:szCs w:val="24"/>
          <w14:textFill>
            <w14:solidFill>
              <w14:schemeClr w14:val="tx1"/>
            </w14:solidFill>
          </w14:textFill>
        </w:rPr>
        <w:t>From this national population, the study will focus on a subset of 960 smallholder farmers across three counties Nakuru, Bungoma, and Meru which constitute the accessible population. These counties were selected because they represent key agricultural regions with high participation in the fertilizer subsidy program and significant dependence on fertilizer inputs for crop production. Nakuru County represents the Rift Valley grain basket with extensive maize farming systems, Bungoma County represents high-density smallholder maize production in Western Kenya, while Meru County represents a diversified agricultural economy that includes both staple crops and horticultural production. The three counties therefore capture diverse agro-ecological zones, farming systems, and fertilizer demand patterns, making them suitable contexts for examining the effects of fertilizer subsidy reform strategies.</w:t>
      </w:r>
    </w:p>
    <w:p w14:paraId="3E34EDEE">
      <w:pPr>
        <w:rPr>
          <w:rFonts w:cs="Times New Roman"/>
          <w:color w:val="000000" w:themeColor="text1"/>
          <w:kern w:val="0"/>
          <w:szCs w:val="24"/>
          <w14:textFill>
            <w14:solidFill>
              <w14:schemeClr w14:val="tx1"/>
            </w14:solidFill>
          </w14:textFill>
        </w:rPr>
      </w:pPr>
    </w:p>
    <w:p w14:paraId="0F98A0C0">
      <w:pPr>
        <w:rPr>
          <w:rFonts w:cs="Times New Roman"/>
          <w:b/>
          <w:bCs/>
          <w:color w:val="000000" w:themeColor="text1"/>
          <w:szCs w:val="24"/>
          <w14:textFill>
            <w14:solidFill>
              <w14:schemeClr w14:val="tx1"/>
            </w14:solidFill>
          </w14:textFill>
        </w:rPr>
      </w:pPr>
      <w:r>
        <w:rPr>
          <w:rFonts w:cs="Times New Roman"/>
          <w:b/>
          <w:bCs/>
          <w:color w:val="000000" w:themeColor="text1"/>
          <w:szCs w:val="24"/>
          <w14:textFill>
            <w14:solidFill>
              <w14:schemeClr w14:val="tx1"/>
            </w14:solidFill>
          </w14:textFill>
        </w:rPr>
        <w:t>Table 3.1 Target Population</w:t>
      </w:r>
    </w:p>
    <w:tbl>
      <w:tblPr>
        <w:tblStyle w:val="12"/>
        <w:tblW w:w="8708" w:type="dxa"/>
        <w:tblInd w:w="-10" w:type="dxa"/>
        <w:tblLayout w:type="autofit"/>
        <w:tblCellMar>
          <w:top w:w="0" w:type="dxa"/>
          <w:left w:w="108" w:type="dxa"/>
          <w:bottom w:w="0" w:type="dxa"/>
          <w:right w:w="108" w:type="dxa"/>
        </w:tblCellMar>
      </w:tblPr>
      <w:tblGrid>
        <w:gridCol w:w="3156"/>
        <w:gridCol w:w="2997"/>
        <w:gridCol w:w="2555"/>
      </w:tblGrid>
      <w:tr w14:paraId="7C40487A">
        <w:tblPrEx>
          <w:tblCellMar>
            <w:top w:w="0" w:type="dxa"/>
            <w:left w:w="108" w:type="dxa"/>
            <w:bottom w:w="0" w:type="dxa"/>
            <w:right w:w="108" w:type="dxa"/>
          </w:tblCellMar>
        </w:tblPrEx>
        <w:trPr>
          <w:trHeight w:val="789" w:hRule="atLeast"/>
        </w:trPr>
        <w:tc>
          <w:tcPr>
            <w:tcW w:w="3156" w:type="dxa"/>
            <w:tcBorders>
              <w:top w:val="single" w:color="auto" w:sz="4" w:space="0"/>
              <w:bottom w:val="single" w:color="auto" w:sz="4" w:space="0"/>
            </w:tcBorders>
            <w:noWrap/>
            <w:vAlign w:val="center"/>
          </w:tcPr>
          <w:p w14:paraId="6D5B9EB1">
            <w:pPr>
              <w:rPr>
                <w:rFonts w:cs="Times New Roman"/>
                <w:b/>
                <w:bCs/>
                <w:color w:val="000000" w:themeColor="text1"/>
                <w:szCs w:val="24"/>
                <w14:textFill>
                  <w14:solidFill>
                    <w14:schemeClr w14:val="tx1"/>
                  </w14:solidFill>
                </w14:textFill>
              </w:rPr>
            </w:pPr>
            <w:r>
              <w:rPr>
                <w:rFonts w:cs="Times New Roman"/>
                <w:b/>
                <w:bCs/>
                <w:color w:val="000000" w:themeColor="text1"/>
                <w:szCs w:val="24"/>
                <w14:textFill>
                  <w14:solidFill>
                    <w14:schemeClr w14:val="tx1"/>
                  </w14:solidFill>
                </w14:textFill>
              </w:rPr>
              <w:t>County</w:t>
            </w:r>
          </w:p>
        </w:tc>
        <w:tc>
          <w:tcPr>
            <w:tcW w:w="2997" w:type="dxa"/>
            <w:tcBorders>
              <w:top w:val="single" w:color="auto" w:sz="4" w:space="0"/>
              <w:bottom w:val="single" w:color="auto" w:sz="4" w:space="0"/>
            </w:tcBorders>
            <w:noWrap/>
            <w:vAlign w:val="center"/>
          </w:tcPr>
          <w:p w14:paraId="6EE3EE4D">
            <w:pPr>
              <w:jc w:val="center"/>
              <w:rPr>
                <w:rFonts w:cs="Times New Roman"/>
                <w:b/>
                <w:bCs/>
                <w:color w:val="000000" w:themeColor="text1"/>
                <w:szCs w:val="24"/>
                <w14:textFill>
                  <w14:solidFill>
                    <w14:schemeClr w14:val="tx1"/>
                  </w14:solidFill>
                </w14:textFill>
              </w:rPr>
            </w:pPr>
            <w:r>
              <w:rPr>
                <w:rFonts w:cs="Times New Roman"/>
                <w:b/>
                <w:bCs/>
                <w:color w:val="000000" w:themeColor="text1"/>
                <w:szCs w:val="24"/>
                <w14:textFill>
                  <w14:solidFill>
                    <w14:schemeClr w14:val="tx1"/>
                  </w14:solidFill>
                </w14:textFill>
              </w:rPr>
              <w:t>Registered Farmers</w:t>
            </w:r>
          </w:p>
        </w:tc>
        <w:tc>
          <w:tcPr>
            <w:tcW w:w="2555" w:type="dxa"/>
            <w:tcBorders>
              <w:top w:val="single" w:color="auto" w:sz="4" w:space="0"/>
              <w:bottom w:val="single" w:color="auto" w:sz="4" w:space="0"/>
            </w:tcBorders>
            <w:noWrap/>
            <w:vAlign w:val="center"/>
          </w:tcPr>
          <w:p w14:paraId="3939DF82">
            <w:pPr>
              <w:jc w:val="center"/>
              <w:rPr>
                <w:rFonts w:cs="Times New Roman"/>
                <w:b/>
                <w:bCs/>
                <w:color w:val="000000" w:themeColor="text1"/>
                <w:szCs w:val="24"/>
                <w14:textFill>
                  <w14:solidFill>
                    <w14:schemeClr w14:val="tx1"/>
                  </w14:solidFill>
                </w14:textFill>
              </w:rPr>
            </w:pPr>
            <w:r>
              <w:rPr>
                <w:rFonts w:cs="Times New Roman"/>
                <w:b/>
                <w:bCs/>
                <w:color w:val="000000" w:themeColor="text1"/>
                <w:szCs w:val="24"/>
                <w14:textFill>
                  <w14:solidFill>
                    <w14:schemeClr w14:val="tx1"/>
                  </w14:solidFill>
                </w14:textFill>
              </w:rPr>
              <w:t>Proportion (%)</w:t>
            </w:r>
          </w:p>
        </w:tc>
      </w:tr>
      <w:tr w14:paraId="10C8E29C">
        <w:tblPrEx>
          <w:tblCellMar>
            <w:top w:w="0" w:type="dxa"/>
            <w:left w:w="108" w:type="dxa"/>
            <w:bottom w:w="0" w:type="dxa"/>
            <w:right w:w="108" w:type="dxa"/>
          </w:tblCellMar>
        </w:tblPrEx>
        <w:trPr>
          <w:trHeight w:val="789" w:hRule="atLeast"/>
        </w:trPr>
        <w:tc>
          <w:tcPr>
            <w:tcW w:w="3156" w:type="dxa"/>
            <w:tcBorders>
              <w:top w:val="single" w:color="auto" w:sz="4" w:space="0"/>
            </w:tcBorders>
            <w:noWrap/>
            <w:vAlign w:val="center"/>
          </w:tcPr>
          <w:p w14:paraId="492970BF">
            <w:pPr>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Nakuru</w:t>
            </w:r>
          </w:p>
        </w:tc>
        <w:tc>
          <w:tcPr>
            <w:tcW w:w="2997" w:type="dxa"/>
            <w:tcBorders>
              <w:top w:val="single" w:color="auto" w:sz="4" w:space="0"/>
            </w:tcBorders>
            <w:noWrap/>
            <w:vAlign w:val="center"/>
          </w:tcPr>
          <w:p w14:paraId="55D7361D">
            <w:pPr>
              <w:jc w:val="center"/>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320</w:t>
            </w:r>
          </w:p>
        </w:tc>
        <w:tc>
          <w:tcPr>
            <w:tcW w:w="2555" w:type="dxa"/>
            <w:tcBorders>
              <w:top w:val="single" w:color="auto" w:sz="4" w:space="0"/>
            </w:tcBorders>
            <w:noWrap/>
            <w:vAlign w:val="center"/>
          </w:tcPr>
          <w:p w14:paraId="3C43D180">
            <w:pPr>
              <w:jc w:val="center"/>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33.30%</w:t>
            </w:r>
          </w:p>
        </w:tc>
      </w:tr>
      <w:tr w14:paraId="346849A1">
        <w:tblPrEx>
          <w:tblCellMar>
            <w:top w:w="0" w:type="dxa"/>
            <w:left w:w="108" w:type="dxa"/>
            <w:bottom w:w="0" w:type="dxa"/>
            <w:right w:w="108" w:type="dxa"/>
          </w:tblCellMar>
        </w:tblPrEx>
        <w:trPr>
          <w:trHeight w:val="789" w:hRule="atLeast"/>
        </w:trPr>
        <w:tc>
          <w:tcPr>
            <w:tcW w:w="3156" w:type="dxa"/>
            <w:noWrap/>
            <w:vAlign w:val="center"/>
          </w:tcPr>
          <w:p w14:paraId="05AA3C9D">
            <w:pPr>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Bungoma</w:t>
            </w:r>
          </w:p>
        </w:tc>
        <w:tc>
          <w:tcPr>
            <w:tcW w:w="2997" w:type="dxa"/>
            <w:noWrap/>
            <w:vAlign w:val="center"/>
          </w:tcPr>
          <w:p w14:paraId="6EE40084">
            <w:pPr>
              <w:jc w:val="center"/>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320</w:t>
            </w:r>
          </w:p>
        </w:tc>
        <w:tc>
          <w:tcPr>
            <w:tcW w:w="2555" w:type="dxa"/>
            <w:noWrap/>
            <w:vAlign w:val="center"/>
          </w:tcPr>
          <w:p w14:paraId="3BF4AB9C">
            <w:pPr>
              <w:jc w:val="center"/>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33.30%</w:t>
            </w:r>
          </w:p>
        </w:tc>
      </w:tr>
      <w:tr w14:paraId="2236BD6C">
        <w:tblPrEx>
          <w:tblCellMar>
            <w:top w:w="0" w:type="dxa"/>
            <w:left w:w="108" w:type="dxa"/>
            <w:bottom w:w="0" w:type="dxa"/>
            <w:right w:w="108" w:type="dxa"/>
          </w:tblCellMar>
        </w:tblPrEx>
        <w:trPr>
          <w:trHeight w:val="789" w:hRule="atLeast"/>
        </w:trPr>
        <w:tc>
          <w:tcPr>
            <w:tcW w:w="3156" w:type="dxa"/>
            <w:noWrap/>
            <w:vAlign w:val="center"/>
          </w:tcPr>
          <w:p w14:paraId="1FDD63AE">
            <w:pPr>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Meru</w:t>
            </w:r>
          </w:p>
        </w:tc>
        <w:tc>
          <w:tcPr>
            <w:tcW w:w="2997" w:type="dxa"/>
            <w:noWrap/>
            <w:vAlign w:val="center"/>
          </w:tcPr>
          <w:p w14:paraId="0B45DAEA">
            <w:pPr>
              <w:jc w:val="center"/>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320</w:t>
            </w:r>
          </w:p>
        </w:tc>
        <w:tc>
          <w:tcPr>
            <w:tcW w:w="2555" w:type="dxa"/>
            <w:noWrap/>
            <w:vAlign w:val="center"/>
          </w:tcPr>
          <w:p w14:paraId="11EBE82D">
            <w:pPr>
              <w:jc w:val="center"/>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33.30%</w:t>
            </w:r>
          </w:p>
        </w:tc>
      </w:tr>
      <w:tr w14:paraId="3DCE4AAC">
        <w:tblPrEx>
          <w:tblCellMar>
            <w:top w:w="0" w:type="dxa"/>
            <w:left w:w="108" w:type="dxa"/>
            <w:bottom w:w="0" w:type="dxa"/>
            <w:right w:w="108" w:type="dxa"/>
          </w:tblCellMar>
        </w:tblPrEx>
        <w:trPr>
          <w:trHeight w:val="789" w:hRule="atLeast"/>
        </w:trPr>
        <w:tc>
          <w:tcPr>
            <w:tcW w:w="3156" w:type="dxa"/>
            <w:tcBorders>
              <w:bottom w:val="single" w:color="auto" w:sz="4" w:space="0"/>
            </w:tcBorders>
            <w:noWrap/>
            <w:vAlign w:val="center"/>
          </w:tcPr>
          <w:p w14:paraId="290D9F1E">
            <w:pPr>
              <w:rPr>
                <w:rFonts w:cs="Times New Roman"/>
                <w:b/>
                <w:bCs/>
                <w:color w:val="000000" w:themeColor="text1"/>
                <w:szCs w:val="24"/>
                <w14:textFill>
                  <w14:solidFill>
                    <w14:schemeClr w14:val="tx1"/>
                  </w14:solidFill>
                </w14:textFill>
              </w:rPr>
            </w:pPr>
            <w:r>
              <w:rPr>
                <w:rFonts w:cs="Times New Roman"/>
                <w:b/>
                <w:bCs/>
                <w:color w:val="000000" w:themeColor="text1"/>
                <w:szCs w:val="24"/>
                <w14:textFill>
                  <w14:solidFill>
                    <w14:schemeClr w14:val="tx1"/>
                  </w14:solidFill>
                </w14:textFill>
              </w:rPr>
              <w:t>Total</w:t>
            </w:r>
          </w:p>
        </w:tc>
        <w:tc>
          <w:tcPr>
            <w:tcW w:w="2997" w:type="dxa"/>
            <w:tcBorders>
              <w:bottom w:val="single" w:color="auto" w:sz="4" w:space="0"/>
            </w:tcBorders>
            <w:noWrap/>
            <w:vAlign w:val="center"/>
          </w:tcPr>
          <w:p w14:paraId="0A9E154C">
            <w:pPr>
              <w:jc w:val="center"/>
              <w:rPr>
                <w:rFonts w:cs="Times New Roman"/>
                <w:b/>
                <w:bCs/>
                <w:color w:val="000000" w:themeColor="text1"/>
                <w:szCs w:val="24"/>
                <w14:textFill>
                  <w14:solidFill>
                    <w14:schemeClr w14:val="tx1"/>
                  </w14:solidFill>
                </w14:textFill>
              </w:rPr>
            </w:pPr>
            <w:r>
              <w:rPr>
                <w:rFonts w:cs="Times New Roman"/>
                <w:b/>
                <w:bCs/>
                <w:color w:val="000000" w:themeColor="text1"/>
                <w:szCs w:val="24"/>
                <w14:textFill>
                  <w14:solidFill>
                    <w14:schemeClr w14:val="tx1"/>
                  </w14:solidFill>
                </w14:textFill>
              </w:rPr>
              <w:t>960</w:t>
            </w:r>
          </w:p>
        </w:tc>
        <w:tc>
          <w:tcPr>
            <w:tcW w:w="2555" w:type="dxa"/>
            <w:tcBorders>
              <w:bottom w:val="single" w:color="auto" w:sz="4" w:space="0"/>
            </w:tcBorders>
            <w:noWrap/>
            <w:vAlign w:val="center"/>
          </w:tcPr>
          <w:p w14:paraId="6DA3BE74">
            <w:pPr>
              <w:jc w:val="center"/>
              <w:rPr>
                <w:rFonts w:cs="Times New Roman"/>
                <w:b/>
                <w:bCs/>
                <w:color w:val="000000" w:themeColor="text1"/>
                <w:szCs w:val="24"/>
                <w14:textFill>
                  <w14:solidFill>
                    <w14:schemeClr w14:val="tx1"/>
                  </w14:solidFill>
                </w14:textFill>
              </w:rPr>
            </w:pPr>
            <w:r>
              <w:rPr>
                <w:rFonts w:cs="Times New Roman"/>
                <w:b/>
                <w:bCs/>
                <w:color w:val="000000" w:themeColor="text1"/>
                <w:szCs w:val="24"/>
                <w14:textFill>
                  <w14:solidFill>
                    <w14:schemeClr w14:val="tx1"/>
                  </w14:solidFill>
                </w14:textFill>
              </w:rPr>
              <w:t>100%</w:t>
            </w:r>
          </w:p>
        </w:tc>
      </w:tr>
    </w:tbl>
    <w:p w14:paraId="2E137CEE">
      <w:pPr>
        <w:rPr>
          <w:rFonts w:cs="Times New Roman"/>
          <w:b/>
          <w:bCs/>
          <w:color w:val="000000" w:themeColor="text1"/>
          <w:szCs w:val="24"/>
          <w14:textFill>
            <w14:solidFill>
              <w14:schemeClr w14:val="tx1"/>
            </w14:solidFill>
          </w14:textFill>
        </w:rPr>
      </w:pPr>
      <w:r>
        <w:rPr>
          <w:rFonts w:cs="Times New Roman"/>
          <w:b/>
          <w:bCs/>
          <w:color w:val="000000" w:themeColor="text1"/>
          <w:szCs w:val="24"/>
          <w14:textFill>
            <w14:solidFill>
              <w14:schemeClr w14:val="tx1"/>
            </w14:solidFill>
          </w14:textFill>
        </w:rPr>
        <w:t>Source: National Fertilizer Subsidy Program Records (2024)</w:t>
      </w:r>
    </w:p>
    <w:p w14:paraId="3CAC8523">
      <w:pPr>
        <w:rPr>
          <w:rFonts w:cs="Times New Roman"/>
          <w:color w:val="000000" w:themeColor="text1"/>
          <w:kern w:val="0"/>
          <w:szCs w:val="24"/>
          <w14:textFill>
            <w14:solidFill>
              <w14:schemeClr w14:val="tx1"/>
            </w14:solidFill>
          </w14:textFill>
        </w:rPr>
      </w:pPr>
    </w:p>
    <w:p w14:paraId="417C5EEA">
      <w:pPr>
        <w:pStyle w:val="4"/>
        <w:rPr>
          <w:color w:val="000000" w:themeColor="text1"/>
          <w14:textFill>
            <w14:solidFill>
              <w14:schemeClr w14:val="tx1"/>
            </w14:solidFill>
          </w14:textFill>
        </w:rPr>
      </w:pPr>
      <w:r>
        <w:rPr>
          <w:color w:val="000000" w:themeColor="text1"/>
          <w14:textFill>
            <w14:solidFill>
              <w14:schemeClr w14:val="tx1"/>
            </w14:solidFill>
          </w14:textFill>
        </w:rPr>
        <w:t>3.3.2 Sampling Design</w:t>
      </w:r>
    </w:p>
    <w:p w14:paraId="5B52109F">
      <w:pPr>
        <w:rPr>
          <w:rFonts w:cs="Times New Roman"/>
          <w:b/>
          <w:bCs/>
          <w:color w:val="000000" w:themeColor="text1"/>
          <w:kern w:val="0"/>
          <w:szCs w:val="24"/>
          <w14:textFill>
            <w14:solidFill>
              <w14:schemeClr w14:val="tx1"/>
            </w14:solidFill>
          </w14:textFill>
        </w:rPr>
      </w:pPr>
      <w:r>
        <w:rPr>
          <w:rFonts w:cs="Times New Roman"/>
          <w:b/>
          <w:bCs/>
          <w:color w:val="000000" w:themeColor="text1"/>
          <w:kern w:val="0"/>
          <w:szCs w:val="24"/>
          <w14:textFill>
            <w14:solidFill>
              <w14:schemeClr w14:val="tx1"/>
            </w14:solidFill>
          </w14:textFill>
        </w:rPr>
        <w:t>3.3.2.1 Sampling Frame</w:t>
      </w:r>
    </w:p>
    <w:p w14:paraId="765486E4">
      <w:pPr>
        <w:rPr>
          <w:rFonts w:cs="Times New Roman"/>
          <w:color w:val="000000" w:themeColor="text1"/>
          <w:kern w:val="0"/>
          <w:szCs w:val="24"/>
          <w14:textFill>
            <w14:solidFill>
              <w14:schemeClr w14:val="tx1"/>
            </w14:solidFill>
          </w14:textFill>
        </w:rPr>
      </w:pPr>
      <w:r>
        <w:rPr>
          <w:rFonts w:cs="Times New Roman"/>
          <w:color w:val="000000" w:themeColor="text1"/>
          <w:kern w:val="0"/>
          <w:szCs w:val="24"/>
          <w14:textFill>
            <w14:solidFill>
              <w14:schemeClr w14:val="tx1"/>
            </w14:solidFill>
          </w14:textFill>
        </w:rPr>
        <w:t>The sampling frame will consist of lists of registered smallholder farmers participating in the NFSP obtained from county agricultural offices and sub-county agricultural extension units in Nakuru, Bungoma, and Meru counties. These lists include farmer names, registration numbers in the subsidy system, sub-county location, and contact information. The lists maintained by county agricultural offices are used for fertilizer allocation and farmer verification and therefore provide an appropriate sampling frame for the study population.</w:t>
      </w:r>
    </w:p>
    <w:p w14:paraId="23C7BE95">
      <w:pPr>
        <w:rPr>
          <w:rFonts w:cs="Times New Roman"/>
          <w:color w:val="000000" w:themeColor="text1"/>
          <w:kern w:val="0"/>
          <w:szCs w:val="24"/>
          <w14:textFill>
            <w14:solidFill>
              <w14:schemeClr w14:val="tx1"/>
            </w14:solidFill>
          </w14:textFill>
        </w:rPr>
      </w:pPr>
    </w:p>
    <w:p w14:paraId="40E72761">
      <w:pPr>
        <w:rPr>
          <w:rFonts w:cs="Times New Roman"/>
          <w:b/>
          <w:bCs/>
          <w:color w:val="000000" w:themeColor="text1"/>
          <w:kern w:val="0"/>
          <w:szCs w:val="24"/>
          <w14:textFill>
            <w14:solidFill>
              <w14:schemeClr w14:val="tx1"/>
            </w14:solidFill>
          </w14:textFill>
        </w:rPr>
      </w:pPr>
      <w:r>
        <w:rPr>
          <w:rFonts w:cs="Times New Roman"/>
          <w:b/>
          <w:bCs/>
          <w:color w:val="000000" w:themeColor="text1"/>
          <w:kern w:val="0"/>
          <w:szCs w:val="24"/>
          <w14:textFill>
            <w14:solidFill>
              <w14:schemeClr w14:val="tx1"/>
            </w14:solidFill>
          </w14:textFill>
        </w:rPr>
        <w:t>3.3.2.2 Data Access Procedures</w:t>
      </w:r>
    </w:p>
    <w:p w14:paraId="7EDE987D">
      <w:pPr>
        <w:rPr>
          <w:rFonts w:cs="Times New Roman"/>
          <w:color w:val="000000" w:themeColor="text1"/>
          <w:kern w:val="0"/>
          <w:szCs w:val="24"/>
          <w14:textFill>
            <w14:solidFill>
              <w14:schemeClr w14:val="tx1"/>
            </w14:solidFill>
          </w14:textFill>
        </w:rPr>
      </w:pPr>
      <w:r>
        <w:rPr>
          <w:rFonts w:cs="Times New Roman"/>
          <w:color w:val="000000" w:themeColor="text1"/>
          <w:kern w:val="0"/>
          <w:szCs w:val="24"/>
          <w14:textFill>
            <w14:solidFill>
              <w14:schemeClr w14:val="tx1"/>
            </w14:solidFill>
          </w14:textFill>
        </w:rPr>
        <w:t>To obtain the sampling frame, the researcher will seek official authorization from the Ministry of Agriculture and Livestock Development through county agricultural offices in the selected counties. An introductory letter from the university and an ethical clearance permit will be presented to the respective county directors of agriculture. Upon approval, the researcher will work with agricultural extension officers to access lists of registered farmers participating in the fertilizer subsidy program. These officers will also assist in verifying farmer participation and facilitating contact with respondents during data collection. This procedure ensures that the sampling frame is both legitimate and practically accessible while maintaining confidentiality of farmer records.</w:t>
      </w:r>
    </w:p>
    <w:p w14:paraId="3C8CF4F6">
      <w:pPr>
        <w:rPr>
          <w:rFonts w:cs="Times New Roman"/>
          <w:color w:val="000000" w:themeColor="text1"/>
          <w:kern w:val="0"/>
          <w:szCs w:val="24"/>
          <w14:textFill>
            <w14:solidFill>
              <w14:schemeClr w14:val="tx1"/>
            </w14:solidFill>
          </w14:textFill>
        </w:rPr>
      </w:pPr>
    </w:p>
    <w:p w14:paraId="069E5D75">
      <w:pPr>
        <w:rPr>
          <w:rFonts w:cs="Times New Roman"/>
          <w:b/>
          <w:bCs/>
          <w:color w:val="000000" w:themeColor="text1"/>
          <w:kern w:val="0"/>
          <w:szCs w:val="24"/>
          <w14:textFill>
            <w14:solidFill>
              <w14:schemeClr w14:val="tx1"/>
            </w14:solidFill>
          </w14:textFill>
        </w:rPr>
      </w:pPr>
      <w:r>
        <w:rPr>
          <w:rFonts w:cs="Times New Roman"/>
          <w:b/>
          <w:bCs/>
          <w:color w:val="000000" w:themeColor="text1"/>
          <w:kern w:val="0"/>
          <w:szCs w:val="24"/>
          <w14:textFill>
            <w14:solidFill>
              <w14:schemeClr w14:val="tx1"/>
            </w14:solidFill>
          </w14:textFill>
        </w:rPr>
        <w:t>3.3.2.3 Sampling Technique</w:t>
      </w:r>
    </w:p>
    <w:p w14:paraId="04740E0D">
      <w:pPr>
        <w:rPr>
          <w:rFonts w:cs="Times New Roman"/>
          <w:color w:val="000000" w:themeColor="text1"/>
          <w:kern w:val="0"/>
          <w:szCs w:val="24"/>
          <w14:textFill>
            <w14:solidFill>
              <w14:schemeClr w14:val="tx1"/>
            </w14:solidFill>
          </w14:textFill>
        </w:rPr>
      </w:pPr>
      <w:r>
        <w:rPr>
          <w:rFonts w:cs="Times New Roman"/>
          <w:color w:val="000000" w:themeColor="text1"/>
          <w:kern w:val="0"/>
          <w:szCs w:val="24"/>
          <w14:textFill>
            <w14:solidFill>
              <w14:schemeClr w14:val="tx1"/>
            </w14:solidFill>
          </w14:textFill>
        </w:rPr>
        <w:t>The study will employ a stratified random sampling technique to ensure adequate representation of farmers across the selected counties. Each county will form a primary stratum, after which farmers within each county will be further stratified by sub-county and gender to ensure representation of different farmer groups. Stratified sampling improves representativeness by ensuring that key subgroups of the population are included in the sample (Etikan, Musa, &amp; Alkassim, 2016). After stratification, respondents will be selected using simple random sampling, giving each farmer an equal probability of being selected for participation in the study.</w:t>
      </w:r>
    </w:p>
    <w:p w14:paraId="734BB334">
      <w:pPr>
        <w:rPr>
          <w:rFonts w:cs="Times New Roman"/>
          <w:color w:val="000000" w:themeColor="text1"/>
          <w:kern w:val="0"/>
          <w:szCs w:val="24"/>
          <w14:textFill>
            <w14:solidFill>
              <w14:schemeClr w14:val="tx1"/>
            </w14:solidFill>
          </w14:textFill>
        </w:rPr>
      </w:pPr>
    </w:p>
    <w:p w14:paraId="3A26D1B8">
      <w:pPr>
        <w:rPr>
          <w:rFonts w:cs="Times New Roman"/>
          <w:b/>
          <w:bCs/>
          <w:color w:val="000000" w:themeColor="text1"/>
          <w:kern w:val="0"/>
          <w:szCs w:val="24"/>
          <w14:textFill>
            <w14:solidFill>
              <w14:schemeClr w14:val="tx1"/>
            </w14:solidFill>
          </w14:textFill>
        </w:rPr>
      </w:pPr>
      <w:r>
        <w:rPr>
          <w:rFonts w:cs="Times New Roman"/>
          <w:b/>
          <w:bCs/>
          <w:color w:val="000000" w:themeColor="text1"/>
          <w:kern w:val="0"/>
          <w:szCs w:val="24"/>
          <w14:textFill>
            <w14:solidFill>
              <w14:schemeClr w14:val="tx1"/>
            </w14:solidFill>
          </w14:textFill>
        </w:rPr>
        <w:t>3.3.2.4 Sample Size</w:t>
      </w:r>
    </w:p>
    <w:p w14:paraId="7E48552F">
      <w:pPr>
        <w:rPr>
          <w:rFonts w:cs="Times New Roman"/>
          <w:color w:val="000000" w:themeColor="text1"/>
          <w:kern w:val="0"/>
          <w:szCs w:val="24"/>
          <w14:textFill>
            <w14:solidFill>
              <w14:schemeClr w14:val="tx1"/>
            </w14:solidFill>
          </w14:textFill>
        </w:rPr>
      </w:pPr>
      <w:r>
        <w:rPr>
          <w:rFonts w:cs="Times New Roman"/>
          <w:color w:val="000000" w:themeColor="text1"/>
          <w:kern w:val="0"/>
          <w:szCs w:val="24"/>
          <w14:textFill>
            <w14:solidFill>
              <w14:schemeClr w14:val="tx1"/>
            </w14:solidFill>
          </w14:textFill>
        </w:rPr>
        <w:t>The sample size for the study will be determined using Yamane’s (1967) formula, which is appropriate for determining sample sizes from finite populations.</w:t>
      </w:r>
    </w:p>
    <w:p w14:paraId="37F8E802">
      <w:pPr>
        <w:rPr>
          <w:rFonts w:eastAsia="Calibri" w:cs="Times New Roman"/>
          <w:color w:val="000000" w:themeColor="text1"/>
          <w:szCs w:val="24"/>
          <w:lang w:val="en-GB"/>
          <w14:textFill>
            <w14:solidFill>
              <w14:schemeClr w14:val="tx1"/>
            </w14:solidFill>
          </w14:textFill>
        </w:rPr>
      </w:pPr>
      <w:r>
        <w:rPr>
          <w:rFonts w:eastAsia="Calibri" w:cs="Times New Roman"/>
          <w:color w:val="000000" w:themeColor="text1"/>
          <w:position w:val="-28"/>
          <w:szCs w:val="24"/>
          <w:lang w:val="en-GB"/>
          <w14:textFill>
            <w14:solidFill>
              <w14:schemeClr w14:val="tx1"/>
            </w14:solidFill>
          </w14:textFill>
          <w14:ligatures w14:val="none"/>
        </w:rPr>
        <w:object>
          <v:shape id="_x0000_i1025" o:spt="75" type="#_x0000_t75" style="height:33pt;width:109.5pt;" o:ole="t" filled="f" o:preferrelative="t" stroked="f" coordsize="21600,21600">
            <v:path/>
            <v:fill on="f" focussize="0,0"/>
            <v:stroke on="f" joinstyle="miter"/>
            <v:imagedata r:id="rId9" o:title=""/>
            <o:lock v:ext="edit" aspectratio="t"/>
            <w10:wrap type="none"/>
            <w10:anchorlock/>
          </v:shape>
          <o:OLEObject Type="Embed" ProgID="Equation.3" ShapeID="_x0000_i1025" DrawAspect="Content" ObjectID="_1468075725" r:id="rId8">
            <o:LockedField>false</o:LockedField>
          </o:OLEObject>
        </w:object>
      </w:r>
      <w:r>
        <w:rPr>
          <w:rFonts w:eastAsia="Calibri" w:cs="Times New Roman"/>
          <w:color w:val="000000" w:themeColor="text1"/>
          <w:szCs w:val="24"/>
          <w:lang w:val="en-GB"/>
          <w14:textFill>
            <w14:solidFill>
              <w14:schemeClr w14:val="tx1"/>
            </w14:solidFill>
          </w14:textFill>
        </w:rPr>
        <w:t xml:space="preserve"> </w:t>
      </w:r>
    </w:p>
    <w:p w14:paraId="62E958FC">
      <w:pPr>
        <w:rPr>
          <w:rFonts w:cs="Times New Roman"/>
          <w:color w:val="000000" w:themeColor="text1"/>
          <w:szCs w:val="24"/>
          <w:lang w:val="en-GB"/>
          <w14:textFill>
            <w14:solidFill>
              <w14:schemeClr w14:val="tx1"/>
            </w14:solidFill>
          </w14:textFill>
        </w:rPr>
      </w:pPr>
      <w:r>
        <w:rPr>
          <w:rFonts w:cs="Times New Roman"/>
          <w:color w:val="000000" w:themeColor="text1"/>
          <w:szCs w:val="24"/>
          <w:lang w:val="en-GB"/>
          <w14:textFill>
            <w14:solidFill>
              <w14:schemeClr w14:val="tx1"/>
            </w14:solidFill>
          </w14:textFill>
        </w:rPr>
        <w:t>Where n = sample size</w:t>
      </w:r>
    </w:p>
    <w:p w14:paraId="2D07A798">
      <w:pPr>
        <w:rPr>
          <w:rFonts w:cs="Times New Roman"/>
          <w:color w:val="000000" w:themeColor="text1"/>
          <w:szCs w:val="24"/>
          <w:lang w:val="en-GB"/>
          <w14:textFill>
            <w14:solidFill>
              <w14:schemeClr w14:val="tx1"/>
            </w14:solidFill>
          </w14:textFill>
        </w:rPr>
      </w:pPr>
      <w:r>
        <w:rPr>
          <w:rFonts w:cs="Times New Roman"/>
          <w:color w:val="000000" w:themeColor="text1"/>
          <w:szCs w:val="24"/>
          <w:lang w:val="en-GB"/>
          <w14:textFill>
            <w14:solidFill>
              <w14:schemeClr w14:val="tx1"/>
            </w14:solidFill>
          </w14:textFill>
        </w:rPr>
        <w:t>N = population of the study</w:t>
      </w:r>
    </w:p>
    <w:p w14:paraId="19B54937">
      <w:pPr>
        <w:rPr>
          <w:rFonts w:cs="Times New Roman"/>
          <w:color w:val="000000" w:themeColor="text1"/>
          <w:szCs w:val="24"/>
          <w:lang w:val="en-GB"/>
          <w14:textFill>
            <w14:solidFill>
              <w14:schemeClr w14:val="tx1"/>
            </w14:solidFill>
          </w14:textFill>
        </w:rPr>
      </w:pPr>
      <w:r>
        <w:rPr>
          <w:rFonts w:cs="Times New Roman"/>
          <w:color w:val="000000" w:themeColor="text1"/>
          <w:szCs w:val="24"/>
          <w:lang w:val="en-GB"/>
          <w14:textFill>
            <w14:solidFill>
              <w14:schemeClr w14:val="tx1"/>
            </w14:solidFill>
          </w14:textFill>
        </w:rPr>
        <w:t>e = level of significance (5% level of significance)</w:t>
      </w:r>
    </w:p>
    <w:p w14:paraId="5AC67209">
      <w:pPr>
        <w:rPr>
          <w:rFonts w:cs="Times New Roman"/>
          <w:color w:val="000000" w:themeColor="text1"/>
          <w:szCs w:val="24"/>
          <w:lang w:val="en-GB"/>
          <w14:textFill>
            <w14:solidFill>
              <w14:schemeClr w14:val="tx1"/>
            </w14:solidFill>
          </w14:textFill>
        </w:rPr>
      </w:pPr>
      <w:r>
        <w:rPr>
          <w:rFonts w:cs="Times New Roman"/>
          <w:color w:val="000000" w:themeColor="text1"/>
          <w:szCs w:val="24"/>
          <w:lang w:val="en-GB"/>
          <w14:textFill>
            <w14:solidFill>
              <w14:schemeClr w14:val="tx1"/>
            </w14:solidFill>
          </w14:textFill>
        </w:rPr>
        <w:t>N = target population = 960</w:t>
      </w:r>
    </w:p>
    <w:p w14:paraId="0A119FCF">
      <w:pPr>
        <w:rPr>
          <w:rFonts w:cs="Times New Roman"/>
          <w:color w:val="000000" w:themeColor="text1"/>
          <w:szCs w:val="24"/>
          <w:lang w:val="en-GB"/>
          <w14:textFill>
            <w14:solidFill>
              <w14:schemeClr w14:val="tx1"/>
            </w14:solidFill>
          </w14:textFill>
        </w:rPr>
      </w:pPr>
      <w:r>
        <w:rPr>
          <w:rFonts w:cs="Times New Roman"/>
          <w:color w:val="000000" w:themeColor="text1"/>
          <w:szCs w:val="24"/>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2066925</wp:posOffset>
                </wp:positionH>
                <wp:positionV relativeFrom="paragraph">
                  <wp:posOffset>203200</wp:posOffset>
                </wp:positionV>
                <wp:extent cx="1038225"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103822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_x0000_s1026" o:spid="_x0000_s1026" o:spt="20" style="position:absolute;left:0pt;margin-left:162.75pt;margin-top:16pt;height:0pt;width:81.75pt;z-index:251659264;mso-width-relative:page;mso-height-relative:page;" filled="f" stroked="t" coordsize="21600,21600" o:gfxdata="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KobDm3VAAAACQEA&#10;AA8AAAAAAAAAAQAgAAAAIgAAAGRycy9kb3ducmV2LnhtbFBLAQIUABQAAAAIAIdO4kB+Lp1T5AEA&#10;ANYDAAAOAAAAAAAAAAEAIAAAACQBAABkcnMvZTJvRG9jLnhtbFBLBQYAAAAABgAGAFkBAAB6BQAA&#10;AAA=&#10;">
                <v:fill on="f" focussize="0,0"/>
                <v:stroke weight="0.5pt" color="#000000" miterlimit="8" joinstyle="miter"/>
                <v:imagedata o:title=""/>
                <o:lock v:ext="edit" aspectratio="f"/>
              </v:line>
            </w:pict>
          </mc:Fallback>
        </mc:AlternateContent>
      </w:r>
      <w:r>
        <w:rPr>
          <w:rFonts w:cs="Times New Roman"/>
          <w:color w:val="000000" w:themeColor="text1"/>
          <w:szCs w:val="24"/>
          <w:lang w:val="en-GB"/>
          <w14:textFill>
            <w14:solidFill>
              <w14:schemeClr w14:val="tx1"/>
            </w14:solidFill>
          </w14:textFill>
        </w:rPr>
        <w:t xml:space="preserve">Applying the formula, </w:t>
      </w:r>
      <w:r>
        <w:rPr>
          <w:rFonts w:cs="Times New Roman"/>
          <w:color w:val="000000" w:themeColor="text1"/>
          <w:szCs w:val="24"/>
          <w:lang w:val="en-GB"/>
          <w14:textFill>
            <w14:solidFill>
              <w14:schemeClr w14:val="tx1"/>
            </w14:solidFill>
          </w14:textFill>
        </w:rPr>
        <w:tab/>
      </w:r>
      <w:r>
        <w:rPr>
          <w:rFonts w:cs="Times New Roman"/>
          <w:i/>
          <w:color w:val="000000" w:themeColor="text1"/>
          <w:szCs w:val="24"/>
          <w:lang w:val="en-GB"/>
          <w14:textFill>
            <w14:solidFill>
              <w14:schemeClr w14:val="tx1"/>
            </w14:solidFill>
          </w14:textFill>
        </w:rPr>
        <w:t xml:space="preserve">n </w:t>
      </w:r>
      <w:r>
        <w:rPr>
          <w:rFonts w:cs="Times New Roman"/>
          <w:color w:val="000000" w:themeColor="text1"/>
          <w:szCs w:val="24"/>
          <w:lang w:val="en-GB"/>
          <w14:textFill>
            <w14:solidFill>
              <w14:schemeClr w14:val="tx1"/>
            </w14:solidFill>
          </w14:textFill>
        </w:rPr>
        <w:t xml:space="preserve">= </w:t>
      </w:r>
      <w:r>
        <w:rPr>
          <w:rFonts w:cs="Times New Roman"/>
          <w:color w:val="000000" w:themeColor="text1"/>
          <w:szCs w:val="24"/>
          <w:lang w:val="en-GB"/>
          <w14:textFill>
            <w14:solidFill>
              <w14:schemeClr w14:val="tx1"/>
            </w14:solidFill>
          </w14:textFill>
        </w:rPr>
        <w:tab/>
      </w:r>
      <w:r>
        <w:rPr>
          <w:rFonts w:cs="Times New Roman"/>
          <w:color w:val="000000" w:themeColor="text1"/>
          <w:szCs w:val="24"/>
          <w:lang w:val="en-GB"/>
          <w14:textFill>
            <w14:solidFill>
              <w14:schemeClr w14:val="tx1"/>
            </w14:solidFill>
          </w14:textFill>
        </w:rPr>
        <w:t>960</w:t>
      </w:r>
    </w:p>
    <w:p w14:paraId="612C8830">
      <w:pPr>
        <w:rPr>
          <w:rFonts w:cs="Times New Roman"/>
          <w:color w:val="000000" w:themeColor="text1"/>
          <w:szCs w:val="24"/>
          <w:vertAlign w:val="superscript"/>
          <w:lang w:val="en-GB"/>
          <w14:textFill>
            <w14:solidFill>
              <w14:schemeClr w14:val="tx1"/>
            </w14:solidFill>
          </w14:textFill>
        </w:rPr>
      </w:pPr>
      <w:r>
        <w:rPr>
          <w:rFonts w:cs="Times New Roman"/>
          <w:color w:val="000000" w:themeColor="text1"/>
          <w:szCs w:val="24"/>
          <w:lang w:val="en-GB"/>
          <w14:textFill>
            <w14:solidFill>
              <w14:schemeClr w14:val="tx1"/>
            </w14:solidFill>
          </w14:textFill>
        </w:rPr>
        <w:t xml:space="preserve">       </w:t>
      </w:r>
      <w:r>
        <w:rPr>
          <w:rFonts w:cs="Times New Roman"/>
          <w:color w:val="000000" w:themeColor="text1"/>
          <w:szCs w:val="24"/>
          <w:lang w:val="en-GB"/>
          <w14:textFill>
            <w14:solidFill>
              <w14:schemeClr w14:val="tx1"/>
            </w14:solidFill>
          </w14:textFill>
        </w:rPr>
        <w:tab/>
      </w:r>
      <w:r>
        <w:rPr>
          <w:rFonts w:cs="Times New Roman"/>
          <w:color w:val="000000" w:themeColor="text1"/>
          <w:szCs w:val="24"/>
          <w:lang w:val="en-GB"/>
          <w14:textFill>
            <w14:solidFill>
              <w14:schemeClr w14:val="tx1"/>
            </w14:solidFill>
          </w14:textFill>
        </w:rPr>
        <w:tab/>
      </w:r>
      <w:r>
        <w:rPr>
          <w:rFonts w:cs="Times New Roman"/>
          <w:color w:val="000000" w:themeColor="text1"/>
          <w:szCs w:val="24"/>
          <w:lang w:val="en-GB"/>
          <w14:textFill>
            <w14:solidFill>
              <w14:schemeClr w14:val="tx1"/>
            </w14:solidFill>
          </w14:textFill>
        </w:rPr>
        <w:tab/>
      </w:r>
      <w:r>
        <w:rPr>
          <w:rFonts w:cs="Times New Roman"/>
          <w:color w:val="000000" w:themeColor="text1"/>
          <w:szCs w:val="24"/>
          <w:lang w:val="en-GB"/>
          <w14:textFill>
            <w14:solidFill>
              <w14:schemeClr w14:val="tx1"/>
            </w14:solidFill>
          </w14:textFill>
        </w:rPr>
        <w:tab/>
      </w:r>
      <w:r>
        <w:rPr>
          <w:rFonts w:cs="Times New Roman"/>
          <w:color w:val="000000" w:themeColor="text1"/>
          <w:szCs w:val="24"/>
          <w:lang w:val="en-GB"/>
          <w14:textFill>
            <w14:solidFill>
              <w14:schemeClr w14:val="tx1"/>
            </w14:solidFill>
          </w14:textFill>
        </w:rPr>
        <w:t xml:space="preserve">       1 + 960 (0.05)</w:t>
      </w:r>
      <w:r>
        <w:rPr>
          <w:rFonts w:cs="Times New Roman"/>
          <w:color w:val="000000" w:themeColor="text1"/>
          <w:szCs w:val="24"/>
          <w:vertAlign w:val="superscript"/>
          <w:lang w:val="en-GB"/>
          <w14:textFill>
            <w14:solidFill>
              <w14:schemeClr w14:val="tx1"/>
            </w14:solidFill>
          </w14:textFill>
        </w:rPr>
        <w:t>2</w:t>
      </w:r>
    </w:p>
    <w:p w14:paraId="047177ED">
      <w:pPr>
        <w:rPr>
          <w:rFonts w:cs="Times New Roman"/>
          <w:color w:val="000000" w:themeColor="text1"/>
          <w:szCs w:val="24"/>
          <w:lang w:val="en-GB"/>
          <w14:textFill>
            <w14:solidFill>
              <w14:schemeClr w14:val="tx1"/>
            </w14:solidFill>
          </w14:textFill>
        </w:rPr>
      </w:pPr>
      <w:r>
        <w:rPr>
          <w:rFonts w:cs="Times New Roman"/>
          <w:i/>
          <w:color w:val="000000" w:themeColor="text1"/>
          <w:szCs w:val="24"/>
          <w:lang w:val="en-GB"/>
          <w14:textFill>
            <w14:solidFill>
              <w14:schemeClr w14:val="tx1"/>
            </w14:solidFill>
          </w14:textFill>
        </w:rPr>
        <w:t>n</w:t>
      </w:r>
      <w:r>
        <w:rPr>
          <w:rFonts w:cs="Times New Roman"/>
          <w:color w:val="000000" w:themeColor="text1"/>
          <w:szCs w:val="24"/>
          <w:lang w:val="en-GB"/>
          <w14:textFill>
            <w14:solidFill>
              <w14:schemeClr w14:val="tx1"/>
            </w14:solidFill>
          </w14:textFill>
        </w:rPr>
        <w:t xml:space="preserve"> = 282</w:t>
      </w:r>
    </w:p>
    <w:p w14:paraId="10127473">
      <w:pPr>
        <w:pStyle w:val="43"/>
        <w:rPr>
          <w:lang w:val="en-GB"/>
        </w:rPr>
      </w:pPr>
    </w:p>
    <w:p w14:paraId="2F0A1FD8">
      <w:pPr>
        <w:rPr>
          <w:rFonts w:cs="Times New Roman"/>
          <w:color w:val="000000" w:themeColor="text1"/>
          <w:szCs w:val="24"/>
          <w:lang w:val="en-GB"/>
          <w14:textFill>
            <w14:solidFill>
              <w14:schemeClr w14:val="tx1"/>
            </w14:solidFill>
          </w14:textFill>
        </w:rPr>
      </w:pPr>
      <w:r>
        <w:rPr>
          <w:rFonts w:cs="Times New Roman"/>
          <w:color w:val="000000" w:themeColor="text1"/>
          <w:szCs w:val="24"/>
          <w:lang w:val="en-GB"/>
          <w14:textFill>
            <w14:solidFill>
              <w14:schemeClr w14:val="tx1"/>
            </w14:solidFill>
          </w14:textFill>
        </w:rPr>
        <w:t>Sample Size = 282</w:t>
      </w:r>
    </w:p>
    <w:p w14:paraId="3274608F">
      <w:pPr>
        <w:rPr>
          <w:rFonts w:cs="Times New Roman"/>
          <w:color w:val="000000" w:themeColor="text1"/>
          <w:szCs w:val="24"/>
          <w14:textFill>
            <w14:solidFill>
              <w14:schemeClr w14:val="tx1"/>
            </w14:solidFill>
          </w14:textFill>
        </w:rPr>
      </w:pPr>
    </w:p>
    <w:p w14:paraId="35A9258B">
      <w:pPr>
        <w:rPr>
          <w:rFonts w:cs="Times New Roman"/>
          <w:b/>
          <w:bCs/>
          <w:color w:val="000000" w:themeColor="text1"/>
          <w:szCs w:val="24"/>
          <w14:textFill>
            <w14:solidFill>
              <w14:schemeClr w14:val="tx1"/>
            </w14:solidFill>
          </w14:textFill>
        </w:rPr>
      </w:pPr>
      <w:r>
        <w:rPr>
          <w:rFonts w:cs="Times New Roman"/>
          <w:b/>
          <w:bCs/>
          <w:color w:val="000000" w:themeColor="text1"/>
          <w:szCs w:val="24"/>
          <w14:textFill>
            <w14:solidFill>
              <w14:schemeClr w14:val="tx1"/>
            </w14:solidFill>
          </w14:textFill>
        </w:rPr>
        <w:t>Table 3.2 Sample Size Distribution</w:t>
      </w:r>
    </w:p>
    <w:tbl>
      <w:tblPr>
        <w:tblStyle w:val="12"/>
        <w:tblW w:w="8656" w:type="dxa"/>
        <w:tblInd w:w="-10" w:type="dxa"/>
        <w:tblLayout w:type="autofit"/>
        <w:tblCellMar>
          <w:top w:w="0" w:type="dxa"/>
          <w:left w:w="108" w:type="dxa"/>
          <w:bottom w:w="0" w:type="dxa"/>
          <w:right w:w="108" w:type="dxa"/>
        </w:tblCellMar>
      </w:tblPr>
      <w:tblGrid>
        <w:gridCol w:w="3160"/>
        <w:gridCol w:w="3000"/>
        <w:gridCol w:w="2496"/>
      </w:tblGrid>
      <w:tr w14:paraId="05D6D38C">
        <w:tblPrEx>
          <w:tblCellMar>
            <w:top w:w="0" w:type="dxa"/>
            <w:left w:w="108" w:type="dxa"/>
            <w:bottom w:w="0" w:type="dxa"/>
            <w:right w:w="108" w:type="dxa"/>
          </w:tblCellMar>
        </w:tblPrEx>
        <w:trPr>
          <w:trHeight w:val="521" w:hRule="atLeast"/>
        </w:trPr>
        <w:tc>
          <w:tcPr>
            <w:tcW w:w="3160" w:type="dxa"/>
            <w:tcBorders>
              <w:top w:val="single" w:color="auto" w:sz="4" w:space="0"/>
              <w:bottom w:val="single" w:color="auto" w:sz="4" w:space="0"/>
            </w:tcBorders>
            <w:noWrap/>
            <w:vAlign w:val="center"/>
          </w:tcPr>
          <w:p w14:paraId="351205EF">
            <w:pPr>
              <w:rPr>
                <w:rFonts w:cs="Times New Roman"/>
                <w:b/>
                <w:bCs/>
                <w:color w:val="000000" w:themeColor="text1"/>
                <w:szCs w:val="24"/>
                <w14:textFill>
                  <w14:solidFill>
                    <w14:schemeClr w14:val="tx1"/>
                  </w14:solidFill>
                </w14:textFill>
              </w:rPr>
            </w:pPr>
            <w:r>
              <w:rPr>
                <w:rFonts w:cs="Times New Roman"/>
                <w:b/>
                <w:bCs/>
                <w:color w:val="000000" w:themeColor="text1"/>
                <w:szCs w:val="24"/>
                <w14:textFill>
                  <w14:solidFill>
                    <w14:schemeClr w14:val="tx1"/>
                  </w14:solidFill>
                </w14:textFill>
              </w:rPr>
              <w:t>County</w:t>
            </w:r>
          </w:p>
        </w:tc>
        <w:tc>
          <w:tcPr>
            <w:tcW w:w="3000" w:type="dxa"/>
            <w:tcBorders>
              <w:top w:val="single" w:color="auto" w:sz="4" w:space="0"/>
              <w:bottom w:val="single" w:color="auto" w:sz="4" w:space="0"/>
            </w:tcBorders>
            <w:noWrap/>
            <w:vAlign w:val="center"/>
          </w:tcPr>
          <w:p w14:paraId="0F7A83C2">
            <w:pPr>
              <w:jc w:val="center"/>
              <w:rPr>
                <w:rFonts w:cs="Times New Roman"/>
                <w:b/>
                <w:bCs/>
                <w:color w:val="000000" w:themeColor="text1"/>
                <w:szCs w:val="24"/>
                <w14:textFill>
                  <w14:solidFill>
                    <w14:schemeClr w14:val="tx1"/>
                  </w14:solidFill>
                </w14:textFill>
              </w:rPr>
            </w:pPr>
            <w:r>
              <w:rPr>
                <w:rFonts w:cs="Times New Roman"/>
                <w:b/>
                <w:bCs/>
                <w:color w:val="000000" w:themeColor="text1"/>
                <w:szCs w:val="24"/>
                <w14:textFill>
                  <w14:solidFill>
                    <w14:schemeClr w14:val="tx1"/>
                  </w14:solidFill>
                </w14:textFill>
              </w:rPr>
              <w:t>Population</w:t>
            </w:r>
          </w:p>
        </w:tc>
        <w:tc>
          <w:tcPr>
            <w:tcW w:w="2496" w:type="dxa"/>
            <w:tcBorders>
              <w:top w:val="single" w:color="auto" w:sz="4" w:space="0"/>
              <w:bottom w:val="single" w:color="auto" w:sz="4" w:space="0"/>
            </w:tcBorders>
            <w:noWrap/>
            <w:vAlign w:val="center"/>
          </w:tcPr>
          <w:p w14:paraId="6A1D6C76">
            <w:pPr>
              <w:jc w:val="center"/>
              <w:rPr>
                <w:rFonts w:cs="Times New Roman"/>
                <w:b/>
                <w:bCs/>
                <w:color w:val="000000" w:themeColor="text1"/>
                <w:szCs w:val="24"/>
                <w14:textFill>
                  <w14:solidFill>
                    <w14:schemeClr w14:val="tx1"/>
                  </w14:solidFill>
                </w14:textFill>
              </w:rPr>
            </w:pPr>
            <w:r>
              <w:rPr>
                <w:rFonts w:cs="Times New Roman"/>
                <w:b/>
                <w:bCs/>
                <w:color w:val="000000" w:themeColor="text1"/>
                <w:szCs w:val="24"/>
                <w14:textFill>
                  <w14:solidFill>
                    <w14:schemeClr w14:val="tx1"/>
                  </w14:solidFill>
                </w14:textFill>
              </w:rPr>
              <w:t>Sample Size</w:t>
            </w:r>
          </w:p>
        </w:tc>
      </w:tr>
      <w:tr w14:paraId="57564C87">
        <w:tblPrEx>
          <w:tblCellMar>
            <w:top w:w="0" w:type="dxa"/>
            <w:left w:w="108" w:type="dxa"/>
            <w:bottom w:w="0" w:type="dxa"/>
            <w:right w:w="108" w:type="dxa"/>
          </w:tblCellMar>
        </w:tblPrEx>
        <w:trPr>
          <w:trHeight w:val="521" w:hRule="atLeast"/>
        </w:trPr>
        <w:tc>
          <w:tcPr>
            <w:tcW w:w="3160" w:type="dxa"/>
            <w:tcBorders>
              <w:top w:val="single" w:color="auto" w:sz="4" w:space="0"/>
            </w:tcBorders>
            <w:noWrap/>
            <w:vAlign w:val="center"/>
          </w:tcPr>
          <w:p w14:paraId="1D7E4BD2">
            <w:pPr>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Nakuru</w:t>
            </w:r>
          </w:p>
        </w:tc>
        <w:tc>
          <w:tcPr>
            <w:tcW w:w="3000" w:type="dxa"/>
            <w:tcBorders>
              <w:top w:val="single" w:color="auto" w:sz="4" w:space="0"/>
            </w:tcBorders>
            <w:noWrap/>
            <w:vAlign w:val="center"/>
          </w:tcPr>
          <w:p w14:paraId="112F8657">
            <w:pPr>
              <w:jc w:val="center"/>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320</w:t>
            </w:r>
          </w:p>
        </w:tc>
        <w:tc>
          <w:tcPr>
            <w:tcW w:w="2496" w:type="dxa"/>
            <w:tcBorders>
              <w:top w:val="single" w:color="auto" w:sz="4" w:space="0"/>
            </w:tcBorders>
            <w:noWrap/>
            <w:vAlign w:val="center"/>
          </w:tcPr>
          <w:p w14:paraId="67418348">
            <w:pPr>
              <w:jc w:val="center"/>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94</w:t>
            </w:r>
          </w:p>
        </w:tc>
      </w:tr>
      <w:tr w14:paraId="75DBEE39">
        <w:tblPrEx>
          <w:tblCellMar>
            <w:top w:w="0" w:type="dxa"/>
            <w:left w:w="108" w:type="dxa"/>
            <w:bottom w:w="0" w:type="dxa"/>
            <w:right w:w="108" w:type="dxa"/>
          </w:tblCellMar>
        </w:tblPrEx>
        <w:trPr>
          <w:trHeight w:val="521" w:hRule="atLeast"/>
        </w:trPr>
        <w:tc>
          <w:tcPr>
            <w:tcW w:w="3160" w:type="dxa"/>
            <w:noWrap/>
            <w:vAlign w:val="center"/>
          </w:tcPr>
          <w:p w14:paraId="24C2BC0C">
            <w:pPr>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Bungoma</w:t>
            </w:r>
          </w:p>
        </w:tc>
        <w:tc>
          <w:tcPr>
            <w:tcW w:w="3000" w:type="dxa"/>
            <w:noWrap/>
            <w:vAlign w:val="center"/>
          </w:tcPr>
          <w:p w14:paraId="5DB4EC81">
            <w:pPr>
              <w:jc w:val="center"/>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320</w:t>
            </w:r>
          </w:p>
        </w:tc>
        <w:tc>
          <w:tcPr>
            <w:tcW w:w="2496" w:type="dxa"/>
            <w:noWrap/>
            <w:vAlign w:val="center"/>
          </w:tcPr>
          <w:p w14:paraId="00E1EA08">
            <w:pPr>
              <w:jc w:val="center"/>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94</w:t>
            </w:r>
          </w:p>
        </w:tc>
      </w:tr>
      <w:tr w14:paraId="1BF9C6A7">
        <w:tblPrEx>
          <w:tblCellMar>
            <w:top w:w="0" w:type="dxa"/>
            <w:left w:w="108" w:type="dxa"/>
            <w:bottom w:w="0" w:type="dxa"/>
            <w:right w:w="108" w:type="dxa"/>
          </w:tblCellMar>
        </w:tblPrEx>
        <w:trPr>
          <w:trHeight w:val="521" w:hRule="atLeast"/>
        </w:trPr>
        <w:tc>
          <w:tcPr>
            <w:tcW w:w="3160" w:type="dxa"/>
            <w:noWrap/>
            <w:vAlign w:val="center"/>
          </w:tcPr>
          <w:p w14:paraId="114EFF31">
            <w:pPr>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Meru</w:t>
            </w:r>
          </w:p>
        </w:tc>
        <w:tc>
          <w:tcPr>
            <w:tcW w:w="3000" w:type="dxa"/>
            <w:noWrap/>
            <w:vAlign w:val="center"/>
          </w:tcPr>
          <w:p w14:paraId="1EA0AAD5">
            <w:pPr>
              <w:jc w:val="center"/>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320</w:t>
            </w:r>
          </w:p>
        </w:tc>
        <w:tc>
          <w:tcPr>
            <w:tcW w:w="2496" w:type="dxa"/>
            <w:noWrap/>
            <w:vAlign w:val="center"/>
          </w:tcPr>
          <w:p w14:paraId="14C6716B">
            <w:pPr>
              <w:jc w:val="center"/>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94</w:t>
            </w:r>
          </w:p>
        </w:tc>
      </w:tr>
      <w:tr w14:paraId="38463613">
        <w:tblPrEx>
          <w:tblCellMar>
            <w:top w:w="0" w:type="dxa"/>
            <w:left w:w="108" w:type="dxa"/>
            <w:bottom w:w="0" w:type="dxa"/>
            <w:right w:w="108" w:type="dxa"/>
          </w:tblCellMar>
        </w:tblPrEx>
        <w:trPr>
          <w:trHeight w:val="521" w:hRule="atLeast"/>
        </w:trPr>
        <w:tc>
          <w:tcPr>
            <w:tcW w:w="3160" w:type="dxa"/>
            <w:tcBorders>
              <w:bottom w:val="single" w:color="auto" w:sz="4" w:space="0"/>
            </w:tcBorders>
            <w:noWrap/>
            <w:vAlign w:val="center"/>
          </w:tcPr>
          <w:p w14:paraId="5846B1A9">
            <w:pPr>
              <w:rPr>
                <w:rFonts w:cs="Times New Roman"/>
                <w:b/>
                <w:bCs/>
                <w:color w:val="000000" w:themeColor="text1"/>
                <w:szCs w:val="24"/>
                <w14:textFill>
                  <w14:solidFill>
                    <w14:schemeClr w14:val="tx1"/>
                  </w14:solidFill>
                </w14:textFill>
              </w:rPr>
            </w:pPr>
            <w:r>
              <w:rPr>
                <w:rFonts w:cs="Times New Roman"/>
                <w:b/>
                <w:bCs/>
                <w:color w:val="000000" w:themeColor="text1"/>
                <w:szCs w:val="24"/>
                <w14:textFill>
                  <w14:solidFill>
                    <w14:schemeClr w14:val="tx1"/>
                  </w14:solidFill>
                </w14:textFill>
              </w:rPr>
              <w:t>Total</w:t>
            </w:r>
          </w:p>
        </w:tc>
        <w:tc>
          <w:tcPr>
            <w:tcW w:w="3000" w:type="dxa"/>
            <w:tcBorders>
              <w:bottom w:val="single" w:color="auto" w:sz="4" w:space="0"/>
            </w:tcBorders>
            <w:noWrap/>
            <w:vAlign w:val="center"/>
          </w:tcPr>
          <w:p w14:paraId="2B1A74B1">
            <w:pPr>
              <w:jc w:val="center"/>
              <w:rPr>
                <w:rFonts w:cs="Times New Roman"/>
                <w:b/>
                <w:bCs/>
                <w:color w:val="000000" w:themeColor="text1"/>
                <w:szCs w:val="24"/>
                <w14:textFill>
                  <w14:solidFill>
                    <w14:schemeClr w14:val="tx1"/>
                  </w14:solidFill>
                </w14:textFill>
              </w:rPr>
            </w:pPr>
            <w:r>
              <w:rPr>
                <w:rFonts w:cs="Times New Roman"/>
                <w:b/>
                <w:bCs/>
                <w:color w:val="000000" w:themeColor="text1"/>
                <w:szCs w:val="24"/>
                <w14:textFill>
                  <w14:solidFill>
                    <w14:schemeClr w14:val="tx1"/>
                  </w14:solidFill>
                </w14:textFill>
              </w:rPr>
              <w:t>960</w:t>
            </w:r>
          </w:p>
        </w:tc>
        <w:tc>
          <w:tcPr>
            <w:tcW w:w="2496" w:type="dxa"/>
            <w:tcBorders>
              <w:bottom w:val="single" w:color="auto" w:sz="4" w:space="0"/>
            </w:tcBorders>
            <w:noWrap/>
            <w:vAlign w:val="center"/>
          </w:tcPr>
          <w:p w14:paraId="30FB6B0A">
            <w:pPr>
              <w:jc w:val="center"/>
              <w:rPr>
                <w:rFonts w:cs="Times New Roman"/>
                <w:b/>
                <w:bCs/>
                <w:color w:val="000000" w:themeColor="text1"/>
                <w:szCs w:val="24"/>
                <w14:textFill>
                  <w14:solidFill>
                    <w14:schemeClr w14:val="tx1"/>
                  </w14:solidFill>
                </w14:textFill>
              </w:rPr>
            </w:pPr>
            <w:r>
              <w:rPr>
                <w:rFonts w:cs="Times New Roman"/>
                <w:b/>
                <w:bCs/>
                <w:color w:val="000000" w:themeColor="text1"/>
                <w:szCs w:val="24"/>
                <w14:textFill>
                  <w14:solidFill>
                    <w14:schemeClr w14:val="tx1"/>
                  </w14:solidFill>
                </w14:textFill>
              </w:rPr>
              <w:t>282</w:t>
            </w:r>
          </w:p>
        </w:tc>
      </w:tr>
    </w:tbl>
    <w:p w14:paraId="78954FC4">
      <w:pPr>
        <w:rPr>
          <w:rFonts w:cs="Times New Roman"/>
          <w:b/>
          <w:bCs/>
          <w:color w:val="000000" w:themeColor="text1"/>
          <w:szCs w:val="24"/>
          <w14:textFill>
            <w14:solidFill>
              <w14:schemeClr w14:val="tx1"/>
            </w14:solidFill>
          </w14:textFill>
        </w:rPr>
      </w:pPr>
      <w:r>
        <w:rPr>
          <w:rFonts w:cs="Times New Roman"/>
          <w:b/>
          <w:bCs/>
          <w:color w:val="000000" w:themeColor="text1"/>
          <w:szCs w:val="24"/>
          <w14:textFill>
            <w14:solidFill>
              <w14:schemeClr w14:val="tx1"/>
            </w14:solidFill>
          </w14:textFill>
        </w:rPr>
        <w:t>Source: Researcher (2026)</w:t>
      </w:r>
    </w:p>
    <w:p w14:paraId="1321FC61">
      <w:pPr>
        <w:pStyle w:val="43"/>
        <w:rPr>
          <w:color w:val="000000" w:themeColor="text1"/>
          <w14:textFill>
            <w14:solidFill>
              <w14:schemeClr w14:val="tx1"/>
            </w14:solidFill>
          </w14:textFill>
        </w:rPr>
      </w:pPr>
    </w:p>
    <w:p w14:paraId="19DBD78D">
      <w:pPr>
        <w:rPr>
          <w:rFonts w:cs="Times New Roman"/>
          <w:color w:val="000000" w:themeColor="text1"/>
          <w:kern w:val="0"/>
          <w:szCs w:val="24"/>
          <w14:textFill>
            <w14:solidFill>
              <w14:schemeClr w14:val="tx1"/>
            </w14:solidFill>
          </w14:textFill>
        </w:rPr>
      </w:pPr>
      <w:r>
        <w:rPr>
          <w:rFonts w:cs="Times New Roman"/>
          <w:color w:val="000000" w:themeColor="text1"/>
          <w:kern w:val="0"/>
          <w:szCs w:val="24"/>
          <w14:textFill>
            <w14:solidFill>
              <w14:schemeClr w14:val="tx1"/>
            </w14:solidFill>
          </w14:textFill>
        </w:rPr>
        <w:t>To enhance practicality during fieldwork, certain variables such as distance to fertilizer distribution centers will be measured through farmer self-reported estimates rather than Geographic Information System (GIS) measurements. Farmers will be asked to indicate approximate travel distance or travel time to the nearest fertilizer distribution center. Self-reported distance measures are commonly used in agricultural access studies and provide sufficiently reliable indicators of physical access to agricultural inputs (Jayne et al., 2022). This approach simplifies data collection while maintaining the validity of the measurement.</w:t>
      </w:r>
    </w:p>
    <w:p w14:paraId="42C4F021">
      <w:pPr>
        <w:rPr>
          <w:color w:val="000000" w:themeColor="text1"/>
          <w14:textFill>
            <w14:solidFill>
              <w14:schemeClr w14:val="tx1"/>
            </w14:solidFill>
          </w14:textFill>
        </w:rPr>
      </w:pPr>
    </w:p>
    <w:p w14:paraId="42C27B26">
      <w:pPr>
        <w:pStyle w:val="3"/>
      </w:pPr>
      <w:bookmarkStart w:id="64" w:name="_Toc225962315"/>
      <w:r>
        <w:t>3.4 Data Collection Methods</w:t>
      </w:r>
      <w:bookmarkEnd w:id="54"/>
      <w:bookmarkEnd w:id="55"/>
      <w:bookmarkEnd w:id="64"/>
    </w:p>
    <w:p w14:paraId="39FB48E1">
      <w:pPr>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Primary data will be collected using structured questionnaires administered to smallholder farmers. The questionnaire will contain close-ended questions and Likert scale items, segmented into four sections: demographic profile, subsidy awareness, uptake of fertilizers, and utilization behavior. Items will be aligned with the study’s conceptual framework and operationalized variables as illustrated in Chapter Two.</w:t>
      </w:r>
    </w:p>
    <w:p w14:paraId="7827C50A">
      <w:pPr>
        <w:pStyle w:val="43"/>
        <w:rPr>
          <w:color w:val="000000" w:themeColor="text1"/>
          <w14:textFill>
            <w14:solidFill>
              <w14:schemeClr w14:val="tx1"/>
            </w14:solidFill>
          </w14:textFill>
        </w:rPr>
      </w:pPr>
    </w:p>
    <w:p w14:paraId="28BF00A7">
      <w:pPr>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The questionnaire will be pilot tested on 10 respondents from Kiambu County, who will not be included in the final sample, to evaluate reliability, clarity, and content validity. Revisions will be made based on feedback before full-scale deployment. This aligns with Creswell and Plano Clark (2018), who emphasize pre-testing as a critical quality control step in survey-based research.</w:t>
      </w:r>
    </w:p>
    <w:p w14:paraId="4288CF6C">
      <w:pPr>
        <w:pStyle w:val="43"/>
        <w:rPr>
          <w:color w:val="000000" w:themeColor="text1"/>
          <w14:textFill>
            <w14:solidFill>
              <w14:schemeClr w14:val="tx1"/>
            </w14:solidFill>
          </w14:textFill>
        </w:rPr>
      </w:pPr>
    </w:p>
    <w:p w14:paraId="158A4A63">
      <w:pPr>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Secondary data will be obtained from program reports, Kenya National Bureau of Statistics (KNBS) datasets, and policy documents from MOALD and AfricaFertilizer.org, which provide contextual data on subsidy reforms and fertilizer use trends.</w:t>
      </w:r>
    </w:p>
    <w:p w14:paraId="75547DDF">
      <w:pPr>
        <w:pStyle w:val="43"/>
        <w:spacing w:line="360" w:lineRule="auto"/>
        <w:rPr>
          <w:color w:val="000000" w:themeColor="text1"/>
          <w14:textFill>
            <w14:solidFill>
              <w14:schemeClr w14:val="tx1"/>
            </w14:solidFill>
          </w14:textFill>
        </w:rPr>
      </w:pPr>
    </w:p>
    <w:p w14:paraId="456DBFE9">
      <w:pPr>
        <w:pStyle w:val="3"/>
      </w:pPr>
      <w:bookmarkStart w:id="65" w:name="_Toc225962316"/>
      <w:bookmarkStart w:id="66" w:name="_Toc219364738"/>
      <w:bookmarkStart w:id="67" w:name="_Toc203756710"/>
      <w:r>
        <w:t>3.5 Research Procedures</w:t>
      </w:r>
      <w:bookmarkEnd w:id="65"/>
      <w:bookmarkEnd w:id="66"/>
      <w:bookmarkEnd w:id="67"/>
    </w:p>
    <w:p w14:paraId="1E6816B4">
      <w:pPr>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Prior to data collection, research clearance will be sought from the United States International University – Africa’s Institutional Review Board (IRB) to ensure ethical compliance. Approval will also be obtained from relevant county agricultural departments.</w:t>
      </w:r>
    </w:p>
    <w:p w14:paraId="1A3BAEB1">
      <w:pPr>
        <w:pStyle w:val="43"/>
        <w:rPr>
          <w:color w:val="000000" w:themeColor="text1"/>
          <w14:textFill>
            <w14:solidFill>
              <w14:schemeClr w14:val="tx1"/>
            </w14:solidFill>
          </w14:textFill>
        </w:rPr>
      </w:pPr>
    </w:p>
    <w:p w14:paraId="7EA971B9">
      <w:pPr>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Data collection will be conducted over a four-week period by trained enumerators who will administer the questionnaire face-to-face using printed or digital forms depending on farmer accessibility. Given that respondents are smallholder farmers potentially affected by government programs, particular care will be taken to ensure confidentiality, anonymity, and non-attribution of responses to individual farmers or locations. Participation will be voluntary, and all respondents will be issued with informed consent forms detailing the purpose of the study, confidentiality assurances, and the right to withdraw at any stage.</w:t>
      </w:r>
    </w:p>
    <w:p w14:paraId="457CB39A">
      <w:pPr>
        <w:pStyle w:val="43"/>
        <w:rPr>
          <w:color w:val="000000" w:themeColor="text1"/>
          <w14:textFill>
            <w14:solidFill>
              <w14:schemeClr w14:val="tx1"/>
            </w14:solidFill>
          </w14:textFill>
        </w:rPr>
      </w:pPr>
    </w:p>
    <w:p w14:paraId="5C02FC47">
      <w:pPr>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To enhance response accuracy, enumerators will be instructed in local dialects where necessary and briefed to avoid introducing bias. Data will be entered and cleaned using Microsoft Excel and exported to SPSS for analysis.</w:t>
      </w:r>
    </w:p>
    <w:p w14:paraId="799507C1">
      <w:pPr>
        <w:pStyle w:val="43"/>
        <w:spacing w:line="360" w:lineRule="auto"/>
        <w:rPr>
          <w:color w:val="000000" w:themeColor="text1"/>
          <w14:textFill>
            <w14:solidFill>
              <w14:schemeClr w14:val="tx1"/>
            </w14:solidFill>
          </w14:textFill>
        </w:rPr>
      </w:pPr>
    </w:p>
    <w:p w14:paraId="655780C1">
      <w:pPr>
        <w:pStyle w:val="3"/>
      </w:pPr>
      <w:bookmarkStart w:id="68" w:name="_Toc203756711"/>
      <w:bookmarkStart w:id="69" w:name="_Toc225962317"/>
      <w:bookmarkStart w:id="70" w:name="_Toc219364739"/>
      <w:r>
        <w:t>3.6 Data Analysis Methods</w:t>
      </w:r>
      <w:bookmarkEnd w:id="68"/>
      <w:bookmarkEnd w:id="69"/>
      <w:bookmarkEnd w:id="70"/>
    </w:p>
    <w:p w14:paraId="68F35FE0">
      <w:pPr>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Data collected will be analyzed using descriptive and inferential statistics with the aid of SPSS (Version 26). Descriptive statistics such as means, standard deviations, frequencies, and percentages will summarize demographic data and general patterns of uptake.</w:t>
      </w:r>
    </w:p>
    <w:p w14:paraId="31AB8AEE">
      <w:pPr>
        <w:pStyle w:val="43"/>
      </w:pPr>
    </w:p>
    <w:p w14:paraId="57B2BB9F">
      <w:pPr>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To test the research hypotheses and evaluate relationships between variables, multiple regression analysis will be conducted. The dependent variable smallholder farmers’ uptake of fertilizers will be regressed against the independent variables: pricing reforms, distribution model changes, and revised targeting criteria.</w:t>
      </w:r>
    </w:p>
    <w:p w14:paraId="7ED49F85">
      <w:pPr>
        <w:pStyle w:val="43"/>
        <w:rPr>
          <w:color w:val="000000" w:themeColor="text1"/>
          <w14:textFill>
            <w14:solidFill>
              <w14:schemeClr w14:val="tx1"/>
            </w14:solidFill>
          </w14:textFill>
        </w:rPr>
      </w:pPr>
    </w:p>
    <w:p w14:paraId="3DF8AC93">
      <w:pPr>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The general model will take the form:</w:t>
      </w:r>
    </w:p>
    <w:p w14:paraId="0801559A">
      <w:pPr>
        <w:rPr>
          <w:rFonts w:cs="Times New Roman"/>
          <w:color w:val="000000" w:themeColor="text1"/>
          <w:szCs w:val="24"/>
          <w14:textFill>
            <w14:solidFill>
              <w14:schemeClr w14:val="tx1"/>
            </w14:solidFill>
          </w14:textFill>
        </w:rPr>
      </w:pPr>
      <w:r>
        <w:rPr>
          <w:rFonts w:cs="Times New Roman"/>
          <w:color w:val="000000" w:themeColor="text1"/>
          <w:szCs w:val="24"/>
          <w:lang w:val="en-GB"/>
          <w14:textFill>
            <w14:solidFill>
              <w14:schemeClr w14:val="tx1"/>
            </w14:solidFill>
          </w14:textFill>
        </w:rPr>
        <w:t>Y = β</w:t>
      </w:r>
      <w:r>
        <w:rPr>
          <w:rFonts w:cs="Times New Roman"/>
          <w:color w:val="000000" w:themeColor="text1"/>
          <w:szCs w:val="24"/>
          <w:vertAlign w:val="subscript"/>
          <w:lang w:val="en-GB"/>
          <w14:textFill>
            <w14:solidFill>
              <w14:schemeClr w14:val="tx1"/>
            </w14:solidFill>
          </w14:textFill>
        </w:rPr>
        <w:t>0</w:t>
      </w:r>
      <w:r>
        <w:rPr>
          <w:rFonts w:cs="Times New Roman"/>
          <w:color w:val="000000" w:themeColor="text1"/>
          <w:szCs w:val="24"/>
          <w:lang w:val="en-GB"/>
          <w14:textFill>
            <w14:solidFill>
              <w14:schemeClr w14:val="tx1"/>
            </w14:solidFill>
          </w14:textFill>
        </w:rPr>
        <w:t xml:space="preserve"> + β</w:t>
      </w:r>
      <w:r>
        <w:rPr>
          <w:rFonts w:cs="Times New Roman"/>
          <w:color w:val="000000" w:themeColor="text1"/>
          <w:szCs w:val="24"/>
          <w:vertAlign w:val="subscript"/>
          <w:lang w:val="en-GB"/>
          <w14:textFill>
            <w14:solidFill>
              <w14:schemeClr w14:val="tx1"/>
            </w14:solidFill>
          </w14:textFill>
        </w:rPr>
        <w:t>1</w:t>
      </w:r>
      <w:r>
        <w:rPr>
          <w:rFonts w:cs="Times New Roman"/>
          <w:color w:val="000000" w:themeColor="text1"/>
          <w:szCs w:val="24"/>
          <w:lang w:val="en-GB"/>
          <w14:textFill>
            <w14:solidFill>
              <w14:schemeClr w14:val="tx1"/>
            </w14:solidFill>
          </w14:textFill>
        </w:rPr>
        <w:t>X</w:t>
      </w:r>
      <w:r>
        <w:rPr>
          <w:rFonts w:cs="Times New Roman"/>
          <w:color w:val="000000" w:themeColor="text1"/>
          <w:szCs w:val="24"/>
          <w:vertAlign w:val="subscript"/>
          <w:lang w:val="en-GB"/>
          <w14:textFill>
            <w14:solidFill>
              <w14:schemeClr w14:val="tx1"/>
            </w14:solidFill>
          </w14:textFill>
        </w:rPr>
        <w:t>1</w:t>
      </w:r>
      <w:r>
        <w:rPr>
          <w:rFonts w:cs="Times New Roman"/>
          <w:color w:val="000000" w:themeColor="text1"/>
          <w:szCs w:val="24"/>
          <w:lang w:val="en-GB"/>
          <w14:textFill>
            <w14:solidFill>
              <w14:schemeClr w14:val="tx1"/>
            </w14:solidFill>
          </w14:textFill>
        </w:rPr>
        <w:t xml:space="preserve"> + β</w:t>
      </w:r>
      <w:r>
        <w:rPr>
          <w:rFonts w:cs="Times New Roman"/>
          <w:color w:val="000000" w:themeColor="text1"/>
          <w:szCs w:val="24"/>
          <w:vertAlign w:val="subscript"/>
          <w:lang w:val="en-GB"/>
          <w14:textFill>
            <w14:solidFill>
              <w14:schemeClr w14:val="tx1"/>
            </w14:solidFill>
          </w14:textFill>
        </w:rPr>
        <w:t>2</w:t>
      </w:r>
      <w:r>
        <w:rPr>
          <w:rFonts w:cs="Times New Roman"/>
          <w:color w:val="000000" w:themeColor="text1"/>
          <w:szCs w:val="24"/>
          <w:lang w:val="en-GB"/>
          <w14:textFill>
            <w14:solidFill>
              <w14:schemeClr w14:val="tx1"/>
            </w14:solidFill>
          </w14:textFill>
        </w:rPr>
        <w:t>X</w:t>
      </w:r>
      <w:r>
        <w:rPr>
          <w:rFonts w:cs="Times New Roman"/>
          <w:color w:val="000000" w:themeColor="text1"/>
          <w:szCs w:val="24"/>
          <w:vertAlign w:val="subscript"/>
          <w:lang w:val="en-GB"/>
          <w14:textFill>
            <w14:solidFill>
              <w14:schemeClr w14:val="tx1"/>
            </w14:solidFill>
          </w14:textFill>
        </w:rPr>
        <w:t>2</w:t>
      </w:r>
      <w:r>
        <w:rPr>
          <w:rFonts w:cs="Times New Roman"/>
          <w:color w:val="000000" w:themeColor="text1"/>
          <w:szCs w:val="24"/>
          <w:lang w:val="en-GB"/>
          <w14:textFill>
            <w14:solidFill>
              <w14:schemeClr w14:val="tx1"/>
            </w14:solidFill>
          </w14:textFill>
        </w:rPr>
        <w:t xml:space="preserve"> + β</w:t>
      </w:r>
      <w:r>
        <w:rPr>
          <w:rFonts w:cs="Times New Roman"/>
          <w:color w:val="000000" w:themeColor="text1"/>
          <w:szCs w:val="24"/>
          <w:vertAlign w:val="subscript"/>
          <w:lang w:val="en-GB"/>
          <w14:textFill>
            <w14:solidFill>
              <w14:schemeClr w14:val="tx1"/>
            </w14:solidFill>
          </w14:textFill>
        </w:rPr>
        <w:t>3</w:t>
      </w:r>
      <w:r>
        <w:rPr>
          <w:rFonts w:cs="Times New Roman"/>
          <w:color w:val="000000" w:themeColor="text1"/>
          <w:szCs w:val="24"/>
          <w:lang w:val="en-GB"/>
          <w14:textFill>
            <w14:solidFill>
              <w14:schemeClr w14:val="tx1"/>
            </w14:solidFill>
          </w14:textFill>
        </w:rPr>
        <w:t>X</w:t>
      </w:r>
      <w:r>
        <w:rPr>
          <w:rFonts w:cs="Times New Roman"/>
          <w:color w:val="000000" w:themeColor="text1"/>
          <w:szCs w:val="24"/>
          <w:vertAlign w:val="subscript"/>
          <w:lang w:val="en-GB"/>
          <w14:textFill>
            <w14:solidFill>
              <w14:schemeClr w14:val="tx1"/>
            </w14:solidFill>
          </w14:textFill>
        </w:rPr>
        <w:t>3</w:t>
      </w:r>
      <w:r>
        <w:rPr>
          <w:rFonts w:cs="Times New Roman"/>
          <w:color w:val="000000" w:themeColor="text1"/>
          <w:szCs w:val="24"/>
          <w:lang w:val="en-GB"/>
          <w14:textFill>
            <w14:solidFill>
              <w14:schemeClr w14:val="tx1"/>
            </w14:solidFill>
          </w14:textFill>
        </w:rPr>
        <w:t xml:space="preserve"> + β</w:t>
      </w:r>
      <w:r>
        <w:rPr>
          <w:rFonts w:cs="Times New Roman"/>
          <w:color w:val="000000" w:themeColor="text1"/>
          <w:szCs w:val="24"/>
          <w:vertAlign w:val="subscript"/>
          <w:lang w:val="en-GB"/>
          <w14:textFill>
            <w14:solidFill>
              <w14:schemeClr w14:val="tx1"/>
            </w14:solidFill>
          </w14:textFill>
        </w:rPr>
        <w:t>4</w:t>
      </w:r>
      <w:r>
        <w:rPr>
          <w:rFonts w:cs="Times New Roman"/>
          <w:color w:val="000000" w:themeColor="text1"/>
          <w:szCs w:val="24"/>
          <w:lang w:val="en-GB"/>
          <w14:textFill>
            <w14:solidFill>
              <w14:schemeClr w14:val="tx1"/>
            </w14:solidFill>
          </w14:textFill>
        </w:rPr>
        <w:t>X</w:t>
      </w:r>
      <w:r>
        <w:rPr>
          <w:rFonts w:cs="Times New Roman"/>
          <w:color w:val="000000" w:themeColor="text1"/>
          <w:szCs w:val="24"/>
          <w:vertAlign w:val="subscript"/>
          <w:lang w:val="en-GB"/>
          <w14:textFill>
            <w14:solidFill>
              <w14:schemeClr w14:val="tx1"/>
            </w14:solidFill>
          </w14:textFill>
        </w:rPr>
        <w:t>4</w:t>
      </w:r>
      <w:r>
        <w:rPr>
          <w:rFonts w:cs="Times New Roman"/>
          <w:color w:val="000000" w:themeColor="text1"/>
          <w:szCs w:val="24"/>
          <w:lang w:val="en-GB"/>
          <w14:textFill>
            <w14:solidFill>
              <w14:schemeClr w14:val="tx1"/>
            </w14:solidFill>
          </w14:textFill>
        </w:rPr>
        <w:t xml:space="preserve"> + ε</w:t>
      </w:r>
    </w:p>
    <w:p w14:paraId="363DB263">
      <w:pPr>
        <w:pStyle w:val="43"/>
      </w:pPr>
    </w:p>
    <w:p w14:paraId="77F157B4">
      <w:pPr>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Where:</w:t>
      </w:r>
    </w:p>
    <w:p w14:paraId="00BE8922">
      <w:pPr>
        <w:rPr>
          <w:rFonts w:cs="Times New Roman"/>
          <w:color w:val="000000" w:themeColor="text1"/>
          <w:szCs w:val="24"/>
          <w14:textFill>
            <w14:solidFill>
              <w14:schemeClr w14:val="tx1"/>
            </w14:solidFill>
          </w14:textFill>
        </w:rPr>
      </w:pPr>
      <w:r>
        <w:rPr>
          <w:rFonts w:cs="Times New Roman"/>
          <w:i/>
          <w:iCs/>
          <w:color w:val="000000" w:themeColor="text1"/>
          <w:szCs w:val="24"/>
          <w14:textFill>
            <w14:solidFill>
              <w14:schemeClr w14:val="tx1"/>
            </w14:solidFill>
          </w14:textFill>
        </w:rPr>
        <w:t>Y</w:t>
      </w:r>
      <w:r>
        <w:rPr>
          <w:rFonts w:cs="Times New Roman"/>
          <w:color w:val="000000" w:themeColor="text1"/>
          <w:szCs w:val="24"/>
          <w14:textFill>
            <w14:solidFill>
              <w14:schemeClr w14:val="tx1"/>
            </w14:solidFill>
          </w14:textFill>
        </w:rPr>
        <w:t xml:space="preserve"> = Fertilizer uptake</w:t>
      </w:r>
    </w:p>
    <w:p w14:paraId="289F90D4">
      <w:pPr>
        <w:rPr>
          <w:rFonts w:cs="Times New Roman"/>
          <w:color w:val="000000" w:themeColor="text1"/>
          <w:szCs w:val="24"/>
          <w14:textFill>
            <w14:solidFill>
              <w14:schemeClr w14:val="tx1"/>
            </w14:solidFill>
          </w14:textFill>
        </w:rPr>
      </w:pPr>
      <w:r>
        <w:rPr>
          <w:rFonts w:cs="Times New Roman"/>
          <w:i/>
          <w:iCs/>
          <w:color w:val="000000" w:themeColor="text1"/>
          <w:szCs w:val="24"/>
          <w14:textFill>
            <w14:solidFill>
              <w14:schemeClr w14:val="tx1"/>
            </w14:solidFill>
          </w14:textFill>
        </w:rPr>
        <w:t>X</w:t>
      </w:r>
      <w:r>
        <w:rPr>
          <w:rFonts w:cs="Times New Roman"/>
          <w:i/>
          <w:iCs/>
          <w:color w:val="000000" w:themeColor="text1"/>
          <w:szCs w:val="24"/>
          <w:vertAlign w:val="subscript"/>
          <w14:textFill>
            <w14:solidFill>
              <w14:schemeClr w14:val="tx1"/>
            </w14:solidFill>
          </w14:textFill>
        </w:rPr>
        <w:t>1</w:t>
      </w:r>
      <w:r>
        <w:rPr>
          <w:rFonts w:cs="Times New Roman"/>
          <w:color w:val="000000" w:themeColor="text1"/>
          <w:szCs w:val="24"/>
          <w:vertAlign w:val="subscript"/>
          <w14:textFill>
            <w14:solidFill>
              <w14:schemeClr w14:val="tx1"/>
            </w14:solidFill>
          </w14:textFill>
        </w:rPr>
        <w:t xml:space="preserve"> </w:t>
      </w:r>
      <w:r>
        <w:rPr>
          <w:rFonts w:cs="Times New Roman"/>
          <w:color w:val="000000" w:themeColor="text1"/>
          <w:szCs w:val="24"/>
          <w14:textFill>
            <w14:solidFill>
              <w14:schemeClr w14:val="tx1"/>
            </w14:solidFill>
          </w14:textFill>
        </w:rPr>
        <w:t>= Pricing reforms</w:t>
      </w:r>
    </w:p>
    <w:p w14:paraId="0C83E6B1">
      <w:pPr>
        <w:rPr>
          <w:rFonts w:cs="Times New Roman"/>
          <w:color w:val="000000" w:themeColor="text1"/>
          <w:szCs w:val="24"/>
          <w14:textFill>
            <w14:solidFill>
              <w14:schemeClr w14:val="tx1"/>
            </w14:solidFill>
          </w14:textFill>
        </w:rPr>
      </w:pPr>
      <w:r>
        <w:rPr>
          <w:rFonts w:cs="Times New Roman"/>
          <w:i/>
          <w:iCs/>
          <w:color w:val="000000" w:themeColor="text1"/>
          <w:szCs w:val="24"/>
          <w14:textFill>
            <w14:solidFill>
              <w14:schemeClr w14:val="tx1"/>
            </w14:solidFill>
          </w14:textFill>
        </w:rPr>
        <w:t>X</w:t>
      </w:r>
      <w:r>
        <w:rPr>
          <w:rFonts w:cs="Times New Roman"/>
          <w:i/>
          <w:iCs/>
          <w:color w:val="000000" w:themeColor="text1"/>
          <w:szCs w:val="24"/>
          <w:vertAlign w:val="subscript"/>
          <w14:textFill>
            <w14:solidFill>
              <w14:schemeClr w14:val="tx1"/>
            </w14:solidFill>
          </w14:textFill>
        </w:rPr>
        <w:t>2</w:t>
      </w:r>
      <w:r>
        <w:rPr>
          <w:rFonts w:cs="Times New Roman"/>
          <w:color w:val="000000" w:themeColor="text1"/>
          <w:szCs w:val="24"/>
          <w:vertAlign w:val="subscript"/>
          <w14:textFill>
            <w14:solidFill>
              <w14:schemeClr w14:val="tx1"/>
            </w14:solidFill>
          </w14:textFill>
        </w:rPr>
        <w:t xml:space="preserve"> </w:t>
      </w:r>
      <w:r>
        <w:rPr>
          <w:rFonts w:cs="Times New Roman"/>
          <w:color w:val="000000" w:themeColor="text1"/>
          <w:szCs w:val="24"/>
          <w14:textFill>
            <w14:solidFill>
              <w14:schemeClr w14:val="tx1"/>
            </w14:solidFill>
          </w14:textFill>
        </w:rPr>
        <w:t>= Distribution model changes</w:t>
      </w:r>
    </w:p>
    <w:p w14:paraId="3B35D2D4">
      <w:pPr>
        <w:rPr>
          <w:rFonts w:cs="Times New Roman"/>
          <w:color w:val="000000" w:themeColor="text1"/>
          <w:szCs w:val="24"/>
          <w14:textFill>
            <w14:solidFill>
              <w14:schemeClr w14:val="tx1"/>
            </w14:solidFill>
          </w14:textFill>
        </w:rPr>
      </w:pPr>
      <w:r>
        <w:rPr>
          <w:rFonts w:cs="Times New Roman"/>
          <w:i/>
          <w:iCs/>
          <w:color w:val="000000" w:themeColor="text1"/>
          <w:szCs w:val="24"/>
          <w14:textFill>
            <w14:solidFill>
              <w14:schemeClr w14:val="tx1"/>
            </w14:solidFill>
          </w14:textFill>
        </w:rPr>
        <w:t>X</w:t>
      </w:r>
      <w:r>
        <w:rPr>
          <w:rFonts w:cs="Times New Roman"/>
          <w:i/>
          <w:iCs/>
          <w:color w:val="000000" w:themeColor="text1"/>
          <w:szCs w:val="24"/>
          <w:vertAlign w:val="subscript"/>
          <w14:textFill>
            <w14:solidFill>
              <w14:schemeClr w14:val="tx1"/>
            </w14:solidFill>
          </w14:textFill>
        </w:rPr>
        <w:t>3</w:t>
      </w:r>
      <w:r>
        <w:rPr>
          <w:rFonts w:cs="Times New Roman"/>
          <w:color w:val="000000" w:themeColor="text1"/>
          <w:szCs w:val="24"/>
          <w14:textFill>
            <w14:solidFill>
              <w14:schemeClr w14:val="tx1"/>
            </w14:solidFill>
          </w14:textFill>
        </w:rPr>
        <w:t xml:space="preserve"> = Targeting criteria</w:t>
      </w:r>
    </w:p>
    <w:p w14:paraId="1AE5EBE4">
      <w:pPr>
        <w:rPr>
          <w:rFonts w:cs="Times New Roman"/>
          <w:color w:val="000000" w:themeColor="text1"/>
          <w:szCs w:val="24"/>
          <w14:textFill>
            <w14:solidFill>
              <w14:schemeClr w14:val="tx1"/>
            </w14:solidFill>
          </w14:textFill>
        </w:rPr>
      </w:pPr>
      <w:r>
        <w:rPr>
          <w:rFonts w:cs="Times New Roman"/>
          <w:i/>
          <w:iCs/>
          <w:color w:val="000000" w:themeColor="text1"/>
          <w:szCs w:val="24"/>
          <w14:textFill>
            <w14:solidFill>
              <w14:schemeClr w14:val="tx1"/>
            </w14:solidFill>
          </w14:textFill>
        </w:rPr>
        <w:t>ε</w:t>
      </w:r>
      <w:r>
        <w:rPr>
          <w:rFonts w:cs="Times New Roman"/>
          <w:color w:val="000000" w:themeColor="text1"/>
          <w:szCs w:val="24"/>
          <w14:textFill>
            <w14:solidFill>
              <w14:schemeClr w14:val="tx1"/>
            </w14:solidFill>
          </w14:textFill>
        </w:rPr>
        <w:t xml:space="preserve"> = Error term</w:t>
      </w:r>
    </w:p>
    <w:p w14:paraId="54F85836">
      <w:pPr>
        <w:pStyle w:val="43"/>
      </w:pPr>
    </w:p>
    <w:p w14:paraId="019755F6">
      <w:pPr>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Significance will be tested at the 95% confidence level (p &lt; 0.05). Assumptions of normality, multicollinearity, and homoscedasticity will be tested prior to regression to ensure model validity (Yin, 2018).</w:t>
      </w:r>
    </w:p>
    <w:p w14:paraId="25C96076">
      <w:pPr>
        <w:pStyle w:val="43"/>
        <w:spacing w:line="360" w:lineRule="auto"/>
        <w:rPr>
          <w:color w:val="000000" w:themeColor="text1"/>
          <w14:textFill>
            <w14:solidFill>
              <w14:schemeClr w14:val="tx1"/>
            </w14:solidFill>
          </w14:textFill>
        </w:rPr>
      </w:pPr>
    </w:p>
    <w:p w14:paraId="39865B25">
      <w:pPr>
        <w:pStyle w:val="3"/>
      </w:pPr>
      <w:bookmarkStart w:id="71" w:name="_Toc203756712"/>
      <w:bookmarkStart w:id="72" w:name="_Toc219364740"/>
      <w:bookmarkStart w:id="73" w:name="_Toc225962318"/>
      <w:r>
        <w:t>3.7 Chapter Summary</w:t>
      </w:r>
      <w:bookmarkEnd w:id="71"/>
      <w:bookmarkEnd w:id="72"/>
      <w:bookmarkEnd w:id="73"/>
    </w:p>
    <w:p w14:paraId="72637C55">
      <w:pPr>
        <w:rPr>
          <w:color w:val="000000" w:themeColor="text1"/>
          <w14:textFill>
            <w14:solidFill>
              <w14:schemeClr w14:val="tx1"/>
            </w14:solidFill>
          </w14:textFill>
        </w:rPr>
      </w:pPr>
      <w:r>
        <w:rPr>
          <w:rFonts w:cs="Times New Roman"/>
          <w:color w:val="000000" w:themeColor="text1"/>
          <w:szCs w:val="24"/>
          <w14:textFill>
            <w14:solidFill>
              <w14:schemeClr w14:val="tx1"/>
            </w14:solidFill>
          </w14:textFill>
        </w:rPr>
        <w:t xml:space="preserve">This chapter has outlined the research methodology designed to guide the empirical investigation of fertilizer subsidy reform strategies in Kenya. A descriptive survey design will be employed, with a stratified random sample of 282 smallholder farmers drawn from a population of 960 registered under the e-voucher program. Data will be collected through structured questionnaires and analyzed using descriptive and inferential statistics to test the hypotheses related to pricing, distribution, and targeting reforms. The methodology aligns with the study objectives and is grounded in established research protocols and ethical standards. The next chapter will present the findings derived from this methodological framework through empirical data collection and analysis. </w:t>
      </w:r>
    </w:p>
    <w:p w14:paraId="4A092429">
      <w:pPr>
        <w:spacing w:after="160" w:line="259" w:lineRule="auto"/>
        <w:jc w:val="left"/>
        <w:rPr>
          <w:rFonts w:eastAsiaTheme="majorEastAsia" w:cstheme="majorBidi"/>
          <w:b/>
          <w:color w:val="000000" w:themeColor="text1"/>
          <w:szCs w:val="32"/>
          <w14:textFill>
            <w14:solidFill>
              <w14:schemeClr w14:val="tx1"/>
            </w14:solidFill>
          </w14:textFill>
        </w:rPr>
      </w:pPr>
    </w:p>
    <w:p w14:paraId="2E7F0003">
      <w:pPr>
        <w:spacing w:after="160" w:line="259" w:lineRule="auto"/>
        <w:jc w:val="left"/>
        <w:rPr>
          <w:rFonts w:eastAsiaTheme="majorEastAsia" w:cstheme="majorBidi"/>
          <w:b/>
          <w:color w:val="000000" w:themeColor="text1"/>
          <w:szCs w:val="32"/>
          <w14:textFill>
            <w14:solidFill>
              <w14:schemeClr w14:val="tx1"/>
            </w14:solidFill>
          </w14:textFill>
        </w:rPr>
      </w:pPr>
      <w:r>
        <w:rPr>
          <w:color w:val="000000" w:themeColor="text1"/>
          <w14:textFill>
            <w14:solidFill>
              <w14:schemeClr w14:val="tx1"/>
            </w14:solidFill>
          </w14:textFill>
        </w:rPr>
        <w:br w:type="page"/>
      </w:r>
    </w:p>
    <w:p w14:paraId="1169A172">
      <w:pPr>
        <w:pStyle w:val="2"/>
      </w:pPr>
      <w:bookmarkStart w:id="74" w:name="_Toc225962319"/>
      <w:r>
        <w:t>REFERENCES</w:t>
      </w:r>
      <w:bookmarkEnd w:id="74"/>
    </w:p>
    <w:p w14:paraId="58C1F18B">
      <w:pPr>
        <w:ind w:left="720" w:hanging="720"/>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Abate, G., Bernard, T., &amp; Brauw, A. (2021). Agricultural input subsidies and fertilizer use in Ethiopia. </w:t>
      </w:r>
      <w:r>
        <w:rPr>
          <w:rFonts w:cs="Times New Roman"/>
          <w:i/>
          <w:iCs/>
          <w:color w:val="000000" w:themeColor="text1"/>
          <w:szCs w:val="24"/>
          <w14:textFill>
            <w14:solidFill>
              <w14:schemeClr w14:val="tx1"/>
            </w14:solidFill>
          </w14:textFill>
        </w:rPr>
        <w:t>Food Policy</w:t>
      </w:r>
      <w:r>
        <w:rPr>
          <w:rFonts w:cs="Times New Roman"/>
          <w:color w:val="000000" w:themeColor="text1"/>
          <w:szCs w:val="24"/>
          <w14:textFill>
            <w14:solidFill>
              <w14:schemeClr w14:val="tx1"/>
            </w14:solidFill>
          </w14:textFill>
        </w:rPr>
        <w:t>, 103, 102148.</w:t>
      </w:r>
    </w:p>
    <w:p w14:paraId="235C37E4">
      <w:pPr>
        <w:ind w:left="720" w:hanging="720"/>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Abate, G., Bernard, T., &amp; Brauw, A. (2022). Agricultural input subsidies and fertilizer use in Ethiopia. </w:t>
      </w:r>
      <w:r>
        <w:rPr>
          <w:rFonts w:cs="Times New Roman"/>
          <w:i/>
          <w:iCs/>
          <w:color w:val="000000" w:themeColor="text1"/>
          <w:szCs w:val="24"/>
          <w14:textFill>
            <w14:solidFill>
              <w14:schemeClr w14:val="tx1"/>
            </w14:solidFill>
          </w14:textFill>
        </w:rPr>
        <w:t>Food Policy</w:t>
      </w:r>
      <w:r>
        <w:rPr>
          <w:rFonts w:cs="Times New Roman"/>
          <w:color w:val="000000" w:themeColor="text1"/>
          <w:szCs w:val="24"/>
          <w14:textFill>
            <w14:solidFill>
              <w14:schemeClr w14:val="tx1"/>
            </w14:solidFill>
          </w14:textFill>
        </w:rPr>
        <w:t>, 107, 102195.</w:t>
      </w:r>
    </w:p>
    <w:p w14:paraId="23D8E9DD">
      <w:pPr>
        <w:ind w:left="720" w:hanging="720"/>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AfricaFertilizer.org. (2023). </w:t>
      </w:r>
      <w:r>
        <w:rPr>
          <w:rFonts w:cs="Times New Roman"/>
          <w:i/>
          <w:iCs/>
          <w:color w:val="000000" w:themeColor="text1"/>
          <w:szCs w:val="24"/>
          <w14:textFill>
            <w14:solidFill>
              <w14:schemeClr w14:val="tx1"/>
            </w14:solidFill>
          </w14:textFill>
        </w:rPr>
        <w:t>Africa fertilizer trends and statistics report 2023</w:t>
      </w:r>
      <w:r>
        <w:rPr>
          <w:rFonts w:cs="Times New Roman"/>
          <w:color w:val="000000" w:themeColor="text1"/>
          <w:szCs w:val="24"/>
          <w14:textFill>
            <w14:solidFill>
              <w14:schemeClr w14:val="tx1"/>
            </w14:solidFill>
          </w14:textFill>
        </w:rPr>
        <w:t>. AfricaFertilizer.org.</w:t>
      </w:r>
    </w:p>
    <w:p w14:paraId="53909A6D">
      <w:pPr>
        <w:ind w:left="720" w:hanging="720"/>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Banful, A. B. (2020). The political economy of fertilizer subsidy programs in Africa. </w:t>
      </w:r>
      <w:r>
        <w:rPr>
          <w:rFonts w:cs="Times New Roman"/>
          <w:i/>
          <w:iCs/>
          <w:color w:val="000000" w:themeColor="text1"/>
          <w:szCs w:val="24"/>
          <w14:textFill>
            <w14:solidFill>
              <w14:schemeClr w14:val="tx1"/>
            </w14:solidFill>
          </w14:textFill>
        </w:rPr>
        <w:t>Agricultural Economics, 51</w:t>
      </w:r>
      <w:r>
        <w:rPr>
          <w:rFonts w:cs="Times New Roman"/>
          <w:color w:val="000000" w:themeColor="text1"/>
          <w:szCs w:val="24"/>
          <w14:textFill>
            <w14:solidFill>
              <w14:schemeClr w14:val="tx1"/>
            </w14:solidFill>
          </w14:textFill>
        </w:rPr>
        <w:t>(2), 193–204.</w:t>
      </w:r>
    </w:p>
    <w:p w14:paraId="6D812AF3">
      <w:pPr>
        <w:ind w:left="720" w:hanging="720"/>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Barrett, C., Carter, M., &amp; Timmer, C. (2022). Agricultural input supply chains and food security in Africa. </w:t>
      </w:r>
      <w:r>
        <w:rPr>
          <w:rFonts w:cs="Times New Roman"/>
          <w:i/>
          <w:iCs/>
          <w:color w:val="000000" w:themeColor="text1"/>
          <w:szCs w:val="24"/>
          <w14:textFill>
            <w14:solidFill>
              <w14:schemeClr w14:val="tx1"/>
            </w14:solidFill>
          </w14:textFill>
        </w:rPr>
        <w:t>World Development</w:t>
      </w:r>
      <w:r>
        <w:rPr>
          <w:rFonts w:cs="Times New Roman"/>
          <w:color w:val="000000" w:themeColor="text1"/>
          <w:szCs w:val="24"/>
          <w14:textFill>
            <w14:solidFill>
              <w14:schemeClr w14:val="tx1"/>
            </w14:solidFill>
          </w14:textFill>
        </w:rPr>
        <w:t>, 151, 105743.</w:t>
      </w:r>
    </w:p>
    <w:p w14:paraId="0F59A6F0">
      <w:pPr>
        <w:ind w:left="720" w:hanging="720"/>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Barrett, C., Christiaensen, L., Sheahan, M., &amp; Shimeles, A. (2020). On the structural transformation of rural Africa. </w:t>
      </w:r>
      <w:r>
        <w:rPr>
          <w:rFonts w:cs="Times New Roman"/>
          <w:i/>
          <w:iCs/>
          <w:color w:val="000000" w:themeColor="text1"/>
          <w:szCs w:val="24"/>
          <w14:textFill>
            <w14:solidFill>
              <w14:schemeClr w14:val="tx1"/>
            </w14:solidFill>
          </w14:textFill>
        </w:rPr>
        <w:t>Journal of African Economies</w:t>
      </w:r>
      <w:r>
        <w:rPr>
          <w:rFonts w:cs="Times New Roman"/>
          <w:color w:val="000000" w:themeColor="text1"/>
          <w:szCs w:val="24"/>
          <w14:textFill>
            <w14:solidFill>
              <w14:schemeClr w14:val="tx1"/>
            </w14:solidFill>
          </w14:textFill>
        </w:rPr>
        <w:t>, 29(1), 3-28.</w:t>
      </w:r>
    </w:p>
    <w:p w14:paraId="7D6605FF">
      <w:pPr>
        <w:ind w:left="720" w:hanging="720"/>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Burke, W., Jayne, T., &amp; Black, R. (2021). Factors influencing fertilizer adoption in Africa. </w:t>
      </w:r>
      <w:r>
        <w:rPr>
          <w:rFonts w:cs="Times New Roman"/>
          <w:i/>
          <w:iCs/>
          <w:color w:val="000000" w:themeColor="text1"/>
          <w:szCs w:val="24"/>
          <w14:textFill>
            <w14:solidFill>
              <w14:schemeClr w14:val="tx1"/>
            </w14:solidFill>
          </w14:textFill>
        </w:rPr>
        <w:t>Agricultural Economics</w:t>
      </w:r>
      <w:r>
        <w:rPr>
          <w:rFonts w:cs="Times New Roman"/>
          <w:color w:val="000000" w:themeColor="text1"/>
          <w:szCs w:val="24"/>
          <w14:textFill>
            <w14:solidFill>
              <w14:schemeClr w14:val="tx1"/>
            </w14:solidFill>
          </w14:textFill>
        </w:rPr>
        <w:t>, 52(3), 423-436.</w:t>
      </w:r>
    </w:p>
    <w:p w14:paraId="1945ECE4">
      <w:pPr>
        <w:ind w:left="720" w:hanging="720"/>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Central Bank of Kenya. (2023). </w:t>
      </w:r>
      <w:r>
        <w:rPr>
          <w:rFonts w:cs="Times New Roman"/>
          <w:i/>
          <w:iCs/>
          <w:color w:val="000000" w:themeColor="text1"/>
          <w:szCs w:val="24"/>
          <w14:textFill>
            <w14:solidFill>
              <w14:schemeClr w14:val="tx1"/>
            </w14:solidFill>
          </w14:textFill>
        </w:rPr>
        <w:t>Agriculture sector survey report</w:t>
      </w:r>
      <w:r>
        <w:rPr>
          <w:rFonts w:cs="Times New Roman"/>
          <w:color w:val="000000" w:themeColor="text1"/>
          <w:szCs w:val="24"/>
          <w14:textFill>
            <w14:solidFill>
              <w14:schemeClr w14:val="tx1"/>
            </w14:solidFill>
          </w14:textFill>
        </w:rPr>
        <w:t>. Nairobi: CBK.</w:t>
      </w:r>
    </w:p>
    <w:p w14:paraId="2A9DAB04">
      <w:pPr>
        <w:ind w:left="720" w:hanging="720"/>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Cooper, D. R., &amp; Schindler, P. S. (2020). </w:t>
      </w:r>
      <w:r>
        <w:rPr>
          <w:rFonts w:cs="Times New Roman"/>
          <w:i/>
          <w:iCs/>
          <w:color w:val="000000" w:themeColor="text1"/>
          <w:szCs w:val="24"/>
          <w14:textFill>
            <w14:solidFill>
              <w14:schemeClr w14:val="tx1"/>
            </w14:solidFill>
          </w14:textFill>
        </w:rPr>
        <w:t>Business research methods</w:t>
      </w:r>
      <w:r>
        <w:rPr>
          <w:rFonts w:cs="Times New Roman"/>
          <w:color w:val="000000" w:themeColor="text1"/>
          <w:szCs w:val="24"/>
          <w14:textFill>
            <w14:solidFill>
              <w14:schemeClr w14:val="tx1"/>
            </w14:solidFill>
          </w14:textFill>
        </w:rPr>
        <w:t xml:space="preserve"> (13th ed.). McGraw-Hill Education.</w:t>
      </w:r>
    </w:p>
    <w:p w14:paraId="7DB6772A">
      <w:pPr>
        <w:ind w:left="720" w:hanging="720"/>
        <w:rPr>
          <w:rFonts w:cs="Times New Roman"/>
          <w:color w:val="000000" w:themeColor="text1"/>
          <w:kern w:val="0"/>
          <w:szCs w:val="24"/>
          <w14:textFill>
            <w14:solidFill>
              <w14:schemeClr w14:val="tx1"/>
            </w14:solidFill>
          </w14:textFill>
        </w:rPr>
      </w:pPr>
      <w:r>
        <w:rPr>
          <w:rFonts w:cs="Times New Roman"/>
          <w:color w:val="000000" w:themeColor="text1"/>
          <w:kern w:val="0"/>
          <w:szCs w:val="24"/>
          <w14:textFill>
            <w14:solidFill>
              <w14:schemeClr w14:val="tx1"/>
            </w14:solidFill>
          </w14:textFill>
        </w:rPr>
        <w:t xml:space="preserve">Etikan, I., Musa, S., &amp; Alkassim, R. (2016). Comparison of convenience sampling and purposive sampling. </w:t>
      </w:r>
      <w:r>
        <w:rPr>
          <w:rFonts w:cs="Times New Roman"/>
          <w:i/>
          <w:iCs/>
          <w:color w:val="000000" w:themeColor="text1"/>
          <w:kern w:val="0"/>
          <w:szCs w:val="24"/>
          <w14:textFill>
            <w14:solidFill>
              <w14:schemeClr w14:val="tx1"/>
            </w14:solidFill>
          </w14:textFill>
        </w:rPr>
        <w:t>American Journal of Theoretical and Applied Statistics, 5</w:t>
      </w:r>
      <w:r>
        <w:rPr>
          <w:rFonts w:cs="Times New Roman"/>
          <w:color w:val="000000" w:themeColor="text1"/>
          <w:kern w:val="0"/>
          <w:szCs w:val="24"/>
          <w14:textFill>
            <w14:solidFill>
              <w14:schemeClr w14:val="tx1"/>
            </w14:solidFill>
          </w14:textFill>
        </w:rPr>
        <w:t>(1), 1–4.</w:t>
      </w:r>
    </w:p>
    <w:p w14:paraId="5C0687BC">
      <w:pPr>
        <w:ind w:left="720" w:hanging="720"/>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Fuglie, K., Gautam, M., &amp; Goyal, A. (2020). Agricultural productivity in Africa. </w:t>
      </w:r>
      <w:r>
        <w:rPr>
          <w:rFonts w:cs="Times New Roman"/>
          <w:i/>
          <w:iCs/>
          <w:color w:val="000000" w:themeColor="text1"/>
          <w:szCs w:val="24"/>
          <w14:textFill>
            <w14:solidFill>
              <w14:schemeClr w14:val="tx1"/>
            </w14:solidFill>
          </w14:textFill>
        </w:rPr>
        <w:t>World Bank Research Observer</w:t>
      </w:r>
      <w:r>
        <w:rPr>
          <w:rFonts w:cs="Times New Roman"/>
          <w:color w:val="000000" w:themeColor="text1"/>
          <w:szCs w:val="24"/>
          <w14:textFill>
            <w14:solidFill>
              <w14:schemeClr w14:val="tx1"/>
            </w14:solidFill>
          </w14:textFill>
        </w:rPr>
        <w:t>, 35(2), 215-243.</w:t>
      </w:r>
    </w:p>
    <w:p w14:paraId="01920C58">
      <w:pPr>
        <w:ind w:left="720" w:hanging="720"/>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Fuglie, K., Gautam, M., Goyal, A., &amp; Maloney, W. (2021). Harvesting prosperity: Technology and productivity growth in agriculture. </w:t>
      </w:r>
      <w:r>
        <w:rPr>
          <w:rFonts w:cs="Times New Roman"/>
          <w:i/>
          <w:iCs/>
          <w:color w:val="000000" w:themeColor="text1"/>
          <w:szCs w:val="24"/>
          <w14:textFill>
            <w14:solidFill>
              <w14:schemeClr w14:val="tx1"/>
            </w14:solidFill>
          </w14:textFill>
        </w:rPr>
        <w:t>World Bank Research Observer</w:t>
      </w:r>
      <w:r>
        <w:rPr>
          <w:rFonts w:cs="Times New Roman"/>
          <w:color w:val="000000" w:themeColor="text1"/>
          <w:szCs w:val="24"/>
          <w14:textFill>
            <w14:solidFill>
              <w14:schemeClr w14:val="tx1"/>
            </w14:solidFill>
          </w14:textFill>
        </w:rPr>
        <w:t>, 36(1), 1-25.</w:t>
      </w:r>
    </w:p>
    <w:p w14:paraId="5AF045AA">
      <w:pPr>
        <w:ind w:left="720" w:hanging="720"/>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Holden, S., &amp; Lunduka, R. (2020). Input subsidy programs and timing of fertilizer uptake among smallholder farmers in Malawi. </w:t>
      </w:r>
      <w:r>
        <w:rPr>
          <w:rFonts w:cs="Times New Roman"/>
          <w:i/>
          <w:iCs/>
          <w:color w:val="000000" w:themeColor="text1"/>
          <w:szCs w:val="24"/>
          <w14:textFill>
            <w14:solidFill>
              <w14:schemeClr w14:val="tx1"/>
            </w14:solidFill>
          </w14:textFill>
        </w:rPr>
        <w:t>Agricultural Economics</w:t>
      </w:r>
      <w:r>
        <w:rPr>
          <w:rFonts w:cs="Times New Roman"/>
          <w:color w:val="000000" w:themeColor="text1"/>
          <w:szCs w:val="24"/>
          <w14:textFill>
            <w14:solidFill>
              <w14:schemeClr w14:val="tx1"/>
            </w14:solidFill>
          </w14:textFill>
        </w:rPr>
        <w:t>, 51(6), 905–917.</w:t>
      </w:r>
    </w:p>
    <w:p w14:paraId="4EAD5F5A">
      <w:pPr>
        <w:ind w:left="720" w:hanging="720"/>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Holden, S., &amp; Lunduka, R. (2021). Input subsidies and smallholder fertilizer demand in Malawi. </w:t>
      </w:r>
      <w:r>
        <w:rPr>
          <w:rFonts w:cs="Times New Roman"/>
          <w:i/>
          <w:iCs/>
          <w:color w:val="000000" w:themeColor="text1"/>
          <w:szCs w:val="24"/>
          <w14:textFill>
            <w14:solidFill>
              <w14:schemeClr w14:val="tx1"/>
            </w14:solidFill>
          </w14:textFill>
        </w:rPr>
        <w:t>Agricultural Economics</w:t>
      </w:r>
      <w:r>
        <w:rPr>
          <w:rFonts w:cs="Times New Roman"/>
          <w:color w:val="000000" w:themeColor="text1"/>
          <w:szCs w:val="24"/>
          <w14:textFill>
            <w14:solidFill>
              <w14:schemeClr w14:val="tx1"/>
            </w14:solidFill>
          </w14:textFill>
        </w:rPr>
        <w:t>, 52(2), 245-258.</w:t>
      </w:r>
    </w:p>
    <w:p w14:paraId="6C2FE7C5">
      <w:pPr>
        <w:ind w:left="720" w:hanging="720"/>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International Fertilizer Development Center (IFDC). (2023). </w:t>
      </w:r>
      <w:r>
        <w:rPr>
          <w:rFonts w:cs="Times New Roman"/>
          <w:i/>
          <w:iCs/>
          <w:color w:val="000000" w:themeColor="text1"/>
          <w:szCs w:val="24"/>
          <w14:textFill>
            <w14:solidFill>
              <w14:schemeClr w14:val="tx1"/>
            </w14:solidFill>
          </w14:textFill>
        </w:rPr>
        <w:t>Global fertilizer subsidy reform and smart subsidy implementation report</w:t>
      </w:r>
      <w:r>
        <w:rPr>
          <w:rFonts w:cs="Times New Roman"/>
          <w:color w:val="000000" w:themeColor="text1"/>
          <w:szCs w:val="24"/>
          <w14:textFill>
            <w14:solidFill>
              <w14:schemeClr w14:val="tx1"/>
            </w14:solidFill>
          </w14:textFill>
        </w:rPr>
        <w:t>. IFDC.</w:t>
      </w:r>
    </w:p>
    <w:p w14:paraId="6CEADECD">
      <w:pPr>
        <w:ind w:left="720" w:hanging="720"/>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Jayne, T. S., Mason, N. M., Burke, W. J., &amp; Ariga, J. (2022). Taking stock of Africa’s second-generation agricultural input subsidy programs. </w:t>
      </w:r>
      <w:r>
        <w:rPr>
          <w:rStyle w:val="16"/>
          <w:rFonts w:cs="Times New Roman"/>
          <w:color w:val="000000" w:themeColor="text1"/>
          <w:szCs w:val="24"/>
          <w14:textFill>
            <w14:solidFill>
              <w14:schemeClr w14:val="tx1"/>
            </w14:solidFill>
          </w14:textFill>
        </w:rPr>
        <w:t>Food Policy</w:t>
      </w:r>
      <w:r>
        <w:rPr>
          <w:rFonts w:cs="Times New Roman"/>
          <w:color w:val="000000" w:themeColor="text1"/>
          <w:szCs w:val="24"/>
          <w14:textFill>
            <w14:solidFill>
              <w14:schemeClr w14:val="tx1"/>
            </w14:solidFill>
          </w14:textFill>
        </w:rPr>
        <w:t>, 110, 102264.</w:t>
      </w:r>
    </w:p>
    <w:p w14:paraId="09725CE1">
      <w:pPr>
        <w:ind w:left="720" w:hanging="720"/>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Jayne, T. S., Mason, N., Burke, W., &amp; Ariga, J. (2021). Agricultural input subsidy programs in Africa: Effectiveness and challenges. </w:t>
      </w:r>
      <w:r>
        <w:rPr>
          <w:rFonts w:cs="Times New Roman"/>
          <w:i/>
          <w:iCs/>
          <w:color w:val="000000" w:themeColor="text1"/>
          <w:szCs w:val="24"/>
          <w14:textFill>
            <w14:solidFill>
              <w14:schemeClr w14:val="tx1"/>
            </w14:solidFill>
          </w14:textFill>
        </w:rPr>
        <w:t>Food Policy</w:t>
      </w:r>
      <w:r>
        <w:rPr>
          <w:rFonts w:cs="Times New Roman"/>
          <w:color w:val="000000" w:themeColor="text1"/>
          <w:szCs w:val="24"/>
          <w14:textFill>
            <w14:solidFill>
              <w14:schemeClr w14:val="tx1"/>
            </w14:solidFill>
          </w14:textFill>
        </w:rPr>
        <w:t>, 102, 102077.</w:t>
      </w:r>
    </w:p>
    <w:p w14:paraId="0361E7B4">
      <w:pPr>
        <w:ind w:left="720" w:hanging="720"/>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Kamau, P., Wanjiku, J., &amp; Gichuki, C. (2025). Fertilizer adoption among Kenyan smallholder farmers. </w:t>
      </w:r>
      <w:r>
        <w:rPr>
          <w:rFonts w:cs="Times New Roman"/>
          <w:i/>
          <w:iCs/>
          <w:color w:val="000000" w:themeColor="text1"/>
          <w:szCs w:val="24"/>
          <w14:textFill>
            <w14:solidFill>
              <w14:schemeClr w14:val="tx1"/>
            </w14:solidFill>
          </w14:textFill>
        </w:rPr>
        <w:t>African Journal of Agricultural Economics</w:t>
      </w:r>
      <w:r>
        <w:rPr>
          <w:rFonts w:cs="Times New Roman"/>
          <w:color w:val="000000" w:themeColor="text1"/>
          <w:szCs w:val="24"/>
          <w14:textFill>
            <w14:solidFill>
              <w14:schemeClr w14:val="tx1"/>
            </w14:solidFill>
          </w14:textFill>
        </w:rPr>
        <w:t>, 12(1), 44-60.</w:t>
      </w:r>
    </w:p>
    <w:p w14:paraId="5E028E33">
      <w:pPr>
        <w:ind w:left="720" w:hanging="720"/>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Kelly, V., Adesina, A., &amp; Gordon, A. (2019). Expanding access to agricultural inputs through smart subsidy programs in Africa. </w:t>
      </w:r>
      <w:r>
        <w:rPr>
          <w:rFonts w:cs="Times New Roman"/>
          <w:i/>
          <w:iCs/>
          <w:color w:val="000000" w:themeColor="text1"/>
          <w:szCs w:val="24"/>
          <w14:textFill>
            <w14:solidFill>
              <w14:schemeClr w14:val="tx1"/>
            </w14:solidFill>
          </w14:textFill>
        </w:rPr>
        <w:t>Food Security, 11</w:t>
      </w:r>
      <w:r>
        <w:rPr>
          <w:rFonts w:cs="Times New Roman"/>
          <w:color w:val="000000" w:themeColor="text1"/>
          <w:szCs w:val="24"/>
          <w14:textFill>
            <w14:solidFill>
              <w14:schemeClr w14:val="tx1"/>
            </w14:solidFill>
          </w14:textFill>
        </w:rPr>
        <w:t>(6), 1335–1349.</w:t>
      </w:r>
    </w:p>
    <w:p w14:paraId="23162201">
      <w:pPr>
        <w:ind w:left="720" w:hanging="720"/>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Kenya National Bureau of Statistics (KNBS). (2024). </w:t>
      </w:r>
      <w:r>
        <w:rPr>
          <w:rFonts w:cs="Times New Roman"/>
          <w:i/>
          <w:iCs/>
          <w:color w:val="000000" w:themeColor="text1"/>
          <w:szCs w:val="24"/>
          <w14:textFill>
            <w14:solidFill>
              <w14:schemeClr w14:val="tx1"/>
            </w14:solidFill>
          </w14:textFill>
        </w:rPr>
        <w:t>Economic survey 2024</w:t>
      </w:r>
      <w:r>
        <w:rPr>
          <w:rFonts w:cs="Times New Roman"/>
          <w:color w:val="000000" w:themeColor="text1"/>
          <w:szCs w:val="24"/>
          <w14:textFill>
            <w14:solidFill>
              <w14:schemeClr w14:val="tx1"/>
            </w14:solidFill>
          </w14:textFill>
        </w:rPr>
        <w:t>. KNBS.</w:t>
      </w:r>
    </w:p>
    <w:p w14:paraId="23235449">
      <w:pPr>
        <w:ind w:left="720" w:hanging="720"/>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Kiptoo, D., &amp; Ochieng, F. (2024). Determinants of fertilizer adoption in Kenya. </w:t>
      </w:r>
      <w:r>
        <w:rPr>
          <w:rFonts w:cs="Times New Roman"/>
          <w:i/>
          <w:iCs/>
          <w:color w:val="000000" w:themeColor="text1"/>
          <w:szCs w:val="24"/>
          <w14:textFill>
            <w14:solidFill>
              <w14:schemeClr w14:val="tx1"/>
            </w14:solidFill>
          </w14:textFill>
        </w:rPr>
        <w:t>International Journal of Agricultural Policy</w:t>
      </w:r>
      <w:r>
        <w:rPr>
          <w:rFonts w:cs="Times New Roman"/>
          <w:color w:val="000000" w:themeColor="text1"/>
          <w:szCs w:val="24"/>
          <w14:textFill>
            <w14:solidFill>
              <w14:schemeClr w14:val="tx1"/>
            </w14:solidFill>
          </w14:textFill>
        </w:rPr>
        <w:t>, 11(3), 54-69.</w:t>
      </w:r>
    </w:p>
    <w:p w14:paraId="1D6538C8">
      <w:pPr>
        <w:ind w:left="720" w:hanging="720"/>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Kirui, O., &amp; Njiraini, G. (2023). Fertilizer markets and agricultural productivity in Kenya. </w:t>
      </w:r>
      <w:r>
        <w:rPr>
          <w:rFonts w:cs="Times New Roman"/>
          <w:i/>
          <w:iCs/>
          <w:color w:val="000000" w:themeColor="text1"/>
          <w:szCs w:val="24"/>
          <w14:textFill>
            <w14:solidFill>
              <w14:schemeClr w14:val="tx1"/>
            </w14:solidFill>
          </w14:textFill>
        </w:rPr>
        <w:t>Agricultural Development Review</w:t>
      </w:r>
      <w:r>
        <w:rPr>
          <w:rFonts w:cs="Times New Roman"/>
          <w:color w:val="000000" w:themeColor="text1"/>
          <w:szCs w:val="24"/>
          <w14:textFill>
            <w14:solidFill>
              <w14:schemeClr w14:val="tx1"/>
            </w14:solidFill>
          </w14:textFill>
        </w:rPr>
        <w:t>, 9(1), 65-80.</w:t>
      </w:r>
    </w:p>
    <w:p w14:paraId="4F401657">
      <w:pPr>
        <w:ind w:left="720" w:hanging="720"/>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Kirui, O., &amp; Njiraini, G. (2024). Agricultural subsidy reforms and productivity in Kenya. </w:t>
      </w:r>
      <w:r>
        <w:rPr>
          <w:rFonts w:cs="Times New Roman"/>
          <w:i/>
          <w:iCs/>
          <w:color w:val="000000" w:themeColor="text1"/>
          <w:szCs w:val="24"/>
          <w14:textFill>
            <w14:solidFill>
              <w14:schemeClr w14:val="tx1"/>
            </w14:solidFill>
          </w14:textFill>
        </w:rPr>
        <w:t>Journal of Agricultural Development</w:t>
      </w:r>
      <w:r>
        <w:rPr>
          <w:rFonts w:cs="Times New Roman"/>
          <w:color w:val="000000" w:themeColor="text1"/>
          <w:szCs w:val="24"/>
          <w14:textFill>
            <w14:solidFill>
              <w14:schemeClr w14:val="tx1"/>
            </w14:solidFill>
          </w14:textFill>
        </w:rPr>
        <w:t>, 9(2), 77-92.</w:t>
      </w:r>
    </w:p>
    <w:p w14:paraId="68A5DE98">
      <w:pPr>
        <w:ind w:left="720" w:hanging="720"/>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Liverpool-Tasie, L., Omonona, B., &amp; Sanou, A. (2021). Fertilizer adoption among maize farmers in Nigeria. </w:t>
      </w:r>
      <w:r>
        <w:rPr>
          <w:rFonts w:cs="Times New Roman"/>
          <w:i/>
          <w:iCs/>
          <w:color w:val="000000" w:themeColor="text1"/>
          <w:szCs w:val="24"/>
          <w14:textFill>
            <w14:solidFill>
              <w14:schemeClr w14:val="tx1"/>
            </w14:solidFill>
          </w14:textFill>
        </w:rPr>
        <w:t>World Development</w:t>
      </w:r>
      <w:r>
        <w:rPr>
          <w:rFonts w:cs="Times New Roman"/>
          <w:color w:val="000000" w:themeColor="text1"/>
          <w:szCs w:val="24"/>
          <w14:textFill>
            <w14:solidFill>
              <w14:schemeClr w14:val="tx1"/>
            </w14:solidFill>
          </w14:textFill>
        </w:rPr>
        <w:t>, 139, 105298.</w:t>
      </w:r>
    </w:p>
    <w:p w14:paraId="3E596900">
      <w:pPr>
        <w:ind w:left="720" w:hanging="720"/>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Liverpool-Tasie, L., Omonona, B., &amp; Sanou, A. (2022). Agricultural subsidy programs and fertilizer adoption in Nigeria. </w:t>
      </w:r>
      <w:r>
        <w:rPr>
          <w:rFonts w:cs="Times New Roman"/>
          <w:i/>
          <w:iCs/>
          <w:color w:val="000000" w:themeColor="text1"/>
          <w:szCs w:val="24"/>
          <w14:textFill>
            <w14:solidFill>
              <w14:schemeClr w14:val="tx1"/>
            </w14:solidFill>
          </w14:textFill>
        </w:rPr>
        <w:t>World Development</w:t>
      </w:r>
      <w:r>
        <w:rPr>
          <w:rFonts w:cs="Times New Roman"/>
          <w:color w:val="000000" w:themeColor="text1"/>
          <w:szCs w:val="24"/>
          <w14:textFill>
            <w14:solidFill>
              <w14:schemeClr w14:val="tx1"/>
            </w14:solidFill>
          </w14:textFill>
        </w:rPr>
        <w:t>, 152, 105774.</w:t>
      </w:r>
    </w:p>
    <w:p w14:paraId="071E018A">
      <w:pPr>
        <w:ind w:left="720" w:hanging="720"/>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Mason, N., Jayne, T., &amp; Mather, D. (2020). Fertilizer demand and agricultural productivity in Zambia. </w:t>
      </w:r>
      <w:r>
        <w:rPr>
          <w:rFonts w:cs="Times New Roman"/>
          <w:i/>
          <w:iCs/>
          <w:color w:val="000000" w:themeColor="text1"/>
          <w:szCs w:val="24"/>
          <w14:textFill>
            <w14:solidFill>
              <w14:schemeClr w14:val="tx1"/>
            </w14:solidFill>
          </w14:textFill>
        </w:rPr>
        <w:t>Agricultural Economics</w:t>
      </w:r>
      <w:r>
        <w:rPr>
          <w:rFonts w:cs="Times New Roman"/>
          <w:color w:val="000000" w:themeColor="text1"/>
          <w:szCs w:val="24"/>
          <w14:textFill>
            <w14:solidFill>
              <w14:schemeClr w14:val="tx1"/>
            </w14:solidFill>
          </w14:textFill>
        </w:rPr>
        <w:t>, 51(5), 695-708.</w:t>
      </w:r>
    </w:p>
    <w:p w14:paraId="252DCB20">
      <w:pPr>
        <w:ind w:left="720" w:hanging="720"/>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Mather, D., Jayne, T., &amp; Mason, N. (2020). Fertilizer adoption and agricultural productivity in Zambia. </w:t>
      </w:r>
      <w:r>
        <w:rPr>
          <w:rFonts w:cs="Times New Roman"/>
          <w:i/>
          <w:iCs/>
          <w:color w:val="000000" w:themeColor="text1"/>
          <w:szCs w:val="24"/>
          <w14:textFill>
            <w14:solidFill>
              <w14:schemeClr w14:val="tx1"/>
            </w14:solidFill>
          </w14:textFill>
        </w:rPr>
        <w:t>Agricultural Economics</w:t>
      </w:r>
      <w:r>
        <w:rPr>
          <w:rFonts w:cs="Times New Roman"/>
          <w:color w:val="000000" w:themeColor="text1"/>
          <w:szCs w:val="24"/>
          <w14:textFill>
            <w14:solidFill>
              <w14:schemeClr w14:val="tx1"/>
            </w14:solidFill>
          </w14:textFill>
        </w:rPr>
        <w:t>, 51(5), 695-708.</w:t>
      </w:r>
    </w:p>
    <w:p w14:paraId="68D642BE">
      <w:pPr>
        <w:ind w:left="720" w:hanging="720"/>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Ministry of Agriculture and Livestock Development (MOALD). (2023). </w:t>
      </w:r>
      <w:r>
        <w:rPr>
          <w:rFonts w:cs="Times New Roman"/>
          <w:i/>
          <w:iCs/>
          <w:color w:val="000000" w:themeColor="text1"/>
          <w:szCs w:val="24"/>
          <w14:textFill>
            <w14:solidFill>
              <w14:schemeClr w14:val="tx1"/>
            </w14:solidFill>
          </w14:textFill>
        </w:rPr>
        <w:t>National fertilizer subsidy program implementation report 2023</w:t>
      </w:r>
      <w:r>
        <w:rPr>
          <w:rFonts w:cs="Times New Roman"/>
          <w:color w:val="000000" w:themeColor="text1"/>
          <w:szCs w:val="24"/>
          <w14:textFill>
            <w14:solidFill>
              <w14:schemeClr w14:val="tx1"/>
            </w14:solidFill>
          </w14:textFill>
        </w:rPr>
        <w:t>. Government of Kenya.</w:t>
      </w:r>
    </w:p>
    <w:p w14:paraId="7ECB7518">
      <w:pPr>
        <w:ind w:left="720" w:hanging="720"/>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Ministry of Agriculture and Livestock Development (MOALD). (2024). </w:t>
      </w:r>
      <w:r>
        <w:rPr>
          <w:rFonts w:cs="Times New Roman"/>
          <w:i/>
          <w:iCs/>
          <w:color w:val="000000" w:themeColor="text1"/>
          <w:szCs w:val="24"/>
          <w14:textFill>
            <w14:solidFill>
              <w14:schemeClr w14:val="tx1"/>
            </w14:solidFill>
          </w14:textFill>
        </w:rPr>
        <w:t>Agricultural sector transformation progress report</w:t>
      </w:r>
      <w:r>
        <w:rPr>
          <w:rFonts w:cs="Times New Roman"/>
          <w:color w:val="000000" w:themeColor="text1"/>
          <w:szCs w:val="24"/>
          <w14:textFill>
            <w14:solidFill>
              <w14:schemeClr w14:val="tx1"/>
            </w14:solidFill>
          </w14:textFill>
        </w:rPr>
        <w:t>. Government of Kenya.</w:t>
      </w:r>
    </w:p>
    <w:p w14:paraId="76CA2EC0">
      <w:pPr>
        <w:ind w:left="720" w:hanging="720"/>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Minten, B., Habte, Y., &amp; Tamru, S. (2023). Fertilizer uptake and adoption in Madagascar. </w:t>
      </w:r>
      <w:r>
        <w:rPr>
          <w:rFonts w:cs="Times New Roman"/>
          <w:i/>
          <w:iCs/>
          <w:color w:val="000000" w:themeColor="text1"/>
          <w:szCs w:val="24"/>
          <w14:textFill>
            <w14:solidFill>
              <w14:schemeClr w14:val="tx1"/>
            </w14:solidFill>
          </w14:textFill>
        </w:rPr>
        <w:t>Food Security</w:t>
      </w:r>
      <w:r>
        <w:rPr>
          <w:rFonts w:cs="Times New Roman"/>
          <w:color w:val="000000" w:themeColor="text1"/>
          <w:szCs w:val="24"/>
          <w14:textFill>
            <w14:solidFill>
              <w14:schemeClr w14:val="tx1"/>
            </w14:solidFill>
          </w14:textFill>
        </w:rPr>
        <w:t>, 15(1), 101-118.</w:t>
      </w:r>
    </w:p>
    <w:p w14:paraId="457080AC">
      <w:pPr>
        <w:ind w:left="720" w:hanging="720"/>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Minten, B., Koru, B., &amp; Stifel, D. (2021). Agricultural input markets in Africa. </w:t>
      </w:r>
      <w:r>
        <w:rPr>
          <w:rFonts w:cs="Times New Roman"/>
          <w:i/>
          <w:iCs/>
          <w:color w:val="000000" w:themeColor="text1"/>
          <w:szCs w:val="24"/>
          <w14:textFill>
            <w14:solidFill>
              <w14:schemeClr w14:val="tx1"/>
            </w14:solidFill>
          </w14:textFill>
        </w:rPr>
        <w:t>World Development</w:t>
      </w:r>
      <w:r>
        <w:rPr>
          <w:rFonts w:cs="Times New Roman"/>
          <w:color w:val="000000" w:themeColor="text1"/>
          <w:szCs w:val="24"/>
          <w14:textFill>
            <w14:solidFill>
              <w14:schemeClr w14:val="tx1"/>
            </w14:solidFill>
          </w14:textFill>
        </w:rPr>
        <w:t>, 144, 105472.</w:t>
      </w:r>
    </w:p>
    <w:p w14:paraId="08052952">
      <w:pPr>
        <w:ind w:left="720" w:hanging="720"/>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Morris, M., Kelly, V., Kopicki, R., &amp; Byerlee, D. (2022). </w:t>
      </w:r>
      <w:r>
        <w:rPr>
          <w:rFonts w:cs="Times New Roman"/>
          <w:i/>
          <w:iCs/>
          <w:color w:val="000000" w:themeColor="text1"/>
          <w:szCs w:val="24"/>
          <w14:textFill>
            <w14:solidFill>
              <w14:schemeClr w14:val="tx1"/>
            </w14:solidFill>
          </w14:textFill>
        </w:rPr>
        <w:t>Fertilizer use in African agriculture: Lessons learned and good practice guidelines</w:t>
      </w:r>
      <w:r>
        <w:rPr>
          <w:rFonts w:cs="Times New Roman"/>
          <w:color w:val="000000" w:themeColor="text1"/>
          <w:szCs w:val="24"/>
          <w14:textFill>
            <w14:solidFill>
              <w14:schemeClr w14:val="tx1"/>
            </w14:solidFill>
          </w14:textFill>
        </w:rPr>
        <w:t>. World Bank.</w:t>
      </w:r>
    </w:p>
    <w:p w14:paraId="490ED24E">
      <w:pPr>
        <w:ind w:left="720" w:hanging="720"/>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Munyua, H., Kirimi, L., &amp; Njeru, J. (2024). Fertilizer subsidy programs and agricultural productivity among smallholder farmers in Kenya. </w:t>
      </w:r>
      <w:r>
        <w:rPr>
          <w:rStyle w:val="16"/>
          <w:rFonts w:cs="Times New Roman"/>
          <w:color w:val="000000" w:themeColor="text1"/>
          <w:szCs w:val="24"/>
          <w14:textFill>
            <w14:solidFill>
              <w14:schemeClr w14:val="tx1"/>
            </w14:solidFill>
          </w14:textFill>
        </w:rPr>
        <w:t>Agricultural Policy Review</w:t>
      </w:r>
      <w:r>
        <w:rPr>
          <w:rFonts w:cs="Times New Roman"/>
          <w:color w:val="000000" w:themeColor="text1"/>
          <w:szCs w:val="24"/>
          <w14:textFill>
            <w14:solidFill>
              <w14:schemeClr w14:val="tx1"/>
            </w14:solidFill>
          </w14:textFill>
        </w:rPr>
        <w:t>, 15(2), 85–99.</w:t>
      </w:r>
    </w:p>
    <w:p w14:paraId="58A6D7EC">
      <w:pPr>
        <w:ind w:left="720" w:hanging="720"/>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Muriithi, B., Mburu, J., &amp; Ngigi, M. (2023). Fertilizer subsidy programs and farm productivity in Kenya. </w:t>
      </w:r>
      <w:r>
        <w:rPr>
          <w:rFonts w:cs="Times New Roman"/>
          <w:i/>
          <w:iCs/>
          <w:color w:val="000000" w:themeColor="text1"/>
          <w:szCs w:val="24"/>
          <w14:textFill>
            <w14:solidFill>
              <w14:schemeClr w14:val="tx1"/>
            </w14:solidFill>
          </w14:textFill>
        </w:rPr>
        <w:t>African Journal of Agricultural and Resource Economics</w:t>
      </w:r>
      <w:r>
        <w:rPr>
          <w:rFonts w:cs="Times New Roman"/>
          <w:color w:val="000000" w:themeColor="text1"/>
          <w:szCs w:val="24"/>
          <w14:textFill>
            <w14:solidFill>
              <w14:schemeClr w14:val="tx1"/>
            </w14:solidFill>
          </w14:textFill>
        </w:rPr>
        <w:t>, 18(2), 64–79.</w:t>
      </w:r>
    </w:p>
    <w:p w14:paraId="13B64D8E">
      <w:pPr>
        <w:ind w:left="720" w:hanging="720"/>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Mutegi, J., Oduor, G., &amp; Ochieng, P. (2024). Agricultural subsidy reforms and fertilizer application among maize farmers in Kenya. </w:t>
      </w:r>
      <w:r>
        <w:rPr>
          <w:rFonts w:cs="Times New Roman"/>
          <w:i/>
          <w:iCs/>
          <w:color w:val="000000" w:themeColor="text1"/>
          <w:szCs w:val="24"/>
          <w14:textFill>
            <w14:solidFill>
              <w14:schemeClr w14:val="tx1"/>
            </w14:solidFill>
          </w14:textFill>
        </w:rPr>
        <w:t>Journal of Agricultural Development</w:t>
      </w:r>
      <w:r>
        <w:rPr>
          <w:rFonts w:cs="Times New Roman"/>
          <w:color w:val="000000" w:themeColor="text1"/>
          <w:szCs w:val="24"/>
          <w14:textFill>
            <w14:solidFill>
              <w14:schemeClr w14:val="tx1"/>
            </w14:solidFill>
          </w14:textFill>
        </w:rPr>
        <w:t>, 9(3), 41–58.</w:t>
      </w:r>
    </w:p>
    <w:p w14:paraId="53CA0BBD">
      <w:pPr>
        <w:ind w:left="720" w:hanging="720"/>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Mutua, P., Mwangi, J., &amp; Wekesa, E. (2023). Fertilizer supply systems and farm productivity in Kenya. </w:t>
      </w:r>
      <w:r>
        <w:rPr>
          <w:rFonts w:cs="Times New Roman"/>
          <w:i/>
          <w:iCs/>
          <w:color w:val="000000" w:themeColor="text1"/>
          <w:szCs w:val="24"/>
          <w14:textFill>
            <w14:solidFill>
              <w14:schemeClr w14:val="tx1"/>
            </w14:solidFill>
          </w14:textFill>
        </w:rPr>
        <w:t>African Agricultural Research Journal</w:t>
      </w:r>
      <w:r>
        <w:rPr>
          <w:rFonts w:cs="Times New Roman"/>
          <w:color w:val="000000" w:themeColor="text1"/>
          <w:szCs w:val="24"/>
          <w14:textFill>
            <w14:solidFill>
              <w14:schemeClr w14:val="tx1"/>
            </w14:solidFill>
          </w14:textFill>
        </w:rPr>
        <w:t>, 18(4), 302-314.</w:t>
      </w:r>
    </w:p>
    <w:p w14:paraId="0931329F">
      <w:pPr>
        <w:ind w:left="720" w:hanging="720"/>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Ng’ang’a, S., &amp; Mburu, J. (2021). Evaluation of fertilizer subsidy programs and smallholder access to agricultural inputs in Kenya. </w:t>
      </w:r>
      <w:r>
        <w:rPr>
          <w:rFonts w:cs="Times New Roman"/>
          <w:i/>
          <w:iCs/>
          <w:color w:val="000000" w:themeColor="text1"/>
          <w:szCs w:val="24"/>
          <w14:textFill>
            <w14:solidFill>
              <w14:schemeClr w14:val="tx1"/>
            </w14:solidFill>
          </w14:textFill>
        </w:rPr>
        <w:t>African Journal of Agricultural and Resource Economics, 16</w:t>
      </w:r>
      <w:r>
        <w:rPr>
          <w:rFonts w:cs="Times New Roman"/>
          <w:color w:val="000000" w:themeColor="text1"/>
          <w:szCs w:val="24"/>
          <w14:textFill>
            <w14:solidFill>
              <w14:schemeClr w14:val="tx1"/>
            </w14:solidFill>
          </w14:textFill>
        </w:rPr>
        <w:t>(3), 235–249.</w:t>
      </w:r>
    </w:p>
    <w:p w14:paraId="3F6FB2E3">
      <w:pPr>
        <w:ind w:left="720" w:hanging="720"/>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Ngigi, M., Mburu, J., &amp; Muriithi, B. (2023). Fertilizer adoption and farm productivity among smallholder farmers in Kenya. </w:t>
      </w:r>
      <w:r>
        <w:rPr>
          <w:rStyle w:val="16"/>
          <w:rFonts w:cs="Times New Roman"/>
          <w:color w:val="000000" w:themeColor="text1"/>
          <w:szCs w:val="24"/>
          <w14:textFill>
            <w14:solidFill>
              <w14:schemeClr w14:val="tx1"/>
            </w14:solidFill>
          </w14:textFill>
        </w:rPr>
        <w:t>African Journal of Agricultural Economics</w:t>
      </w:r>
      <w:r>
        <w:rPr>
          <w:rFonts w:cs="Times New Roman"/>
          <w:color w:val="000000" w:themeColor="text1"/>
          <w:szCs w:val="24"/>
          <w14:textFill>
            <w14:solidFill>
              <w14:schemeClr w14:val="tx1"/>
            </w14:solidFill>
          </w14:textFill>
        </w:rPr>
        <w:t>, 18(1), 63–78.</w:t>
      </w:r>
    </w:p>
    <w:p w14:paraId="3B2E7FFD">
      <w:pPr>
        <w:ind w:left="720" w:hanging="720"/>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Nkonya, E., Mirzabaev, A., &amp; von Braun, J. (2021). Economics of land degradation and fertilizer use. </w:t>
      </w:r>
      <w:r>
        <w:rPr>
          <w:rFonts w:cs="Times New Roman"/>
          <w:i/>
          <w:iCs/>
          <w:color w:val="000000" w:themeColor="text1"/>
          <w:szCs w:val="24"/>
          <w14:textFill>
            <w14:solidFill>
              <w14:schemeClr w14:val="tx1"/>
            </w14:solidFill>
          </w14:textFill>
        </w:rPr>
        <w:t>Global Food Security</w:t>
      </w:r>
      <w:r>
        <w:rPr>
          <w:rFonts w:cs="Times New Roman"/>
          <w:color w:val="000000" w:themeColor="text1"/>
          <w:szCs w:val="24"/>
          <w14:textFill>
            <w14:solidFill>
              <w14:schemeClr w14:val="tx1"/>
            </w14:solidFill>
          </w14:textFill>
        </w:rPr>
        <w:t>, 28, 100494.</w:t>
      </w:r>
    </w:p>
    <w:p w14:paraId="01F0D85E">
      <w:pPr>
        <w:ind w:left="720" w:hanging="720"/>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Nyangena, W., &amp; Kimenyi, M. (2023). Agricultural subsidy reforms in East Africa. </w:t>
      </w:r>
      <w:r>
        <w:rPr>
          <w:rFonts w:cs="Times New Roman"/>
          <w:i/>
          <w:iCs/>
          <w:color w:val="000000" w:themeColor="text1"/>
          <w:szCs w:val="24"/>
          <w14:textFill>
            <w14:solidFill>
              <w14:schemeClr w14:val="tx1"/>
            </w14:solidFill>
          </w14:textFill>
        </w:rPr>
        <w:t>Development Policy Review</w:t>
      </w:r>
      <w:r>
        <w:rPr>
          <w:rFonts w:cs="Times New Roman"/>
          <w:color w:val="000000" w:themeColor="text1"/>
          <w:szCs w:val="24"/>
          <w14:textFill>
            <w14:solidFill>
              <w14:schemeClr w14:val="tx1"/>
            </w14:solidFill>
          </w14:textFill>
        </w:rPr>
        <w:t>, 41(4), 658-672.</w:t>
      </w:r>
    </w:p>
    <w:p w14:paraId="0FA93E41">
      <w:pPr>
        <w:ind w:left="720" w:hanging="720"/>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Ochieng, P., Kirimi, L., &amp; Njeru, J. (2023). Fertilizer subsidy program and farmer participation in Kenya. </w:t>
      </w:r>
      <w:r>
        <w:rPr>
          <w:rFonts w:cs="Times New Roman"/>
          <w:i/>
          <w:iCs/>
          <w:color w:val="000000" w:themeColor="text1"/>
          <w:szCs w:val="24"/>
          <w14:textFill>
            <w14:solidFill>
              <w14:schemeClr w14:val="tx1"/>
            </w14:solidFill>
          </w14:textFill>
        </w:rPr>
        <w:t>Tegemeo Institute Working Paper</w:t>
      </w:r>
      <w:r>
        <w:rPr>
          <w:rFonts w:cs="Times New Roman"/>
          <w:color w:val="000000" w:themeColor="text1"/>
          <w:szCs w:val="24"/>
          <w14:textFill>
            <w14:solidFill>
              <w14:schemeClr w14:val="tx1"/>
            </w14:solidFill>
          </w14:textFill>
        </w:rPr>
        <w:t>.</w:t>
      </w:r>
    </w:p>
    <w:p w14:paraId="6AC60E9E">
      <w:pPr>
        <w:ind w:left="720" w:hanging="720"/>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Omondi, F., Waweru, K., &amp; Mutua, P. (2025). Fertilizer adoption and farm productivity among maize farmers in Kenya. </w:t>
      </w:r>
      <w:r>
        <w:rPr>
          <w:rStyle w:val="16"/>
          <w:rFonts w:cs="Times New Roman"/>
          <w:color w:val="000000" w:themeColor="text1"/>
          <w:szCs w:val="24"/>
          <w14:textFill>
            <w14:solidFill>
              <w14:schemeClr w14:val="tx1"/>
            </w14:solidFill>
          </w14:textFill>
        </w:rPr>
        <w:t>African Development Review</w:t>
      </w:r>
      <w:r>
        <w:rPr>
          <w:rFonts w:cs="Times New Roman"/>
          <w:color w:val="000000" w:themeColor="text1"/>
          <w:szCs w:val="24"/>
          <w14:textFill>
            <w14:solidFill>
              <w14:schemeClr w14:val="tx1"/>
            </w14:solidFill>
          </w14:textFill>
        </w:rPr>
        <w:t>, 37(1), 110–124.</w:t>
      </w:r>
    </w:p>
    <w:p w14:paraId="4B2BAD6C">
      <w:pPr>
        <w:ind w:left="720" w:hanging="720"/>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Opiyo, J., Kirimi, L., &amp; Gitau, R. (2023). </w:t>
      </w:r>
      <w:r>
        <w:rPr>
          <w:rFonts w:cs="Times New Roman"/>
          <w:i/>
          <w:iCs/>
          <w:color w:val="000000" w:themeColor="text1"/>
          <w:szCs w:val="24"/>
          <w14:textFill>
            <w14:solidFill>
              <w14:schemeClr w14:val="tx1"/>
            </w14:solidFill>
          </w14:textFill>
        </w:rPr>
        <w:t>Rapid assessment of Kenya’s fertilizer subsidy reforms and private sector participation</w:t>
      </w:r>
      <w:r>
        <w:rPr>
          <w:rFonts w:cs="Times New Roman"/>
          <w:color w:val="000000" w:themeColor="text1"/>
          <w:szCs w:val="24"/>
          <w14:textFill>
            <w14:solidFill>
              <w14:schemeClr w14:val="tx1"/>
            </w14:solidFill>
          </w14:textFill>
        </w:rPr>
        <w:t>. Tegemeo Institute of Agricultural Policy and Development.</w:t>
      </w:r>
    </w:p>
    <w:p w14:paraId="1B184306">
      <w:pPr>
        <w:ind w:left="720" w:hanging="720"/>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Otieno, D., Mwangi, J., &amp; Wekesa, E. (2025). Agricultural input distribution systems in Kenya. </w:t>
      </w:r>
      <w:r>
        <w:rPr>
          <w:rFonts w:cs="Times New Roman"/>
          <w:i/>
          <w:iCs/>
          <w:color w:val="000000" w:themeColor="text1"/>
          <w:szCs w:val="24"/>
          <w14:textFill>
            <w14:solidFill>
              <w14:schemeClr w14:val="tx1"/>
            </w14:solidFill>
          </w14:textFill>
        </w:rPr>
        <w:t>Journal of Agricultural Policy</w:t>
      </w:r>
      <w:r>
        <w:rPr>
          <w:rFonts w:cs="Times New Roman"/>
          <w:color w:val="000000" w:themeColor="text1"/>
          <w:szCs w:val="24"/>
          <w14:textFill>
            <w14:solidFill>
              <w14:schemeClr w14:val="tx1"/>
            </w14:solidFill>
          </w14:textFill>
        </w:rPr>
        <w:t>, 11(2), 44-59.</w:t>
      </w:r>
    </w:p>
    <w:p w14:paraId="0CD00B7C">
      <w:pPr>
        <w:ind w:left="720" w:hanging="720"/>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Ricker-Gilbert, J., &amp; Jayne, T. (2022). Fertilizer subsidy delivery and farm productivity in Africa. </w:t>
      </w:r>
      <w:r>
        <w:rPr>
          <w:rFonts w:cs="Times New Roman"/>
          <w:i/>
          <w:iCs/>
          <w:color w:val="000000" w:themeColor="text1"/>
          <w:szCs w:val="24"/>
          <w14:textFill>
            <w14:solidFill>
              <w14:schemeClr w14:val="tx1"/>
            </w14:solidFill>
          </w14:textFill>
        </w:rPr>
        <w:t>Agricultural Economics</w:t>
      </w:r>
      <w:r>
        <w:rPr>
          <w:rFonts w:cs="Times New Roman"/>
          <w:color w:val="000000" w:themeColor="text1"/>
          <w:szCs w:val="24"/>
          <w14:textFill>
            <w14:solidFill>
              <w14:schemeClr w14:val="tx1"/>
            </w14:solidFill>
          </w14:textFill>
        </w:rPr>
        <w:t>, 53(4), 471–485.</w:t>
      </w:r>
    </w:p>
    <w:p w14:paraId="24554068">
      <w:pPr>
        <w:ind w:left="720" w:hanging="720"/>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Sheahan, M., &amp; Barrett, C. (2022). Input use in African agriculture. </w:t>
      </w:r>
      <w:r>
        <w:rPr>
          <w:rFonts w:cs="Times New Roman"/>
          <w:i/>
          <w:iCs/>
          <w:color w:val="000000" w:themeColor="text1"/>
          <w:szCs w:val="24"/>
          <w14:textFill>
            <w14:solidFill>
              <w14:schemeClr w14:val="tx1"/>
            </w14:solidFill>
          </w14:textFill>
        </w:rPr>
        <w:t>Food Policy</w:t>
      </w:r>
      <w:r>
        <w:rPr>
          <w:rFonts w:cs="Times New Roman"/>
          <w:color w:val="000000" w:themeColor="text1"/>
          <w:szCs w:val="24"/>
          <w14:textFill>
            <w14:solidFill>
              <w14:schemeClr w14:val="tx1"/>
            </w14:solidFill>
          </w14:textFill>
        </w:rPr>
        <w:t>, 108, 102235.</w:t>
      </w:r>
    </w:p>
    <w:p w14:paraId="75949DA2">
      <w:pPr>
        <w:ind w:left="720" w:hanging="720"/>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Takeshima, H., Nin-Pratt, A., &amp; Diao, X. (2020). Fertilizer subsidy targeting systems in Nigeria. </w:t>
      </w:r>
      <w:r>
        <w:rPr>
          <w:rFonts w:cs="Times New Roman"/>
          <w:i/>
          <w:iCs/>
          <w:color w:val="000000" w:themeColor="text1"/>
          <w:szCs w:val="24"/>
          <w14:textFill>
            <w14:solidFill>
              <w14:schemeClr w14:val="tx1"/>
            </w14:solidFill>
          </w14:textFill>
        </w:rPr>
        <w:t>Agricultural Economics</w:t>
      </w:r>
      <w:r>
        <w:rPr>
          <w:rFonts w:cs="Times New Roman"/>
          <w:color w:val="000000" w:themeColor="text1"/>
          <w:szCs w:val="24"/>
          <w14:textFill>
            <w14:solidFill>
              <w14:schemeClr w14:val="tx1"/>
            </w14:solidFill>
          </w14:textFill>
        </w:rPr>
        <w:t>, 51(3), 345-357.</w:t>
      </w:r>
    </w:p>
    <w:p w14:paraId="61705778">
      <w:pPr>
        <w:ind w:left="720" w:hanging="720"/>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Takeshima, H., Nin-Pratt, A., &amp; Diao, X. (2022). Fertilizer demand in Nigeria. </w:t>
      </w:r>
      <w:r>
        <w:rPr>
          <w:rFonts w:cs="Times New Roman"/>
          <w:i/>
          <w:iCs/>
          <w:color w:val="000000" w:themeColor="text1"/>
          <w:szCs w:val="24"/>
          <w14:textFill>
            <w14:solidFill>
              <w14:schemeClr w14:val="tx1"/>
            </w14:solidFill>
          </w14:textFill>
        </w:rPr>
        <w:t>Agricultural Economics</w:t>
      </w:r>
      <w:r>
        <w:rPr>
          <w:rFonts w:cs="Times New Roman"/>
          <w:color w:val="000000" w:themeColor="text1"/>
          <w:szCs w:val="24"/>
          <w14:textFill>
            <w14:solidFill>
              <w14:schemeClr w14:val="tx1"/>
            </w14:solidFill>
          </w14:textFill>
        </w:rPr>
        <w:t>, 53(4), 521-536.</w:t>
      </w:r>
    </w:p>
    <w:p w14:paraId="2DD88E1B">
      <w:pPr>
        <w:ind w:left="720" w:hanging="720"/>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Takeshima, H., Nin-Pratt, A., &amp; Diao, X. (2023). Agricultural input subsidy delivery and fertilizer use in Nigeria. </w:t>
      </w:r>
      <w:r>
        <w:rPr>
          <w:rFonts w:cs="Times New Roman"/>
          <w:i/>
          <w:iCs/>
          <w:color w:val="000000" w:themeColor="text1"/>
          <w:szCs w:val="24"/>
          <w14:textFill>
            <w14:solidFill>
              <w14:schemeClr w14:val="tx1"/>
            </w14:solidFill>
          </w14:textFill>
        </w:rPr>
        <w:t>Food Security</w:t>
      </w:r>
      <w:r>
        <w:rPr>
          <w:rFonts w:cs="Times New Roman"/>
          <w:color w:val="000000" w:themeColor="text1"/>
          <w:szCs w:val="24"/>
          <w14:textFill>
            <w14:solidFill>
              <w14:schemeClr w14:val="tx1"/>
            </w14:solidFill>
          </w14:textFill>
        </w:rPr>
        <w:t>, 15(2), 345–361.</w:t>
      </w:r>
    </w:p>
    <w:p w14:paraId="67D070C8">
      <w:pPr>
        <w:ind w:left="720" w:hanging="720"/>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Wainaina, P., Gitau, R., &amp; Mutua, F. (2025). Fertilizer subsidy and productivity in Kenya. </w:t>
      </w:r>
      <w:r>
        <w:rPr>
          <w:rFonts w:cs="Times New Roman"/>
          <w:i/>
          <w:iCs/>
          <w:color w:val="000000" w:themeColor="text1"/>
          <w:szCs w:val="24"/>
          <w14:textFill>
            <w14:solidFill>
              <w14:schemeClr w14:val="tx1"/>
            </w14:solidFill>
          </w14:textFill>
        </w:rPr>
        <w:t>African Development Review</w:t>
      </w:r>
      <w:r>
        <w:rPr>
          <w:rFonts w:cs="Times New Roman"/>
          <w:color w:val="000000" w:themeColor="text1"/>
          <w:szCs w:val="24"/>
          <w14:textFill>
            <w14:solidFill>
              <w14:schemeClr w14:val="tx1"/>
            </w14:solidFill>
          </w14:textFill>
        </w:rPr>
        <w:t>, 37(1), 112-126.</w:t>
      </w:r>
    </w:p>
    <w:p w14:paraId="428393BB">
      <w:pPr>
        <w:ind w:left="720" w:hanging="720"/>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Wanzala-Mlobela, M., &amp; Fuentes, P. (2023). Fertilizer subsidy reform and agricultural productivity in Sub-Saharan Africa. </w:t>
      </w:r>
      <w:r>
        <w:rPr>
          <w:rFonts w:cs="Times New Roman"/>
          <w:i/>
          <w:iCs/>
          <w:color w:val="000000" w:themeColor="text1"/>
          <w:szCs w:val="24"/>
          <w14:textFill>
            <w14:solidFill>
              <w14:schemeClr w14:val="tx1"/>
            </w14:solidFill>
          </w14:textFill>
        </w:rPr>
        <w:t>Agricultural Systems, 210</w:t>
      </w:r>
      <w:r>
        <w:rPr>
          <w:rFonts w:cs="Times New Roman"/>
          <w:color w:val="000000" w:themeColor="text1"/>
          <w:szCs w:val="24"/>
          <w14:textFill>
            <w14:solidFill>
              <w14:schemeClr w14:val="tx1"/>
            </w14:solidFill>
          </w14:textFill>
        </w:rPr>
        <w:t>, 103624.</w:t>
      </w:r>
    </w:p>
    <w:p w14:paraId="4CC73610">
      <w:pPr>
        <w:ind w:left="720" w:hanging="720"/>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World Bank. (2021). </w:t>
      </w:r>
      <w:r>
        <w:rPr>
          <w:rFonts w:cs="Times New Roman"/>
          <w:i/>
          <w:iCs/>
          <w:color w:val="000000" w:themeColor="text1"/>
          <w:szCs w:val="24"/>
          <w14:textFill>
            <w14:solidFill>
              <w14:schemeClr w14:val="tx1"/>
            </w14:solidFill>
          </w14:textFill>
        </w:rPr>
        <w:t>Kenya inclusive growth and fiscal management development policy financing</w:t>
      </w:r>
      <w:r>
        <w:rPr>
          <w:rFonts w:cs="Times New Roman"/>
          <w:color w:val="000000" w:themeColor="text1"/>
          <w:szCs w:val="24"/>
          <w14:textFill>
            <w14:solidFill>
              <w14:schemeClr w14:val="tx1"/>
            </w14:solidFill>
          </w14:textFill>
        </w:rPr>
        <w:t>. Washington DC: World Bank.</w:t>
      </w:r>
    </w:p>
    <w:p w14:paraId="1171E872">
      <w:pPr>
        <w:ind w:left="720" w:hanging="720"/>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World Bank. (2023). </w:t>
      </w:r>
      <w:r>
        <w:rPr>
          <w:rFonts w:cs="Times New Roman"/>
          <w:i/>
          <w:iCs/>
          <w:color w:val="000000" w:themeColor="text1"/>
          <w:szCs w:val="24"/>
          <w14:textFill>
            <w14:solidFill>
              <w14:schemeClr w14:val="tx1"/>
            </w14:solidFill>
          </w14:textFill>
        </w:rPr>
        <w:t>Commodity markets outlook: Fertilizer price volatility and global supply disruptions</w:t>
      </w:r>
      <w:r>
        <w:rPr>
          <w:rFonts w:cs="Times New Roman"/>
          <w:color w:val="000000" w:themeColor="text1"/>
          <w:szCs w:val="24"/>
          <w14:textFill>
            <w14:solidFill>
              <w14:schemeClr w14:val="tx1"/>
            </w14:solidFill>
          </w14:textFill>
        </w:rPr>
        <w:t>. World Bank.</w:t>
      </w:r>
    </w:p>
    <w:p w14:paraId="59EF0EB7">
      <w:pPr>
        <w:ind w:left="720" w:hanging="720"/>
        <w:rPr>
          <w:rFonts w:cs="Times New Roman"/>
          <w:color w:val="000000" w:themeColor="text1"/>
          <w:kern w:val="0"/>
          <w:szCs w:val="24"/>
          <w14:textFill>
            <w14:solidFill>
              <w14:schemeClr w14:val="tx1"/>
            </w14:solidFill>
          </w14:textFill>
        </w:rPr>
      </w:pPr>
      <w:r>
        <w:rPr>
          <w:rFonts w:cs="Times New Roman"/>
          <w:color w:val="000000" w:themeColor="text1"/>
          <w:kern w:val="0"/>
          <w:szCs w:val="24"/>
          <w14:textFill>
            <w14:solidFill>
              <w14:schemeClr w14:val="tx1"/>
            </w14:solidFill>
          </w14:textFill>
        </w:rPr>
        <w:t xml:space="preserve">Yamane, T. (1967). </w:t>
      </w:r>
      <w:r>
        <w:rPr>
          <w:rFonts w:cs="Times New Roman"/>
          <w:i/>
          <w:iCs/>
          <w:color w:val="000000" w:themeColor="text1"/>
          <w:kern w:val="0"/>
          <w:szCs w:val="24"/>
          <w14:textFill>
            <w14:solidFill>
              <w14:schemeClr w14:val="tx1"/>
            </w14:solidFill>
          </w14:textFill>
        </w:rPr>
        <w:t>Statistics: An introductory analysis</w:t>
      </w:r>
      <w:r>
        <w:rPr>
          <w:rFonts w:cs="Times New Roman"/>
          <w:color w:val="000000" w:themeColor="text1"/>
          <w:kern w:val="0"/>
          <w:szCs w:val="24"/>
          <w14:textFill>
            <w14:solidFill>
              <w14:schemeClr w14:val="tx1"/>
            </w14:solidFill>
          </w14:textFill>
        </w:rPr>
        <w:t xml:space="preserve"> (2nd ed.). Harper &amp; Row.</w:t>
      </w:r>
    </w:p>
    <w:p w14:paraId="43147040">
      <w:pPr>
        <w:ind w:left="720" w:hanging="720"/>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Yin, R. K. (2018). </w:t>
      </w:r>
      <w:r>
        <w:rPr>
          <w:rFonts w:cs="Times New Roman"/>
          <w:i/>
          <w:iCs/>
          <w:color w:val="000000" w:themeColor="text1"/>
          <w:szCs w:val="24"/>
          <w14:textFill>
            <w14:solidFill>
              <w14:schemeClr w14:val="tx1"/>
            </w14:solidFill>
          </w14:textFill>
        </w:rPr>
        <w:t>Case study research and applications: Design and methods</w:t>
      </w:r>
      <w:r>
        <w:rPr>
          <w:rFonts w:cs="Times New Roman"/>
          <w:color w:val="000000" w:themeColor="text1"/>
          <w:szCs w:val="24"/>
          <w14:textFill>
            <w14:solidFill>
              <w14:schemeClr w14:val="tx1"/>
            </w14:solidFill>
          </w14:textFill>
        </w:rPr>
        <w:t xml:space="preserve"> (6th ed.). Sage Publications.</w:t>
      </w:r>
    </w:p>
    <w:p w14:paraId="14EC24D1">
      <w:pPr>
        <w:spacing w:after="160" w:line="259" w:lineRule="auto"/>
        <w:jc w:val="left"/>
        <w:rPr>
          <w:color w:val="000000" w:themeColor="text1"/>
          <w14:textFill>
            <w14:solidFill>
              <w14:schemeClr w14:val="tx1"/>
            </w14:solidFill>
          </w14:textFill>
        </w:rPr>
      </w:pPr>
      <w:r>
        <w:rPr>
          <w:color w:val="000000" w:themeColor="text1"/>
          <w14:textFill>
            <w14:solidFill>
              <w14:schemeClr w14:val="tx1"/>
            </w14:solidFill>
          </w14:textFill>
        </w:rPr>
        <w:br w:type="page"/>
      </w:r>
    </w:p>
    <w:p w14:paraId="5BB8D4FC">
      <w:pPr>
        <w:pStyle w:val="2"/>
      </w:pPr>
      <w:bookmarkStart w:id="75" w:name="_Toc225962320"/>
      <w:bookmarkStart w:id="76" w:name="_Toc220497561"/>
      <w:r>
        <w:t>APPENDICES</w:t>
      </w:r>
      <w:bookmarkEnd w:id="75"/>
      <w:bookmarkEnd w:id="76"/>
    </w:p>
    <w:p w14:paraId="5CCFB0BF">
      <w:pPr>
        <w:pStyle w:val="2"/>
      </w:pPr>
      <w:bookmarkStart w:id="77" w:name="_Toc80635826"/>
      <w:bookmarkStart w:id="78" w:name="_Toc200011005"/>
      <w:bookmarkStart w:id="79" w:name="_Toc220497562"/>
      <w:bookmarkStart w:id="80" w:name="_Toc225962321"/>
      <w:r>
        <w:t xml:space="preserve">APPENDIX I: </w:t>
      </w:r>
      <w:bookmarkEnd w:id="77"/>
      <w:r>
        <w:t>COVER LETTER</w:t>
      </w:r>
      <w:bookmarkEnd w:id="78"/>
      <w:bookmarkEnd w:id="79"/>
      <w:bookmarkEnd w:id="80"/>
    </w:p>
    <w:p w14:paraId="26BC6A20">
      <w:pPr>
        <w:rPr>
          <w:color w:val="000000" w:themeColor="text1"/>
          <w:kern w:val="0"/>
          <w:lang w:val="en-GB"/>
          <w14:textFill>
            <w14:solidFill>
              <w14:schemeClr w14:val="tx1"/>
            </w14:solidFill>
          </w14:textFill>
          <w14:ligatures w14:val="none"/>
        </w:rPr>
      </w:pPr>
      <w:r>
        <w:rPr>
          <w:color w:val="000000" w:themeColor="text1"/>
          <w:kern w:val="0"/>
          <w:lang w:val="en-GB"/>
          <w14:textFill>
            <w14:solidFill>
              <w14:schemeClr w14:val="tx1"/>
            </w14:solidFill>
          </w14:textFill>
          <w14:ligatures w14:val="none"/>
        </w:rPr>
        <w:t>Dear respondent,</w:t>
      </w:r>
    </w:p>
    <w:p w14:paraId="25402631">
      <w:pPr>
        <w:pStyle w:val="43"/>
        <w:rPr>
          <w:color w:val="000000" w:themeColor="text1"/>
          <w:lang w:val="en-GB"/>
          <w14:textFill>
            <w14:solidFill>
              <w14:schemeClr w14:val="tx1"/>
            </w14:solidFill>
          </w14:textFill>
        </w:rPr>
      </w:pPr>
    </w:p>
    <w:p w14:paraId="2905F41A">
      <w:pPr>
        <w:rPr>
          <w:color w:val="000000" w:themeColor="text1"/>
          <w:kern w:val="0"/>
          <w14:textFill>
            <w14:solidFill>
              <w14:schemeClr w14:val="tx1"/>
            </w14:solidFill>
          </w14:textFill>
          <w14:ligatures w14:val="none"/>
        </w:rPr>
      </w:pPr>
      <w:r>
        <w:rPr>
          <w:color w:val="000000" w:themeColor="text1"/>
          <w:kern w:val="0"/>
          <w:lang w:val="en-GB"/>
          <w14:textFill>
            <w14:solidFill>
              <w14:schemeClr w14:val="tx1"/>
            </w14:solidFill>
          </w14:textFill>
          <w14:ligatures w14:val="none"/>
        </w:rPr>
        <w:t xml:space="preserve">My name is </w:t>
      </w:r>
      <w:r>
        <w:rPr>
          <w:rFonts w:cs="Times New Roman"/>
          <w:color w:val="000000" w:themeColor="text1"/>
          <w:kern w:val="0"/>
          <w:szCs w:val="24"/>
          <w14:textFill>
            <w14:solidFill>
              <w14:schemeClr w14:val="tx1"/>
            </w14:solidFill>
          </w14:textFill>
          <w14:ligatures w14:val="none"/>
        </w:rPr>
        <w:t>Sebastian Nduva</w:t>
      </w:r>
      <w:r>
        <w:rPr>
          <w:color w:val="000000" w:themeColor="text1"/>
          <w:kern w:val="0"/>
          <w:lang w:val="en-GB"/>
          <w14:textFill>
            <w14:solidFill>
              <w14:schemeClr w14:val="tx1"/>
            </w14:solidFill>
          </w14:textFill>
          <w14:ligatures w14:val="none"/>
        </w:rPr>
        <w:t xml:space="preserve">. I am currently pursuing a </w:t>
      </w:r>
      <w:r>
        <w:rPr>
          <w:rFonts w:cs="Times New Roman"/>
          <w:bCs/>
          <w:color w:val="000000" w:themeColor="text1"/>
          <w:kern w:val="0"/>
          <w:szCs w:val="24"/>
          <w:lang w:val="en-GB"/>
          <w14:textFill>
            <w14:solidFill>
              <w14:schemeClr w14:val="tx1"/>
            </w14:solidFill>
          </w14:textFill>
          <w14:ligatures w14:val="none"/>
        </w:rPr>
        <w:t xml:space="preserve">Masters of Science in Management and Organizational Development (MoD) </w:t>
      </w:r>
      <w:r>
        <w:rPr>
          <w:rFonts w:cs="Times New Roman"/>
          <w:color w:val="000000" w:themeColor="text1"/>
          <w:kern w:val="0"/>
          <w:szCs w:val="24"/>
          <w14:textFill>
            <w14:solidFill>
              <w14:schemeClr w14:val="tx1"/>
            </w14:solidFill>
          </w14:textFill>
          <w14:ligatures w14:val="none"/>
        </w:rPr>
        <w:t>degree</w:t>
      </w:r>
      <w:r>
        <w:rPr>
          <w:color w:val="000000" w:themeColor="text1"/>
          <w:kern w:val="0"/>
          <w:lang w:val="en-GB"/>
          <w14:textFill>
            <w14:solidFill>
              <w14:schemeClr w14:val="tx1"/>
            </w14:solidFill>
          </w14:textFill>
          <w14:ligatures w14:val="none"/>
        </w:rPr>
        <w:t xml:space="preserve"> at </w:t>
      </w:r>
      <w:r>
        <w:rPr>
          <w:rFonts w:cs="Times New Roman"/>
          <w:bCs/>
          <w:color w:val="000000" w:themeColor="text1"/>
          <w:kern w:val="0"/>
          <w:szCs w:val="24"/>
          <w14:textFill>
            <w14:solidFill>
              <w14:schemeClr w14:val="tx1"/>
            </w14:solidFill>
          </w14:textFill>
          <w14:ligatures w14:val="none"/>
        </w:rPr>
        <w:t>United States International University-Africa</w:t>
      </w:r>
      <w:r>
        <w:rPr>
          <w:color w:val="000000" w:themeColor="text1"/>
          <w:kern w:val="0"/>
          <w:lang w:val="en-GB"/>
          <w14:textFill>
            <w14:solidFill>
              <w14:schemeClr w14:val="tx1"/>
            </w14:solidFill>
          </w14:textFill>
          <w14:ligatures w14:val="none"/>
        </w:rPr>
        <w:t>. As part of this course, I am required to undertake a study to “</w:t>
      </w:r>
      <w:r>
        <w:rPr>
          <w:rFonts w:cs="Times New Roman"/>
          <w:color w:val="000000" w:themeColor="text1"/>
          <w:kern w:val="0"/>
          <w:szCs w:val="24"/>
          <w14:textFill>
            <w14:solidFill>
              <w14:schemeClr w14:val="tx1"/>
            </w14:solidFill>
          </w14:textFill>
          <w14:ligatures w14:val="none"/>
        </w:rPr>
        <w:t>Investigating fertilizer subsidy reform strategies on smallholder farmers’ uptake of fertilizers in Kenya: A survey of Nakuru, Bungoma, and Meru counties</w:t>
      </w:r>
      <w:r>
        <w:rPr>
          <w:color w:val="000000" w:themeColor="text1"/>
          <w:kern w:val="0"/>
          <w14:textFill>
            <w14:solidFill>
              <w14:schemeClr w14:val="tx1"/>
            </w14:solidFill>
          </w14:textFill>
          <w14:ligatures w14:val="none"/>
        </w:rPr>
        <w:t xml:space="preserve">”. I </w:t>
      </w:r>
      <w:r>
        <w:rPr>
          <w:color w:val="000000" w:themeColor="text1"/>
          <w:kern w:val="0"/>
          <w:lang w:val="en-GB"/>
          <w14:textFill>
            <w14:solidFill>
              <w14:schemeClr w14:val="tx1"/>
            </w14:solidFill>
          </w14:textFill>
          <w14:ligatures w14:val="none"/>
        </w:rPr>
        <w:t>would like to invite your participation in this survey by filling up the attached questionnaire. You are part of a randomly selected sample of respondents whose views on the research topic are important and therefore I am respectfully requesting that you complete the questionnaire.</w:t>
      </w:r>
    </w:p>
    <w:p w14:paraId="64725C2A">
      <w:pPr>
        <w:pStyle w:val="43"/>
        <w:rPr>
          <w:color w:val="000000" w:themeColor="text1"/>
          <w:lang w:val="en-GB"/>
          <w14:textFill>
            <w14:solidFill>
              <w14:schemeClr w14:val="tx1"/>
            </w14:solidFill>
          </w14:textFill>
        </w:rPr>
      </w:pPr>
    </w:p>
    <w:p w14:paraId="1246A57B">
      <w:pPr>
        <w:rPr>
          <w:color w:val="000000" w:themeColor="text1"/>
          <w:kern w:val="0"/>
          <w:lang w:val="en-GB"/>
          <w14:textFill>
            <w14:solidFill>
              <w14:schemeClr w14:val="tx1"/>
            </w14:solidFill>
          </w14:textFill>
          <w14:ligatures w14:val="none"/>
        </w:rPr>
      </w:pPr>
      <w:r>
        <w:rPr>
          <w:color w:val="000000" w:themeColor="text1"/>
          <w:kern w:val="0"/>
          <w:lang w:val="en-GB"/>
          <w14:textFill>
            <w14:solidFill>
              <w14:schemeClr w14:val="tx1"/>
            </w14:solidFill>
          </w14:textFill>
          <w14:ligatures w14:val="none"/>
        </w:rPr>
        <w:t>Your participation in this study is completely voluntary. You can withdraw from the study at any moment, without any consequences and without giving any reason. The questionnaire should not take more than ten minutes to complete. Please note that there are no correct or incorrect answers. Please answer the questions as accurately as possible. For each statement, select the option which best describes your experience or perception. Please note that all survey responses will be kept strictly confidential and all data from this survey will be reported only in the aggregate.</w:t>
      </w:r>
    </w:p>
    <w:p w14:paraId="3B471A94">
      <w:pPr>
        <w:rPr>
          <w:color w:val="000000" w:themeColor="text1"/>
          <w:kern w:val="0"/>
          <w:lang w:val="en-GB"/>
          <w14:textFill>
            <w14:solidFill>
              <w14:schemeClr w14:val="tx1"/>
            </w14:solidFill>
          </w14:textFill>
          <w14:ligatures w14:val="none"/>
        </w:rPr>
      </w:pPr>
    </w:p>
    <w:p w14:paraId="31D370C4">
      <w:pPr>
        <w:rPr>
          <w:color w:val="000000" w:themeColor="text1"/>
          <w:kern w:val="0"/>
          <w:lang w:val="en-GB"/>
          <w14:textFill>
            <w14:solidFill>
              <w14:schemeClr w14:val="tx1"/>
            </w14:solidFill>
          </w14:textFill>
          <w14:ligatures w14:val="none"/>
        </w:rPr>
      </w:pPr>
      <w:r>
        <w:rPr>
          <w:color w:val="000000" w:themeColor="text1"/>
          <w:kern w:val="0"/>
          <w:lang w:val="en-GB"/>
          <w14:textFill>
            <w14:solidFill>
              <w14:schemeClr w14:val="tx1"/>
            </w14:solidFill>
          </w14:textFill>
          <w14:ligatures w14:val="none"/>
        </w:rPr>
        <w:t>Yours truly</w:t>
      </w:r>
    </w:p>
    <w:p w14:paraId="1799D03E">
      <w:pPr>
        <w:rPr>
          <w:color w:val="000000" w:themeColor="text1"/>
          <w:kern w:val="0"/>
          <w:lang w:val="en-GB"/>
          <w14:textFill>
            <w14:solidFill>
              <w14:schemeClr w14:val="tx1"/>
            </w14:solidFill>
          </w14:textFill>
          <w14:ligatures w14:val="none"/>
        </w:rPr>
      </w:pPr>
    </w:p>
    <w:p w14:paraId="02D6A77B">
      <w:pPr>
        <w:rPr>
          <w:b/>
          <w:color w:val="000000" w:themeColor="text1"/>
          <w:kern w:val="0"/>
          <w:lang w:val="en-GB"/>
          <w14:textFill>
            <w14:solidFill>
              <w14:schemeClr w14:val="tx1"/>
            </w14:solidFill>
          </w14:textFill>
          <w14:ligatures w14:val="none"/>
        </w:rPr>
      </w:pPr>
      <w:r>
        <w:rPr>
          <w:rFonts w:cs="Times New Roman"/>
          <w:b/>
          <w:color w:val="000000" w:themeColor="text1"/>
          <w:kern w:val="0"/>
          <w:szCs w:val="24"/>
          <w14:textFill>
            <w14:solidFill>
              <w14:schemeClr w14:val="tx1"/>
            </w14:solidFill>
          </w14:textFill>
          <w14:ligatures w14:val="none"/>
        </w:rPr>
        <w:t>Sebastian Nduva</w:t>
      </w:r>
      <w:r>
        <w:rPr>
          <w:b/>
          <w:color w:val="000000" w:themeColor="text1"/>
          <w:kern w:val="0"/>
          <w:lang w:val="en-GB"/>
          <w14:textFill>
            <w14:solidFill>
              <w14:schemeClr w14:val="tx1"/>
            </w14:solidFill>
          </w14:textFill>
          <w14:ligatures w14:val="none"/>
        </w:rPr>
        <w:t xml:space="preserve"> </w:t>
      </w:r>
    </w:p>
    <w:p w14:paraId="7FE3BBB3">
      <w:pPr>
        <w:rPr>
          <w:b/>
          <w:color w:val="000000" w:themeColor="text1"/>
          <w:kern w:val="0"/>
          <w:lang w:val="en-GB"/>
          <w14:textFill>
            <w14:solidFill>
              <w14:schemeClr w14:val="tx1"/>
            </w14:solidFill>
          </w14:textFill>
          <w14:ligatures w14:val="none"/>
        </w:rPr>
      </w:pPr>
    </w:p>
    <w:p w14:paraId="5EA4ADB3">
      <w:pPr>
        <w:rPr>
          <w:b/>
          <w:color w:val="000000" w:themeColor="text1"/>
          <w:kern w:val="0"/>
          <w:lang w:val="en-GB"/>
          <w14:textFill>
            <w14:solidFill>
              <w14:schemeClr w14:val="tx1"/>
            </w14:solidFill>
          </w14:textFill>
          <w14:ligatures w14:val="none"/>
        </w:rPr>
      </w:pPr>
      <w:bookmarkStart w:id="81" w:name="_Toc24719544"/>
      <w:bookmarkStart w:id="82" w:name="_Toc101186358"/>
      <w:bookmarkStart w:id="83" w:name="_Toc533088994"/>
      <w:r>
        <w:rPr>
          <w:b/>
          <w:color w:val="000000" w:themeColor="text1"/>
          <w:kern w:val="0"/>
          <w:lang w:val="en-GB"/>
          <w14:textFill>
            <w14:solidFill>
              <w14:schemeClr w14:val="tx1"/>
            </w14:solidFill>
          </w14:textFill>
          <w14:ligatures w14:val="none"/>
        </w:rPr>
        <w:t>0723661348</w:t>
      </w:r>
    </w:p>
    <w:bookmarkEnd w:id="81"/>
    <w:bookmarkEnd w:id="82"/>
    <w:bookmarkEnd w:id="83"/>
    <w:p w14:paraId="6EA89D8B">
      <w:pPr>
        <w:spacing w:after="160" w:line="259" w:lineRule="auto"/>
        <w:jc w:val="left"/>
        <w:rPr>
          <w:rFonts w:eastAsia="Times New Roman" w:cs="Times New Roman"/>
          <w:b/>
          <w:bCs/>
          <w:color w:val="000000" w:themeColor="text1"/>
          <w:kern w:val="0"/>
          <w:szCs w:val="24"/>
          <w:lang w:val="en-GB"/>
          <w14:textFill>
            <w14:solidFill>
              <w14:schemeClr w14:val="tx1"/>
            </w14:solidFill>
          </w14:textFill>
          <w14:ligatures w14:val="none"/>
        </w:rPr>
      </w:pPr>
    </w:p>
    <w:p w14:paraId="55B0BE74">
      <w:pPr>
        <w:spacing w:after="160" w:line="259" w:lineRule="auto"/>
        <w:jc w:val="left"/>
        <w:rPr>
          <w:rFonts w:eastAsiaTheme="majorEastAsia" w:cstheme="majorBidi"/>
          <w:b/>
          <w:color w:val="000000" w:themeColor="text1"/>
          <w:szCs w:val="32"/>
          <w14:textFill>
            <w14:solidFill>
              <w14:schemeClr w14:val="tx1"/>
            </w14:solidFill>
          </w14:textFill>
        </w:rPr>
      </w:pPr>
      <w:bookmarkStart w:id="84" w:name="_Toc220497563"/>
      <w:bookmarkStart w:id="85" w:name="_Toc200011006"/>
      <w:r>
        <w:rPr>
          <w:color w:val="000000" w:themeColor="text1"/>
          <w14:textFill>
            <w14:solidFill>
              <w14:schemeClr w14:val="tx1"/>
            </w14:solidFill>
          </w14:textFill>
        </w:rPr>
        <w:br w:type="page"/>
      </w:r>
    </w:p>
    <w:p w14:paraId="788743C6">
      <w:pPr>
        <w:pStyle w:val="2"/>
      </w:pPr>
      <w:bookmarkStart w:id="86" w:name="_Toc225962322"/>
      <w:r>
        <w:t>APPENDIX II: CONSENT FORM</w:t>
      </w:r>
      <w:bookmarkEnd w:id="84"/>
      <w:bookmarkEnd w:id="85"/>
      <w:bookmarkEnd w:id="86"/>
    </w:p>
    <w:p w14:paraId="784008C0">
      <w:pPr>
        <w:rPr>
          <w:rFonts w:cs="Times New Roman"/>
          <w:color w:val="000000" w:themeColor="text1"/>
          <w:kern w:val="0"/>
          <w:szCs w:val="24"/>
          <w14:textFill>
            <w14:solidFill>
              <w14:schemeClr w14:val="tx1"/>
            </w14:solidFill>
          </w14:textFill>
          <w14:ligatures w14:val="none"/>
        </w:rPr>
      </w:pPr>
      <w:r>
        <w:rPr>
          <w:rFonts w:cs="Times New Roman"/>
          <w:color w:val="000000" w:themeColor="text1"/>
          <w:kern w:val="0"/>
          <w:szCs w:val="24"/>
          <w14:textFill>
            <w14:solidFill>
              <w14:schemeClr w14:val="tx1"/>
            </w14:solidFill>
          </w14:textFill>
          <w14:ligatures w14:val="none"/>
        </w:rPr>
        <w:t xml:space="preserve">I am Sebastian Nduva, a student at United States International University-Africa, where I am pursuing a </w:t>
      </w:r>
      <w:r>
        <w:rPr>
          <w:rFonts w:cs="Times New Roman"/>
          <w:bCs/>
          <w:color w:val="000000" w:themeColor="text1"/>
          <w:kern w:val="0"/>
          <w:szCs w:val="24"/>
          <w:lang w:val="en-GB"/>
          <w14:textFill>
            <w14:solidFill>
              <w14:schemeClr w14:val="tx1"/>
            </w14:solidFill>
          </w14:textFill>
          <w14:ligatures w14:val="none"/>
        </w:rPr>
        <w:t xml:space="preserve">Master of Science in Management and Organizational Development (MoD) </w:t>
      </w:r>
      <w:r>
        <w:rPr>
          <w:rFonts w:cs="Times New Roman"/>
          <w:color w:val="000000" w:themeColor="text1"/>
          <w:kern w:val="0"/>
          <w:szCs w:val="24"/>
          <w14:textFill>
            <w14:solidFill>
              <w14:schemeClr w14:val="tx1"/>
            </w14:solidFill>
          </w14:textFill>
          <w14:ligatures w14:val="none"/>
        </w:rPr>
        <w:t>degree. As part of my degree requirements, I am completing a research study, and I would like to include you in the study.</w:t>
      </w:r>
    </w:p>
    <w:p w14:paraId="4B9C9779">
      <w:pPr>
        <w:pStyle w:val="43"/>
        <w:rPr>
          <w:color w:val="000000" w:themeColor="text1"/>
          <w:sz w:val="22"/>
          <w:szCs w:val="20"/>
          <w14:textFill>
            <w14:solidFill>
              <w14:schemeClr w14:val="tx1"/>
            </w14:solidFill>
          </w14:textFill>
        </w:rPr>
      </w:pPr>
    </w:p>
    <w:p w14:paraId="516BE22F">
      <w:pPr>
        <w:rPr>
          <w:rFonts w:cs="Times New Roman"/>
          <w:color w:val="000000" w:themeColor="text1"/>
          <w:kern w:val="0"/>
          <w:szCs w:val="24"/>
          <w14:textFill>
            <w14:solidFill>
              <w14:schemeClr w14:val="tx1"/>
            </w14:solidFill>
          </w14:textFill>
          <w14:ligatures w14:val="none"/>
        </w:rPr>
      </w:pPr>
      <w:r>
        <w:rPr>
          <w:rFonts w:cs="Times New Roman"/>
          <w:color w:val="000000" w:themeColor="text1"/>
          <w:kern w:val="0"/>
          <w:szCs w:val="24"/>
          <w14:textFill>
            <w14:solidFill>
              <w14:schemeClr w14:val="tx1"/>
            </w14:solidFill>
          </w14:textFill>
          <w14:ligatures w14:val="none"/>
        </w:rPr>
        <w:t xml:space="preserve">Your written consent is required to participate so that I can confirm that you have been informed of the study and that you agree to participate. </w:t>
      </w:r>
    </w:p>
    <w:p w14:paraId="32D10E20">
      <w:pPr>
        <w:pStyle w:val="43"/>
        <w:rPr>
          <w:color w:val="000000" w:themeColor="text1"/>
          <w:sz w:val="22"/>
          <w:szCs w:val="20"/>
          <w14:textFill>
            <w14:solidFill>
              <w14:schemeClr w14:val="tx1"/>
            </w14:solidFill>
          </w14:textFill>
        </w:rPr>
      </w:pPr>
    </w:p>
    <w:p w14:paraId="1917AE6E">
      <w:pPr>
        <w:rPr>
          <w:rFonts w:cs="Times New Roman"/>
          <w:color w:val="000000" w:themeColor="text1"/>
          <w:kern w:val="0"/>
          <w:szCs w:val="24"/>
          <w14:textFill>
            <w14:solidFill>
              <w14:schemeClr w14:val="tx1"/>
            </w14:solidFill>
          </w14:textFill>
          <w14:ligatures w14:val="none"/>
        </w:rPr>
      </w:pPr>
      <w:r>
        <w:rPr>
          <w:rFonts w:cs="Times New Roman"/>
          <w:color w:val="000000" w:themeColor="text1"/>
          <w:kern w:val="0"/>
          <w:szCs w:val="24"/>
          <w14:textFill>
            <w14:solidFill>
              <w14:schemeClr w14:val="tx1"/>
            </w14:solidFill>
          </w14:textFill>
          <w14:ligatures w14:val="none"/>
        </w:rPr>
        <w:t xml:space="preserve">The purpose of the research is to investigating fertilizer subsidy reform strategies on smallholder farmers’ uptake of fertilizers in Kenya: A survey of Nakuru, Bungoma, and Meru counties. This is not an exam or a test, there is no deception in these questions, and there are no right or wrong answers. Simply answer the questions as honestly as you can. The questionnaire should take at least </w:t>
      </w:r>
      <w:r>
        <w:rPr>
          <w:rFonts w:cs="Times New Roman"/>
          <w:bCs/>
          <w:color w:val="000000" w:themeColor="text1"/>
          <w:kern w:val="0"/>
          <w:szCs w:val="24"/>
          <w14:textFill>
            <w14:solidFill>
              <w14:schemeClr w14:val="tx1"/>
            </w14:solidFill>
          </w14:textFill>
          <w14:ligatures w14:val="none"/>
        </w:rPr>
        <w:t>10</w:t>
      </w:r>
      <w:r>
        <w:rPr>
          <w:rFonts w:cs="Times New Roman"/>
          <w:color w:val="000000" w:themeColor="text1"/>
          <w:kern w:val="0"/>
          <w:szCs w:val="24"/>
          <w14:textFill>
            <w14:solidFill>
              <w14:schemeClr w14:val="tx1"/>
            </w14:solidFill>
          </w14:textFill>
          <w14:ligatures w14:val="none"/>
        </w:rPr>
        <w:t xml:space="preserve"> minutes to complete in one sitting.</w:t>
      </w:r>
    </w:p>
    <w:p w14:paraId="3C8B6C68">
      <w:pPr>
        <w:pStyle w:val="43"/>
        <w:rPr>
          <w:color w:val="000000" w:themeColor="text1"/>
          <w:sz w:val="18"/>
          <w:szCs w:val="16"/>
          <w14:textFill>
            <w14:solidFill>
              <w14:schemeClr w14:val="tx1"/>
            </w14:solidFill>
          </w14:textFill>
        </w:rPr>
      </w:pPr>
    </w:p>
    <w:p w14:paraId="4BCA9F55">
      <w:pPr>
        <w:spacing w:line="276" w:lineRule="auto"/>
        <w:rPr>
          <w:rFonts w:cs="Times New Roman"/>
          <w:b/>
          <w:bCs/>
          <w:color w:val="000000" w:themeColor="text1"/>
          <w:kern w:val="0"/>
          <w:szCs w:val="24"/>
          <w14:textFill>
            <w14:solidFill>
              <w14:schemeClr w14:val="tx1"/>
            </w14:solidFill>
          </w14:textFill>
          <w14:ligatures w14:val="none"/>
        </w:rPr>
      </w:pPr>
      <w:r>
        <w:rPr>
          <w:rFonts w:cs="Times New Roman"/>
          <w:b/>
          <w:bCs/>
          <w:color w:val="000000" w:themeColor="text1"/>
          <w:kern w:val="0"/>
          <w:szCs w:val="24"/>
          <w14:textFill>
            <w14:solidFill>
              <w14:schemeClr w14:val="tx1"/>
            </w14:solidFill>
          </w14:textFill>
          <w14:ligatures w14:val="none"/>
        </w:rPr>
        <w:t>Participant Rights</w:t>
      </w:r>
    </w:p>
    <w:p w14:paraId="374F59A5">
      <w:pPr>
        <w:spacing w:line="276" w:lineRule="auto"/>
        <w:rPr>
          <w:rFonts w:cs="Times New Roman"/>
          <w:color w:val="000000" w:themeColor="text1"/>
          <w:kern w:val="0"/>
          <w:szCs w:val="24"/>
          <w14:textFill>
            <w14:solidFill>
              <w14:schemeClr w14:val="tx1"/>
            </w14:solidFill>
          </w14:textFill>
          <w14:ligatures w14:val="none"/>
        </w:rPr>
      </w:pPr>
      <w:r>
        <w:rPr>
          <w:rFonts w:cs="Times New Roman"/>
          <w:color w:val="000000" w:themeColor="text1"/>
          <w:kern w:val="0"/>
          <w:szCs w:val="24"/>
          <w14:textFill>
            <w14:solidFill>
              <w14:schemeClr w14:val="tx1"/>
            </w14:solidFill>
          </w14:textFill>
          <w14:ligatures w14:val="none"/>
        </w:rPr>
        <w:t>You have the right to:</w:t>
      </w:r>
    </w:p>
    <w:p w14:paraId="7A2ED9A4">
      <w:pPr>
        <w:numPr>
          <w:ilvl w:val="0"/>
          <w:numId w:val="1"/>
        </w:numPr>
        <w:spacing w:line="276" w:lineRule="auto"/>
        <w:ind w:left="450"/>
        <w:contextualSpacing/>
        <w:rPr>
          <w:color w:val="000000" w:themeColor="text1"/>
          <w:kern w:val="0"/>
          <w14:textFill>
            <w14:solidFill>
              <w14:schemeClr w14:val="tx1"/>
            </w14:solidFill>
          </w14:textFill>
          <w14:ligatures w14:val="none"/>
        </w:rPr>
      </w:pPr>
      <w:r>
        <w:rPr>
          <w:b/>
          <w:bCs/>
          <w:color w:val="000000" w:themeColor="text1"/>
          <w:kern w:val="0"/>
          <w14:textFill>
            <w14:solidFill>
              <w14:schemeClr w14:val="tx1"/>
            </w14:solidFill>
          </w14:textFill>
          <w14:ligatures w14:val="none"/>
        </w:rPr>
        <w:t>Withdraw at Any Time</w:t>
      </w:r>
      <w:r>
        <w:rPr>
          <w:color w:val="000000" w:themeColor="text1"/>
          <w:kern w:val="0"/>
          <w14:textFill>
            <w14:solidFill>
              <w14:schemeClr w14:val="tx1"/>
            </w14:solidFill>
          </w14:textFill>
          <w14:ligatures w14:val="none"/>
        </w:rPr>
        <w:t>: You may withdraw from the study at any time without penalty or any loss of benefits to which you are otherwise entitled.</w:t>
      </w:r>
    </w:p>
    <w:p w14:paraId="72606C73">
      <w:pPr>
        <w:numPr>
          <w:ilvl w:val="0"/>
          <w:numId w:val="1"/>
        </w:numPr>
        <w:spacing w:line="276" w:lineRule="auto"/>
        <w:ind w:left="450"/>
        <w:contextualSpacing/>
        <w:rPr>
          <w:color w:val="000000" w:themeColor="text1"/>
          <w:kern w:val="0"/>
          <w14:textFill>
            <w14:solidFill>
              <w14:schemeClr w14:val="tx1"/>
            </w14:solidFill>
          </w14:textFill>
          <w14:ligatures w14:val="none"/>
        </w:rPr>
      </w:pPr>
      <w:r>
        <w:rPr>
          <w:b/>
          <w:bCs/>
          <w:color w:val="000000" w:themeColor="text1"/>
          <w:kern w:val="0"/>
          <w14:textFill>
            <w14:solidFill>
              <w14:schemeClr w14:val="tx1"/>
            </w14:solidFill>
          </w14:textFill>
          <w14:ligatures w14:val="none"/>
        </w:rPr>
        <w:t>Confidentiality</w:t>
      </w:r>
      <w:r>
        <w:rPr>
          <w:color w:val="000000" w:themeColor="text1"/>
          <w:kern w:val="0"/>
          <w14:textFill>
            <w14:solidFill>
              <w14:schemeClr w14:val="tx1"/>
            </w14:solidFill>
          </w14:textFill>
          <w14:ligatures w14:val="none"/>
        </w:rPr>
        <w:t>: Your participation and responses will be kept confidential. Your identity will not be disclosed in any reports or publications resulting from this study.</w:t>
      </w:r>
    </w:p>
    <w:p w14:paraId="782D6BFD">
      <w:pPr>
        <w:numPr>
          <w:ilvl w:val="0"/>
          <w:numId w:val="1"/>
        </w:numPr>
        <w:spacing w:line="276" w:lineRule="auto"/>
        <w:ind w:left="450"/>
        <w:contextualSpacing/>
        <w:rPr>
          <w:color w:val="000000" w:themeColor="text1"/>
          <w:kern w:val="0"/>
          <w14:textFill>
            <w14:solidFill>
              <w14:schemeClr w14:val="tx1"/>
            </w14:solidFill>
          </w14:textFill>
          <w14:ligatures w14:val="none"/>
        </w:rPr>
      </w:pPr>
      <w:r>
        <w:rPr>
          <w:b/>
          <w:bCs/>
          <w:color w:val="000000" w:themeColor="text1"/>
          <w:kern w:val="0"/>
          <w14:textFill>
            <w14:solidFill>
              <w14:schemeClr w14:val="tx1"/>
            </w14:solidFill>
          </w14:textFill>
          <w14:ligatures w14:val="none"/>
        </w:rPr>
        <w:t>Informed Consent</w:t>
      </w:r>
      <w:r>
        <w:rPr>
          <w:color w:val="000000" w:themeColor="text1"/>
          <w:kern w:val="0"/>
          <w14:textFill>
            <w14:solidFill>
              <w14:schemeClr w14:val="tx1"/>
            </w14:solidFill>
          </w14:textFill>
          <w14:ligatures w14:val="none"/>
        </w:rPr>
        <w:t>: You will be informed of any significant new findings that may affect your willingness to continue participating in the research.</w:t>
      </w:r>
    </w:p>
    <w:p w14:paraId="0194BEA0">
      <w:pPr>
        <w:pStyle w:val="43"/>
        <w:rPr>
          <w:color w:val="000000" w:themeColor="text1"/>
          <w14:textFill>
            <w14:solidFill>
              <w14:schemeClr w14:val="tx1"/>
            </w14:solidFill>
          </w14:textFill>
        </w:rPr>
      </w:pPr>
    </w:p>
    <w:p w14:paraId="4261C163">
      <w:pPr>
        <w:spacing w:line="276" w:lineRule="auto"/>
        <w:rPr>
          <w:rFonts w:cs="Times New Roman"/>
          <w:b/>
          <w:bCs/>
          <w:color w:val="000000" w:themeColor="text1"/>
          <w:kern w:val="0"/>
          <w:szCs w:val="24"/>
          <w14:textFill>
            <w14:solidFill>
              <w14:schemeClr w14:val="tx1"/>
            </w14:solidFill>
          </w14:textFill>
          <w14:ligatures w14:val="none"/>
        </w:rPr>
      </w:pPr>
      <w:r>
        <w:rPr>
          <w:rFonts w:cs="Times New Roman"/>
          <w:b/>
          <w:bCs/>
          <w:color w:val="000000" w:themeColor="text1"/>
          <w:kern w:val="0"/>
          <w:szCs w:val="24"/>
          <w14:textFill>
            <w14:solidFill>
              <w14:schemeClr w14:val="tx1"/>
            </w14:solidFill>
          </w14:textFill>
          <w14:ligatures w14:val="none"/>
        </w:rPr>
        <w:t>My Consent to Participate:</w:t>
      </w:r>
    </w:p>
    <w:p w14:paraId="3B44D4D3">
      <w:pPr>
        <w:spacing w:line="276" w:lineRule="auto"/>
        <w:rPr>
          <w:rFonts w:cs="Times New Roman"/>
          <w:color w:val="000000" w:themeColor="text1"/>
          <w:kern w:val="0"/>
          <w:szCs w:val="24"/>
          <w14:textFill>
            <w14:solidFill>
              <w14:schemeClr w14:val="tx1"/>
            </w14:solidFill>
          </w14:textFill>
          <w14:ligatures w14:val="none"/>
        </w:rPr>
      </w:pPr>
      <w:r>
        <w:rPr>
          <w:rFonts w:cs="Times New Roman"/>
          <w:color w:val="000000" w:themeColor="text1"/>
          <w:kern w:val="0"/>
          <w:szCs w:val="24"/>
          <w14:textFill>
            <w14:solidFill>
              <w14:schemeClr w14:val="tx1"/>
            </w14:solidFill>
          </w14:textFill>
          <w14:ligatures w14:val="none"/>
        </w:rPr>
        <w:t>By signing below, I consent to participate in this study.</w:t>
      </w:r>
    </w:p>
    <w:p w14:paraId="5AA56A22">
      <w:pPr>
        <w:spacing w:line="276" w:lineRule="auto"/>
        <w:rPr>
          <w:rFonts w:cs="Times New Roman"/>
          <w:color w:val="000000" w:themeColor="text1"/>
          <w:kern w:val="0"/>
          <w:szCs w:val="24"/>
          <w14:textFill>
            <w14:solidFill>
              <w14:schemeClr w14:val="tx1"/>
            </w14:solidFill>
          </w14:textFill>
          <w14:ligatures w14:val="none"/>
        </w:rPr>
      </w:pPr>
      <w:r>
        <w:rPr>
          <w:rFonts w:cs="Times New Roman"/>
          <w:color w:val="000000" w:themeColor="text1"/>
          <w:kern w:val="0"/>
          <w:szCs w:val="24"/>
          <w14:textFill>
            <w14:solidFill>
              <w14:schemeClr w14:val="tx1"/>
            </w14:solidFill>
          </w14:textFill>
          <w14:ligatures w14:val="none"/>
        </w:rPr>
        <w:t>________________________________________________________________________</w:t>
      </w:r>
    </w:p>
    <w:p w14:paraId="16E57F22">
      <w:pPr>
        <w:spacing w:line="276" w:lineRule="auto"/>
        <w:rPr>
          <w:rFonts w:cs="Times New Roman"/>
          <w:color w:val="000000" w:themeColor="text1"/>
          <w:kern w:val="0"/>
          <w:szCs w:val="24"/>
          <w14:textFill>
            <w14:solidFill>
              <w14:schemeClr w14:val="tx1"/>
            </w14:solidFill>
          </w14:textFill>
          <w14:ligatures w14:val="none"/>
        </w:rPr>
      </w:pPr>
      <w:r>
        <w:rPr>
          <w:rFonts w:cs="Times New Roman"/>
          <w:color w:val="000000" w:themeColor="text1"/>
          <w:kern w:val="0"/>
          <w:szCs w:val="24"/>
          <w14:textFill>
            <w14:solidFill>
              <w14:schemeClr w14:val="tx1"/>
            </w14:solidFill>
          </w14:textFill>
          <w14:ligatures w14:val="none"/>
        </w:rPr>
        <w:t xml:space="preserve">Signature of Participant </w:t>
      </w:r>
      <w:r>
        <w:rPr>
          <w:rFonts w:cs="Times New Roman"/>
          <w:color w:val="000000" w:themeColor="text1"/>
          <w:kern w:val="0"/>
          <w:szCs w:val="24"/>
          <w14:textFill>
            <w14:solidFill>
              <w14:schemeClr w14:val="tx1"/>
            </w14:solidFill>
          </w14:textFill>
          <w14:ligatures w14:val="none"/>
        </w:rPr>
        <w:tab/>
      </w:r>
      <w:r>
        <w:rPr>
          <w:rFonts w:cs="Times New Roman"/>
          <w:color w:val="000000" w:themeColor="text1"/>
          <w:kern w:val="0"/>
          <w:szCs w:val="24"/>
          <w14:textFill>
            <w14:solidFill>
              <w14:schemeClr w14:val="tx1"/>
            </w14:solidFill>
          </w14:textFill>
          <w14:ligatures w14:val="none"/>
        </w:rPr>
        <w:tab/>
      </w:r>
      <w:r>
        <w:rPr>
          <w:rFonts w:cs="Times New Roman"/>
          <w:color w:val="000000" w:themeColor="text1"/>
          <w:kern w:val="0"/>
          <w:szCs w:val="24"/>
          <w14:textFill>
            <w14:solidFill>
              <w14:schemeClr w14:val="tx1"/>
            </w14:solidFill>
          </w14:textFill>
          <w14:ligatures w14:val="none"/>
        </w:rPr>
        <w:tab/>
      </w:r>
      <w:r>
        <w:rPr>
          <w:rFonts w:cs="Times New Roman"/>
          <w:color w:val="000000" w:themeColor="text1"/>
          <w:kern w:val="0"/>
          <w:szCs w:val="24"/>
          <w14:textFill>
            <w14:solidFill>
              <w14:schemeClr w14:val="tx1"/>
            </w14:solidFill>
          </w14:textFill>
          <w14:ligatures w14:val="none"/>
        </w:rPr>
        <w:tab/>
      </w:r>
      <w:r>
        <w:rPr>
          <w:rFonts w:cs="Times New Roman"/>
          <w:color w:val="000000" w:themeColor="text1"/>
          <w:kern w:val="0"/>
          <w:szCs w:val="24"/>
          <w14:textFill>
            <w14:solidFill>
              <w14:schemeClr w14:val="tx1"/>
            </w14:solidFill>
          </w14:textFill>
          <w14:ligatures w14:val="none"/>
        </w:rPr>
        <w:t>Date</w:t>
      </w:r>
    </w:p>
    <w:p w14:paraId="7D4AFA96">
      <w:pPr>
        <w:spacing w:line="276" w:lineRule="auto"/>
        <w:rPr>
          <w:rFonts w:cs="Times New Roman"/>
          <w:color w:val="000000" w:themeColor="text1"/>
          <w:kern w:val="0"/>
          <w:szCs w:val="24"/>
          <w14:textFill>
            <w14:solidFill>
              <w14:schemeClr w14:val="tx1"/>
            </w14:solidFill>
          </w14:textFill>
          <w14:ligatures w14:val="none"/>
        </w:rPr>
      </w:pPr>
      <w:r>
        <w:rPr>
          <w:rFonts w:cs="Times New Roman"/>
          <w:color w:val="000000" w:themeColor="text1"/>
          <w:kern w:val="0"/>
          <w:szCs w:val="24"/>
          <w14:textFill>
            <w14:solidFill>
              <w14:schemeClr w14:val="tx1"/>
            </w14:solidFill>
          </w14:textFill>
          <w14:ligatures w14:val="none"/>
        </w:rPr>
        <w:t>________________________________________________________________________</w:t>
      </w:r>
    </w:p>
    <w:p w14:paraId="407C5862">
      <w:pPr>
        <w:spacing w:line="276" w:lineRule="auto"/>
        <w:rPr>
          <w:rFonts w:cs="Times New Roman"/>
          <w:color w:val="000000" w:themeColor="text1"/>
          <w:kern w:val="0"/>
          <w:szCs w:val="24"/>
          <w14:textFill>
            <w14:solidFill>
              <w14:schemeClr w14:val="tx1"/>
            </w14:solidFill>
          </w14:textFill>
          <w14:ligatures w14:val="none"/>
        </w:rPr>
      </w:pPr>
      <w:r>
        <w:rPr>
          <w:rFonts w:cs="Times New Roman"/>
          <w:color w:val="000000" w:themeColor="text1"/>
          <w:kern w:val="0"/>
          <w:szCs w:val="24"/>
          <w14:textFill>
            <w14:solidFill>
              <w14:schemeClr w14:val="tx1"/>
            </w14:solidFill>
          </w14:textFill>
          <w14:ligatures w14:val="none"/>
        </w:rPr>
        <w:t>Principal Researcher                                                   Date</w:t>
      </w:r>
    </w:p>
    <w:p w14:paraId="7D57863C">
      <w:pPr>
        <w:pStyle w:val="43"/>
        <w:rPr>
          <w:color w:val="000000" w:themeColor="text1"/>
          <w14:textFill>
            <w14:solidFill>
              <w14:schemeClr w14:val="tx1"/>
            </w14:solidFill>
          </w14:textFill>
        </w:rPr>
      </w:pPr>
    </w:p>
    <w:p w14:paraId="21C59573">
      <w:pPr>
        <w:spacing w:line="276" w:lineRule="auto"/>
        <w:rPr>
          <w:rFonts w:cs="Times New Roman"/>
          <w:color w:val="000000" w:themeColor="text1"/>
          <w:kern w:val="0"/>
          <w:szCs w:val="24"/>
          <w14:textFill>
            <w14:solidFill>
              <w14:schemeClr w14:val="tx1"/>
            </w14:solidFill>
          </w14:textFill>
          <w14:ligatures w14:val="none"/>
        </w:rPr>
      </w:pPr>
      <w:r>
        <w:rPr>
          <w:rFonts w:cs="Times New Roman"/>
          <w:color w:val="000000" w:themeColor="text1"/>
          <w:kern w:val="0"/>
          <w:szCs w:val="24"/>
          <w14:textFill>
            <w14:solidFill>
              <w14:schemeClr w14:val="tx1"/>
            </w14:solidFill>
          </w14:textFill>
          <w14:ligatures w14:val="none"/>
        </w:rPr>
        <w:t>Thank you once again for your participation.</w:t>
      </w:r>
    </w:p>
    <w:p w14:paraId="340314C0">
      <w:pPr>
        <w:pStyle w:val="43"/>
        <w:rPr>
          <w:color w:val="000000" w:themeColor="text1"/>
          <w14:textFill>
            <w14:solidFill>
              <w14:schemeClr w14:val="tx1"/>
            </w14:solidFill>
          </w14:textFill>
        </w:rPr>
      </w:pPr>
    </w:p>
    <w:p w14:paraId="753FD786">
      <w:pPr>
        <w:spacing w:line="276" w:lineRule="auto"/>
        <w:rPr>
          <w:rFonts w:cs="Times New Roman"/>
          <w:color w:val="000000" w:themeColor="text1"/>
          <w:kern w:val="0"/>
          <w:szCs w:val="24"/>
          <w14:textFill>
            <w14:solidFill>
              <w14:schemeClr w14:val="tx1"/>
            </w14:solidFill>
          </w14:textFill>
          <w14:ligatures w14:val="none"/>
        </w:rPr>
      </w:pPr>
      <w:r>
        <w:rPr>
          <w:rFonts w:cs="Times New Roman"/>
          <w:color w:val="000000" w:themeColor="text1"/>
          <w:kern w:val="0"/>
          <w:szCs w:val="24"/>
          <w14:textFill>
            <w14:solidFill>
              <w14:schemeClr w14:val="tx1"/>
            </w14:solidFill>
          </w14:textFill>
          <w14:ligatures w14:val="none"/>
        </w:rPr>
        <w:t>Sincerely,</w:t>
      </w:r>
    </w:p>
    <w:p w14:paraId="2D3C1E5A">
      <w:pPr>
        <w:pStyle w:val="43"/>
        <w:rPr>
          <w:color w:val="000000" w:themeColor="text1"/>
          <w14:textFill>
            <w14:solidFill>
              <w14:schemeClr w14:val="tx1"/>
            </w14:solidFill>
          </w14:textFill>
        </w:rPr>
      </w:pPr>
    </w:p>
    <w:p w14:paraId="7665211C">
      <w:pPr>
        <w:spacing w:line="276" w:lineRule="auto"/>
        <w:rPr>
          <w:rFonts w:cs="Times New Roman"/>
          <w:b/>
          <w:color w:val="000000" w:themeColor="text1"/>
          <w:kern w:val="0"/>
          <w:szCs w:val="24"/>
          <w14:textFill>
            <w14:solidFill>
              <w14:schemeClr w14:val="tx1"/>
            </w14:solidFill>
          </w14:textFill>
          <w14:ligatures w14:val="none"/>
        </w:rPr>
      </w:pPr>
      <w:r>
        <w:rPr>
          <w:rFonts w:cs="Times New Roman"/>
          <w:b/>
          <w:color w:val="000000" w:themeColor="text1"/>
          <w:kern w:val="0"/>
          <w:szCs w:val="24"/>
          <w14:textFill>
            <w14:solidFill>
              <w14:schemeClr w14:val="tx1"/>
            </w14:solidFill>
          </w14:textFill>
          <w14:ligatures w14:val="none"/>
        </w:rPr>
        <w:t>Sebastian Nduva</w:t>
      </w:r>
    </w:p>
    <w:p w14:paraId="5742C810">
      <w:pPr>
        <w:spacing w:line="276" w:lineRule="auto"/>
        <w:rPr>
          <w:rFonts w:eastAsiaTheme="majorEastAsia" w:cstheme="majorBidi"/>
          <w:b/>
          <w:color w:val="000000" w:themeColor="text1"/>
          <w:szCs w:val="32"/>
          <w14:textFill>
            <w14:solidFill>
              <w14:schemeClr w14:val="tx1"/>
            </w14:solidFill>
          </w14:textFill>
        </w:rPr>
      </w:pPr>
      <w:r>
        <w:rPr>
          <w:rFonts w:cs="Times New Roman"/>
          <w:b/>
          <w:bCs/>
          <w:color w:val="000000" w:themeColor="text1"/>
          <w:kern w:val="0"/>
          <w:szCs w:val="24"/>
          <w14:textFill>
            <w14:solidFill>
              <w14:schemeClr w14:val="tx1"/>
            </w14:solidFill>
          </w14:textFill>
          <w14:ligatures w14:val="none"/>
        </w:rPr>
        <w:t>United States International University-Africa</w:t>
      </w:r>
      <w:bookmarkStart w:id="87" w:name="_Toc200011007"/>
      <w:bookmarkStart w:id="88" w:name="_Toc220497564"/>
      <w:r>
        <w:rPr>
          <w:color w:val="000000" w:themeColor="text1"/>
          <w14:textFill>
            <w14:solidFill>
              <w14:schemeClr w14:val="tx1"/>
            </w14:solidFill>
          </w14:textFill>
        </w:rPr>
        <w:br w:type="page"/>
      </w:r>
    </w:p>
    <w:p w14:paraId="3801F07E">
      <w:pPr>
        <w:pStyle w:val="2"/>
      </w:pPr>
      <w:bookmarkStart w:id="89" w:name="_Toc225962323"/>
      <w:r>
        <w:t>APPENDIX III: DEBRIEF FORM</w:t>
      </w:r>
      <w:bookmarkEnd w:id="87"/>
      <w:bookmarkEnd w:id="88"/>
      <w:bookmarkEnd w:id="89"/>
    </w:p>
    <w:p w14:paraId="3D73F414">
      <w:pPr>
        <w:rPr>
          <w:rFonts w:eastAsia="Calibri" w:cs="Times New Roman"/>
          <w:color w:val="000000" w:themeColor="text1"/>
          <w:kern w:val="0"/>
          <w:szCs w:val="24"/>
          <w14:textFill>
            <w14:solidFill>
              <w14:schemeClr w14:val="tx1"/>
            </w14:solidFill>
          </w14:textFill>
          <w14:ligatures w14:val="none"/>
        </w:rPr>
      </w:pPr>
      <w:r>
        <w:rPr>
          <w:rFonts w:eastAsia="Calibri" w:cs="Times New Roman"/>
          <w:color w:val="000000" w:themeColor="text1"/>
          <w:kern w:val="0"/>
          <w:szCs w:val="24"/>
          <w14:textFill>
            <w14:solidFill>
              <w14:schemeClr w14:val="tx1"/>
            </w14:solidFill>
          </w14:textFill>
          <w14:ligatures w14:val="none"/>
        </w:rPr>
        <w:t>Thank you for participating in this research study.</w:t>
      </w:r>
    </w:p>
    <w:p w14:paraId="24678918">
      <w:pPr>
        <w:rPr>
          <w:rFonts w:eastAsia="Calibri" w:cs="Times New Roman"/>
          <w:color w:val="000000" w:themeColor="text1"/>
          <w:kern w:val="0"/>
          <w:szCs w:val="24"/>
          <w14:textFill>
            <w14:solidFill>
              <w14:schemeClr w14:val="tx1"/>
            </w14:solidFill>
          </w14:textFill>
          <w14:ligatures w14:val="none"/>
        </w:rPr>
      </w:pPr>
    </w:p>
    <w:p w14:paraId="330331CA">
      <w:pPr>
        <w:rPr>
          <w:rFonts w:eastAsia="Calibri" w:cs="Times New Roman"/>
          <w:color w:val="000000" w:themeColor="text1"/>
          <w:kern w:val="0"/>
          <w:szCs w:val="24"/>
          <w14:textFill>
            <w14:solidFill>
              <w14:schemeClr w14:val="tx1"/>
            </w14:solidFill>
          </w14:textFill>
          <w14:ligatures w14:val="none"/>
        </w:rPr>
      </w:pPr>
      <w:r>
        <w:rPr>
          <w:rFonts w:eastAsia="Calibri" w:cs="Times New Roman"/>
          <w:color w:val="000000" w:themeColor="text1"/>
          <w:kern w:val="0"/>
          <w:szCs w:val="24"/>
          <w14:textFill>
            <w14:solidFill>
              <w14:schemeClr w14:val="tx1"/>
            </w14:solidFill>
          </w14:textFill>
          <w14:ligatures w14:val="none"/>
        </w:rPr>
        <w:t xml:space="preserve">The purpose of the research is to </w:t>
      </w:r>
      <w:r>
        <w:rPr>
          <w:rFonts w:cs="Times New Roman"/>
          <w:color w:val="000000" w:themeColor="text1"/>
          <w:kern w:val="0"/>
          <w:szCs w:val="24"/>
          <w14:textFill>
            <w14:solidFill>
              <w14:schemeClr w14:val="tx1"/>
            </w14:solidFill>
          </w14:textFill>
          <w14:ligatures w14:val="none"/>
        </w:rPr>
        <w:t>investigating fertilizer subsidy reform strategies on smallholder farmers’ uptake of fertilizers in Kenya</w:t>
      </w:r>
      <w:r>
        <w:rPr>
          <w:rFonts w:eastAsia="Calibri" w:cs="Times New Roman"/>
          <w:color w:val="000000" w:themeColor="text1"/>
          <w:kern w:val="0"/>
          <w:szCs w:val="24"/>
          <w14:textFill>
            <w14:solidFill>
              <w14:schemeClr w14:val="tx1"/>
            </w14:solidFill>
          </w14:textFill>
          <w14:ligatures w14:val="none"/>
        </w:rPr>
        <w:t>.</w:t>
      </w:r>
    </w:p>
    <w:p w14:paraId="1C99E495">
      <w:pPr>
        <w:rPr>
          <w:rFonts w:eastAsia="Calibri" w:cs="Times New Roman"/>
          <w:color w:val="000000" w:themeColor="text1"/>
          <w:kern w:val="0"/>
          <w:szCs w:val="24"/>
          <w14:textFill>
            <w14:solidFill>
              <w14:schemeClr w14:val="tx1"/>
            </w14:solidFill>
          </w14:textFill>
          <w14:ligatures w14:val="none"/>
        </w:rPr>
      </w:pPr>
    </w:p>
    <w:p w14:paraId="56E2E592">
      <w:pPr>
        <w:rPr>
          <w:rFonts w:eastAsia="Calibri" w:cs="Times New Roman"/>
          <w:color w:val="000000" w:themeColor="text1"/>
          <w:kern w:val="0"/>
          <w:szCs w:val="24"/>
          <w14:textFill>
            <w14:solidFill>
              <w14:schemeClr w14:val="tx1"/>
            </w14:solidFill>
          </w14:textFill>
          <w14:ligatures w14:val="none"/>
        </w:rPr>
      </w:pPr>
      <w:r>
        <w:rPr>
          <w:rFonts w:eastAsia="Calibri" w:cs="Times New Roman"/>
          <w:color w:val="000000" w:themeColor="text1"/>
          <w:kern w:val="0"/>
          <w:szCs w:val="24"/>
          <w14:textFill>
            <w14:solidFill>
              <w14:schemeClr w14:val="tx1"/>
            </w14:solidFill>
          </w14:textFill>
          <w14:ligatures w14:val="none"/>
        </w:rPr>
        <w:t xml:space="preserve">Your participation will help researchers gain more insight on the </w:t>
      </w:r>
      <w:r>
        <w:rPr>
          <w:rFonts w:cs="Times New Roman"/>
          <w:color w:val="000000" w:themeColor="text1"/>
          <w:kern w:val="0"/>
          <w:szCs w:val="24"/>
          <w14:textFill>
            <w14:solidFill>
              <w14:schemeClr w14:val="tx1"/>
            </w14:solidFill>
          </w14:textFill>
          <w14:ligatures w14:val="none"/>
        </w:rPr>
        <w:t>investigation on fertilizer subsidy reform strategies on smallholder farmers’ uptake of fertilizers in Kenya</w:t>
      </w:r>
      <w:r>
        <w:rPr>
          <w:rFonts w:eastAsia="Calibri" w:cs="Times New Roman"/>
          <w:color w:val="000000" w:themeColor="text1"/>
          <w:kern w:val="0"/>
          <w:szCs w:val="24"/>
          <w14:textFill>
            <w14:solidFill>
              <w14:schemeClr w14:val="tx1"/>
            </w14:solidFill>
          </w14:textFill>
          <w14:ligatures w14:val="none"/>
        </w:rPr>
        <w:t>.</w:t>
      </w:r>
    </w:p>
    <w:p w14:paraId="598DE9C7">
      <w:pPr>
        <w:rPr>
          <w:rFonts w:eastAsia="Calibri" w:cs="Times New Roman"/>
          <w:color w:val="000000" w:themeColor="text1"/>
          <w:kern w:val="0"/>
          <w:szCs w:val="24"/>
          <w14:textFill>
            <w14:solidFill>
              <w14:schemeClr w14:val="tx1"/>
            </w14:solidFill>
          </w14:textFill>
          <w14:ligatures w14:val="none"/>
        </w:rPr>
      </w:pPr>
    </w:p>
    <w:p w14:paraId="344E6C08">
      <w:pPr>
        <w:rPr>
          <w:rFonts w:eastAsia="Calibri" w:cs="Times New Roman"/>
          <w:color w:val="000000" w:themeColor="text1"/>
          <w:kern w:val="0"/>
          <w:szCs w:val="24"/>
          <w14:textFill>
            <w14:solidFill>
              <w14:schemeClr w14:val="tx1"/>
            </w14:solidFill>
          </w14:textFill>
          <w14:ligatures w14:val="none"/>
        </w:rPr>
      </w:pPr>
      <w:r>
        <w:rPr>
          <w:rFonts w:eastAsia="Calibri" w:cs="Times New Roman"/>
          <w:color w:val="000000" w:themeColor="text1"/>
          <w:kern w:val="0"/>
          <w:szCs w:val="24"/>
          <w14:textFill>
            <w14:solidFill>
              <w14:schemeClr w14:val="tx1"/>
            </w14:solidFill>
          </w14:textFill>
          <w14:ligatures w14:val="none"/>
        </w:rPr>
        <w:t>In the event you have any distressful reactions to the questions presented to you in this study, you are free to share any concerns with me or any of the adult facilitators.</w:t>
      </w:r>
    </w:p>
    <w:p w14:paraId="3F934899">
      <w:pPr>
        <w:rPr>
          <w:rFonts w:eastAsia="Calibri" w:cs="Times New Roman"/>
          <w:color w:val="000000" w:themeColor="text1"/>
          <w:kern w:val="0"/>
          <w:szCs w:val="24"/>
          <w14:textFill>
            <w14:solidFill>
              <w14:schemeClr w14:val="tx1"/>
            </w14:solidFill>
          </w14:textFill>
          <w14:ligatures w14:val="none"/>
        </w:rPr>
      </w:pPr>
    </w:p>
    <w:p w14:paraId="1054D952">
      <w:pPr>
        <w:rPr>
          <w:b/>
          <w:color w:val="000000" w:themeColor="text1"/>
          <w:kern w:val="0"/>
          <w14:textFill>
            <w14:solidFill>
              <w14:schemeClr w14:val="tx1"/>
            </w14:solidFill>
          </w14:textFill>
          <w14:ligatures w14:val="none"/>
        </w:rPr>
      </w:pPr>
      <w:r>
        <w:rPr>
          <w:color w:val="000000" w:themeColor="text1"/>
          <w:kern w:val="0"/>
          <w14:textFill>
            <w14:solidFill>
              <w14:schemeClr w14:val="tx1"/>
            </w14:solidFill>
          </w14:textFill>
          <w14:ligatures w14:val="none"/>
        </w:rPr>
        <w:t>If you have further questions about the study, please contact (Sebastian Nduva</w:t>
      </w:r>
      <w:r>
        <w:rPr>
          <w:color w:val="000000" w:themeColor="text1"/>
          <w:kern w:val="0"/>
          <w:lang w:val="en-GB"/>
          <w14:textFill>
            <w14:solidFill>
              <w14:schemeClr w14:val="tx1"/>
            </w14:solidFill>
          </w14:textFill>
          <w14:ligatures w14:val="none"/>
        </w:rPr>
        <w:t>/0723661348</w:t>
      </w:r>
      <w:r>
        <w:rPr>
          <w:color w:val="000000" w:themeColor="text1"/>
          <w:kern w:val="0"/>
          <w14:textFill>
            <w14:solidFill>
              <w14:schemeClr w14:val="tx1"/>
            </w14:solidFill>
          </w14:textFill>
          <w14:ligatures w14:val="none"/>
        </w:rPr>
        <w:t>). In addition, if you have any concerns about any aspect of the study, you may contact (</w:t>
      </w:r>
      <w:r>
        <w:rPr>
          <w:color w:val="000000" w:themeColor="text1"/>
          <w14:textFill>
            <w14:solidFill>
              <w14:schemeClr w14:val="tx1"/>
            </w14:solidFill>
          </w14:textFill>
        </w:rPr>
        <w:t>Prof. Paul Katuse</w:t>
      </w:r>
      <w:r>
        <w:rPr>
          <w:color w:val="000000" w:themeColor="text1"/>
          <w:kern w:val="0"/>
          <w14:textFill>
            <w14:solidFill>
              <w14:schemeClr w14:val="tx1"/>
            </w14:solidFill>
          </w14:textFill>
          <w14:ligatures w14:val="none"/>
        </w:rPr>
        <w:t>), Chandaria School of Business, off USIU road, off Thika road (Exit7), P.O. Box 14634-00800, Nairobi Kenya.</w:t>
      </w:r>
    </w:p>
    <w:p w14:paraId="2221DA0F">
      <w:pPr>
        <w:rPr>
          <w:color w:val="000000" w:themeColor="text1"/>
          <w:kern w:val="0"/>
          <w14:textFill>
            <w14:solidFill>
              <w14:schemeClr w14:val="tx1"/>
            </w14:solidFill>
          </w14:textFill>
          <w14:ligatures w14:val="none"/>
        </w:rPr>
      </w:pPr>
    </w:p>
    <w:p w14:paraId="07B73EEE">
      <w:pPr>
        <w:rPr>
          <w:b/>
          <w:color w:val="000000" w:themeColor="text1"/>
          <w:kern w:val="0"/>
          <w:lang w:val="en-GB"/>
          <w14:textFill>
            <w14:solidFill>
              <w14:schemeClr w14:val="tx1"/>
            </w14:solidFill>
          </w14:textFill>
          <w14:ligatures w14:val="none"/>
        </w:rPr>
      </w:pPr>
      <w:r>
        <w:rPr>
          <w:b/>
          <w:color w:val="000000" w:themeColor="text1"/>
          <w:kern w:val="0"/>
          <w14:textFill>
            <w14:solidFill>
              <w14:schemeClr w14:val="tx1"/>
            </w14:solidFill>
          </w14:textFill>
          <w14:ligatures w14:val="none"/>
        </w:rPr>
        <w:t xml:space="preserve">Telephone: </w:t>
      </w:r>
      <w:r>
        <w:rPr>
          <w:b/>
          <w:color w:val="000000" w:themeColor="text1"/>
          <w:kern w:val="0"/>
          <w:lang w:val="en-GB"/>
          <w14:textFill>
            <w14:solidFill>
              <w14:schemeClr w14:val="tx1"/>
            </w14:solidFill>
          </w14:textFill>
          <w14:ligatures w14:val="none"/>
        </w:rPr>
        <w:t>0723661348</w:t>
      </w:r>
    </w:p>
    <w:p w14:paraId="1BF5DCE5">
      <w:pPr>
        <w:spacing w:before="240"/>
        <w:rPr>
          <w:rFonts w:eastAsia="Calibri" w:cs="Times New Roman"/>
          <w:b/>
          <w:color w:val="000000" w:themeColor="text1"/>
          <w:kern w:val="0"/>
          <w:szCs w:val="24"/>
          <w14:textFill>
            <w14:solidFill>
              <w14:schemeClr w14:val="tx1"/>
            </w14:solidFill>
          </w14:textFill>
          <w14:ligatures w14:val="none"/>
        </w:rPr>
      </w:pPr>
    </w:p>
    <w:p w14:paraId="42280C04">
      <w:pPr>
        <w:rPr>
          <w:b/>
          <w:color w:val="000000" w:themeColor="text1"/>
          <w:kern w:val="0"/>
          <w14:textFill>
            <w14:solidFill>
              <w14:schemeClr w14:val="tx1"/>
            </w14:solidFill>
          </w14:textFill>
          <w14:ligatures w14:val="none"/>
        </w:rPr>
      </w:pPr>
      <w:r>
        <w:rPr>
          <w:rFonts w:eastAsia="Calibri"/>
          <w:b/>
          <w:color w:val="000000" w:themeColor="text1"/>
          <w:kern w:val="0"/>
          <w14:textFill>
            <w14:solidFill>
              <w14:schemeClr w14:val="tx1"/>
            </w14:solidFill>
          </w14:textFill>
          <w14:ligatures w14:val="none"/>
        </w:rPr>
        <w:t xml:space="preserve">Email: </w:t>
      </w:r>
      <w:r>
        <w:fldChar w:fldCharType="begin"/>
      </w:r>
      <w:r>
        <w:instrText xml:space="preserve"> HYPERLINK "mailto:redemptaatieno@yahoo.com" </w:instrText>
      </w:r>
      <w:r>
        <w:fldChar w:fldCharType="separate"/>
      </w:r>
      <w:r>
        <w:rPr>
          <w:b/>
          <w:color w:val="000000" w:themeColor="text1"/>
          <w:kern w:val="0"/>
          <w:u w:val="single"/>
          <w14:textFill>
            <w14:solidFill>
              <w14:schemeClr w14:val="tx1"/>
            </w14:solidFill>
          </w14:textFill>
          <w14:ligatures w14:val="none"/>
        </w:rPr>
        <w:t>sebanduva@gmail.com</w:t>
      </w:r>
      <w:r>
        <w:rPr>
          <w:b/>
          <w:color w:val="000000" w:themeColor="text1"/>
          <w:kern w:val="0"/>
          <w:u w:val="single"/>
          <w14:textFill>
            <w14:solidFill>
              <w14:schemeClr w14:val="tx1"/>
            </w14:solidFill>
          </w14:textFill>
          <w14:ligatures w14:val="none"/>
        </w:rPr>
        <w:fldChar w:fldCharType="end"/>
      </w:r>
    </w:p>
    <w:p w14:paraId="1561D298">
      <w:pPr>
        <w:rPr>
          <w:rFonts w:cs="Times New Roman"/>
          <w:b/>
          <w:color w:val="000000" w:themeColor="text1"/>
          <w:kern w:val="0"/>
          <w:szCs w:val="24"/>
          <w14:textFill>
            <w14:solidFill>
              <w14:schemeClr w14:val="tx1"/>
            </w14:solidFill>
          </w14:textFill>
          <w14:ligatures w14:val="none"/>
        </w:rPr>
      </w:pPr>
    </w:p>
    <w:p w14:paraId="64D8BC3A">
      <w:pPr>
        <w:spacing w:before="240"/>
        <w:rPr>
          <w:rFonts w:eastAsia="Calibri" w:cs="Times New Roman"/>
          <w:b/>
          <w:color w:val="000000" w:themeColor="text1"/>
          <w:kern w:val="0"/>
          <w:szCs w:val="24"/>
          <w:u w:val="single"/>
          <w14:textFill>
            <w14:solidFill>
              <w14:schemeClr w14:val="tx1"/>
            </w14:solidFill>
          </w14:textFill>
          <w14:ligatures w14:val="none"/>
        </w:rPr>
      </w:pPr>
      <w:r>
        <w:rPr>
          <w:rFonts w:eastAsia="Calibri" w:cs="Times New Roman"/>
          <w:b/>
          <w:color w:val="000000" w:themeColor="text1"/>
          <w:kern w:val="0"/>
          <w:szCs w:val="24"/>
          <w14:textFill>
            <w14:solidFill>
              <w14:schemeClr w14:val="tx1"/>
            </w14:solidFill>
          </w14:textFill>
          <w14:ligatures w14:val="none"/>
        </w:rPr>
        <w:t xml:space="preserve">Website: </w:t>
      </w:r>
      <w:r>
        <w:fldChar w:fldCharType="begin"/>
      </w:r>
      <w:r>
        <w:instrText xml:space="preserve"> HYPERLINK "http://www.usiu.ac.ke" </w:instrText>
      </w:r>
      <w:r>
        <w:fldChar w:fldCharType="separate"/>
      </w:r>
      <w:r>
        <w:rPr>
          <w:rFonts w:eastAsia="Calibri" w:cs="Times New Roman"/>
          <w:b/>
          <w:color w:val="000000" w:themeColor="text1"/>
          <w:kern w:val="0"/>
          <w:szCs w:val="24"/>
          <w:u w:val="single"/>
          <w14:textFill>
            <w14:solidFill>
              <w14:schemeClr w14:val="tx1"/>
            </w14:solidFill>
          </w14:textFill>
          <w14:ligatures w14:val="none"/>
        </w:rPr>
        <w:t>www.usiu.ac.ke</w:t>
      </w:r>
      <w:r>
        <w:rPr>
          <w:rFonts w:eastAsia="Calibri" w:cs="Times New Roman"/>
          <w:b/>
          <w:color w:val="000000" w:themeColor="text1"/>
          <w:kern w:val="0"/>
          <w:szCs w:val="24"/>
          <w:u w:val="single"/>
          <w14:textFill>
            <w14:solidFill>
              <w14:schemeClr w14:val="tx1"/>
            </w14:solidFill>
          </w14:textFill>
          <w14:ligatures w14:val="none"/>
        </w:rPr>
        <w:fldChar w:fldCharType="end"/>
      </w:r>
    </w:p>
    <w:p w14:paraId="69B9E0F3">
      <w:pPr>
        <w:rPr>
          <w:color w:val="000000" w:themeColor="text1"/>
          <w14:textFill>
            <w14:solidFill>
              <w14:schemeClr w14:val="tx1"/>
            </w14:solidFill>
          </w14:textFill>
        </w:rPr>
      </w:pPr>
    </w:p>
    <w:p w14:paraId="69D58E51">
      <w:pPr>
        <w:rPr>
          <w:color w:val="000000" w:themeColor="text1"/>
          <w14:textFill>
            <w14:solidFill>
              <w14:schemeClr w14:val="tx1"/>
            </w14:solidFill>
          </w14:textFill>
        </w:rPr>
      </w:pPr>
    </w:p>
    <w:p w14:paraId="5CC9833A">
      <w:pPr>
        <w:spacing w:after="160" w:line="259" w:lineRule="auto"/>
        <w:jc w:val="left"/>
        <w:rPr>
          <w:rFonts w:eastAsiaTheme="majorEastAsia" w:cstheme="majorBidi"/>
          <w:b/>
          <w:color w:val="000000" w:themeColor="text1"/>
          <w:szCs w:val="32"/>
          <w14:textFill>
            <w14:solidFill>
              <w14:schemeClr w14:val="tx1"/>
            </w14:solidFill>
          </w14:textFill>
        </w:rPr>
      </w:pPr>
      <w:r>
        <w:rPr>
          <w:color w:val="000000" w:themeColor="text1"/>
          <w14:textFill>
            <w14:solidFill>
              <w14:schemeClr w14:val="tx1"/>
            </w14:solidFill>
          </w14:textFill>
        </w:rPr>
        <w:br w:type="page"/>
      </w:r>
    </w:p>
    <w:p w14:paraId="17357DBC">
      <w:pPr>
        <w:pStyle w:val="2"/>
      </w:pPr>
      <w:bookmarkStart w:id="90" w:name="_Toc225962324"/>
      <w:r>
        <w:t>APPENDIX IV: QUESTIONNAIRE</w:t>
      </w:r>
      <w:bookmarkEnd w:id="90"/>
    </w:p>
    <w:p w14:paraId="7A255F19">
      <w:pPr>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Please read the instructions carefully before completing this questionnaire.</w:t>
      </w:r>
    </w:p>
    <w:p w14:paraId="06BE3F11">
      <w:pPr>
        <w:pStyle w:val="43"/>
        <w:rPr>
          <w:color w:val="000000" w:themeColor="text1"/>
          <w14:textFill>
            <w14:solidFill>
              <w14:schemeClr w14:val="tx1"/>
            </w14:solidFill>
          </w14:textFill>
        </w:rPr>
      </w:pPr>
    </w:p>
    <w:p w14:paraId="4B8621C1">
      <w:pPr>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This questionnaire is designed to collect information for a study on fertilizer subsidy reform strategies and their influence on smallholder farmers’ uptake of fertilizers in Nakuru, Bungoma, and Meru counties, Kenya.</w:t>
      </w:r>
    </w:p>
    <w:p w14:paraId="73C9B3E4">
      <w:pPr>
        <w:pStyle w:val="43"/>
        <w:rPr>
          <w:color w:val="000000" w:themeColor="text1"/>
          <w14:textFill>
            <w14:solidFill>
              <w14:schemeClr w14:val="tx1"/>
            </w14:solidFill>
          </w14:textFill>
        </w:rPr>
      </w:pPr>
    </w:p>
    <w:p w14:paraId="1C07164F">
      <w:pPr>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The information provided will be used for academic purposes only and will be treated with strict confidentiality. To maintain anonymity, no names are required.</w:t>
      </w:r>
    </w:p>
    <w:p w14:paraId="56EF9E81">
      <w:pPr>
        <w:pStyle w:val="43"/>
        <w:rPr>
          <w:color w:val="000000" w:themeColor="text1"/>
          <w14:textFill>
            <w14:solidFill>
              <w14:schemeClr w14:val="tx1"/>
            </w14:solidFill>
          </w14:textFill>
        </w:rPr>
      </w:pPr>
    </w:p>
    <w:p w14:paraId="41A0917B">
      <w:pPr>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Kindly tick (</w:t>
      </w:r>
      <w:r>
        <w:rPr>
          <w:rFonts w:ascii="Segoe UI Symbol" w:hAnsi="Segoe UI Symbol" w:cs="Segoe UI Symbol"/>
          <w:color w:val="000000" w:themeColor="text1"/>
          <w:szCs w:val="24"/>
          <w14:textFill>
            <w14:solidFill>
              <w14:schemeClr w14:val="tx1"/>
            </w14:solidFill>
          </w14:textFill>
        </w:rPr>
        <w:t>✔</w:t>
      </w:r>
      <w:r>
        <w:rPr>
          <w:rFonts w:cs="Times New Roman"/>
          <w:color w:val="000000" w:themeColor="text1"/>
          <w:szCs w:val="24"/>
          <w14:textFill>
            <w14:solidFill>
              <w14:schemeClr w14:val="tx1"/>
            </w14:solidFill>
          </w14:textFill>
        </w:rPr>
        <w:t>) the option that best represents your opinion.</w:t>
      </w:r>
    </w:p>
    <w:p w14:paraId="47F9F4A0">
      <w:pPr>
        <w:pStyle w:val="43"/>
        <w:rPr>
          <w:color w:val="000000" w:themeColor="text1"/>
          <w14:textFill>
            <w14:solidFill>
              <w14:schemeClr w14:val="tx1"/>
            </w14:solidFill>
          </w14:textFill>
        </w:rPr>
      </w:pPr>
    </w:p>
    <w:p w14:paraId="5B2A68E7">
      <w:pPr>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Thank you for participating in this study.</w:t>
      </w:r>
    </w:p>
    <w:p w14:paraId="05074A67">
      <w:pPr>
        <w:rPr>
          <w:rFonts w:cs="Times New Roman"/>
          <w:color w:val="000000" w:themeColor="text1"/>
          <w:szCs w:val="24"/>
          <w14:textFill>
            <w14:solidFill>
              <w14:schemeClr w14:val="tx1"/>
            </w14:solidFill>
          </w14:textFill>
        </w:rPr>
      </w:pPr>
    </w:p>
    <w:p w14:paraId="03BDF4CA">
      <w:pPr>
        <w:rPr>
          <w:rFonts w:cs="Times New Roman"/>
          <w:b/>
          <w:bCs/>
          <w:color w:val="000000" w:themeColor="text1"/>
          <w:szCs w:val="24"/>
          <w14:textFill>
            <w14:solidFill>
              <w14:schemeClr w14:val="tx1"/>
            </w14:solidFill>
          </w14:textFill>
        </w:rPr>
      </w:pPr>
      <w:r>
        <w:rPr>
          <w:rFonts w:cs="Times New Roman"/>
          <w:b/>
          <w:bCs/>
          <w:color w:val="000000" w:themeColor="text1"/>
          <w:szCs w:val="24"/>
          <w14:textFill>
            <w14:solidFill>
              <w14:schemeClr w14:val="tx1"/>
            </w14:solidFill>
          </w14:textFill>
        </w:rPr>
        <w:t>Section A: Demographic Information</w:t>
      </w:r>
    </w:p>
    <w:p w14:paraId="5D859E63">
      <w:pPr>
        <w:pStyle w:val="38"/>
        <w:numPr>
          <w:ilvl w:val="0"/>
          <w:numId w:val="2"/>
        </w:numPr>
        <w:ind w:left="360"/>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Gender</w:t>
      </w:r>
      <w:r>
        <w:rPr>
          <w:rFonts w:cs="Times New Roman"/>
          <w:color w:val="000000" w:themeColor="text1"/>
          <w:szCs w:val="24"/>
          <w14:textFill>
            <w14:solidFill>
              <w14:schemeClr w14:val="tx1"/>
            </w14:solidFill>
          </w14:textFill>
        </w:rPr>
        <w:tab/>
      </w:r>
    </w:p>
    <w:p w14:paraId="296492AC">
      <w:pPr>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Male</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w:t>
      </w:r>
    </w:p>
    <w:p w14:paraId="125B872F">
      <w:pPr>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Female</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w:t>
      </w:r>
    </w:p>
    <w:p w14:paraId="5C5DE07A">
      <w:pPr>
        <w:pStyle w:val="43"/>
        <w:rPr>
          <w:color w:val="000000" w:themeColor="text1"/>
          <w14:textFill>
            <w14:solidFill>
              <w14:schemeClr w14:val="tx1"/>
            </w14:solidFill>
          </w14:textFill>
        </w:rPr>
      </w:pPr>
    </w:p>
    <w:p w14:paraId="18799053">
      <w:pPr>
        <w:pStyle w:val="38"/>
        <w:numPr>
          <w:ilvl w:val="0"/>
          <w:numId w:val="2"/>
        </w:numPr>
        <w:ind w:left="360"/>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Age</w:t>
      </w:r>
    </w:p>
    <w:p w14:paraId="0AA27821">
      <w:pPr>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Below 30</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w:t>
      </w:r>
    </w:p>
    <w:p w14:paraId="15E73167">
      <w:pPr>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31–40</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w:t>
      </w:r>
    </w:p>
    <w:p w14:paraId="615F04B9">
      <w:pPr>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41–50</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w:t>
      </w:r>
    </w:p>
    <w:p w14:paraId="154511EA">
      <w:pPr>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51–60</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w:t>
      </w:r>
    </w:p>
    <w:p w14:paraId="15CCF648">
      <w:pPr>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Above 60</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w:t>
      </w:r>
    </w:p>
    <w:p w14:paraId="7310EB70">
      <w:pPr>
        <w:pStyle w:val="43"/>
        <w:rPr>
          <w:color w:val="000000" w:themeColor="text1"/>
          <w14:textFill>
            <w14:solidFill>
              <w14:schemeClr w14:val="tx1"/>
            </w14:solidFill>
          </w14:textFill>
        </w:rPr>
      </w:pPr>
    </w:p>
    <w:p w14:paraId="6B252C3C">
      <w:pPr>
        <w:pStyle w:val="38"/>
        <w:numPr>
          <w:ilvl w:val="0"/>
          <w:numId w:val="2"/>
        </w:numPr>
        <w:ind w:left="360"/>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County</w:t>
      </w:r>
    </w:p>
    <w:p w14:paraId="0C1EE014">
      <w:pPr>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Nakuru</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w:t>
      </w:r>
    </w:p>
    <w:p w14:paraId="1787107F">
      <w:pPr>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Bungoma</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w:t>
      </w:r>
    </w:p>
    <w:p w14:paraId="33909893">
      <w:pPr>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Meru</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w:t>
      </w:r>
    </w:p>
    <w:p w14:paraId="4D3A2155">
      <w:pPr>
        <w:pStyle w:val="43"/>
        <w:rPr>
          <w:color w:val="000000" w:themeColor="text1"/>
          <w14:textFill>
            <w14:solidFill>
              <w14:schemeClr w14:val="tx1"/>
            </w14:solidFill>
          </w14:textFill>
        </w:rPr>
      </w:pPr>
    </w:p>
    <w:p w14:paraId="4A1DA33A">
      <w:pPr>
        <w:pStyle w:val="38"/>
        <w:numPr>
          <w:ilvl w:val="0"/>
          <w:numId w:val="2"/>
        </w:numPr>
        <w:ind w:left="360"/>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Level of education</w:t>
      </w:r>
    </w:p>
    <w:p w14:paraId="6E0BD0BE">
      <w:pPr>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No formal education</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w:t>
      </w:r>
    </w:p>
    <w:p w14:paraId="5653FFB5">
      <w:pPr>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Primary</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w:t>
      </w:r>
      <w:r>
        <w:rPr>
          <w:rFonts w:cs="Times New Roman"/>
          <w:color w:val="000000" w:themeColor="text1"/>
          <w:szCs w:val="24"/>
          <w14:textFill>
            <w14:solidFill>
              <w14:schemeClr w14:val="tx1"/>
            </w14:solidFill>
          </w14:textFill>
        </w:rPr>
        <w:br w:type="textWrapping"/>
      </w:r>
      <w:r>
        <w:rPr>
          <w:rFonts w:cs="Times New Roman"/>
          <w:color w:val="000000" w:themeColor="text1"/>
          <w:szCs w:val="24"/>
          <w14:textFill>
            <w14:solidFill>
              <w14:schemeClr w14:val="tx1"/>
            </w14:solidFill>
          </w14:textFill>
        </w:rPr>
        <w:t>Secondary</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w:t>
      </w:r>
      <w:r>
        <w:rPr>
          <w:rFonts w:cs="Times New Roman"/>
          <w:color w:val="000000" w:themeColor="text1"/>
          <w:szCs w:val="24"/>
          <w14:textFill>
            <w14:solidFill>
              <w14:schemeClr w14:val="tx1"/>
            </w14:solidFill>
          </w14:textFill>
        </w:rPr>
        <w:br w:type="textWrapping"/>
      </w:r>
      <w:r>
        <w:rPr>
          <w:rFonts w:cs="Times New Roman"/>
          <w:color w:val="000000" w:themeColor="text1"/>
          <w:szCs w:val="24"/>
          <w14:textFill>
            <w14:solidFill>
              <w14:schemeClr w14:val="tx1"/>
            </w14:solidFill>
          </w14:textFill>
        </w:rPr>
        <w:t>College</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w:t>
      </w:r>
      <w:r>
        <w:rPr>
          <w:rFonts w:cs="Times New Roman"/>
          <w:color w:val="000000" w:themeColor="text1"/>
          <w:szCs w:val="24"/>
          <w14:textFill>
            <w14:solidFill>
              <w14:schemeClr w14:val="tx1"/>
            </w14:solidFill>
          </w14:textFill>
        </w:rPr>
        <w:br w:type="textWrapping"/>
      </w:r>
      <w:r>
        <w:rPr>
          <w:rFonts w:cs="Times New Roman"/>
          <w:color w:val="000000" w:themeColor="text1"/>
          <w:szCs w:val="24"/>
          <w14:textFill>
            <w14:solidFill>
              <w14:schemeClr w14:val="tx1"/>
            </w14:solidFill>
          </w14:textFill>
        </w:rPr>
        <w:t>University</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w:t>
      </w:r>
    </w:p>
    <w:p w14:paraId="6F85B82A">
      <w:pPr>
        <w:pStyle w:val="43"/>
        <w:rPr>
          <w:color w:val="000000" w:themeColor="text1"/>
          <w14:textFill>
            <w14:solidFill>
              <w14:schemeClr w14:val="tx1"/>
            </w14:solidFill>
          </w14:textFill>
        </w:rPr>
      </w:pPr>
    </w:p>
    <w:p w14:paraId="77F7154C">
      <w:pPr>
        <w:pStyle w:val="38"/>
        <w:numPr>
          <w:ilvl w:val="0"/>
          <w:numId w:val="2"/>
        </w:numPr>
        <w:ind w:left="360"/>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Farm size</w:t>
      </w:r>
    </w:p>
    <w:p w14:paraId="5CF8F021">
      <w:pPr>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Less than 1 acre</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w:t>
      </w:r>
    </w:p>
    <w:p w14:paraId="55211501">
      <w:pPr>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1–3 acres</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w:t>
      </w:r>
    </w:p>
    <w:p w14:paraId="712F9A3B">
      <w:pPr>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4–6 acres</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w:t>
      </w:r>
    </w:p>
    <w:p w14:paraId="4A3CC597">
      <w:pPr>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Above 6 acres</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w:t>
      </w:r>
    </w:p>
    <w:p w14:paraId="18750AF3">
      <w:pPr>
        <w:pStyle w:val="43"/>
        <w:rPr>
          <w:color w:val="000000" w:themeColor="text1"/>
          <w14:textFill>
            <w14:solidFill>
              <w14:schemeClr w14:val="tx1"/>
            </w14:solidFill>
          </w14:textFill>
        </w:rPr>
      </w:pPr>
    </w:p>
    <w:p w14:paraId="5D31BEA1">
      <w:pPr>
        <w:pStyle w:val="38"/>
        <w:numPr>
          <w:ilvl w:val="0"/>
          <w:numId w:val="2"/>
        </w:numPr>
        <w:ind w:left="360"/>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Years of farming experience</w:t>
      </w:r>
    </w:p>
    <w:p w14:paraId="586B02B9">
      <w:pPr>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Less than 5 years</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w:t>
      </w:r>
    </w:p>
    <w:p w14:paraId="1C54640D">
      <w:pPr>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6–10 years</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w:t>
      </w:r>
    </w:p>
    <w:p w14:paraId="6C8F0F53">
      <w:pPr>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11–15 years</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w:t>
      </w:r>
    </w:p>
    <w:p w14:paraId="474BE3BB">
      <w:pPr>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Above 15 years</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w:t>
      </w:r>
    </w:p>
    <w:p w14:paraId="456C4B15">
      <w:pPr>
        <w:rPr>
          <w:rFonts w:cs="Times New Roman"/>
          <w:color w:val="000000" w:themeColor="text1"/>
          <w:szCs w:val="24"/>
          <w14:textFill>
            <w14:solidFill>
              <w14:schemeClr w14:val="tx1"/>
            </w14:solidFill>
          </w14:textFill>
        </w:rPr>
      </w:pPr>
    </w:p>
    <w:p w14:paraId="66894FC6">
      <w:pPr>
        <w:rPr>
          <w:rFonts w:cs="Times New Roman"/>
          <w:b/>
          <w:bCs/>
          <w:color w:val="000000" w:themeColor="text1"/>
          <w:szCs w:val="24"/>
          <w14:textFill>
            <w14:solidFill>
              <w14:schemeClr w14:val="tx1"/>
            </w14:solidFill>
          </w14:textFill>
        </w:rPr>
      </w:pPr>
      <w:r>
        <w:rPr>
          <w:rFonts w:cs="Times New Roman"/>
          <w:b/>
          <w:bCs/>
          <w:color w:val="000000" w:themeColor="text1"/>
          <w:szCs w:val="24"/>
          <w14:textFill>
            <w14:solidFill>
              <w14:schemeClr w14:val="tx1"/>
            </w14:solidFill>
          </w14:textFill>
        </w:rPr>
        <w:t>Section B: Pricing Reforms</w:t>
      </w:r>
    </w:p>
    <w:p w14:paraId="3CC65564">
      <w:pPr>
        <w:pStyle w:val="38"/>
        <w:numPr>
          <w:ilvl w:val="0"/>
          <w:numId w:val="2"/>
        </w:numPr>
        <w:ind w:left="360"/>
        <w:rPr>
          <w:color w:val="000000" w:themeColor="text1"/>
          <w:kern w:val="0"/>
          <w14:textFill>
            <w14:solidFill>
              <w14:schemeClr w14:val="tx1"/>
            </w14:solidFill>
          </w14:textFill>
          <w14:ligatures w14:val="none"/>
        </w:rPr>
      </w:pPr>
      <w:r>
        <w:rPr>
          <w:color w:val="000000" w:themeColor="text1"/>
          <w:kern w:val="0"/>
          <w14:textFill>
            <w14:solidFill>
              <w14:schemeClr w14:val="tx1"/>
            </w14:solidFill>
          </w14:textFill>
          <w14:ligatures w14:val="none"/>
        </w:rPr>
        <w:t xml:space="preserve">Please indicate your level of agreement with the following statements relating to </w:t>
      </w:r>
      <w:r>
        <w:rPr>
          <w:rFonts w:cs="Times New Roman"/>
          <w:color w:val="000000" w:themeColor="text1"/>
          <w:szCs w:val="24"/>
          <w14:textFill>
            <w14:solidFill>
              <w14:schemeClr w14:val="tx1"/>
            </w14:solidFill>
          </w14:textFill>
        </w:rPr>
        <w:t>pricing reforms</w:t>
      </w:r>
      <w:r>
        <w:rPr>
          <w:rFonts w:cs="Times New Roman"/>
          <w:b/>
          <w:bCs/>
          <w:color w:val="000000" w:themeColor="text1"/>
          <w:kern w:val="0"/>
          <w:szCs w:val="24"/>
          <w14:textFill>
            <w14:solidFill>
              <w14:schemeClr w14:val="tx1"/>
            </w14:solidFill>
          </w14:textFill>
          <w14:ligatures w14:val="none"/>
        </w:rPr>
        <w:t xml:space="preserve"> </w:t>
      </w:r>
      <w:r>
        <w:rPr>
          <w:color w:val="000000" w:themeColor="text1"/>
          <w:kern w:val="0"/>
          <w14:textFill>
            <w14:solidFill>
              <w14:schemeClr w14:val="tx1"/>
            </w14:solidFill>
          </w14:textFill>
          <w14:ligatures w14:val="none"/>
        </w:rPr>
        <w:t>and their effect on smallholder farmers’ uptake of fertilizers. (Codes: 1=Strongly Disagree, 2=Disagree, 3=Moderately Agree, 4=Agree, 5=Strongly Agree).</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4"/>
        <w:gridCol w:w="6381"/>
        <w:gridCol w:w="360"/>
        <w:gridCol w:w="360"/>
        <w:gridCol w:w="360"/>
        <w:gridCol w:w="360"/>
        <w:gridCol w:w="355"/>
      </w:tblGrid>
      <w:tr w14:paraId="56214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trPr>
        <w:tc>
          <w:tcPr>
            <w:tcW w:w="6835" w:type="dxa"/>
            <w:gridSpan w:val="2"/>
            <w:tcBorders>
              <w:top w:val="single" w:color="auto" w:sz="4" w:space="0"/>
              <w:left w:val="single" w:color="auto" w:sz="4" w:space="0"/>
              <w:bottom w:val="single" w:color="auto" w:sz="4" w:space="0"/>
              <w:right w:val="single" w:color="auto" w:sz="4" w:space="0"/>
            </w:tcBorders>
          </w:tcPr>
          <w:p w14:paraId="1FC6BDD7">
            <w:pPr>
              <w:spacing w:line="240" w:lineRule="auto"/>
              <w:rPr>
                <w:rFonts w:eastAsia="Calibri" w:cs="Times New Roman"/>
                <w:b/>
                <w:color w:val="000000" w:themeColor="text1"/>
                <w:kern w:val="0"/>
                <w:szCs w:val="24"/>
                <w14:textFill>
                  <w14:solidFill>
                    <w14:schemeClr w14:val="tx1"/>
                  </w14:solidFill>
                </w14:textFill>
                <w14:ligatures w14:val="none"/>
              </w:rPr>
            </w:pPr>
            <w:r>
              <w:rPr>
                <w:rFonts w:eastAsia="Calibri" w:cs="Times New Roman"/>
                <w:b/>
                <w:color w:val="000000" w:themeColor="text1"/>
                <w:kern w:val="0"/>
                <w:szCs w:val="24"/>
                <w14:textFill>
                  <w14:solidFill>
                    <w14:schemeClr w14:val="tx1"/>
                  </w14:solidFill>
                </w14:textFill>
                <w14:ligatures w14:val="none"/>
              </w:rPr>
              <w:t xml:space="preserve">Statement on </w:t>
            </w:r>
            <w:r>
              <w:rPr>
                <w:rFonts w:cs="Times New Roman"/>
                <w:b/>
                <w:bCs/>
                <w:color w:val="000000" w:themeColor="text1"/>
                <w:szCs w:val="24"/>
                <w14:textFill>
                  <w14:solidFill>
                    <w14:schemeClr w14:val="tx1"/>
                  </w14:solidFill>
                </w14:textFill>
              </w:rPr>
              <w:t>Pricing Reforms</w:t>
            </w:r>
          </w:p>
        </w:tc>
        <w:tc>
          <w:tcPr>
            <w:tcW w:w="1795" w:type="dxa"/>
            <w:gridSpan w:val="5"/>
            <w:tcBorders>
              <w:top w:val="single" w:color="auto" w:sz="4" w:space="0"/>
              <w:left w:val="single" w:color="auto" w:sz="4" w:space="0"/>
              <w:bottom w:val="single" w:color="auto" w:sz="4" w:space="0"/>
              <w:right w:val="single" w:color="auto" w:sz="4" w:space="0"/>
            </w:tcBorders>
          </w:tcPr>
          <w:p w14:paraId="54A4ECE7">
            <w:pPr>
              <w:spacing w:line="240" w:lineRule="auto"/>
              <w:jc w:val="left"/>
              <w:rPr>
                <w:rFonts w:eastAsia="Calibri" w:cs="Times New Roman"/>
                <w:b/>
                <w:color w:val="000000" w:themeColor="text1"/>
                <w:kern w:val="0"/>
                <w:szCs w:val="24"/>
                <w14:textFill>
                  <w14:solidFill>
                    <w14:schemeClr w14:val="tx1"/>
                  </w14:solidFill>
                </w14:textFill>
                <w14:ligatures w14:val="none"/>
              </w:rPr>
            </w:pPr>
            <w:r>
              <w:rPr>
                <w:rFonts w:eastAsia="Calibri" w:cs="Times New Roman"/>
                <w:b/>
                <w:color w:val="000000" w:themeColor="text1"/>
                <w:kern w:val="0"/>
                <w:szCs w:val="24"/>
                <w14:textFill>
                  <w14:solidFill>
                    <w14:schemeClr w14:val="tx1"/>
                  </w14:solidFill>
                </w14:textFill>
                <w14:ligatures w14:val="none"/>
              </w:rPr>
              <w:t>Level of Agreement</w:t>
            </w:r>
          </w:p>
        </w:tc>
      </w:tr>
      <w:tr w14:paraId="12AA9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6835" w:type="dxa"/>
            <w:gridSpan w:val="2"/>
            <w:tcBorders>
              <w:top w:val="single" w:color="auto" w:sz="4" w:space="0"/>
              <w:left w:val="single" w:color="auto" w:sz="4" w:space="0"/>
              <w:bottom w:val="single" w:color="auto" w:sz="4" w:space="0"/>
              <w:right w:val="single" w:color="auto" w:sz="4" w:space="0"/>
            </w:tcBorders>
          </w:tcPr>
          <w:p w14:paraId="560D05A5">
            <w:pPr>
              <w:rPr>
                <w:rFonts w:cs="Times New Roman"/>
                <w:b/>
                <w:bCs/>
                <w:color w:val="000000" w:themeColor="text1"/>
                <w:kern w:val="0"/>
                <w:szCs w:val="24"/>
                <w14:textFill>
                  <w14:solidFill>
                    <w14:schemeClr w14:val="tx1"/>
                  </w14:solidFill>
                </w14:textFill>
              </w:rPr>
            </w:pPr>
            <w:r>
              <w:rPr>
                <w:rFonts w:cs="Times New Roman"/>
                <w:b/>
                <w:bCs/>
                <w:color w:val="000000" w:themeColor="text1"/>
                <w:kern w:val="0"/>
                <w:szCs w:val="24"/>
                <w14:textFill>
                  <w14:solidFill>
                    <w14:schemeClr w14:val="tx1"/>
                  </w14:solidFill>
                </w14:textFill>
              </w:rPr>
              <w:t>Fertilizer Price Discount</w:t>
            </w:r>
          </w:p>
        </w:tc>
        <w:tc>
          <w:tcPr>
            <w:tcW w:w="360" w:type="dxa"/>
            <w:tcBorders>
              <w:top w:val="single" w:color="auto" w:sz="4" w:space="0"/>
              <w:left w:val="single" w:color="auto" w:sz="4" w:space="0"/>
              <w:bottom w:val="single" w:color="auto" w:sz="4" w:space="0"/>
              <w:right w:val="single" w:color="auto" w:sz="4" w:space="0"/>
            </w:tcBorders>
          </w:tcPr>
          <w:p w14:paraId="4C9E5E7C">
            <w:pPr>
              <w:spacing w:line="240" w:lineRule="auto"/>
              <w:rPr>
                <w:rFonts w:eastAsia="Calibri" w:cs="Times New Roman"/>
                <w:b/>
                <w:color w:val="000000" w:themeColor="text1"/>
                <w:kern w:val="0"/>
                <w:szCs w:val="24"/>
                <w14:textFill>
                  <w14:solidFill>
                    <w14:schemeClr w14:val="tx1"/>
                  </w14:solidFill>
                </w14:textFill>
                <w14:ligatures w14:val="none"/>
              </w:rPr>
            </w:pPr>
            <w:r>
              <w:rPr>
                <w:rFonts w:eastAsia="Calibri" w:cs="Times New Roman"/>
                <w:b/>
                <w:color w:val="000000" w:themeColor="text1"/>
                <w:kern w:val="0"/>
                <w:szCs w:val="24"/>
                <w14:textFill>
                  <w14:solidFill>
                    <w14:schemeClr w14:val="tx1"/>
                  </w14:solidFill>
                </w14:textFill>
                <w14:ligatures w14:val="none"/>
              </w:rPr>
              <w:t>1</w:t>
            </w:r>
          </w:p>
        </w:tc>
        <w:tc>
          <w:tcPr>
            <w:tcW w:w="360" w:type="dxa"/>
            <w:tcBorders>
              <w:top w:val="single" w:color="auto" w:sz="4" w:space="0"/>
              <w:left w:val="single" w:color="auto" w:sz="4" w:space="0"/>
              <w:bottom w:val="single" w:color="auto" w:sz="4" w:space="0"/>
              <w:right w:val="single" w:color="auto" w:sz="4" w:space="0"/>
            </w:tcBorders>
          </w:tcPr>
          <w:p w14:paraId="729BA930">
            <w:pPr>
              <w:spacing w:line="240" w:lineRule="auto"/>
              <w:rPr>
                <w:rFonts w:eastAsia="Calibri" w:cs="Times New Roman"/>
                <w:b/>
                <w:color w:val="000000" w:themeColor="text1"/>
                <w:kern w:val="0"/>
                <w:szCs w:val="24"/>
                <w14:textFill>
                  <w14:solidFill>
                    <w14:schemeClr w14:val="tx1"/>
                  </w14:solidFill>
                </w14:textFill>
                <w14:ligatures w14:val="none"/>
              </w:rPr>
            </w:pPr>
            <w:r>
              <w:rPr>
                <w:rFonts w:eastAsia="Calibri" w:cs="Times New Roman"/>
                <w:b/>
                <w:color w:val="000000" w:themeColor="text1"/>
                <w:kern w:val="0"/>
                <w:szCs w:val="24"/>
                <w14:textFill>
                  <w14:solidFill>
                    <w14:schemeClr w14:val="tx1"/>
                  </w14:solidFill>
                </w14:textFill>
                <w14:ligatures w14:val="none"/>
              </w:rPr>
              <w:t>2</w:t>
            </w:r>
          </w:p>
        </w:tc>
        <w:tc>
          <w:tcPr>
            <w:tcW w:w="360" w:type="dxa"/>
            <w:tcBorders>
              <w:top w:val="single" w:color="auto" w:sz="4" w:space="0"/>
              <w:left w:val="single" w:color="auto" w:sz="4" w:space="0"/>
              <w:bottom w:val="single" w:color="auto" w:sz="4" w:space="0"/>
              <w:right w:val="single" w:color="auto" w:sz="4" w:space="0"/>
            </w:tcBorders>
          </w:tcPr>
          <w:p w14:paraId="58B69717">
            <w:pPr>
              <w:spacing w:line="240" w:lineRule="auto"/>
              <w:rPr>
                <w:rFonts w:eastAsia="Calibri" w:cs="Times New Roman"/>
                <w:b/>
                <w:color w:val="000000" w:themeColor="text1"/>
                <w:kern w:val="0"/>
                <w:szCs w:val="24"/>
                <w14:textFill>
                  <w14:solidFill>
                    <w14:schemeClr w14:val="tx1"/>
                  </w14:solidFill>
                </w14:textFill>
                <w14:ligatures w14:val="none"/>
              </w:rPr>
            </w:pPr>
            <w:r>
              <w:rPr>
                <w:rFonts w:eastAsia="Calibri" w:cs="Times New Roman"/>
                <w:b/>
                <w:color w:val="000000" w:themeColor="text1"/>
                <w:kern w:val="0"/>
                <w:szCs w:val="24"/>
                <w14:textFill>
                  <w14:solidFill>
                    <w14:schemeClr w14:val="tx1"/>
                  </w14:solidFill>
                </w14:textFill>
                <w14:ligatures w14:val="none"/>
              </w:rPr>
              <w:t>3</w:t>
            </w:r>
          </w:p>
        </w:tc>
        <w:tc>
          <w:tcPr>
            <w:tcW w:w="360" w:type="dxa"/>
            <w:tcBorders>
              <w:top w:val="single" w:color="auto" w:sz="4" w:space="0"/>
              <w:left w:val="single" w:color="auto" w:sz="4" w:space="0"/>
              <w:bottom w:val="single" w:color="auto" w:sz="4" w:space="0"/>
              <w:right w:val="single" w:color="auto" w:sz="4" w:space="0"/>
            </w:tcBorders>
          </w:tcPr>
          <w:p w14:paraId="6FCF228C">
            <w:pPr>
              <w:spacing w:line="240" w:lineRule="auto"/>
              <w:rPr>
                <w:rFonts w:eastAsia="Calibri" w:cs="Times New Roman"/>
                <w:b/>
                <w:color w:val="000000" w:themeColor="text1"/>
                <w:kern w:val="0"/>
                <w:szCs w:val="24"/>
                <w14:textFill>
                  <w14:solidFill>
                    <w14:schemeClr w14:val="tx1"/>
                  </w14:solidFill>
                </w14:textFill>
                <w14:ligatures w14:val="none"/>
              </w:rPr>
            </w:pPr>
            <w:r>
              <w:rPr>
                <w:rFonts w:eastAsia="Calibri" w:cs="Times New Roman"/>
                <w:b/>
                <w:color w:val="000000" w:themeColor="text1"/>
                <w:kern w:val="0"/>
                <w:szCs w:val="24"/>
                <w14:textFill>
                  <w14:solidFill>
                    <w14:schemeClr w14:val="tx1"/>
                  </w14:solidFill>
                </w14:textFill>
                <w14:ligatures w14:val="none"/>
              </w:rPr>
              <w:t>4</w:t>
            </w:r>
          </w:p>
        </w:tc>
        <w:tc>
          <w:tcPr>
            <w:tcW w:w="355" w:type="dxa"/>
            <w:tcBorders>
              <w:top w:val="single" w:color="auto" w:sz="4" w:space="0"/>
              <w:left w:val="single" w:color="auto" w:sz="4" w:space="0"/>
              <w:bottom w:val="single" w:color="auto" w:sz="4" w:space="0"/>
              <w:right w:val="single" w:color="auto" w:sz="4" w:space="0"/>
            </w:tcBorders>
          </w:tcPr>
          <w:p w14:paraId="786D42DA">
            <w:pPr>
              <w:spacing w:line="240" w:lineRule="auto"/>
              <w:rPr>
                <w:rFonts w:eastAsia="Calibri" w:cs="Times New Roman"/>
                <w:b/>
                <w:color w:val="000000" w:themeColor="text1"/>
                <w:kern w:val="0"/>
                <w:szCs w:val="24"/>
                <w14:textFill>
                  <w14:solidFill>
                    <w14:schemeClr w14:val="tx1"/>
                  </w14:solidFill>
                </w14:textFill>
                <w14:ligatures w14:val="none"/>
              </w:rPr>
            </w:pPr>
            <w:r>
              <w:rPr>
                <w:rFonts w:eastAsia="Calibri" w:cs="Times New Roman"/>
                <w:b/>
                <w:color w:val="000000" w:themeColor="text1"/>
                <w:kern w:val="0"/>
                <w:szCs w:val="24"/>
                <w14:textFill>
                  <w14:solidFill>
                    <w14:schemeClr w14:val="tx1"/>
                  </w14:solidFill>
                </w14:textFill>
                <w14:ligatures w14:val="none"/>
              </w:rPr>
              <w:t>5</w:t>
            </w:r>
          </w:p>
        </w:tc>
      </w:tr>
      <w:tr w14:paraId="2B1EF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454" w:type="dxa"/>
            <w:tcBorders>
              <w:top w:val="single" w:color="auto" w:sz="4" w:space="0"/>
              <w:left w:val="single" w:color="auto" w:sz="4" w:space="0"/>
              <w:bottom w:val="single" w:color="auto" w:sz="4" w:space="0"/>
              <w:right w:val="single" w:color="auto" w:sz="4" w:space="0"/>
            </w:tcBorders>
          </w:tcPr>
          <w:p w14:paraId="3592A315">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color w:val="000000" w:themeColor="text1"/>
                <w:kern w:val="0"/>
                <w:szCs w:val="24"/>
                <w14:textFill>
                  <w14:solidFill>
                    <w14:schemeClr w14:val="tx1"/>
                  </w14:solidFill>
                </w14:textFill>
                <w14:ligatures w14:val="none"/>
              </w:rPr>
              <w:t>1</w:t>
            </w:r>
          </w:p>
        </w:tc>
        <w:tc>
          <w:tcPr>
            <w:tcW w:w="6381" w:type="dxa"/>
            <w:tcBorders>
              <w:top w:val="single" w:color="auto" w:sz="4" w:space="0"/>
              <w:left w:val="single" w:color="auto" w:sz="4" w:space="0"/>
              <w:bottom w:val="single" w:color="auto" w:sz="4" w:space="0"/>
              <w:right w:val="single" w:color="auto" w:sz="4" w:space="0"/>
            </w:tcBorders>
          </w:tcPr>
          <w:p w14:paraId="55872383">
            <w:pPr>
              <w:rPr>
                <w:rFonts w:cs="Times New Roman"/>
                <w:color w:val="000000" w:themeColor="text1"/>
                <w:kern w:val="0"/>
                <w:szCs w:val="24"/>
                <w14:textFill>
                  <w14:solidFill>
                    <w14:schemeClr w14:val="tx1"/>
                  </w14:solidFill>
                </w14:textFill>
              </w:rPr>
            </w:pPr>
            <w:r>
              <w:rPr>
                <w:rFonts w:cs="Times New Roman"/>
                <w:color w:val="000000" w:themeColor="text1"/>
                <w:kern w:val="0"/>
                <w:szCs w:val="24"/>
                <w14:textFill>
                  <w14:solidFill>
                    <w14:schemeClr w14:val="tx1"/>
                  </w14:solidFill>
                </w14:textFill>
              </w:rPr>
              <w:t>Subsidized fertilizer prices are lower than market prices.</w:t>
            </w:r>
          </w:p>
        </w:tc>
        <w:tc>
          <w:tcPr>
            <w:tcW w:w="360" w:type="dxa"/>
            <w:tcBorders>
              <w:top w:val="single" w:color="auto" w:sz="4" w:space="0"/>
              <w:left w:val="single" w:color="auto" w:sz="4" w:space="0"/>
              <w:bottom w:val="single" w:color="auto" w:sz="4" w:space="0"/>
              <w:right w:val="single" w:color="auto" w:sz="4" w:space="0"/>
            </w:tcBorders>
          </w:tcPr>
          <w:p w14:paraId="3C6A2BFC">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502642C1">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66DBC8A4">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18AD3650">
            <w:pPr>
              <w:spacing w:line="240" w:lineRule="auto"/>
              <w:rPr>
                <w:rFonts w:eastAsia="Calibri" w:cs="Times New Roman"/>
                <w:color w:val="000000" w:themeColor="text1"/>
                <w:kern w:val="0"/>
                <w:szCs w:val="24"/>
                <w14:textFill>
                  <w14:solidFill>
                    <w14:schemeClr w14:val="tx1"/>
                  </w14:solidFill>
                </w14:textFill>
                <w14:ligatures w14:val="none"/>
              </w:rPr>
            </w:pPr>
          </w:p>
        </w:tc>
        <w:tc>
          <w:tcPr>
            <w:tcW w:w="355" w:type="dxa"/>
            <w:tcBorders>
              <w:top w:val="single" w:color="auto" w:sz="4" w:space="0"/>
              <w:left w:val="single" w:color="auto" w:sz="4" w:space="0"/>
              <w:bottom w:val="single" w:color="auto" w:sz="4" w:space="0"/>
              <w:right w:val="single" w:color="auto" w:sz="4" w:space="0"/>
            </w:tcBorders>
          </w:tcPr>
          <w:p w14:paraId="480962C5">
            <w:pPr>
              <w:spacing w:line="240" w:lineRule="auto"/>
              <w:rPr>
                <w:rFonts w:eastAsia="Calibri" w:cs="Times New Roman"/>
                <w:color w:val="000000" w:themeColor="text1"/>
                <w:kern w:val="0"/>
                <w:szCs w:val="24"/>
                <w14:textFill>
                  <w14:solidFill>
                    <w14:schemeClr w14:val="tx1"/>
                  </w14:solidFill>
                </w14:textFill>
                <w14:ligatures w14:val="none"/>
              </w:rPr>
            </w:pPr>
          </w:p>
        </w:tc>
      </w:tr>
      <w:tr w14:paraId="348B4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454" w:type="dxa"/>
            <w:tcBorders>
              <w:top w:val="single" w:color="auto" w:sz="4" w:space="0"/>
              <w:left w:val="single" w:color="auto" w:sz="4" w:space="0"/>
              <w:bottom w:val="single" w:color="auto" w:sz="4" w:space="0"/>
              <w:right w:val="single" w:color="auto" w:sz="4" w:space="0"/>
            </w:tcBorders>
          </w:tcPr>
          <w:p w14:paraId="5D58C7B4">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color w:val="000000" w:themeColor="text1"/>
                <w:kern w:val="0"/>
                <w:szCs w:val="24"/>
                <w14:textFill>
                  <w14:solidFill>
                    <w14:schemeClr w14:val="tx1"/>
                  </w14:solidFill>
                </w14:textFill>
                <w14:ligatures w14:val="none"/>
              </w:rPr>
              <w:t>2</w:t>
            </w:r>
          </w:p>
        </w:tc>
        <w:tc>
          <w:tcPr>
            <w:tcW w:w="6381" w:type="dxa"/>
            <w:tcBorders>
              <w:top w:val="single" w:color="auto" w:sz="4" w:space="0"/>
              <w:left w:val="single" w:color="auto" w:sz="4" w:space="0"/>
              <w:bottom w:val="single" w:color="auto" w:sz="4" w:space="0"/>
              <w:right w:val="single" w:color="auto" w:sz="4" w:space="0"/>
            </w:tcBorders>
          </w:tcPr>
          <w:p w14:paraId="31F22B0B">
            <w:pPr>
              <w:rPr>
                <w:rFonts w:cs="Times New Roman"/>
                <w:color w:val="000000" w:themeColor="text1"/>
                <w:kern w:val="0"/>
                <w:szCs w:val="24"/>
                <w14:textFill>
                  <w14:solidFill>
                    <w14:schemeClr w14:val="tx1"/>
                  </w14:solidFill>
                </w14:textFill>
              </w:rPr>
            </w:pPr>
            <w:r>
              <w:rPr>
                <w:rFonts w:cs="Times New Roman"/>
                <w:color w:val="000000" w:themeColor="text1"/>
                <w:kern w:val="0"/>
                <w:szCs w:val="24"/>
                <w14:textFill>
                  <w14:solidFill>
                    <w14:schemeClr w14:val="tx1"/>
                  </w14:solidFill>
                </w14:textFill>
              </w:rPr>
              <w:t>Government fertilizer price discounts encourage farmers to buy fertilizer.</w:t>
            </w:r>
          </w:p>
        </w:tc>
        <w:tc>
          <w:tcPr>
            <w:tcW w:w="360" w:type="dxa"/>
            <w:tcBorders>
              <w:top w:val="single" w:color="auto" w:sz="4" w:space="0"/>
              <w:left w:val="single" w:color="auto" w:sz="4" w:space="0"/>
              <w:bottom w:val="single" w:color="auto" w:sz="4" w:space="0"/>
              <w:right w:val="single" w:color="auto" w:sz="4" w:space="0"/>
            </w:tcBorders>
          </w:tcPr>
          <w:p w14:paraId="326A18FE">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2B4D9381">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5A207D6D">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2B7895F7">
            <w:pPr>
              <w:spacing w:line="240" w:lineRule="auto"/>
              <w:rPr>
                <w:rFonts w:eastAsia="Calibri" w:cs="Times New Roman"/>
                <w:color w:val="000000" w:themeColor="text1"/>
                <w:kern w:val="0"/>
                <w:szCs w:val="24"/>
                <w14:textFill>
                  <w14:solidFill>
                    <w14:schemeClr w14:val="tx1"/>
                  </w14:solidFill>
                </w14:textFill>
                <w14:ligatures w14:val="none"/>
              </w:rPr>
            </w:pPr>
          </w:p>
        </w:tc>
        <w:tc>
          <w:tcPr>
            <w:tcW w:w="355" w:type="dxa"/>
            <w:tcBorders>
              <w:top w:val="single" w:color="auto" w:sz="4" w:space="0"/>
              <w:left w:val="single" w:color="auto" w:sz="4" w:space="0"/>
              <w:bottom w:val="single" w:color="auto" w:sz="4" w:space="0"/>
              <w:right w:val="single" w:color="auto" w:sz="4" w:space="0"/>
            </w:tcBorders>
          </w:tcPr>
          <w:p w14:paraId="4C1DF6A0">
            <w:pPr>
              <w:spacing w:line="240" w:lineRule="auto"/>
              <w:rPr>
                <w:rFonts w:eastAsia="Calibri" w:cs="Times New Roman"/>
                <w:color w:val="000000" w:themeColor="text1"/>
                <w:kern w:val="0"/>
                <w:szCs w:val="24"/>
                <w14:textFill>
                  <w14:solidFill>
                    <w14:schemeClr w14:val="tx1"/>
                  </w14:solidFill>
                </w14:textFill>
                <w14:ligatures w14:val="none"/>
              </w:rPr>
            </w:pPr>
          </w:p>
        </w:tc>
      </w:tr>
      <w:tr w14:paraId="1CF41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454" w:type="dxa"/>
            <w:tcBorders>
              <w:top w:val="single" w:color="auto" w:sz="4" w:space="0"/>
              <w:left w:val="single" w:color="auto" w:sz="4" w:space="0"/>
              <w:bottom w:val="single" w:color="auto" w:sz="4" w:space="0"/>
              <w:right w:val="single" w:color="auto" w:sz="4" w:space="0"/>
            </w:tcBorders>
          </w:tcPr>
          <w:p w14:paraId="5E195F18">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color w:val="000000" w:themeColor="text1"/>
                <w:kern w:val="0"/>
                <w:szCs w:val="24"/>
                <w14:textFill>
                  <w14:solidFill>
                    <w14:schemeClr w14:val="tx1"/>
                  </w14:solidFill>
                </w14:textFill>
                <w14:ligatures w14:val="none"/>
              </w:rPr>
              <w:t>3</w:t>
            </w:r>
          </w:p>
        </w:tc>
        <w:tc>
          <w:tcPr>
            <w:tcW w:w="6381" w:type="dxa"/>
            <w:tcBorders>
              <w:top w:val="single" w:color="auto" w:sz="4" w:space="0"/>
              <w:left w:val="single" w:color="auto" w:sz="4" w:space="0"/>
              <w:bottom w:val="single" w:color="auto" w:sz="4" w:space="0"/>
              <w:right w:val="single" w:color="auto" w:sz="4" w:space="0"/>
            </w:tcBorders>
          </w:tcPr>
          <w:p w14:paraId="0E620EF6">
            <w:pPr>
              <w:rPr>
                <w:rFonts w:cs="Times New Roman"/>
                <w:color w:val="000000" w:themeColor="text1"/>
                <w:kern w:val="0"/>
                <w:szCs w:val="24"/>
                <w14:textFill>
                  <w14:solidFill>
                    <w14:schemeClr w14:val="tx1"/>
                  </w14:solidFill>
                </w14:textFill>
              </w:rPr>
            </w:pPr>
            <w:r>
              <w:rPr>
                <w:rFonts w:cs="Times New Roman"/>
                <w:color w:val="000000" w:themeColor="text1"/>
                <w:kern w:val="0"/>
                <w:szCs w:val="24"/>
                <w14:textFill>
                  <w14:solidFill>
                    <w14:schemeClr w14:val="tx1"/>
                  </w14:solidFill>
                </w14:textFill>
              </w:rPr>
              <w:t>Price subsidies reduce the financial burden of fertilizer purchase.</w:t>
            </w:r>
          </w:p>
        </w:tc>
        <w:tc>
          <w:tcPr>
            <w:tcW w:w="360" w:type="dxa"/>
            <w:tcBorders>
              <w:top w:val="single" w:color="auto" w:sz="4" w:space="0"/>
              <w:left w:val="single" w:color="auto" w:sz="4" w:space="0"/>
              <w:bottom w:val="single" w:color="auto" w:sz="4" w:space="0"/>
              <w:right w:val="single" w:color="auto" w:sz="4" w:space="0"/>
            </w:tcBorders>
          </w:tcPr>
          <w:p w14:paraId="62E4B4C7">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7AF82615">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1CD9F422">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7077839B">
            <w:pPr>
              <w:spacing w:line="240" w:lineRule="auto"/>
              <w:rPr>
                <w:rFonts w:eastAsia="Calibri" w:cs="Times New Roman"/>
                <w:color w:val="000000" w:themeColor="text1"/>
                <w:kern w:val="0"/>
                <w:szCs w:val="24"/>
                <w14:textFill>
                  <w14:solidFill>
                    <w14:schemeClr w14:val="tx1"/>
                  </w14:solidFill>
                </w14:textFill>
                <w14:ligatures w14:val="none"/>
              </w:rPr>
            </w:pPr>
          </w:p>
        </w:tc>
        <w:tc>
          <w:tcPr>
            <w:tcW w:w="355" w:type="dxa"/>
            <w:tcBorders>
              <w:top w:val="single" w:color="auto" w:sz="4" w:space="0"/>
              <w:left w:val="single" w:color="auto" w:sz="4" w:space="0"/>
              <w:bottom w:val="single" w:color="auto" w:sz="4" w:space="0"/>
              <w:right w:val="single" w:color="auto" w:sz="4" w:space="0"/>
            </w:tcBorders>
          </w:tcPr>
          <w:p w14:paraId="3400C78C">
            <w:pPr>
              <w:spacing w:line="240" w:lineRule="auto"/>
              <w:rPr>
                <w:rFonts w:eastAsia="Calibri" w:cs="Times New Roman"/>
                <w:color w:val="000000" w:themeColor="text1"/>
                <w:kern w:val="0"/>
                <w:szCs w:val="24"/>
                <w14:textFill>
                  <w14:solidFill>
                    <w14:schemeClr w14:val="tx1"/>
                  </w14:solidFill>
                </w14:textFill>
                <w14:ligatures w14:val="none"/>
              </w:rPr>
            </w:pPr>
          </w:p>
        </w:tc>
      </w:tr>
      <w:tr w14:paraId="6C53F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454" w:type="dxa"/>
            <w:tcBorders>
              <w:top w:val="single" w:color="auto" w:sz="4" w:space="0"/>
              <w:left w:val="single" w:color="auto" w:sz="4" w:space="0"/>
              <w:bottom w:val="single" w:color="auto" w:sz="4" w:space="0"/>
              <w:right w:val="single" w:color="auto" w:sz="4" w:space="0"/>
            </w:tcBorders>
          </w:tcPr>
          <w:p w14:paraId="5A548003">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color w:val="000000" w:themeColor="text1"/>
                <w:kern w:val="0"/>
                <w:szCs w:val="24"/>
                <w14:textFill>
                  <w14:solidFill>
                    <w14:schemeClr w14:val="tx1"/>
                  </w14:solidFill>
                </w14:textFill>
                <w14:ligatures w14:val="none"/>
              </w:rPr>
              <w:t>4</w:t>
            </w:r>
          </w:p>
        </w:tc>
        <w:tc>
          <w:tcPr>
            <w:tcW w:w="6381" w:type="dxa"/>
            <w:tcBorders>
              <w:top w:val="single" w:color="auto" w:sz="4" w:space="0"/>
              <w:left w:val="single" w:color="auto" w:sz="4" w:space="0"/>
              <w:bottom w:val="single" w:color="auto" w:sz="4" w:space="0"/>
              <w:right w:val="single" w:color="auto" w:sz="4" w:space="0"/>
            </w:tcBorders>
          </w:tcPr>
          <w:p w14:paraId="76BFD3F8">
            <w:pPr>
              <w:rPr>
                <w:rFonts w:cs="Times New Roman"/>
                <w:color w:val="000000" w:themeColor="text1"/>
                <w:kern w:val="0"/>
                <w:szCs w:val="24"/>
                <w14:textFill>
                  <w14:solidFill>
                    <w14:schemeClr w14:val="tx1"/>
                  </w14:solidFill>
                </w14:textFill>
              </w:rPr>
            </w:pPr>
            <w:r>
              <w:rPr>
                <w:rFonts w:cs="Times New Roman"/>
                <w:color w:val="000000" w:themeColor="text1"/>
                <w:kern w:val="0"/>
                <w:szCs w:val="24"/>
                <w14:textFill>
                  <w14:solidFill>
                    <w14:schemeClr w14:val="tx1"/>
                  </w14:solidFill>
                </w14:textFill>
              </w:rPr>
              <w:t>Lower fertilizer prices increase farmers’ willingness to use fertilizer.</w:t>
            </w:r>
          </w:p>
        </w:tc>
        <w:tc>
          <w:tcPr>
            <w:tcW w:w="360" w:type="dxa"/>
            <w:tcBorders>
              <w:top w:val="single" w:color="auto" w:sz="4" w:space="0"/>
              <w:left w:val="single" w:color="auto" w:sz="4" w:space="0"/>
              <w:bottom w:val="single" w:color="auto" w:sz="4" w:space="0"/>
              <w:right w:val="single" w:color="auto" w:sz="4" w:space="0"/>
            </w:tcBorders>
          </w:tcPr>
          <w:p w14:paraId="3833CBFA">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36250B77">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46359F4F">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122D73B1">
            <w:pPr>
              <w:spacing w:line="240" w:lineRule="auto"/>
              <w:rPr>
                <w:rFonts w:eastAsia="Calibri" w:cs="Times New Roman"/>
                <w:color w:val="000000" w:themeColor="text1"/>
                <w:kern w:val="0"/>
                <w:szCs w:val="24"/>
                <w14:textFill>
                  <w14:solidFill>
                    <w14:schemeClr w14:val="tx1"/>
                  </w14:solidFill>
                </w14:textFill>
                <w14:ligatures w14:val="none"/>
              </w:rPr>
            </w:pPr>
          </w:p>
        </w:tc>
        <w:tc>
          <w:tcPr>
            <w:tcW w:w="355" w:type="dxa"/>
            <w:tcBorders>
              <w:top w:val="single" w:color="auto" w:sz="4" w:space="0"/>
              <w:left w:val="single" w:color="auto" w:sz="4" w:space="0"/>
              <w:bottom w:val="single" w:color="auto" w:sz="4" w:space="0"/>
              <w:right w:val="single" w:color="auto" w:sz="4" w:space="0"/>
            </w:tcBorders>
          </w:tcPr>
          <w:p w14:paraId="74BC068B">
            <w:pPr>
              <w:spacing w:line="240" w:lineRule="auto"/>
              <w:rPr>
                <w:rFonts w:eastAsia="Calibri" w:cs="Times New Roman"/>
                <w:color w:val="000000" w:themeColor="text1"/>
                <w:kern w:val="0"/>
                <w:szCs w:val="24"/>
                <w14:textFill>
                  <w14:solidFill>
                    <w14:schemeClr w14:val="tx1"/>
                  </w14:solidFill>
                </w14:textFill>
                <w14:ligatures w14:val="none"/>
              </w:rPr>
            </w:pPr>
          </w:p>
        </w:tc>
      </w:tr>
      <w:tr w14:paraId="1975E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454" w:type="dxa"/>
            <w:tcBorders>
              <w:top w:val="single" w:color="auto" w:sz="4" w:space="0"/>
              <w:left w:val="single" w:color="auto" w:sz="4" w:space="0"/>
              <w:bottom w:val="single" w:color="auto" w:sz="4" w:space="0"/>
              <w:right w:val="single" w:color="auto" w:sz="4" w:space="0"/>
            </w:tcBorders>
          </w:tcPr>
          <w:p w14:paraId="6CAAEDC6">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color w:val="000000" w:themeColor="text1"/>
                <w:kern w:val="0"/>
                <w:szCs w:val="24"/>
                <w14:textFill>
                  <w14:solidFill>
                    <w14:schemeClr w14:val="tx1"/>
                  </w14:solidFill>
                </w14:textFill>
                <w14:ligatures w14:val="none"/>
              </w:rPr>
              <w:t>5</w:t>
            </w:r>
          </w:p>
        </w:tc>
        <w:tc>
          <w:tcPr>
            <w:tcW w:w="6381" w:type="dxa"/>
            <w:tcBorders>
              <w:top w:val="single" w:color="auto" w:sz="4" w:space="0"/>
              <w:left w:val="single" w:color="auto" w:sz="4" w:space="0"/>
              <w:bottom w:val="single" w:color="auto" w:sz="4" w:space="0"/>
              <w:right w:val="single" w:color="auto" w:sz="4" w:space="0"/>
            </w:tcBorders>
          </w:tcPr>
          <w:p w14:paraId="7470B70B">
            <w:pPr>
              <w:rPr>
                <w:rFonts w:cs="Times New Roman"/>
                <w:color w:val="000000" w:themeColor="text1"/>
                <w:kern w:val="0"/>
                <w:szCs w:val="24"/>
                <w14:textFill>
                  <w14:solidFill>
                    <w14:schemeClr w14:val="tx1"/>
                  </w14:solidFill>
                </w14:textFill>
              </w:rPr>
            </w:pPr>
            <w:r>
              <w:rPr>
                <w:rFonts w:cs="Times New Roman"/>
                <w:color w:val="000000" w:themeColor="text1"/>
                <w:kern w:val="0"/>
                <w:szCs w:val="24"/>
                <w14:textFill>
                  <w14:solidFill>
                    <w14:schemeClr w14:val="tx1"/>
                  </w14:solidFill>
                </w14:textFill>
              </w:rPr>
              <w:t>Price discounts influence my decision to apply fertilizer.</w:t>
            </w:r>
          </w:p>
        </w:tc>
        <w:tc>
          <w:tcPr>
            <w:tcW w:w="360" w:type="dxa"/>
            <w:tcBorders>
              <w:top w:val="single" w:color="auto" w:sz="4" w:space="0"/>
              <w:left w:val="single" w:color="auto" w:sz="4" w:space="0"/>
              <w:bottom w:val="single" w:color="auto" w:sz="4" w:space="0"/>
              <w:right w:val="single" w:color="auto" w:sz="4" w:space="0"/>
            </w:tcBorders>
          </w:tcPr>
          <w:p w14:paraId="232B136A">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46948B12">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4BA808E8">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086A7E2E">
            <w:pPr>
              <w:spacing w:line="240" w:lineRule="auto"/>
              <w:rPr>
                <w:rFonts w:eastAsia="Calibri" w:cs="Times New Roman"/>
                <w:color w:val="000000" w:themeColor="text1"/>
                <w:kern w:val="0"/>
                <w:szCs w:val="24"/>
                <w14:textFill>
                  <w14:solidFill>
                    <w14:schemeClr w14:val="tx1"/>
                  </w14:solidFill>
                </w14:textFill>
                <w14:ligatures w14:val="none"/>
              </w:rPr>
            </w:pPr>
          </w:p>
        </w:tc>
        <w:tc>
          <w:tcPr>
            <w:tcW w:w="355" w:type="dxa"/>
            <w:tcBorders>
              <w:top w:val="single" w:color="auto" w:sz="4" w:space="0"/>
              <w:left w:val="single" w:color="auto" w:sz="4" w:space="0"/>
              <w:bottom w:val="single" w:color="auto" w:sz="4" w:space="0"/>
              <w:right w:val="single" w:color="auto" w:sz="4" w:space="0"/>
            </w:tcBorders>
          </w:tcPr>
          <w:p w14:paraId="787772A4">
            <w:pPr>
              <w:spacing w:line="240" w:lineRule="auto"/>
              <w:rPr>
                <w:rFonts w:eastAsia="Calibri" w:cs="Times New Roman"/>
                <w:color w:val="000000" w:themeColor="text1"/>
                <w:kern w:val="0"/>
                <w:szCs w:val="24"/>
                <w14:textFill>
                  <w14:solidFill>
                    <w14:schemeClr w14:val="tx1"/>
                  </w14:solidFill>
                </w14:textFill>
                <w14:ligatures w14:val="none"/>
              </w:rPr>
            </w:pPr>
          </w:p>
        </w:tc>
      </w:tr>
      <w:tr w14:paraId="6D6E2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6835" w:type="dxa"/>
            <w:gridSpan w:val="2"/>
            <w:tcBorders>
              <w:top w:val="single" w:color="auto" w:sz="4" w:space="0"/>
              <w:left w:val="single" w:color="auto" w:sz="4" w:space="0"/>
              <w:bottom w:val="single" w:color="auto" w:sz="4" w:space="0"/>
              <w:right w:val="single" w:color="auto" w:sz="4" w:space="0"/>
            </w:tcBorders>
          </w:tcPr>
          <w:p w14:paraId="5AFDDCC9">
            <w:pPr>
              <w:rPr>
                <w:rFonts w:cs="Times New Roman"/>
                <w:b/>
                <w:bCs/>
                <w:color w:val="000000" w:themeColor="text1"/>
                <w:kern w:val="0"/>
                <w:szCs w:val="24"/>
                <w14:textFill>
                  <w14:solidFill>
                    <w14:schemeClr w14:val="tx1"/>
                  </w14:solidFill>
                </w14:textFill>
              </w:rPr>
            </w:pPr>
            <w:r>
              <w:rPr>
                <w:rFonts w:cs="Times New Roman"/>
                <w:b/>
                <w:bCs/>
                <w:color w:val="000000" w:themeColor="text1"/>
                <w:kern w:val="0"/>
                <w:szCs w:val="24"/>
                <w14:textFill>
                  <w14:solidFill>
                    <w14:schemeClr w14:val="tx1"/>
                  </w14:solidFill>
                </w14:textFill>
              </w:rPr>
              <w:t>Perceived Affordability</w:t>
            </w:r>
          </w:p>
        </w:tc>
        <w:tc>
          <w:tcPr>
            <w:tcW w:w="360" w:type="dxa"/>
            <w:tcBorders>
              <w:top w:val="single" w:color="auto" w:sz="4" w:space="0"/>
              <w:left w:val="single" w:color="auto" w:sz="4" w:space="0"/>
              <w:bottom w:val="single" w:color="auto" w:sz="4" w:space="0"/>
              <w:right w:val="single" w:color="auto" w:sz="4" w:space="0"/>
            </w:tcBorders>
          </w:tcPr>
          <w:p w14:paraId="580BF9C3">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b/>
                <w:color w:val="000000" w:themeColor="text1"/>
                <w:kern w:val="0"/>
                <w:szCs w:val="24"/>
                <w14:textFill>
                  <w14:solidFill>
                    <w14:schemeClr w14:val="tx1"/>
                  </w14:solidFill>
                </w14:textFill>
                <w14:ligatures w14:val="none"/>
              </w:rPr>
              <w:t>1</w:t>
            </w:r>
          </w:p>
        </w:tc>
        <w:tc>
          <w:tcPr>
            <w:tcW w:w="360" w:type="dxa"/>
            <w:tcBorders>
              <w:top w:val="single" w:color="auto" w:sz="4" w:space="0"/>
              <w:left w:val="single" w:color="auto" w:sz="4" w:space="0"/>
              <w:bottom w:val="single" w:color="auto" w:sz="4" w:space="0"/>
              <w:right w:val="single" w:color="auto" w:sz="4" w:space="0"/>
            </w:tcBorders>
          </w:tcPr>
          <w:p w14:paraId="5E799983">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b/>
                <w:color w:val="000000" w:themeColor="text1"/>
                <w:kern w:val="0"/>
                <w:szCs w:val="24"/>
                <w14:textFill>
                  <w14:solidFill>
                    <w14:schemeClr w14:val="tx1"/>
                  </w14:solidFill>
                </w14:textFill>
                <w14:ligatures w14:val="none"/>
              </w:rPr>
              <w:t>2</w:t>
            </w:r>
          </w:p>
        </w:tc>
        <w:tc>
          <w:tcPr>
            <w:tcW w:w="360" w:type="dxa"/>
            <w:tcBorders>
              <w:top w:val="single" w:color="auto" w:sz="4" w:space="0"/>
              <w:left w:val="single" w:color="auto" w:sz="4" w:space="0"/>
              <w:bottom w:val="single" w:color="auto" w:sz="4" w:space="0"/>
              <w:right w:val="single" w:color="auto" w:sz="4" w:space="0"/>
            </w:tcBorders>
          </w:tcPr>
          <w:p w14:paraId="7A03111A">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b/>
                <w:color w:val="000000" w:themeColor="text1"/>
                <w:kern w:val="0"/>
                <w:szCs w:val="24"/>
                <w14:textFill>
                  <w14:solidFill>
                    <w14:schemeClr w14:val="tx1"/>
                  </w14:solidFill>
                </w14:textFill>
                <w14:ligatures w14:val="none"/>
              </w:rPr>
              <w:t>3</w:t>
            </w:r>
          </w:p>
        </w:tc>
        <w:tc>
          <w:tcPr>
            <w:tcW w:w="360" w:type="dxa"/>
            <w:tcBorders>
              <w:top w:val="single" w:color="auto" w:sz="4" w:space="0"/>
              <w:left w:val="single" w:color="auto" w:sz="4" w:space="0"/>
              <w:bottom w:val="single" w:color="auto" w:sz="4" w:space="0"/>
              <w:right w:val="single" w:color="auto" w:sz="4" w:space="0"/>
            </w:tcBorders>
          </w:tcPr>
          <w:p w14:paraId="62B3FC78">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b/>
                <w:color w:val="000000" w:themeColor="text1"/>
                <w:kern w:val="0"/>
                <w:szCs w:val="24"/>
                <w14:textFill>
                  <w14:solidFill>
                    <w14:schemeClr w14:val="tx1"/>
                  </w14:solidFill>
                </w14:textFill>
                <w14:ligatures w14:val="none"/>
              </w:rPr>
              <w:t>4</w:t>
            </w:r>
          </w:p>
        </w:tc>
        <w:tc>
          <w:tcPr>
            <w:tcW w:w="355" w:type="dxa"/>
            <w:tcBorders>
              <w:top w:val="single" w:color="auto" w:sz="4" w:space="0"/>
              <w:left w:val="single" w:color="auto" w:sz="4" w:space="0"/>
              <w:bottom w:val="single" w:color="auto" w:sz="4" w:space="0"/>
              <w:right w:val="single" w:color="auto" w:sz="4" w:space="0"/>
            </w:tcBorders>
          </w:tcPr>
          <w:p w14:paraId="2DE96255">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b/>
                <w:color w:val="000000" w:themeColor="text1"/>
                <w:kern w:val="0"/>
                <w:szCs w:val="24"/>
                <w14:textFill>
                  <w14:solidFill>
                    <w14:schemeClr w14:val="tx1"/>
                  </w14:solidFill>
                </w14:textFill>
                <w14:ligatures w14:val="none"/>
              </w:rPr>
              <w:t>5</w:t>
            </w:r>
          </w:p>
        </w:tc>
      </w:tr>
      <w:tr w14:paraId="2AE0F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454" w:type="dxa"/>
            <w:tcBorders>
              <w:top w:val="single" w:color="auto" w:sz="4" w:space="0"/>
              <w:left w:val="single" w:color="auto" w:sz="4" w:space="0"/>
              <w:bottom w:val="single" w:color="auto" w:sz="4" w:space="0"/>
              <w:right w:val="single" w:color="auto" w:sz="4" w:space="0"/>
            </w:tcBorders>
          </w:tcPr>
          <w:p w14:paraId="371EF6B7">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color w:val="000000" w:themeColor="text1"/>
                <w:kern w:val="0"/>
                <w:szCs w:val="24"/>
                <w14:textFill>
                  <w14:solidFill>
                    <w14:schemeClr w14:val="tx1"/>
                  </w14:solidFill>
                </w14:textFill>
                <w14:ligatures w14:val="none"/>
              </w:rPr>
              <w:t>1</w:t>
            </w:r>
          </w:p>
        </w:tc>
        <w:tc>
          <w:tcPr>
            <w:tcW w:w="6381" w:type="dxa"/>
            <w:tcBorders>
              <w:top w:val="single" w:color="auto" w:sz="4" w:space="0"/>
              <w:left w:val="single" w:color="auto" w:sz="4" w:space="0"/>
              <w:bottom w:val="single" w:color="auto" w:sz="4" w:space="0"/>
              <w:right w:val="single" w:color="auto" w:sz="4" w:space="0"/>
            </w:tcBorders>
          </w:tcPr>
          <w:p w14:paraId="39EB9D47">
            <w:pPr>
              <w:rPr>
                <w:rFonts w:cs="Times New Roman"/>
                <w:color w:val="000000" w:themeColor="text1"/>
                <w:kern w:val="0"/>
                <w:szCs w:val="24"/>
                <w14:textFill>
                  <w14:solidFill>
                    <w14:schemeClr w14:val="tx1"/>
                  </w14:solidFill>
                </w14:textFill>
              </w:rPr>
            </w:pPr>
            <w:r>
              <w:rPr>
                <w:rFonts w:cs="Times New Roman"/>
                <w:color w:val="000000" w:themeColor="text1"/>
                <w:kern w:val="0"/>
                <w:szCs w:val="24"/>
                <w14:textFill>
                  <w14:solidFill>
                    <w14:schemeClr w14:val="tx1"/>
                  </w14:solidFill>
                </w14:textFill>
              </w:rPr>
              <w:t>Fertilizer under the subsidy program is affordable to smallholder farmers.</w:t>
            </w:r>
          </w:p>
        </w:tc>
        <w:tc>
          <w:tcPr>
            <w:tcW w:w="360" w:type="dxa"/>
            <w:tcBorders>
              <w:top w:val="single" w:color="auto" w:sz="4" w:space="0"/>
              <w:left w:val="single" w:color="auto" w:sz="4" w:space="0"/>
              <w:bottom w:val="single" w:color="auto" w:sz="4" w:space="0"/>
              <w:right w:val="single" w:color="auto" w:sz="4" w:space="0"/>
            </w:tcBorders>
          </w:tcPr>
          <w:p w14:paraId="1EFD7B9F">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7D7C3988">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21B80E25">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2D035F1C">
            <w:pPr>
              <w:spacing w:line="240" w:lineRule="auto"/>
              <w:rPr>
                <w:rFonts w:eastAsia="Calibri" w:cs="Times New Roman"/>
                <w:color w:val="000000" w:themeColor="text1"/>
                <w:kern w:val="0"/>
                <w:szCs w:val="24"/>
                <w14:textFill>
                  <w14:solidFill>
                    <w14:schemeClr w14:val="tx1"/>
                  </w14:solidFill>
                </w14:textFill>
                <w14:ligatures w14:val="none"/>
              </w:rPr>
            </w:pPr>
          </w:p>
        </w:tc>
        <w:tc>
          <w:tcPr>
            <w:tcW w:w="355" w:type="dxa"/>
            <w:tcBorders>
              <w:top w:val="single" w:color="auto" w:sz="4" w:space="0"/>
              <w:left w:val="single" w:color="auto" w:sz="4" w:space="0"/>
              <w:bottom w:val="single" w:color="auto" w:sz="4" w:space="0"/>
              <w:right w:val="single" w:color="auto" w:sz="4" w:space="0"/>
            </w:tcBorders>
          </w:tcPr>
          <w:p w14:paraId="75647B74">
            <w:pPr>
              <w:spacing w:line="240" w:lineRule="auto"/>
              <w:rPr>
                <w:rFonts w:eastAsia="Calibri" w:cs="Times New Roman"/>
                <w:color w:val="000000" w:themeColor="text1"/>
                <w:kern w:val="0"/>
                <w:szCs w:val="24"/>
                <w14:textFill>
                  <w14:solidFill>
                    <w14:schemeClr w14:val="tx1"/>
                  </w14:solidFill>
                </w14:textFill>
                <w14:ligatures w14:val="none"/>
              </w:rPr>
            </w:pPr>
          </w:p>
        </w:tc>
      </w:tr>
      <w:tr w14:paraId="037B2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454" w:type="dxa"/>
            <w:tcBorders>
              <w:top w:val="single" w:color="auto" w:sz="4" w:space="0"/>
              <w:left w:val="single" w:color="auto" w:sz="4" w:space="0"/>
              <w:bottom w:val="single" w:color="auto" w:sz="4" w:space="0"/>
              <w:right w:val="single" w:color="auto" w:sz="4" w:space="0"/>
            </w:tcBorders>
          </w:tcPr>
          <w:p w14:paraId="13D117D8">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color w:val="000000" w:themeColor="text1"/>
                <w:kern w:val="0"/>
                <w:szCs w:val="24"/>
                <w14:textFill>
                  <w14:solidFill>
                    <w14:schemeClr w14:val="tx1"/>
                  </w14:solidFill>
                </w14:textFill>
                <w14:ligatures w14:val="none"/>
              </w:rPr>
              <w:t>2</w:t>
            </w:r>
          </w:p>
        </w:tc>
        <w:tc>
          <w:tcPr>
            <w:tcW w:w="6381" w:type="dxa"/>
            <w:tcBorders>
              <w:top w:val="single" w:color="auto" w:sz="4" w:space="0"/>
              <w:left w:val="single" w:color="auto" w:sz="4" w:space="0"/>
              <w:bottom w:val="single" w:color="auto" w:sz="4" w:space="0"/>
              <w:right w:val="single" w:color="auto" w:sz="4" w:space="0"/>
            </w:tcBorders>
          </w:tcPr>
          <w:p w14:paraId="578C799B">
            <w:pPr>
              <w:rPr>
                <w:rFonts w:cs="Times New Roman"/>
                <w:color w:val="000000" w:themeColor="text1"/>
                <w:kern w:val="0"/>
                <w:szCs w:val="24"/>
                <w14:textFill>
                  <w14:solidFill>
                    <w14:schemeClr w14:val="tx1"/>
                  </w14:solidFill>
                </w14:textFill>
              </w:rPr>
            </w:pPr>
            <w:r>
              <w:rPr>
                <w:rFonts w:cs="Times New Roman"/>
                <w:color w:val="000000" w:themeColor="text1"/>
                <w:kern w:val="0"/>
                <w:szCs w:val="24"/>
                <w14:textFill>
                  <w14:solidFill>
                    <w14:schemeClr w14:val="tx1"/>
                  </w14:solidFill>
                </w14:textFill>
              </w:rPr>
              <w:t>The current subsidy price allows farmers to purchase sufficient fertilizer.</w:t>
            </w:r>
          </w:p>
        </w:tc>
        <w:tc>
          <w:tcPr>
            <w:tcW w:w="360" w:type="dxa"/>
            <w:tcBorders>
              <w:top w:val="single" w:color="auto" w:sz="4" w:space="0"/>
              <w:left w:val="single" w:color="auto" w:sz="4" w:space="0"/>
              <w:bottom w:val="single" w:color="auto" w:sz="4" w:space="0"/>
              <w:right w:val="single" w:color="auto" w:sz="4" w:space="0"/>
            </w:tcBorders>
          </w:tcPr>
          <w:p w14:paraId="43221BBB">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0E8EA868">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11DF5E99">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413CCBA1">
            <w:pPr>
              <w:spacing w:line="240" w:lineRule="auto"/>
              <w:rPr>
                <w:rFonts w:eastAsia="Calibri" w:cs="Times New Roman"/>
                <w:color w:val="000000" w:themeColor="text1"/>
                <w:kern w:val="0"/>
                <w:szCs w:val="24"/>
                <w14:textFill>
                  <w14:solidFill>
                    <w14:schemeClr w14:val="tx1"/>
                  </w14:solidFill>
                </w14:textFill>
                <w14:ligatures w14:val="none"/>
              </w:rPr>
            </w:pPr>
          </w:p>
        </w:tc>
        <w:tc>
          <w:tcPr>
            <w:tcW w:w="355" w:type="dxa"/>
            <w:tcBorders>
              <w:top w:val="single" w:color="auto" w:sz="4" w:space="0"/>
              <w:left w:val="single" w:color="auto" w:sz="4" w:space="0"/>
              <w:bottom w:val="single" w:color="auto" w:sz="4" w:space="0"/>
              <w:right w:val="single" w:color="auto" w:sz="4" w:space="0"/>
            </w:tcBorders>
          </w:tcPr>
          <w:p w14:paraId="545CB43B">
            <w:pPr>
              <w:spacing w:line="240" w:lineRule="auto"/>
              <w:rPr>
                <w:rFonts w:eastAsia="Calibri" w:cs="Times New Roman"/>
                <w:color w:val="000000" w:themeColor="text1"/>
                <w:kern w:val="0"/>
                <w:szCs w:val="24"/>
                <w14:textFill>
                  <w14:solidFill>
                    <w14:schemeClr w14:val="tx1"/>
                  </w14:solidFill>
                </w14:textFill>
                <w14:ligatures w14:val="none"/>
              </w:rPr>
            </w:pPr>
          </w:p>
        </w:tc>
      </w:tr>
      <w:tr w14:paraId="10A86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454" w:type="dxa"/>
            <w:tcBorders>
              <w:top w:val="single" w:color="auto" w:sz="4" w:space="0"/>
              <w:left w:val="single" w:color="auto" w:sz="4" w:space="0"/>
              <w:bottom w:val="single" w:color="auto" w:sz="4" w:space="0"/>
              <w:right w:val="single" w:color="auto" w:sz="4" w:space="0"/>
            </w:tcBorders>
          </w:tcPr>
          <w:p w14:paraId="266CF344">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color w:val="000000" w:themeColor="text1"/>
                <w:kern w:val="0"/>
                <w:szCs w:val="24"/>
                <w14:textFill>
                  <w14:solidFill>
                    <w14:schemeClr w14:val="tx1"/>
                  </w14:solidFill>
                </w14:textFill>
                <w14:ligatures w14:val="none"/>
              </w:rPr>
              <w:t>3</w:t>
            </w:r>
          </w:p>
        </w:tc>
        <w:tc>
          <w:tcPr>
            <w:tcW w:w="6381" w:type="dxa"/>
            <w:tcBorders>
              <w:top w:val="single" w:color="auto" w:sz="4" w:space="0"/>
              <w:left w:val="single" w:color="auto" w:sz="4" w:space="0"/>
              <w:bottom w:val="single" w:color="auto" w:sz="4" w:space="0"/>
              <w:right w:val="single" w:color="auto" w:sz="4" w:space="0"/>
            </w:tcBorders>
          </w:tcPr>
          <w:p w14:paraId="3CBD2C74">
            <w:pPr>
              <w:rPr>
                <w:rFonts w:cs="Times New Roman"/>
                <w:color w:val="000000" w:themeColor="text1"/>
                <w:kern w:val="0"/>
                <w:szCs w:val="24"/>
                <w14:textFill>
                  <w14:solidFill>
                    <w14:schemeClr w14:val="tx1"/>
                  </w14:solidFill>
                </w14:textFill>
              </w:rPr>
            </w:pPr>
            <w:r>
              <w:rPr>
                <w:rFonts w:cs="Times New Roman"/>
                <w:color w:val="000000" w:themeColor="text1"/>
                <w:kern w:val="0"/>
                <w:szCs w:val="24"/>
                <w14:textFill>
                  <w14:solidFill>
                    <w14:schemeClr w14:val="tx1"/>
                  </w14:solidFill>
                </w14:textFill>
              </w:rPr>
              <w:t>Fertilizer affordability affects farmers’ fertilizer application decisions.</w:t>
            </w:r>
          </w:p>
        </w:tc>
        <w:tc>
          <w:tcPr>
            <w:tcW w:w="360" w:type="dxa"/>
            <w:tcBorders>
              <w:top w:val="single" w:color="auto" w:sz="4" w:space="0"/>
              <w:left w:val="single" w:color="auto" w:sz="4" w:space="0"/>
              <w:bottom w:val="single" w:color="auto" w:sz="4" w:space="0"/>
              <w:right w:val="single" w:color="auto" w:sz="4" w:space="0"/>
            </w:tcBorders>
          </w:tcPr>
          <w:p w14:paraId="405F332F">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1F3B7222">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469656F2">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10925E87">
            <w:pPr>
              <w:spacing w:line="240" w:lineRule="auto"/>
              <w:rPr>
                <w:rFonts w:eastAsia="Calibri" w:cs="Times New Roman"/>
                <w:color w:val="000000" w:themeColor="text1"/>
                <w:kern w:val="0"/>
                <w:szCs w:val="24"/>
                <w14:textFill>
                  <w14:solidFill>
                    <w14:schemeClr w14:val="tx1"/>
                  </w14:solidFill>
                </w14:textFill>
                <w14:ligatures w14:val="none"/>
              </w:rPr>
            </w:pPr>
          </w:p>
        </w:tc>
        <w:tc>
          <w:tcPr>
            <w:tcW w:w="355" w:type="dxa"/>
            <w:tcBorders>
              <w:top w:val="single" w:color="auto" w:sz="4" w:space="0"/>
              <w:left w:val="single" w:color="auto" w:sz="4" w:space="0"/>
              <w:bottom w:val="single" w:color="auto" w:sz="4" w:space="0"/>
              <w:right w:val="single" w:color="auto" w:sz="4" w:space="0"/>
            </w:tcBorders>
          </w:tcPr>
          <w:p w14:paraId="5A412800">
            <w:pPr>
              <w:spacing w:line="240" w:lineRule="auto"/>
              <w:rPr>
                <w:rFonts w:eastAsia="Calibri" w:cs="Times New Roman"/>
                <w:color w:val="000000" w:themeColor="text1"/>
                <w:kern w:val="0"/>
                <w:szCs w:val="24"/>
                <w14:textFill>
                  <w14:solidFill>
                    <w14:schemeClr w14:val="tx1"/>
                  </w14:solidFill>
                </w14:textFill>
                <w14:ligatures w14:val="none"/>
              </w:rPr>
            </w:pPr>
          </w:p>
        </w:tc>
      </w:tr>
      <w:tr w14:paraId="14F4B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454" w:type="dxa"/>
            <w:tcBorders>
              <w:top w:val="single" w:color="auto" w:sz="4" w:space="0"/>
              <w:left w:val="single" w:color="auto" w:sz="4" w:space="0"/>
              <w:bottom w:val="single" w:color="auto" w:sz="4" w:space="0"/>
              <w:right w:val="single" w:color="auto" w:sz="4" w:space="0"/>
            </w:tcBorders>
          </w:tcPr>
          <w:p w14:paraId="26D265E0">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color w:val="000000" w:themeColor="text1"/>
                <w:kern w:val="0"/>
                <w:szCs w:val="24"/>
                <w14:textFill>
                  <w14:solidFill>
                    <w14:schemeClr w14:val="tx1"/>
                  </w14:solidFill>
                </w14:textFill>
                <w14:ligatures w14:val="none"/>
              </w:rPr>
              <w:t>4</w:t>
            </w:r>
          </w:p>
        </w:tc>
        <w:tc>
          <w:tcPr>
            <w:tcW w:w="6381" w:type="dxa"/>
            <w:tcBorders>
              <w:top w:val="single" w:color="auto" w:sz="4" w:space="0"/>
              <w:left w:val="single" w:color="auto" w:sz="4" w:space="0"/>
              <w:bottom w:val="single" w:color="auto" w:sz="4" w:space="0"/>
              <w:right w:val="single" w:color="auto" w:sz="4" w:space="0"/>
            </w:tcBorders>
          </w:tcPr>
          <w:p w14:paraId="709AFEEA">
            <w:pPr>
              <w:rPr>
                <w:rFonts w:cs="Times New Roman"/>
                <w:color w:val="000000" w:themeColor="text1"/>
                <w:kern w:val="0"/>
                <w:szCs w:val="24"/>
                <w14:textFill>
                  <w14:solidFill>
                    <w14:schemeClr w14:val="tx1"/>
                  </w14:solidFill>
                </w14:textFill>
              </w:rPr>
            </w:pPr>
            <w:r>
              <w:rPr>
                <w:rFonts w:cs="Times New Roman"/>
                <w:color w:val="000000" w:themeColor="text1"/>
                <w:kern w:val="0"/>
                <w:szCs w:val="24"/>
                <w14:textFill>
                  <w14:solidFill>
                    <w14:schemeClr w14:val="tx1"/>
                  </w14:solidFill>
                </w14:textFill>
              </w:rPr>
              <w:t>Farmers are more likely to purchase fertilizer when prices are affordable.</w:t>
            </w:r>
          </w:p>
        </w:tc>
        <w:tc>
          <w:tcPr>
            <w:tcW w:w="360" w:type="dxa"/>
            <w:tcBorders>
              <w:top w:val="single" w:color="auto" w:sz="4" w:space="0"/>
              <w:left w:val="single" w:color="auto" w:sz="4" w:space="0"/>
              <w:bottom w:val="single" w:color="auto" w:sz="4" w:space="0"/>
              <w:right w:val="single" w:color="auto" w:sz="4" w:space="0"/>
            </w:tcBorders>
          </w:tcPr>
          <w:p w14:paraId="05324E39">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75EF93E1">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03092144">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104DF15E">
            <w:pPr>
              <w:spacing w:line="240" w:lineRule="auto"/>
              <w:rPr>
                <w:rFonts w:eastAsia="Calibri" w:cs="Times New Roman"/>
                <w:color w:val="000000" w:themeColor="text1"/>
                <w:kern w:val="0"/>
                <w:szCs w:val="24"/>
                <w14:textFill>
                  <w14:solidFill>
                    <w14:schemeClr w14:val="tx1"/>
                  </w14:solidFill>
                </w14:textFill>
                <w14:ligatures w14:val="none"/>
              </w:rPr>
            </w:pPr>
          </w:p>
        </w:tc>
        <w:tc>
          <w:tcPr>
            <w:tcW w:w="355" w:type="dxa"/>
            <w:tcBorders>
              <w:top w:val="single" w:color="auto" w:sz="4" w:space="0"/>
              <w:left w:val="single" w:color="auto" w:sz="4" w:space="0"/>
              <w:bottom w:val="single" w:color="auto" w:sz="4" w:space="0"/>
              <w:right w:val="single" w:color="auto" w:sz="4" w:space="0"/>
            </w:tcBorders>
          </w:tcPr>
          <w:p w14:paraId="19315774">
            <w:pPr>
              <w:spacing w:line="240" w:lineRule="auto"/>
              <w:rPr>
                <w:rFonts w:eastAsia="Calibri" w:cs="Times New Roman"/>
                <w:color w:val="000000" w:themeColor="text1"/>
                <w:kern w:val="0"/>
                <w:szCs w:val="24"/>
                <w14:textFill>
                  <w14:solidFill>
                    <w14:schemeClr w14:val="tx1"/>
                  </w14:solidFill>
                </w14:textFill>
                <w14:ligatures w14:val="none"/>
              </w:rPr>
            </w:pPr>
          </w:p>
        </w:tc>
      </w:tr>
      <w:tr w14:paraId="47A46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454" w:type="dxa"/>
            <w:tcBorders>
              <w:top w:val="single" w:color="auto" w:sz="4" w:space="0"/>
              <w:left w:val="single" w:color="auto" w:sz="4" w:space="0"/>
              <w:bottom w:val="single" w:color="auto" w:sz="4" w:space="0"/>
              <w:right w:val="single" w:color="auto" w:sz="4" w:space="0"/>
            </w:tcBorders>
          </w:tcPr>
          <w:p w14:paraId="0C5EB599">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color w:val="000000" w:themeColor="text1"/>
                <w:kern w:val="0"/>
                <w:szCs w:val="24"/>
                <w14:textFill>
                  <w14:solidFill>
                    <w14:schemeClr w14:val="tx1"/>
                  </w14:solidFill>
                </w14:textFill>
                <w14:ligatures w14:val="none"/>
              </w:rPr>
              <w:t>5</w:t>
            </w:r>
          </w:p>
        </w:tc>
        <w:tc>
          <w:tcPr>
            <w:tcW w:w="6381" w:type="dxa"/>
            <w:tcBorders>
              <w:top w:val="single" w:color="auto" w:sz="4" w:space="0"/>
              <w:left w:val="single" w:color="auto" w:sz="4" w:space="0"/>
              <w:bottom w:val="single" w:color="auto" w:sz="4" w:space="0"/>
              <w:right w:val="single" w:color="auto" w:sz="4" w:space="0"/>
            </w:tcBorders>
          </w:tcPr>
          <w:p w14:paraId="28695B64">
            <w:pPr>
              <w:rPr>
                <w:rFonts w:cs="Times New Roman"/>
                <w:color w:val="000000" w:themeColor="text1"/>
                <w:kern w:val="0"/>
                <w:szCs w:val="24"/>
                <w14:textFill>
                  <w14:solidFill>
                    <w14:schemeClr w14:val="tx1"/>
                  </w14:solidFill>
                </w14:textFill>
              </w:rPr>
            </w:pPr>
            <w:r>
              <w:rPr>
                <w:rFonts w:cs="Times New Roman"/>
                <w:color w:val="000000" w:themeColor="text1"/>
                <w:kern w:val="0"/>
                <w:szCs w:val="24"/>
                <w14:textFill>
                  <w14:solidFill>
                    <w14:schemeClr w14:val="tx1"/>
                  </w14:solidFill>
                </w14:textFill>
              </w:rPr>
              <w:t>Affordable fertilizer improves farming productivity.</w:t>
            </w:r>
          </w:p>
        </w:tc>
        <w:tc>
          <w:tcPr>
            <w:tcW w:w="360" w:type="dxa"/>
            <w:tcBorders>
              <w:top w:val="single" w:color="auto" w:sz="4" w:space="0"/>
              <w:left w:val="single" w:color="auto" w:sz="4" w:space="0"/>
              <w:bottom w:val="single" w:color="auto" w:sz="4" w:space="0"/>
              <w:right w:val="single" w:color="auto" w:sz="4" w:space="0"/>
            </w:tcBorders>
          </w:tcPr>
          <w:p w14:paraId="6CE3D6A1">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7BADCD61">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55ACFBD9">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6846862D">
            <w:pPr>
              <w:spacing w:line="240" w:lineRule="auto"/>
              <w:rPr>
                <w:rFonts w:eastAsia="Calibri" w:cs="Times New Roman"/>
                <w:color w:val="000000" w:themeColor="text1"/>
                <w:kern w:val="0"/>
                <w:szCs w:val="24"/>
                <w14:textFill>
                  <w14:solidFill>
                    <w14:schemeClr w14:val="tx1"/>
                  </w14:solidFill>
                </w14:textFill>
                <w14:ligatures w14:val="none"/>
              </w:rPr>
            </w:pPr>
          </w:p>
        </w:tc>
        <w:tc>
          <w:tcPr>
            <w:tcW w:w="355" w:type="dxa"/>
            <w:tcBorders>
              <w:top w:val="single" w:color="auto" w:sz="4" w:space="0"/>
              <w:left w:val="single" w:color="auto" w:sz="4" w:space="0"/>
              <w:bottom w:val="single" w:color="auto" w:sz="4" w:space="0"/>
              <w:right w:val="single" w:color="auto" w:sz="4" w:space="0"/>
            </w:tcBorders>
          </w:tcPr>
          <w:p w14:paraId="74965E16">
            <w:pPr>
              <w:spacing w:line="240" w:lineRule="auto"/>
              <w:rPr>
                <w:rFonts w:eastAsia="Calibri" w:cs="Times New Roman"/>
                <w:color w:val="000000" w:themeColor="text1"/>
                <w:kern w:val="0"/>
                <w:szCs w:val="24"/>
                <w14:textFill>
                  <w14:solidFill>
                    <w14:schemeClr w14:val="tx1"/>
                  </w14:solidFill>
                </w14:textFill>
                <w14:ligatures w14:val="none"/>
              </w:rPr>
            </w:pPr>
          </w:p>
        </w:tc>
      </w:tr>
      <w:tr w14:paraId="194C8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6835" w:type="dxa"/>
            <w:gridSpan w:val="2"/>
            <w:tcBorders>
              <w:top w:val="single" w:color="auto" w:sz="4" w:space="0"/>
              <w:left w:val="single" w:color="auto" w:sz="4" w:space="0"/>
              <w:bottom w:val="single" w:color="auto" w:sz="4" w:space="0"/>
              <w:right w:val="single" w:color="auto" w:sz="4" w:space="0"/>
            </w:tcBorders>
          </w:tcPr>
          <w:p w14:paraId="09310BC3">
            <w:pPr>
              <w:rPr>
                <w:rFonts w:cs="Times New Roman"/>
                <w:b/>
                <w:bCs/>
                <w:color w:val="000000" w:themeColor="text1"/>
                <w:kern w:val="0"/>
                <w:szCs w:val="24"/>
                <w14:textFill>
                  <w14:solidFill>
                    <w14:schemeClr w14:val="tx1"/>
                  </w14:solidFill>
                </w14:textFill>
              </w:rPr>
            </w:pPr>
            <w:r>
              <w:rPr>
                <w:rFonts w:cs="Times New Roman"/>
                <w:b/>
                <w:bCs/>
                <w:color w:val="000000" w:themeColor="text1"/>
                <w:kern w:val="0"/>
                <w:szCs w:val="24"/>
                <w14:textFill>
                  <w14:solidFill>
                    <w14:schemeClr w14:val="tx1"/>
                  </w14:solidFill>
                </w14:textFill>
              </w:rPr>
              <w:t>Disbursement Time Lag</w:t>
            </w:r>
          </w:p>
        </w:tc>
        <w:tc>
          <w:tcPr>
            <w:tcW w:w="360" w:type="dxa"/>
            <w:tcBorders>
              <w:top w:val="single" w:color="auto" w:sz="4" w:space="0"/>
              <w:left w:val="single" w:color="auto" w:sz="4" w:space="0"/>
              <w:bottom w:val="single" w:color="auto" w:sz="4" w:space="0"/>
              <w:right w:val="single" w:color="auto" w:sz="4" w:space="0"/>
            </w:tcBorders>
          </w:tcPr>
          <w:p w14:paraId="399CEB17">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b/>
                <w:color w:val="000000" w:themeColor="text1"/>
                <w:kern w:val="0"/>
                <w:szCs w:val="24"/>
                <w14:textFill>
                  <w14:solidFill>
                    <w14:schemeClr w14:val="tx1"/>
                  </w14:solidFill>
                </w14:textFill>
                <w14:ligatures w14:val="none"/>
              </w:rPr>
              <w:t>1</w:t>
            </w:r>
          </w:p>
        </w:tc>
        <w:tc>
          <w:tcPr>
            <w:tcW w:w="360" w:type="dxa"/>
            <w:tcBorders>
              <w:top w:val="single" w:color="auto" w:sz="4" w:space="0"/>
              <w:left w:val="single" w:color="auto" w:sz="4" w:space="0"/>
              <w:bottom w:val="single" w:color="auto" w:sz="4" w:space="0"/>
              <w:right w:val="single" w:color="auto" w:sz="4" w:space="0"/>
            </w:tcBorders>
          </w:tcPr>
          <w:p w14:paraId="53F3B47C">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b/>
                <w:color w:val="000000" w:themeColor="text1"/>
                <w:kern w:val="0"/>
                <w:szCs w:val="24"/>
                <w14:textFill>
                  <w14:solidFill>
                    <w14:schemeClr w14:val="tx1"/>
                  </w14:solidFill>
                </w14:textFill>
                <w14:ligatures w14:val="none"/>
              </w:rPr>
              <w:t>2</w:t>
            </w:r>
          </w:p>
        </w:tc>
        <w:tc>
          <w:tcPr>
            <w:tcW w:w="360" w:type="dxa"/>
            <w:tcBorders>
              <w:top w:val="single" w:color="auto" w:sz="4" w:space="0"/>
              <w:left w:val="single" w:color="auto" w:sz="4" w:space="0"/>
              <w:bottom w:val="single" w:color="auto" w:sz="4" w:space="0"/>
              <w:right w:val="single" w:color="auto" w:sz="4" w:space="0"/>
            </w:tcBorders>
          </w:tcPr>
          <w:p w14:paraId="475FDECD">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b/>
                <w:color w:val="000000" w:themeColor="text1"/>
                <w:kern w:val="0"/>
                <w:szCs w:val="24"/>
                <w14:textFill>
                  <w14:solidFill>
                    <w14:schemeClr w14:val="tx1"/>
                  </w14:solidFill>
                </w14:textFill>
                <w14:ligatures w14:val="none"/>
              </w:rPr>
              <w:t>3</w:t>
            </w:r>
          </w:p>
        </w:tc>
        <w:tc>
          <w:tcPr>
            <w:tcW w:w="360" w:type="dxa"/>
            <w:tcBorders>
              <w:top w:val="single" w:color="auto" w:sz="4" w:space="0"/>
              <w:left w:val="single" w:color="auto" w:sz="4" w:space="0"/>
              <w:bottom w:val="single" w:color="auto" w:sz="4" w:space="0"/>
              <w:right w:val="single" w:color="auto" w:sz="4" w:space="0"/>
            </w:tcBorders>
          </w:tcPr>
          <w:p w14:paraId="43F32B93">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b/>
                <w:color w:val="000000" w:themeColor="text1"/>
                <w:kern w:val="0"/>
                <w:szCs w:val="24"/>
                <w14:textFill>
                  <w14:solidFill>
                    <w14:schemeClr w14:val="tx1"/>
                  </w14:solidFill>
                </w14:textFill>
                <w14:ligatures w14:val="none"/>
              </w:rPr>
              <w:t>4</w:t>
            </w:r>
          </w:p>
        </w:tc>
        <w:tc>
          <w:tcPr>
            <w:tcW w:w="355" w:type="dxa"/>
            <w:tcBorders>
              <w:top w:val="single" w:color="auto" w:sz="4" w:space="0"/>
              <w:left w:val="single" w:color="auto" w:sz="4" w:space="0"/>
              <w:bottom w:val="single" w:color="auto" w:sz="4" w:space="0"/>
              <w:right w:val="single" w:color="auto" w:sz="4" w:space="0"/>
            </w:tcBorders>
          </w:tcPr>
          <w:p w14:paraId="62DB7CB8">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b/>
                <w:color w:val="000000" w:themeColor="text1"/>
                <w:kern w:val="0"/>
                <w:szCs w:val="24"/>
                <w14:textFill>
                  <w14:solidFill>
                    <w14:schemeClr w14:val="tx1"/>
                  </w14:solidFill>
                </w14:textFill>
                <w14:ligatures w14:val="none"/>
              </w:rPr>
              <w:t>5</w:t>
            </w:r>
          </w:p>
        </w:tc>
      </w:tr>
      <w:tr w14:paraId="31403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454" w:type="dxa"/>
            <w:tcBorders>
              <w:top w:val="single" w:color="auto" w:sz="4" w:space="0"/>
              <w:left w:val="single" w:color="auto" w:sz="4" w:space="0"/>
              <w:bottom w:val="single" w:color="auto" w:sz="4" w:space="0"/>
              <w:right w:val="single" w:color="auto" w:sz="4" w:space="0"/>
            </w:tcBorders>
          </w:tcPr>
          <w:p w14:paraId="272E92B2">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color w:val="000000" w:themeColor="text1"/>
                <w:kern w:val="0"/>
                <w:szCs w:val="24"/>
                <w14:textFill>
                  <w14:solidFill>
                    <w14:schemeClr w14:val="tx1"/>
                  </w14:solidFill>
                </w14:textFill>
                <w14:ligatures w14:val="none"/>
              </w:rPr>
              <w:t>1</w:t>
            </w:r>
          </w:p>
        </w:tc>
        <w:tc>
          <w:tcPr>
            <w:tcW w:w="6381" w:type="dxa"/>
            <w:tcBorders>
              <w:top w:val="single" w:color="auto" w:sz="4" w:space="0"/>
              <w:left w:val="single" w:color="auto" w:sz="4" w:space="0"/>
              <w:bottom w:val="single" w:color="auto" w:sz="4" w:space="0"/>
              <w:right w:val="single" w:color="auto" w:sz="4" w:space="0"/>
            </w:tcBorders>
          </w:tcPr>
          <w:p w14:paraId="40BE7348">
            <w:pPr>
              <w:rPr>
                <w:rFonts w:cs="Times New Roman"/>
                <w:color w:val="000000" w:themeColor="text1"/>
                <w:kern w:val="0"/>
                <w:szCs w:val="24"/>
                <w14:textFill>
                  <w14:solidFill>
                    <w14:schemeClr w14:val="tx1"/>
                  </w14:solidFill>
                </w14:textFill>
              </w:rPr>
            </w:pPr>
            <w:r>
              <w:rPr>
                <w:rFonts w:cs="Times New Roman"/>
                <w:color w:val="000000" w:themeColor="text1"/>
                <w:kern w:val="0"/>
                <w:szCs w:val="24"/>
                <w14:textFill>
                  <w14:solidFill>
                    <w14:schemeClr w14:val="tx1"/>
                  </w14:solidFill>
                </w14:textFill>
              </w:rPr>
              <w:t>Fertilizer subsidies are distributed before the planting season.</w:t>
            </w:r>
          </w:p>
        </w:tc>
        <w:tc>
          <w:tcPr>
            <w:tcW w:w="360" w:type="dxa"/>
            <w:tcBorders>
              <w:top w:val="single" w:color="auto" w:sz="4" w:space="0"/>
              <w:left w:val="single" w:color="auto" w:sz="4" w:space="0"/>
              <w:bottom w:val="single" w:color="auto" w:sz="4" w:space="0"/>
              <w:right w:val="single" w:color="auto" w:sz="4" w:space="0"/>
            </w:tcBorders>
          </w:tcPr>
          <w:p w14:paraId="655968F8">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321CEDCD">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1ADBA70B">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77A4151A">
            <w:pPr>
              <w:spacing w:line="240" w:lineRule="auto"/>
              <w:rPr>
                <w:rFonts w:eastAsia="Calibri" w:cs="Times New Roman"/>
                <w:color w:val="000000" w:themeColor="text1"/>
                <w:kern w:val="0"/>
                <w:szCs w:val="24"/>
                <w14:textFill>
                  <w14:solidFill>
                    <w14:schemeClr w14:val="tx1"/>
                  </w14:solidFill>
                </w14:textFill>
                <w14:ligatures w14:val="none"/>
              </w:rPr>
            </w:pPr>
          </w:p>
        </w:tc>
        <w:tc>
          <w:tcPr>
            <w:tcW w:w="355" w:type="dxa"/>
            <w:tcBorders>
              <w:top w:val="single" w:color="auto" w:sz="4" w:space="0"/>
              <w:left w:val="single" w:color="auto" w:sz="4" w:space="0"/>
              <w:bottom w:val="single" w:color="auto" w:sz="4" w:space="0"/>
              <w:right w:val="single" w:color="auto" w:sz="4" w:space="0"/>
            </w:tcBorders>
          </w:tcPr>
          <w:p w14:paraId="6CCA8AEB">
            <w:pPr>
              <w:spacing w:line="240" w:lineRule="auto"/>
              <w:rPr>
                <w:rFonts w:eastAsia="Calibri" w:cs="Times New Roman"/>
                <w:color w:val="000000" w:themeColor="text1"/>
                <w:kern w:val="0"/>
                <w:szCs w:val="24"/>
                <w14:textFill>
                  <w14:solidFill>
                    <w14:schemeClr w14:val="tx1"/>
                  </w14:solidFill>
                </w14:textFill>
                <w14:ligatures w14:val="none"/>
              </w:rPr>
            </w:pPr>
          </w:p>
        </w:tc>
      </w:tr>
      <w:tr w14:paraId="0F96D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trPr>
        <w:tc>
          <w:tcPr>
            <w:tcW w:w="454" w:type="dxa"/>
            <w:tcBorders>
              <w:top w:val="single" w:color="auto" w:sz="4" w:space="0"/>
              <w:left w:val="single" w:color="auto" w:sz="4" w:space="0"/>
              <w:bottom w:val="single" w:color="auto" w:sz="4" w:space="0"/>
              <w:right w:val="single" w:color="auto" w:sz="4" w:space="0"/>
            </w:tcBorders>
          </w:tcPr>
          <w:p w14:paraId="07C8670E">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color w:val="000000" w:themeColor="text1"/>
                <w:kern w:val="0"/>
                <w:szCs w:val="24"/>
                <w14:textFill>
                  <w14:solidFill>
                    <w14:schemeClr w14:val="tx1"/>
                  </w14:solidFill>
                </w14:textFill>
                <w14:ligatures w14:val="none"/>
              </w:rPr>
              <w:t>2</w:t>
            </w:r>
          </w:p>
        </w:tc>
        <w:tc>
          <w:tcPr>
            <w:tcW w:w="6381" w:type="dxa"/>
            <w:tcBorders>
              <w:top w:val="single" w:color="auto" w:sz="4" w:space="0"/>
              <w:left w:val="single" w:color="auto" w:sz="4" w:space="0"/>
              <w:bottom w:val="single" w:color="auto" w:sz="4" w:space="0"/>
              <w:right w:val="single" w:color="auto" w:sz="4" w:space="0"/>
            </w:tcBorders>
          </w:tcPr>
          <w:p w14:paraId="2E264846">
            <w:pPr>
              <w:rPr>
                <w:rFonts w:cs="Times New Roman"/>
                <w:color w:val="000000" w:themeColor="text1"/>
                <w:kern w:val="0"/>
                <w:szCs w:val="24"/>
                <w14:textFill>
                  <w14:solidFill>
                    <w14:schemeClr w14:val="tx1"/>
                  </w14:solidFill>
                </w14:textFill>
              </w:rPr>
            </w:pPr>
            <w:r>
              <w:rPr>
                <w:rFonts w:cs="Times New Roman"/>
                <w:color w:val="000000" w:themeColor="text1"/>
                <w:kern w:val="0"/>
                <w:szCs w:val="24"/>
                <w14:textFill>
                  <w14:solidFill>
                    <w14:schemeClr w14:val="tx1"/>
                  </w14:solidFill>
                </w14:textFill>
              </w:rPr>
              <w:t>Delays in subsidy distribution affect fertilizer usage.</w:t>
            </w:r>
          </w:p>
        </w:tc>
        <w:tc>
          <w:tcPr>
            <w:tcW w:w="360" w:type="dxa"/>
            <w:tcBorders>
              <w:top w:val="single" w:color="auto" w:sz="4" w:space="0"/>
              <w:left w:val="single" w:color="auto" w:sz="4" w:space="0"/>
              <w:bottom w:val="single" w:color="auto" w:sz="4" w:space="0"/>
              <w:right w:val="single" w:color="auto" w:sz="4" w:space="0"/>
            </w:tcBorders>
          </w:tcPr>
          <w:p w14:paraId="0DAF6426">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1CA1BA8F">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037EAEA2">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2DFE368C">
            <w:pPr>
              <w:spacing w:line="240" w:lineRule="auto"/>
              <w:rPr>
                <w:rFonts w:eastAsia="Calibri" w:cs="Times New Roman"/>
                <w:color w:val="000000" w:themeColor="text1"/>
                <w:kern w:val="0"/>
                <w:szCs w:val="24"/>
                <w14:textFill>
                  <w14:solidFill>
                    <w14:schemeClr w14:val="tx1"/>
                  </w14:solidFill>
                </w14:textFill>
                <w14:ligatures w14:val="none"/>
              </w:rPr>
            </w:pPr>
          </w:p>
        </w:tc>
        <w:tc>
          <w:tcPr>
            <w:tcW w:w="355" w:type="dxa"/>
            <w:tcBorders>
              <w:top w:val="single" w:color="auto" w:sz="4" w:space="0"/>
              <w:left w:val="single" w:color="auto" w:sz="4" w:space="0"/>
              <w:bottom w:val="single" w:color="auto" w:sz="4" w:space="0"/>
              <w:right w:val="single" w:color="auto" w:sz="4" w:space="0"/>
            </w:tcBorders>
          </w:tcPr>
          <w:p w14:paraId="0C7F6D75">
            <w:pPr>
              <w:spacing w:line="240" w:lineRule="auto"/>
              <w:rPr>
                <w:rFonts w:eastAsia="Calibri" w:cs="Times New Roman"/>
                <w:color w:val="000000" w:themeColor="text1"/>
                <w:kern w:val="0"/>
                <w:szCs w:val="24"/>
                <w14:textFill>
                  <w14:solidFill>
                    <w14:schemeClr w14:val="tx1"/>
                  </w14:solidFill>
                </w14:textFill>
                <w14:ligatures w14:val="none"/>
              </w:rPr>
            </w:pPr>
          </w:p>
        </w:tc>
      </w:tr>
      <w:tr w14:paraId="754A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454" w:type="dxa"/>
            <w:tcBorders>
              <w:top w:val="single" w:color="auto" w:sz="4" w:space="0"/>
              <w:left w:val="single" w:color="auto" w:sz="4" w:space="0"/>
              <w:bottom w:val="single" w:color="auto" w:sz="4" w:space="0"/>
              <w:right w:val="single" w:color="auto" w:sz="4" w:space="0"/>
            </w:tcBorders>
          </w:tcPr>
          <w:p w14:paraId="28DFCE12">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color w:val="000000" w:themeColor="text1"/>
                <w:kern w:val="0"/>
                <w:szCs w:val="24"/>
                <w14:textFill>
                  <w14:solidFill>
                    <w14:schemeClr w14:val="tx1"/>
                  </w14:solidFill>
                </w14:textFill>
                <w14:ligatures w14:val="none"/>
              </w:rPr>
              <w:t>3</w:t>
            </w:r>
          </w:p>
        </w:tc>
        <w:tc>
          <w:tcPr>
            <w:tcW w:w="6381" w:type="dxa"/>
            <w:tcBorders>
              <w:top w:val="single" w:color="auto" w:sz="4" w:space="0"/>
              <w:left w:val="single" w:color="auto" w:sz="4" w:space="0"/>
              <w:bottom w:val="single" w:color="auto" w:sz="4" w:space="0"/>
              <w:right w:val="single" w:color="auto" w:sz="4" w:space="0"/>
            </w:tcBorders>
          </w:tcPr>
          <w:p w14:paraId="2CF162E7">
            <w:pPr>
              <w:rPr>
                <w:rFonts w:cs="Times New Roman"/>
                <w:color w:val="000000" w:themeColor="text1"/>
                <w:kern w:val="0"/>
                <w:szCs w:val="24"/>
                <w14:textFill>
                  <w14:solidFill>
                    <w14:schemeClr w14:val="tx1"/>
                  </w14:solidFill>
                </w14:textFill>
              </w:rPr>
            </w:pPr>
            <w:r>
              <w:rPr>
                <w:rFonts w:cs="Times New Roman"/>
                <w:color w:val="000000" w:themeColor="text1"/>
                <w:kern w:val="0"/>
                <w:szCs w:val="24"/>
                <w14:textFill>
                  <w14:solidFill>
                    <w14:schemeClr w14:val="tx1"/>
                  </w14:solidFill>
                </w14:textFill>
              </w:rPr>
              <w:t>Farmers receive fertilizer in time to apply during planting.</w:t>
            </w:r>
          </w:p>
        </w:tc>
        <w:tc>
          <w:tcPr>
            <w:tcW w:w="360" w:type="dxa"/>
            <w:tcBorders>
              <w:top w:val="single" w:color="auto" w:sz="4" w:space="0"/>
              <w:left w:val="single" w:color="auto" w:sz="4" w:space="0"/>
              <w:bottom w:val="single" w:color="auto" w:sz="4" w:space="0"/>
              <w:right w:val="single" w:color="auto" w:sz="4" w:space="0"/>
            </w:tcBorders>
          </w:tcPr>
          <w:p w14:paraId="436C1401">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24484D45">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04C920EB">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33008A79">
            <w:pPr>
              <w:spacing w:line="240" w:lineRule="auto"/>
              <w:rPr>
                <w:rFonts w:eastAsia="Calibri" w:cs="Times New Roman"/>
                <w:color w:val="000000" w:themeColor="text1"/>
                <w:kern w:val="0"/>
                <w:szCs w:val="24"/>
                <w14:textFill>
                  <w14:solidFill>
                    <w14:schemeClr w14:val="tx1"/>
                  </w14:solidFill>
                </w14:textFill>
                <w14:ligatures w14:val="none"/>
              </w:rPr>
            </w:pPr>
          </w:p>
        </w:tc>
        <w:tc>
          <w:tcPr>
            <w:tcW w:w="355" w:type="dxa"/>
            <w:tcBorders>
              <w:top w:val="single" w:color="auto" w:sz="4" w:space="0"/>
              <w:left w:val="single" w:color="auto" w:sz="4" w:space="0"/>
              <w:bottom w:val="single" w:color="auto" w:sz="4" w:space="0"/>
              <w:right w:val="single" w:color="auto" w:sz="4" w:space="0"/>
            </w:tcBorders>
          </w:tcPr>
          <w:p w14:paraId="36CD1927">
            <w:pPr>
              <w:spacing w:line="240" w:lineRule="auto"/>
              <w:rPr>
                <w:rFonts w:eastAsia="Calibri" w:cs="Times New Roman"/>
                <w:color w:val="000000" w:themeColor="text1"/>
                <w:kern w:val="0"/>
                <w:szCs w:val="24"/>
                <w14:textFill>
                  <w14:solidFill>
                    <w14:schemeClr w14:val="tx1"/>
                  </w14:solidFill>
                </w14:textFill>
                <w14:ligatures w14:val="none"/>
              </w:rPr>
            </w:pPr>
          </w:p>
        </w:tc>
      </w:tr>
      <w:tr w14:paraId="1FD8C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454" w:type="dxa"/>
            <w:tcBorders>
              <w:top w:val="single" w:color="auto" w:sz="4" w:space="0"/>
              <w:left w:val="single" w:color="auto" w:sz="4" w:space="0"/>
              <w:bottom w:val="single" w:color="auto" w:sz="4" w:space="0"/>
              <w:right w:val="single" w:color="auto" w:sz="4" w:space="0"/>
            </w:tcBorders>
          </w:tcPr>
          <w:p w14:paraId="4E06E8D3">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color w:val="000000" w:themeColor="text1"/>
                <w:kern w:val="0"/>
                <w:szCs w:val="24"/>
                <w14:textFill>
                  <w14:solidFill>
                    <w14:schemeClr w14:val="tx1"/>
                  </w14:solidFill>
                </w14:textFill>
                <w14:ligatures w14:val="none"/>
              </w:rPr>
              <w:t>4</w:t>
            </w:r>
          </w:p>
        </w:tc>
        <w:tc>
          <w:tcPr>
            <w:tcW w:w="6381" w:type="dxa"/>
            <w:tcBorders>
              <w:top w:val="single" w:color="auto" w:sz="4" w:space="0"/>
              <w:left w:val="single" w:color="auto" w:sz="4" w:space="0"/>
              <w:bottom w:val="single" w:color="auto" w:sz="4" w:space="0"/>
              <w:right w:val="single" w:color="auto" w:sz="4" w:space="0"/>
            </w:tcBorders>
          </w:tcPr>
          <w:p w14:paraId="7A1EC416">
            <w:pPr>
              <w:rPr>
                <w:rFonts w:cs="Times New Roman"/>
                <w:color w:val="000000" w:themeColor="text1"/>
                <w:kern w:val="0"/>
                <w:szCs w:val="24"/>
                <w14:textFill>
                  <w14:solidFill>
                    <w14:schemeClr w14:val="tx1"/>
                  </w14:solidFill>
                </w14:textFill>
              </w:rPr>
            </w:pPr>
            <w:r>
              <w:rPr>
                <w:rFonts w:cs="Times New Roman"/>
                <w:color w:val="000000" w:themeColor="text1"/>
                <w:kern w:val="0"/>
                <w:szCs w:val="24"/>
                <w14:textFill>
                  <w14:solidFill>
                    <w14:schemeClr w14:val="tx1"/>
                  </w14:solidFill>
                </w14:textFill>
              </w:rPr>
              <w:t>Timely fertilizer distribution encourages fertilizer uptake.</w:t>
            </w:r>
          </w:p>
        </w:tc>
        <w:tc>
          <w:tcPr>
            <w:tcW w:w="360" w:type="dxa"/>
            <w:tcBorders>
              <w:top w:val="single" w:color="auto" w:sz="4" w:space="0"/>
              <w:left w:val="single" w:color="auto" w:sz="4" w:space="0"/>
              <w:bottom w:val="single" w:color="auto" w:sz="4" w:space="0"/>
              <w:right w:val="single" w:color="auto" w:sz="4" w:space="0"/>
            </w:tcBorders>
          </w:tcPr>
          <w:p w14:paraId="09556D3E">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2D4C90B5">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6D583788">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6C575D0E">
            <w:pPr>
              <w:spacing w:line="240" w:lineRule="auto"/>
              <w:rPr>
                <w:rFonts w:eastAsia="Calibri" w:cs="Times New Roman"/>
                <w:color w:val="000000" w:themeColor="text1"/>
                <w:kern w:val="0"/>
                <w:szCs w:val="24"/>
                <w14:textFill>
                  <w14:solidFill>
                    <w14:schemeClr w14:val="tx1"/>
                  </w14:solidFill>
                </w14:textFill>
                <w14:ligatures w14:val="none"/>
              </w:rPr>
            </w:pPr>
          </w:p>
        </w:tc>
        <w:tc>
          <w:tcPr>
            <w:tcW w:w="355" w:type="dxa"/>
            <w:tcBorders>
              <w:top w:val="single" w:color="auto" w:sz="4" w:space="0"/>
              <w:left w:val="single" w:color="auto" w:sz="4" w:space="0"/>
              <w:bottom w:val="single" w:color="auto" w:sz="4" w:space="0"/>
              <w:right w:val="single" w:color="auto" w:sz="4" w:space="0"/>
            </w:tcBorders>
          </w:tcPr>
          <w:p w14:paraId="6E99DDA4">
            <w:pPr>
              <w:spacing w:line="240" w:lineRule="auto"/>
              <w:rPr>
                <w:rFonts w:eastAsia="Calibri" w:cs="Times New Roman"/>
                <w:color w:val="000000" w:themeColor="text1"/>
                <w:kern w:val="0"/>
                <w:szCs w:val="24"/>
                <w14:textFill>
                  <w14:solidFill>
                    <w14:schemeClr w14:val="tx1"/>
                  </w14:solidFill>
                </w14:textFill>
                <w14:ligatures w14:val="none"/>
              </w:rPr>
            </w:pPr>
          </w:p>
        </w:tc>
      </w:tr>
      <w:tr w14:paraId="2C7CD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454" w:type="dxa"/>
            <w:tcBorders>
              <w:top w:val="single" w:color="auto" w:sz="4" w:space="0"/>
              <w:left w:val="single" w:color="auto" w:sz="4" w:space="0"/>
              <w:bottom w:val="single" w:color="auto" w:sz="4" w:space="0"/>
              <w:right w:val="single" w:color="auto" w:sz="4" w:space="0"/>
            </w:tcBorders>
          </w:tcPr>
          <w:p w14:paraId="5AE315B3">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color w:val="000000" w:themeColor="text1"/>
                <w:kern w:val="0"/>
                <w:szCs w:val="24"/>
                <w14:textFill>
                  <w14:solidFill>
                    <w14:schemeClr w14:val="tx1"/>
                  </w14:solidFill>
                </w14:textFill>
                <w14:ligatures w14:val="none"/>
              </w:rPr>
              <w:t>5</w:t>
            </w:r>
          </w:p>
        </w:tc>
        <w:tc>
          <w:tcPr>
            <w:tcW w:w="6381" w:type="dxa"/>
            <w:tcBorders>
              <w:top w:val="single" w:color="auto" w:sz="4" w:space="0"/>
              <w:left w:val="single" w:color="auto" w:sz="4" w:space="0"/>
              <w:bottom w:val="single" w:color="auto" w:sz="4" w:space="0"/>
              <w:right w:val="single" w:color="auto" w:sz="4" w:space="0"/>
            </w:tcBorders>
          </w:tcPr>
          <w:p w14:paraId="54C4543C">
            <w:pPr>
              <w:rPr>
                <w:rFonts w:cs="Times New Roman"/>
                <w:color w:val="000000" w:themeColor="text1"/>
                <w:szCs w:val="24"/>
                <w14:textFill>
                  <w14:solidFill>
                    <w14:schemeClr w14:val="tx1"/>
                  </w14:solidFill>
                </w14:textFill>
              </w:rPr>
            </w:pPr>
            <w:r>
              <w:rPr>
                <w:rFonts w:cs="Times New Roman"/>
                <w:color w:val="000000" w:themeColor="text1"/>
                <w:kern w:val="0"/>
                <w:szCs w:val="24"/>
                <w14:textFill>
                  <w14:solidFill>
                    <w14:schemeClr w14:val="tx1"/>
                  </w14:solidFill>
                </w14:textFill>
              </w:rPr>
              <w:t>Delayed fertilizer delivery reduces fertilizer application.</w:t>
            </w:r>
          </w:p>
        </w:tc>
        <w:tc>
          <w:tcPr>
            <w:tcW w:w="360" w:type="dxa"/>
            <w:tcBorders>
              <w:top w:val="single" w:color="auto" w:sz="4" w:space="0"/>
              <w:left w:val="single" w:color="auto" w:sz="4" w:space="0"/>
              <w:bottom w:val="single" w:color="auto" w:sz="4" w:space="0"/>
              <w:right w:val="single" w:color="auto" w:sz="4" w:space="0"/>
            </w:tcBorders>
          </w:tcPr>
          <w:p w14:paraId="0AE06455">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5D75BEE2">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0928D22D">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7E13B54D">
            <w:pPr>
              <w:spacing w:line="240" w:lineRule="auto"/>
              <w:rPr>
                <w:rFonts w:eastAsia="Calibri" w:cs="Times New Roman"/>
                <w:color w:val="000000" w:themeColor="text1"/>
                <w:kern w:val="0"/>
                <w:szCs w:val="24"/>
                <w14:textFill>
                  <w14:solidFill>
                    <w14:schemeClr w14:val="tx1"/>
                  </w14:solidFill>
                </w14:textFill>
                <w14:ligatures w14:val="none"/>
              </w:rPr>
            </w:pPr>
          </w:p>
        </w:tc>
        <w:tc>
          <w:tcPr>
            <w:tcW w:w="355" w:type="dxa"/>
            <w:tcBorders>
              <w:top w:val="single" w:color="auto" w:sz="4" w:space="0"/>
              <w:left w:val="single" w:color="auto" w:sz="4" w:space="0"/>
              <w:bottom w:val="single" w:color="auto" w:sz="4" w:space="0"/>
              <w:right w:val="single" w:color="auto" w:sz="4" w:space="0"/>
            </w:tcBorders>
          </w:tcPr>
          <w:p w14:paraId="551F4A93">
            <w:pPr>
              <w:spacing w:line="240" w:lineRule="auto"/>
              <w:rPr>
                <w:rFonts w:eastAsia="Calibri" w:cs="Times New Roman"/>
                <w:color w:val="000000" w:themeColor="text1"/>
                <w:kern w:val="0"/>
                <w:szCs w:val="24"/>
                <w14:textFill>
                  <w14:solidFill>
                    <w14:schemeClr w14:val="tx1"/>
                  </w14:solidFill>
                </w14:textFill>
                <w14:ligatures w14:val="none"/>
              </w:rPr>
            </w:pPr>
          </w:p>
        </w:tc>
      </w:tr>
    </w:tbl>
    <w:p w14:paraId="4B495CF3">
      <w:pPr>
        <w:rPr>
          <w:color w:val="000000" w:themeColor="text1"/>
          <w14:textFill>
            <w14:solidFill>
              <w14:schemeClr w14:val="tx1"/>
            </w14:solidFill>
          </w14:textFill>
        </w:rPr>
      </w:pPr>
    </w:p>
    <w:p w14:paraId="587FC3BF">
      <w:pPr>
        <w:rPr>
          <w:rFonts w:cs="Times New Roman"/>
          <w:b/>
          <w:bCs/>
          <w:color w:val="000000" w:themeColor="text1"/>
          <w:szCs w:val="24"/>
          <w14:textFill>
            <w14:solidFill>
              <w14:schemeClr w14:val="tx1"/>
            </w14:solidFill>
          </w14:textFill>
        </w:rPr>
      </w:pPr>
      <w:r>
        <w:rPr>
          <w:rFonts w:cs="Times New Roman"/>
          <w:b/>
          <w:bCs/>
          <w:color w:val="000000" w:themeColor="text1"/>
          <w:szCs w:val="24"/>
          <w14:textFill>
            <w14:solidFill>
              <w14:schemeClr w14:val="tx1"/>
            </w14:solidFill>
          </w14:textFill>
        </w:rPr>
        <w:t>Section C: Distribution Model Changes</w:t>
      </w:r>
    </w:p>
    <w:p w14:paraId="38855EB0">
      <w:pPr>
        <w:pStyle w:val="38"/>
        <w:numPr>
          <w:ilvl w:val="0"/>
          <w:numId w:val="2"/>
        </w:numPr>
        <w:ind w:left="360"/>
        <w:rPr>
          <w:color w:val="000000" w:themeColor="text1"/>
          <w:kern w:val="0"/>
          <w14:textFill>
            <w14:solidFill>
              <w14:schemeClr w14:val="tx1"/>
            </w14:solidFill>
          </w14:textFill>
          <w14:ligatures w14:val="none"/>
        </w:rPr>
      </w:pPr>
      <w:r>
        <w:rPr>
          <w:color w:val="000000" w:themeColor="text1"/>
          <w:kern w:val="0"/>
          <w14:textFill>
            <w14:solidFill>
              <w14:schemeClr w14:val="tx1"/>
            </w14:solidFill>
          </w14:textFill>
          <w14:ligatures w14:val="none"/>
        </w:rPr>
        <w:t xml:space="preserve">Please indicate your level of agreement with the following statements relating to </w:t>
      </w:r>
      <w:r>
        <w:rPr>
          <w:rFonts w:cs="Times New Roman"/>
          <w:color w:val="000000" w:themeColor="text1"/>
          <w:szCs w:val="24"/>
          <w14:textFill>
            <w14:solidFill>
              <w14:schemeClr w14:val="tx1"/>
            </w14:solidFill>
          </w14:textFill>
        </w:rPr>
        <w:t>distribution model changes</w:t>
      </w:r>
      <w:r>
        <w:rPr>
          <w:rFonts w:cs="Times New Roman"/>
          <w:b/>
          <w:bCs/>
          <w:color w:val="000000" w:themeColor="text1"/>
          <w:kern w:val="0"/>
          <w:szCs w:val="24"/>
          <w14:textFill>
            <w14:solidFill>
              <w14:schemeClr w14:val="tx1"/>
            </w14:solidFill>
          </w14:textFill>
          <w14:ligatures w14:val="none"/>
        </w:rPr>
        <w:t xml:space="preserve"> </w:t>
      </w:r>
      <w:r>
        <w:rPr>
          <w:color w:val="000000" w:themeColor="text1"/>
          <w:kern w:val="0"/>
          <w14:textFill>
            <w14:solidFill>
              <w14:schemeClr w14:val="tx1"/>
            </w14:solidFill>
          </w14:textFill>
          <w14:ligatures w14:val="none"/>
        </w:rPr>
        <w:t>and their effect on smallholder farmers’ uptake of fertilizers. (Codes: 1=Strongly Disagree, 2=Disagree, 3=Moderately Agree, 4=Agree, 5=Strongly Agree).</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4"/>
        <w:gridCol w:w="6381"/>
        <w:gridCol w:w="360"/>
        <w:gridCol w:w="360"/>
        <w:gridCol w:w="360"/>
        <w:gridCol w:w="360"/>
        <w:gridCol w:w="355"/>
      </w:tblGrid>
      <w:tr w14:paraId="7BFA4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trPr>
        <w:tc>
          <w:tcPr>
            <w:tcW w:w="6835" w:type="dxa"/>
            <w:gridSpan w:val="2"/>
            <w:tcBorders>
              <w:top w:val="single" w:color="auto" w:sz="4" w:space="0"/>
              <w:left w:val="single" w:color="auto" w:sz="4" w:space="0"/>
              <w:bottom w:val="single" w:color="auto" w:sz="4" w:space="0"/>
              <w:right w:val="single" w:color="auto" w:sz="4" w:space="0"/>
            </w:tcBorders>
          </w:tcPr>
          <w:p w14:paraId="6F8E59C8">
            <w:pPr>
              <w:spacing w:line="240" w:lineRule="auto"/>
              <w:rPr>
                <w:rFonts w:eastAsia="Calibri" w:cs="Times New Roman"/>
                <w:b/>
                <w:color w:val="000000" w:themeColor="text1"/>
                <w:kern w:val="0"/>
                <w:szCs w:val="24"/>
                <w14:textFill>
                  <w14:solidFill>
                    <w14:schemeClr w14:val="tx1"/>
                  </w14:solidFill>
                </w14:textFill>
                <w14:ligatures w14:val="none"/>
              </w:rPr>
            </w:pPr>
            <w:r>
              <w:rPr>
                <w:rFonts w:eastAsia="Calibri" w:cs="Times New Roman"/>
                <w:b/>
                <w:color w:val="000000" w:themeColor="text1"/>
                <w:kern w:val="0"/>
                <w:szCs w:val="24"/>
                <w14:textFill>
                  <w14:solidFill>
                    <w14:schemeClr w14:val="tx1"/>
                  </w14:solidFill>
                </w14:textFill>
                <w14:ligatures w14:val="none"/>
              </w:rPr>
              <w:t xml:space="preserve">Statement on </w:t>
            </w:r>
            <w:r>
              <w:rPr>
                <w:rFonts w:cs="Times New Roman"/>
                <w:b/>
                <w:bCs/>
                <w:color w:val="000000" w:themeColor="text1"/>
                <w:szCs w:val="24"/>
                <w14:textFill>
                  <w14:solidFill>
                    <w14:schemeClr w14:val="tx1"/>
                  </w14:solidFill>
                </w14:textFill>
              </w:rPr>
              <w:t>Distribution Model Changes</w:t>
            </w:r>
          </w:p>
        </w:tc>
        <w:tc>
          <w:tcPr>
            <w:tcW w:w="1795" w:type="dxa"/>
            <w:gridSpan w:val="5"/>
            <w:tcBorders>
              <w:top w:val="single" w:color="auto" w:sz="4" w:space="0"/>
              <w:left w:val="single" w:color="auto" w:sz="4" w:space="0"/>
              <w:bottom w:val="single" w:color="auto" w:sz="4" w:space="0"/>
              <w:right w:val="single" w:color="auto" w:sz="4" w:space="0"/>
            </w:tcBorders>
          </w:tcPr>
          <w:p w14:paraId="6BCB9404">
            <w:pPr>
              <w:jc w:val="left"/>
              <w:rPr>
                <w:rFonts w:eastAsia="Calibri" w:cs="Times New Roman"/>
                <w:b/>
                <w:color w:val="000000" w:themeColor="text1"/>
                <w:kern w:val="0"/>
                <w:szCs w:val="24"/>
                <w14:textFill>
                  <w14:solidFill>
                    <w14:schemeClr w14:val="tx1"/>
                  </w14:solidFill>
                </w14:textFill>
                <w14:ligatures w14:val="none"/>
              </w:rPr>
            </w:pPr>
            <w:r>
              <w:rPr>
                <w:rFonts w:eastAsia="Calibri" w:cs="Times New Roman"/>
                <w:b/>
                <w:color w:val="000000" w:themeColor="text1"/>
                <w:kern w:val="0"/>
                <w:szCs w:val="24"/>
                <w14:textFill>
                  <w14:solidFill>
                    <w14:schemeClr w14:val="tx1"/>
                  </w14:solidFill>
                </w14:textFill>
                <w14:ligatures w14:val="none"/>
              </w:rPr>
              <w:t>Level of Agreement</w:t>
            </w:r>
          </w:p>
        </w:tc>
      </w:tr>
      <w:tr w14:paraId="11583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6835" w:type="dxa"/>
            <w:gridSpan w:val="2"/>
            <w:tcBorders>
              <w:top w:val="single" w:color="auto" w:sz="4" w:space="0"/>
              <w:left w:val="single" w:color="auto" w:sz="4" w:space="0"/>
              <w:bottom w:val="single" w:color="auto" w:sz="4" w:space="0"/>
              <w:right w:val="single" w:color="auto" w:sz="4" w:space="0"/>
            </w:tcBorders>
          </w:tcPr>
          <w:p w14:paraId="4AC31793">
            <w:pPr>
              <w:rPr>
                <w:rFonts w:cs="Times New Roman"/>
                <w:b/>
                <w:bCs/>
                <w:color w:val="000000" w:themeColor="text1"/>
                <w:kern w:val="0"/>
                <w:szCs w:val="24"/>
                <w14:textFill>
                  <w14:solidFill>
                    <w14:schemeClr w14:val="tx1"/>
                  </w14:solidFill>
                </w14:textFill>
              </w:rPr>
            </w:pPr>
            <w:r>
              <w:rPr>
                <w:rFonts w:cs="Times New Roman"/>
                <w:b/>
                <w:bCs/>
                <w:color w:val="000000" w:themeColor="text1"/>
                <w:kern w:val="0"/>
                <w:szCs w:val="24"/>
                <w14:textFill>
                  <w14:solidFill>
                    <w14:schemeClr w14:val="tx1"/>
                  </w14:solidFill>
                </w14:textFill>
              </w:rPr>
              <w:t>Distance to Outlet</w:t>
            </w:r>
          </w:p>
        </w:tc>
        <w:tc>
          <w:tcPr>
            <w:tcW w:w="360" w:type="dxa"/>
            <w:tcBorders>
              <w:top w:val="single" w:color="auto" w:sz="4" w:space="0"/>
              <w:left w:val="single" w:color="auto" w:sz="4" w:space="0"/>
              <w:bottom w:val="single" w:color="auto" w:sz="4" w:space="0"/>
              <w:right w:val="single" w:color="auto" w:sz="4" w:space="0"/>
            </w:tcBorders>
          </w:tcPr>
          <w:p w14:paraId="396C3BF1">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b/>
                <w:color w:val="000000" w:themeColor="text1"/>
                <w:kern w:val="0"/>
                <w:szCs w:val="24"/>
                <w14:textFill>
                  <w14:solidFill>
                    <w14:schemeClr w14:val="tx1"/>
                  </w14:solidFill>
                </w14:textFill>
                <w14:ligatures w14:val="none"/>
              </w:rPr>
              <w:t>1</w:t>
            </w:r>
          </w:p>
        </w:tc>
        <w:tc>
          <w:tcPr>
            <w:tcW w:w="360" w:type="dxa"/>
            <w:tcBorders>
              <w:top w:val="single" w:color="auto" w:sz="4" w:space="0"/>
              <w:left w:val="single" w:color="auto" w:sz="4" w:space="0"/>
              <w:bottom w:val="single" w:color="auto" w:sz="4" w:space="0"/>
              <w:right w:val="single" w:color="auto" w:sz="4" w:space="0"/>
            </w:tcBorders>
          </w:tcPr>
          <w:p w14:paraId="084468B7">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b/>
                <w:color w:val="000000" w:themeColor="text1"/>
                <w:kern w:val="0"/>
                <w:szCs w:val="24"/>
                <w14:textFill>
                  <w14:solidFill>
                    <w14:schemeClr w14:val="tx1"/>
                  </w14:solidFill>
                </w14:textFill>
                <w14:ligatures w14:val="none"/>
              </w:rPr>
              <w:t>2</w:t>
            </w:r>
          </w:p>
        </w:tc>
        <w:tc>
          <w:tcPr>
            <w:tcW w:w="360" w:type="dxa"/>
            <w:tcBorders>
              <w:top w:val="single" w:color="auto" w:sz="4" w:space="0"/>
              <w:left w:val="single" w:color="auto" w:sz="4" w:space="0"/>
              <w:bottom w:val="single" w:color="auto" w:sz="4" w:space="0"/>
              <w:right w:val="single" w:color="auto" w:sz="4" w:space="0"/>
            </w:tcBorders>
          </w:tcPr>
          <w:p w14:paraId="4371F7FE">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b/>
                <w:color w:val="000000" w:themeColor="text1"/>
                <w:kern w:val="0"/>
                <w:szCs w:val="24"/>
                <w14:textFill>
                  <w14:solidFill>
                    <w14:schemeClr w14:val="tx1"/>
                  </w14:solidFill>
                </w14:textFill>
                <w14:ligatures w14:val="none"/>
              </w:rPr>
              <w:t>3</w:t>
            </w:r>
          </w:p>
        </w:tc>
        <w:tc>
          <w:tcPr>
            <w:tcW w:w="360" w:type="dxa"/>
            <w:tcBorders>
              <w:top w:val="single" w:color="auto" w:sz="4" w:space="0"/>
              <w:left w:val="single" w:color="auto" w:sz="4" w:space="0"/>
              <w:bottom w:val="single" w:color="auto" w:sz="4" w:space="0"/>
              <w:right w:val="single" w:color="auto" w:sz="4" w:space="0"/>
            </w:tcBorders>
          </w:tcPr>
          <w:p w14:paraId="06439801">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b/>
                <w:color w:val="000000" w:themeColor="text1"/>
                <w:kern w:val="0"/>
                <w:szCs w:val="24"/>
                <w14:textFill>
                  <w14:solidFill>
                    <w14:schemeClr w14:val="tx1"/>
                  </w14:solidFill>
                </w14:textFill>
                <w14:ligatures w14:val="none"/>
              </w:rPr>
              <w:t>4</w:t>
            </w:r>
          </w:p>
        </w:tc>
        <w:tc>
          <w:tcPr>
            <w:tcW w:w="355" w:type="dxa"/>
            <w:tcBorders>
              <w:top w:val="single" w:color="auto" w:sz="4" w:space="0"/>
              <w:left w:val="single" w:color="auto" w:sz="4" w:space="0"/>
              <w:bottom w:val="single" w:color="auto" w:sz="4" w:space="0"/>
              <w:right w:val="single" w:color="auto" w:sz="4" w:space="0"/>
            </w:tcBorders>
          </w:tcPr>
          <w:p w14:paraId="6A2B11D6">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b/>
                <w:color w:val="000000" w:themeColor="text1"/>
                <w:kern w:val="0"/>
                <w:szCs w:val="24"/>
                <w14:textFill>
                  <w14:solidFill>
                    <w14:schemeClr w14:val="tx1"/>
                  </w14:solidFill>
                </w14:textFill>
                <w14:ligatures w14:val="none"/>
              </w:rPr>
              <w:t>5</w:t>
            </w:r>
          </w:p>
        </w:tc>
      </w:tr>
      <w:tr w14:paraId="09BB4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454" w:type="dxa"/>
            <w:tcBorders>
              <w:top w:val="single" w:color="auto" w:sz="4" w:space="0"/>
              <w:left w:val="single" w:color="auto" w:sz="4" w:space="0"/>
              <w:bottom w:val="single" w:color="auto" w:sz="4" w:space="0"/>
              <w:right w:val="single" w:color="auto" w:sz="4" w:space="0"/>
            </w:tcBorders>
          </w:tcPr>
          <w:p w14:paraId="003A49B0">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color w:val="000000" w:themeColor="text1"/>
                <w:kern w:val="0"/>
                <w:szCs w:val="24"/>
                <w14:textFill>
                  <w14:solidFill>
                    <w14:schemeClr w14:val="tx1"/>
                  </w14:solidFill>
                </w14:textFill>
                <w14:ligatures w14:val="none"/>
              </w:rPr>
              <w:t>1</w:t>
            </w:r>
          </w:p>
        </w:tc>
        <w:tc>
          <w:tcPr>
            <w:tcW w:w="6381" w:type="dxa"/>
            <w:tcBorders>
              <w:top w:val="single" w:color="auto" w:sz="4" w:space="0"/>
              <w:left w:val="single" w:color="auto" w:sz="4" w:space="0"/>
              <w:bottom w:val="single" w:color="auto" w:sz="4" w:space="0"/>
              <w:right w:val="single" w:color="auto" w:sz="4" w:space="0"/>
            </w:tcBorders>
          </w:tcPr>
          <w:p w14:paraId="57298CCC">
            <w:pPr>
              <w:rPr>
                <w:rFonts w:cs="Times New Roman"/>
                <w:color w:val="000000" w:themeColor="text1"/>
                <w:kern w:val="0"/>
                <w:szCs w:val="24"/>
                <w14:textFill>
                  <w14:solidFill>
                    <w14:schemeClr w14:val="tx1"/>
                  </w14:solidFill>
                </w14:textFill>
              </w:rPr>
            </w:pPr>
            <w:r>
              <w:rPr>
                <w:rFonts w:cs="Times New Roman"/>
                <w:color w:val="000000" w:themeColor="text1"/>
                <w:kern w:val="0"/>
                <w:szCs w:val="24"/>
                <w14:textFill>
                  <w14:solidFill>
                    <w14:schemeClr w14:val="tx1"/>
                  </w14:solidFill>
                </w14:textFill>
              </w:rPr>
              <w:t>Fertilizer distribution centers are located near farmers.</w:t>
            </w:r>
          </w:p>
        </w:tc>
        <w:tc>
          <w:tcPr>
            <w:tcW w:w="360" w:type="dxa"/>
            <w:tcBorders>
              <w:top w:val="single" w:color="auto" w:sz="4" w:space="0"/>
              <w:left w:val="single" w:color="auto" w:sz="4" w:space="0"/>
              <w:bottom w:val="single" w:color="auto" w:sz="4" w:space="0"/>
              <w:right w:val="single" w:color="auto" w:sz="4" w:space="0"/>
            </w:tcBorders>
          </w:tcPr>
          <w:p w14:paraId="700B6039">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7F776B6E">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23615D90">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694F27DD">
            <w:pPr>
              <w:spacing w:line="240" w:lineRule="auto"/>
              <w:rPr>
                <w:rFonts w:eastAsia="Calibri" w:cs="Times New Roman"/>
                <w:color w:val="000000" w:themeColor="text1"/>
                <w:kern w:val="0"/>
                <w:szCs w:val="24"/>
                <w14:textFill>
                  <w14:solidFill>
                    <w14:schemeClr w14:val="tx1"/>
                  </w14:solidFill>
                </w14:textFill>
                <w14:ligatures w14:val="none"/>
              </w:rPr>
            </w:pPr>
          </w:p>
        </w:tc>
        <w:tc>
          <w:tcPr>
            <w:tcW w:w="355" w:type="dxa"/>
            <w:tcBorders>
              <w:top w:val="single" w:color="auto" w:sz="4" w:space="0"/>
              <w:left w:val="single" w:color="auto" w:sz="4" w:space="0"/>
              <w:bottom w:val="single" w:color="auto" w:sz="4" w:space="0"/>
              <w:right w:val="single" w:color="auto" w:sz="4" w:space="0"/>
            </w:tcBorders>
          </w:tcPr>
          <w:p w14:paraId="1CB93F3A">
            <w:pPr>
              <w:spacing w:line="240" w:lineRule="auto"/>
              <w:rPr>
                <w:rFonts w:eastAsia="Calibri" w:cs="Times New Roman"/>
                <w:color w:val="000000" w:themeColor="text1"/>
                <w:kern w:val="0"/>
                <w:szCs w:val="24"/>
                <w14:textFill>
                  <w14:solidFill>
                    <w14:schemeClr w14:val="tx1"/>
                  </w14:solidFill>
                </w14:textFill>
                <w14:ligatures w14:val="none"/>
              </w:rPr>
            </w:pPr>
          </w:p>
        </w:tc>
      </w:tr>
      <w:tr w14:paraId="5964A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454" w:type="dxa"/>
            <w:tcBorders>
              <w:top w:val="single" w:color="auto" w:sz="4" w:space="0"/>
              <w:left w:val="single" w:color="auto" w:sz="4" w:space="0"/>
              <w:bottom w:val="single" w:color="auto" w:sz="4" w:space="0"/>
              <w:right w:val="single" w:color="auto" w:sz="4" w:space="0"/>
            </w:tcBorders>
          </w:tcPr>
          <w:p w14:paraId="7024DDFF">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color w:val="000000" w:themeColor="text1"/>
                <w:kern w:val="0"/>
                <w:szCs w:val="24"/>
                <w14:textFill>
                  <w14:solidFill>
                    <w14:schemeClr w14:val="tx1"/>
                  </w14:solidFill>
                </w14:textFill>
                <w14:ligatures w14:val="none"/>
              </w:rPr>
              <w:t>2</w:t>
            </w:r>
          </w:p>
        </w:tc>
        <w:tc>
          <w:tcPr>
            <w:tcW w:w="6381" w:type="dxa"/>
            <w:tcBorders>
              <w:top w:val="single" w:color="auto" w:sz="4" w:space="0"/>
              <w:left w:val="single" w:color="auto" w:sz="4" w:space="0"/>
              <w:bottom w:val="single" w:color="auto" w:sz="4" w:space="0"/>
              <w:right w:val="single" w:color="auto" w:sz="4" w:space="0"/>
            </w:tcBorders>
          </w:tcPr>
          <w:p w14:paraId="51656743">
            <w:pPr>
              <w:rPr>
                <w:rFonts w:cs="Times New Roman"/>
                <w:color w:val="000000" w:themeColor="text1"/>
                <w:kern w:val="0"/>
                <w:szCs w:val="24"/>
                <w14:textFill>
                  <w14:solidFill>
                    <w14:schemeClr w14:val="tx1"/>
                  </w14:solidFill>
                </w14:textFill>
              </w:rPr>
            </w:pPr>
            <w:r>
              <w:rPr>
                <w:rFonts w:cs="Times New Roman"/>
                <w:color w:val="000000" w:themeColor="text1"/>
                <w:kern w:val="0"/>
                <w:szCs w:val="24"/>
                <w14:textFill>
                  <w14:solidFill>
                    <w14:schemeClr w14:val="tx1"/>
                  </w14:solidFill>
                </w14:textFill>
              </w:rPr>
              <w:t>Long travel distance discourages farmers from purchasing fertilizer.</w:t>
            </w:r>
          </w:p>
        </w:tc>
        <w:tc>
          <w:tcPr>
            <w:tcW w:w="360" w:type="dxa"/>
            <w:tcBorders>
              <w:top w:val="single" w:color="auto" w:sz="4" w:space="0"/>
              <w:left w:val="single" w:color="auto" w:sz="4" w:space="0"/>
              <w:bottom w:val="single" w:color="auto" w:sz="4" w:space="0"/>
              <w:right w:val="single" w:color="auto" w:sz="4" w:space="0"/>
            </w:tcBorders>
          </w:tcPr>
          <w:p w14:paraId="3A375746">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781BDB6A">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5FBD5A2E">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7E398D78">
            <w:pPr>
              <w:spacing w:line="240" w:lineRule="auto"/>
              <w:rPr>
                <w:rFonts w:eastAsia="Calibri" w:cs="Times New Roman"/>
                <w:color w:val="000000" w:themeColor="text1"/>
                <w:kern w:val="0"/>
                <w:szCs w:val="24"/>
                <w14:textFill>
                  <w14:solidFill>
                    <w14:schemeClr w14:val="tx1"/>
                  </w14:solidFill>
                </w14:textFill>
                <w14:ligatures w14:val="none"/>
              </w:rPr>
            </w:pPr>
          </w:p>
        </w:tc>
        <w:tc>
          <w:tcPr>
            <w:tcW w:w="355" w:type="dxa"/>
            <w:tcBorders>
              <w:top w:val="single" w:color="auto" w:sz="4" w:space="0"/>
              <w:left w:val="single" w:color="auto" w:sz="4" w:space="0"/>
              <w:bottom w:val="single" w:color="auto" w:sz="4" w:space="0"/>
              <w:right w:val="single" w:color="auto" w:sz="4" w:space="0"/>
            </w:tcBorders>
          </w:tcPr>
          <w:p w14:paraId="00F530FB">
            <w:pPr>
              <w:spacing w:line="240" w:lineRule="auto"/>
              <w:rPr>
                <w:rFonts w:eastAsia="Calibri" w:cs="Times New Roman"/>
                <w:color w:val="000000" w:themeColor="text1"/>
                <w:kern w:val="0"/>
                <w:szCs w:val="24"/>
                <w14:textFill>
                  <w14:solidFill>
                    <w14:schemeClr w14:val="tx1"/>
                  </w14:solidFill>
                </w14:textFill>
                <w14:ligatures w14:val="none"/>
              </w:rPr>
            </w:pPr>
          </w:p>
        </w:tc>
      </w:tr>
      <w:tr w14:paraId="5FDCA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454" w:type="dxa"/>
            <w:tcBorders>
              <w:top w:val="single" w:color="auto" w:sz="4" w:space="0"/>
              <w:left w:val="single" w:color="auto" w:sz="4" w:space="0"/>
              <w:bottom w:val="single" w:color="auto" w:sz="4" w:space="0"/>
              <w:right w:val="single" w:color="auto" w:sz="4" w:space="0"/>
            </w:tcBorders>
          </w:tcPr>
          <w:p w14:paraId="068284A0">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color w:val="000000" w:themeColor="text1"/>
                <w:kern w:val="0"/>
                <w:szCs w:val="24"/>
                <w14:textFill>
                  <w14:solidFill>
                    <w14:schemeClr w14:val="tx1"/>
                  </w14:solidFill>
                </w14:textFill>
                <w14:ligatures w14:val="none"/>
              </w:rPr>
              <w:t>3</w:t>
            </w:r>
          </w:p>
        </w:tc>
        <w:tc>
          <w:tcPr>
            <w:tcW w:w="6381" w:type="dxa"/>
            <w:tcBorders>
              <w:top w:val="single" w:color="auto" w:sz="4" w:space="0"/>
              <w:left w:val="single" w:color="auto" w:sz="4" w:space="0"/>
              <w:bottom w:val="single" w:color="auto" w:sz="4" w:space="0"/>
              <w:right w:val="single" w:color="auto" w:sz="4" w:space="0"/>
            </w:tcBorders>
          </w:tcPr>
          <w:p w14:paraId="5826B4B5">
            <w:pPr>
              <w:rPr>
                <w:rFonts w:cs="Times New Roman"/>
                <w:color w:val="000000" w:themeColor="text1"/>
                <w:kern w:val="0"/>
                <w:szCs w:val="24"/>
                <w14:textFill>
                  <w14:solidFill>
                    <w14:schemeClr w14:val="tx1"/>
                  </w14:solidFill>
                </w14:textFill>
              </w:rPr>
            </w:pPr>
            <w:r>
              <w:rPr>
                <w:rFonts w:cs="Times New Roman"/>
                <w:color w:val="000000" w:themeColor="text1"/>
                <w:kern w:val="0"/>
                <w:szCs w:val="24"/>
                <w14:textFill>
                  <w14:solidFill>
                    <w14:schemeClr w14:val="tx1"/>
                  </w14:solidFill>
                </w14:textFill>
              </w:rPr>
              <w:t>Transport costs affect farmers’ uptake of fertilizer.</w:t>
            </w:r>
          </w:p>
        </w:tc>
        <w:tc>
          <w:tcPr>
            <w:tcW w:w="360" w:type="dxa"/>
            <w:tcBorders>
              <w:top w:val="single" w:color="auto" w:sz="4" w:space="0"/>
              <w:left w:val="single" w:color="auto" w:sz="4" w:space="0"/>
              <w:bottom w:val="single" w:color="auto" w:sz="4" w:space="0"/>
              <w:right w:val="single" w:color="auto" w:sz="4" w:space="0"/>
            </w:tcBorders>
          </w:tcPr>
          <w:p w14:paraId="5FEF61A3">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7D819AE7">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70209750">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2D59BA98">
            <w:pPr>
              <w:spacing w:line="240" w:lineRule="auto"/>
              <w:rPr>
                <w:rFonts w:eastAsia="Calibri" w:cs="Times New Roman"/>
                <w:color w:val="000000" w:themeColor="text1"/>
                <w:kern w:val="0"/>
                <w:szCs w:val="24"/>
                <w14:textFill>
                  <w14:solidFill>
                    <w14:schemeClr w14:val="tx1"/>
                  </w14:solidFill>
                </w14:textFill>
                <w14:ligatures w14:val="none"/>
              </w:rPr>
            </w:pPr>
          </w:p>
        </w:tc>
        <w:tc>
          <w:tcPr>
            <w:tcW w:w="355" w:type="dxa"/>
            <w:tcBorders>
              <w:top w:val="single" w:color="auto" w:sz="4" w:space="0"/>
              <w:left w:val="single" w:color="auto" w:sz="4" w:space="0"/>
              <w:bottom w:val="single" w:color="auto" w:sz="4" w:space="0"/>
              <w:right w:val="single" w:color="auto" w:sz="4" w:space="0"/>
            </w:tcBorders>
          </w:tcPr>
          <w:p w14:paraId="66582DA9">
            <w:pPr>
              <w:spacing w:line="240" w:lineRule="auto"/>
              <w:rPr>
                <w:rFonts w:eastAsia="Calibri" w:cs="Times New Roman"/>
                <w:color w:val="000000" w:themeColor="text1"/>
                <w:kern w:val="0"/>
                <w:szCs w:val="24"/>
                <w14:textFill>
                  <w14:solidFill>
                    <w14:schemeClr w14:val="tx1"/>
                  </w14:solidFill>
                </w14:textFill>
                <w14:ligatures w14:val="none"/>
              </w:rPr>
            </w:pPr>
          </w:p>
        </w:tc>
      </w:tr>
      <w:tr w14:paraId="4393A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454" w:type="dxa"/>
            <w:tcBorders>
              <w:top w:val="single" w:color="auto" w:sz="4" w:space="0"/>
              <w:left w:val="single" w:color="auto" w:sz="4" w:space="0"/>
              <w:bottom w:val="single" w:color="auto" w:sz="4" w:space="0"/>
              <w:right w:val="single" w:color="auto" w:sz="4" w:space="0"/>
            </w:tcBorders>
          </w:tcPr>
          <w:p w14:paraId="2E29EE86">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color w:val="000000" w:themeColor="text1"/>
                <w:kern w:val="0"/>
                <w:szCs w:val="24"/>
                <w14:textFill>
                  <w14:solidFill>
                    <w14:schemeClr w14:val="tx1"/>
                  </w14:solidFill>
                </w14:textFill>
                <w14:ligatures w14:val="none"/>
              </w:rPr>
              <w:t>4</w:t>
            </w:r>
          </w:p>
        </w:tc>
        <w:tc>
          <w:tcPr>
            <w:tcW w:w="6381" w:type="dxa"/>
            <w:tcBorders>
              <w:top w:val="single" w:color="auto" w:sz="4" w:space="0"/>
              <w:left w:val="single" w:color="auto" w:sz="4" w:space="0"/>
              <w:bottom w:val="single" w:color="auto" w:sz="4" w:space="0"/>
              <w:right w:val="single" w:color="auto" w:sz="4" w:space="0"/>
            </w:tcBorders>
          </w:tcPr>
          <w:p w14:paraId="19B0644C">
            <w:pPr>
              <w:rPr>
                <w:rFonts w:cs="Times New Roman"/>
                <w:color w:val="000000" w:themeColor="text1"/>
                <w:kern w:val="0"/>
                <w:szCs w:val="24"/>
                <w14:textFill>
                  <w14:solidFill>
                    <w14:schemeClr w14:val="tx1"/>
                  </w14:solidFill>
                </w14:textFill>
              </w:rPr>
            </w:pPr>
            <w:r>
              <w:rPr>
                <w:rFonts w:cs="Times New Roman"/>
                <w:color w:val="000000" w:themeColor="text1"/>
                <w:kern w:val="0"/>
                <w:szCs w:val="24"/>
                <w14:textFill>
                  <w14:solidFill>
                    <w14:schemeClr w14:val="tx1"/>
                  </w14:solidFill>
                </w14:textFill>
              </w:rPr>
              <w:t>Farmers located far from distribution centers buy less fertilizer.</w:t>
            </w:r>
          </w:p>
        </w:tc>
        <w:tc>
          <w:tcPr>
            <w:tcW w:w="360" w:type="dxa"/>
            <w:tcBorders>
              <w:top w:val="single" w:color="auto" w:sz="4" w:space="0"/>
              <w:left w:val="single" w:color="auto" w:sz="4" w:space="0"/>
              <w:bottom w:val="single" w:color="auto" w:sz="4" w:space="0"/>
              <w:right w:val="single" w:color="auto" w:sz="4" w:space="0"/>
            </w:tcBorders>
          </w:tcPr>
          <w:p w14:paraId="1F047461">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08F16CA2">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30E12997">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49055C2C">
            <w:pPr>
              <w:spacing w:line="240" w:lineRule="auto"/>
              <w:rPr>
                <w:rFonts w:eastAsia="Calibri" w:cs="Times New Roman"/>
                <w:color w:val="000000" w:themeColor="text1"/>
                <w:kern w:val="0"/>
                <w:szCs w:val="24"/>
                <w14:textFill>
                  <w14:solidFill>
                    <w14:schemeClr w14:val="tx1"/>
                  </w14:solidFill>
                </w14:textFill>
                <w14:ligatures w14:val="none"/>
              </w:rPr>
            </w:pPr>
          </w:p>
        </w:tc>
        <w:tc>
          <w:tcPr>
            <w:tcW w:w="355" w:type="dxa"/>
            <w:tcBorders>
              <w:top w:val="single" w:color="auto" w:sz="4" w:space="0"/>
              <w:left w:val="single" w:color="auto" w:sz="4" w:space="0"/>
              <w:bottom w:val="single" w:color="auto" w:sz="4" w:space="0"/>
              <w:right w:val="single" w:color="auto" w:sz="4" w:space="0"/>
            </w:tcBorders>
          </w:tcPr>
          <w:p w14:paraId="6DADE769">
            <w:pPr>
              <w:spacing w:line="240" w:lineRule="auto"/>
              <w:rPr>
                <w:rFonts w:eastAsia="Calibri" w:cs="Times New Roman"/>
                <w:color w:val="000000" w:themeColor="text1"/>
                <w:kern w:val="0"/>
                <w:szCs w:val="24"/>
                <w14:textFill>
                  <w14:solidFill>
                    <w14:schemeClr w14:val="tx1"/>
                  </w14:solidFill>
                </w14:textFill>
                <w14:ligatures w14:val="none"/>
              </w:rPr>
            </w:pPr>
          </w:p>
        </w:tc>
      </w:tr>
      <w:tr w14:paraId="5D0F8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454" w:type="dxa"/>
            <w:tcBorders>
              <w:top w:val="single" w:color="auto" w:sz="4" w:space="0"/>
              <w:left w:val="single" w:color="auto" w:sz="4" w:space="0"/>
              <w:bottom w:val="single" w:color="auto" w:sz="4" w:space="0"/>
              <w:right w:val="single" w:color="auto" w:sz="4" w:space="0"/>
            </w:tcBorders>
          </w:tcPr>
          <w:p w14:paraId="12BE70B3">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color w:val="000000" w:themeColor="text1"/>
                <w:kern w:val="0"/>
                <w:szCs w:val="24"/>
                <w14:textFill>
                  <w14:solidFill>
                    <w14:schemeClr w14:val="tx1"/>
                  </w14:solidFill>
                </w14:textFill>
                <w14:ligatures w14:val="none"/>
              </w:rPr>
              <w:t>5</w:t>
            </w:r>
          </w:p>
        </w:tc>
        <w:tc>
          <w:tcPr>
            <w:tcW w:w="6381" w:type="dxa"/>
            <w:tcBorders>
              <w:top w:val="single" w:color="auto" w:sz="4" w:space="0"/>
              <w:left w:val="single" w:color="auto" w:sz="4" w:space="0"/>
              <w:bottom w:val="single" w:color="auto" w:sz="4" w:space="0"/>
              <w:right w:val="single" w:color="auto" w:sz="4" w:space="0"/>
            </w:tcBorders>
          </w:tcPr>
          <w:p w14:paraId="2EF6426B">
            <w:pPr>
              <w:rPr>
                <w:rFonts w:cs="Times New Roman"/>
                <w:color w:val="000000" w:themeColor="text1"/>
                <w:kern w:val="0"/>
                <w:szCs w:val="24"/>
                <w14:textFill>
                  <w14:solidFill>
                    <w14:schemeClr w14:val="tx1"/>
                  </w14:solidFill>
                </w14:textFill>
              </w:rPr>
            </w:pPr>
            <w:r>
              <w:rPr>
                <w:rFonts w:cs="Times New Roman"/>
                <w:color w:val="000000" w:themeColor="text1"/>
                <w:kern w:val="0"/>
                <w:szCs w:val="24"/>
                <w14:textFill>
                  <w14:solidFill>
                    <w14:schemeClr w14:val="tx1"/>
                  </w14:solidFill>
                </w14:textFill>
              </w:rPr>
              <w:t>Distance to fertilizer outlets influences fertilizer uptake.</w:t>
            </w:r>
          </w:p>
        </w:tc>
        <w:tc>
          <w:tcPr>
            <w:tcW w:w="360" w:type="dxa"/>
            <w:tcBorders>
              <w:top w:val="single" w:color="auto" w:sz="4" w:space="0"/>
              <w:left w:val="single" w:color="auto" w:sz="4" w:space="0"/>
              <w:bottom w:val="single" w:color="auto" w:sz="4" w:space="0"/>
              <w:right w:val="single" w:color="auto" w:sz="4" w:space="0"/>
            </w:tcBorders>
          </w:tcPr>
          <w:p w14:paraId="385ECFF9">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285D59C7">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2049E45D">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4DCA78AF">
            <w:pPr>
              <w:spacing w:line="240" w:lineRule="auto"/>
              <w:rPr>
                <w:rFonts w:eastAsia="Calibri" w:cs="Times New Roman"/>
                <w:color w:val="000000" w:themeColor="text1"/>
                <w:kern w:val="0"/>
                <w:szCs w:val="24"/>
                <w14:textFill>
                  <w14:solidFill>
                    <w14:schemeClr w14:val="tx1"/>
                  </w14:solidFill>
                </w14:textFill>
                <w14:ligatures w14:val="none"/>
              </w:rPr>
            </w:pPr>
          </w:p>
        </w:tc>
        <w:tc>
          <w:tcPr>
            <w:tcW w:w="355" w:type="dxa"/>
            <w:tcBorders>
              <w:top w:val="single" w:color="auto" w:sz="4" w:space="0"/>
              <w:left w:val="single" w:color="auto" w:sz="4" w:space="0"/>
              <w:bottom w:val="single" w:color="auto" w:sz="4" w:space="0"/>
              <w:right w:val="single" w:color="auto" w:sz="4" w:space="0"/>
            </w:tcBorders>
          </w:tcPr>
          <w:p w14:paraId="6B84B48D">
            <w:pPr>
              <w:spacing w:line="240" w:lineRule="auto"/>
              <w:rPr>
                <w:rFonts w:eastAsia="Calibri" w:cs="Times New Roman"/>
                <w:color w:val="000000" w:themeColor="text1"/>
                <w:kern w:val="0"/>
                <w:szCs w:val="24"/>
                <w14:textFill>
                  <w14:solidFill>
                    <w14:schemeClr w14:val="tx1"/>
                  </w14:solidFill>
                </w14:textFill>
                <w14:ligatures w14:val="none"/>
              </w:rPr>
            </w:pPr>
          </w:p>
        </w:tc>
      </w:tr>
      <w:tr w14:paraId="073B8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6835" w:type="dxa"/>
            <w:gridSpan w:val="2"/>
            <w:tcBorders>
              <w:top w:val="single" w:color="auto" w:sz="4" w:space="0"/>
              <w:left w:val="single" w:color="auto" w:sz="4" w:space="0"/>
              <w:bottom w:val="single" w:color="auto" w:sz="4" w:space="0"/>
              <w:right w:val="single" w:color="auto" w:sz="4" w:space="0"/>
            </w:tcBorders>
          </w:tcPr>
          <w:p w14:paraId="3730DBC3">
            <w:pPr>
              <w:rPr>
                <w:rFonts w:cs="Times New Roman"/>
                <w:b/>
                <w:bCs/>
                <w:color w:val="000000" w:themeColor="text1"/>
                <w:kern w:val="0"/>
                <w:szCs w:val="24"/>
                <w14:textFill>
                  <w14:solidFill>
                    <w14:schemeClr w14:val="tx1"/>
                  </w14:solidFill>
                </w14:textFill>
              </w:rPr>
            </w:pPr>
            <w:r>
              <w:rPr>
                <w:rFonts w:cs="Times New Roman"/>
                <w:b/>
                <w:bCs/>
                <w:color w:val="000000" w:themeColor="text1"/>
                <w:kern w:val="0"/>
                <w:szCs w:val="24"/>
                <w14:textFill>
                  <w14:solidFill>
                    <w14:schemeClr w14:val="tx1"/>
                  </w14:solidFill>
                </w14:textFill>
              </w:rPr>
              <w:t>Outlet Density</w:t>
            </w:r>
          </w:p>
        </w:tc>
        <w:tc>
          <w:tcPr>
            <w:tcW w:w="360" w:type="dxa"/>
            <w:tcBorders>
              <w:top w:val="single" w:color="auto" w:sz="4" w:space="0"/>
              <w:left w:val="single" w:color="auto" w:sz="4" w:space="0"/>
              <w:bottom w:val="single" w:color="auto" w:sz="4" w:space="0"/>
              <w:right w:val="single" w:color="auto" w:sz="4" w:space="0"/>
            </w:tcBorders>
          </w:tcPr>
          <w:p w14:paraId="686B9D68">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b/>
                <w:color w:val="000000" w:themeColor="text1"/>
                <w:kern w:val="0"/>
                <w:szCs w:val="24"/>
                <w14:textFill>
                  <w14:solidFill>
                    <w14:schemeClr w14:val="tx1"/>
                  </w14:solidFill>
                </w14:textFill>
                <w14:ligatures w14:val="none"/>
              </w:rPr>
              <w:t>1</w:t>
            </w:r>
          </w:p>
        </w:tc>
        <w:tc>
          <w:tcPr>
            <w:tcW w:w="360" w:type="dxa"/>
            <w:tcBorders>
              <w:top w:val="single" w:color="auto" w:sz="4" w:space="0"/>
              <w:left w:val="single" w:color="auto" w:sz="4" w:space="0"/>
              <w:bottom w:val="single" w:color="auto" w:sz="4" w:space="0"/>
              <w:right w:val="single" w:color="auto" w:sz="4" w:space="0"/>
            </w:tcBorders>
          </w:tcPr>
          <w:p w14:paraId="03828942">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b/>
                <w:color w:val="000000" w:themeColor="text1"/>
                <w:kern w:val="0"/>
                <w:szCs w:val="24"/>
                <w14:textFill>
                  <w14:solidFill>
                    <w14:schemeClr w14:val="tx1"/>
                  </w14:solidFill>
                </w14:textFill>
                <w14:ligatures w14:val="none"/>
              </w:rPr>
              <w:t>2</w:t>
            </w:r>
          </w:p>
        </w:tc>
        <w:tc>
          <w:tcPr>
            <w:tcW w:w="360" w:type="dxa"/>
            <w:tcBorders>
              <w:top w:val="single" w:color="auto" w:sz="4" w:space="0"/>
              <w:left w:val="single" w:color="auto" w:sz="4" w:space="0"/>
              <w:bottom w:val="single" w:color="auto" w:sz="4" w:space="0"/>
              <w:right w:val="single" w:color="auto" w:sz="4" w:space="0"/>
            </w:tcBorders>
          </w:tcPr>
          <w:p w14:paraId="41D860B9">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b/>
                <w:color w:val="000000" w:themeColor="text1"/>
                <w:kern w:val="0"/>
                <w:szCs w:val="24"/>
                <w14:textFill>
                  <w14:solidFill>
                    <w14:schemeClr w14:val="tx1"/>
                  </w14:solidFill>
                </w14:textFill>
                <w14:ligatures w14:val="none"/>
              </w:rPr>
              <w:t>3</w:t>
            </w:r>
          </w:p>
        </w:tc>
        <w:tc>
          <w:tcPr>
            <w:tcW w:w="360" w:type="dxa"/>
            <w:tcBorders>
              <w:top w:val="single" w:color="auto" w:sz="4" w:space="0"/>
              <w:left w:val="single" w:color="auto" w:sz="4" w:space="0"/>
              <w:bottom w:val="single" w:color="auto" w:sz="4" w:space="0"/>
              <w:right w:val="single" w:color="auto" w:sz="4" w:space="0"/>
            </w:tcBorders>
          </w:tcPr>
          <w:p w14:paraId="25037871">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b/>
                <w:color w:val="000000" w:themeColor="text1"/>
                <w:kern w:val="0"/>
                <w:szCs w:val="24"/>
                <w14:textFill>
                  <w14:solidFill>
                    <w14:schemeClr w14:val="tx1"/>
                  </w14:solidFill>
                </w14:textFill>
                <w14:ligatures w14:val="none"/>
              </w:rPr>
              <w:t>4</w:t>
            </w:r>
          </w:p>
        </w:tc>
        <w:tc>
          <w:tcPr>
            <w:tcW w:w="355" w:type="dxa"/>
            <w:tcBorders>
              <w:top w:val="single" w:color="auto" w:sz="4" w:space="0"/>
              <w:left w:val="single" w:color="auto" w:sz="4" w:space="0"/>
              <w:bottom w:val="single" w:color="auto" w:sz="4" w:space="0"/>
              <w:right w:val="single" w:color="auto" w:sz="4" w:space="0"/>
            </w:tcBorders>
          </w:tcPr>
          <w:p w14:paraId="11305BB9">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b/>
                <w:color w:val="000000" w:themeColor="text1"/>
                <w:kern w:val="0"/>
                <w:szCs w:val="24"/>
                <w14:textFill>
                  <w14:solidFill>
                    <w14:schemeClr w14:val="tx1"/>
                  </w14:solidFill>
                </w14:textFill>
                <w14:ligatures w14:val="none"/>
              </w:rPr>
              <w:t>5</w:t>
            </w:r>
          </w:p>
        </w:tc>
      </w:tr>
      <w:tr w14:paraId="3AD2F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454" w:type="dxa"/>
            <w:tcBorders>
              <w:top w:val="single" w:color="auto" w:sz="4" w:space="0"/>
              <w:left w:val="single" w:color="auto" w:sz="4" w:space="0"/>
              <w:bottom w:val="single" w:color="auto" w:sz="4" w:space="0"/>
              <w:right w:val="single" w:color="auto" w:sz="4" w:space="0"/>
            </w:tcBorders>
          </w:tcPr>
          <w:p w14:paraId="117A6970">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color w:val="000000" w:themeColor="text1"/>
                <w:kern w:val="0"/>
                <w:szCs w:val="24"/>
                <w14:textFill>
                  <w14:solidFill>
                    <w14:schemeClr w14:val="tx1"/>
                  </w14:solidFill>
                </w14:textFill>
                <w14:ligatures w14:val="none"/>
              </w:rPr>
              <w:t>1</w:t>
            </w:r>
          </w:p>
        </w:tc>
        <w:tc>
          <w:tcPr>
            <w:tcW w:w="6381" w:type="dxa"/>
            <w:tcBorders>
              <w:top w:val="single" w:color="auto" w:sz="4" w:space="0"/>
              <w:left w:val="single" w:color="auto" w:sz="4" w:space="0"/>
              <w:bottom w:val="single" w:color="auto" w:sz="4" w:space="0"/>
              <w:right w:val="single" w:color="auto" w:sz="4" w:space="0"/>
            </w:tcBorders>
          </w:tcPr>
          <w:p w14:paraId="202BA211">
            <w:pPr>
              <w:rPr>
                <w:rFonts w:cs="Times New Roman"/>
                <w:color w:val="000000" w:themeColor="text1"/>
                <w:kern w:val="0"/>
                <w:szCs w:val="24"/>
                <w14:textFill>
                  <w14:solidFill>
                    <w14:schemeClr w14:val="tx1"/>
                  </w14:solidFill>
                </w14:textFill>
              </w:rPr>
            </w:pPr>
            <w:r>
              <w:rPr>
                <w:rFonts w:cs="Times New Roman"/>
                <w:color w:val="000000" w:themeColor="text1"/>
                <w:kern w:val="0"/>
                <w:szCs w:val="24"/>
                <w14:textFill>
                  <w14:solidFill>
                    <w14:schemeClr w14:val="tx1"/>
                  </w14:solidFill>
                </w14:textFill>
              </w:rPr>
              <w:t>There are enough fertilizer outlets in my area.</w:t>
            </w:r>
          </w:p>
        </w:tc>
        <w:tc>
          <w:tcPr>
            <w:tcW w:w="360" w:type="dxa"/>
            <w:tcBorders>
              <w:top w:val="single" w:color="auto" w:sz="4" w:space="0"/>
              <w:left w:val="single" w:color="auto" w:sz="4" w:space="0"/>
              <w:bottom w:val="single" w:color="auto" w:sz="4" w:space="0"/>
              <w:right w:val="single" w:color="auto" w:sz="4" w:space="0"/>
            </w:tcBorders>
          </w:tcPr>
          <w:p w14:paraId="44F51861">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09B50F8B">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0221F3DC">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6B94E06A">
            <w:pPr>
              <w:spacing w:line="240" w:lineRule="auto"/>
              <w:rPr>
                <w:rFonts w:eastAsia="Calibri" w:cs="Times New Roman"/>
                <w:color w:val="000000" w:themeColor="text1"/>
                <w:kern w:val="0"/>
                <w:szCs w:val="24"/>
                <w14:textFill>
                  <w14:solidFill>
                    <w14:schemeClr w14:val="tx1"/>
                  </w14:solidFill>
                </w14:textFill>
                <w14:ligatures w14:val="none"/>
              </w:rPr>
            </w:pPr>
          </w:p>
        </w:tc>
        <w:tc>
          <w:tcPr>
            <w:tcW w:w="355" w:type="dxa"/>
            <w:tcBorders>
              <w:top w:val="single" w:color="auto" w:sz="4" w:space="0"/>
              <w:left w:val="single" w:color="auto" w:sz="4" w:space="0"/>
              <w:bottom w:val="single" w:color="auto" w:sz="4" w:space="0"/>
              <w:right w:val="single" w:color="auto" w:sz="4" w:space="0"/>
            </w:tcBorders>
          </w:tcPr>
          <w:p w14:paraId="497223C4">
            <w:pPr>
              <w:spacing w:line="240" w:lineRule="auto"/>
              <w:rPr>
                <w:rFonts w:eastAsia="Calibri" w:cs="Times New Roman"/>
                <w:color w:val="000000" w:themeColor="text1"/>
                <w:kern w:val="0"/>
                <w:szCs w:val="24"/>
                <w14:textFill>
                  <w14:solidFill>
                    <w14:schemeClr w14:val="tx1"/>
                  </w14:solidFill>
                </w14:textFill>
                <w14:ligatures w14:val="none"/>
              </w:rPr>
            </w:pPr>
          </w:p>
        </w:tc>
      </w:tr>
      <w:tr w14:paraId="45029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trPr>
        <w:tc>
          <w:tcPr>
            <w:tcW w:w="454" w:type="dxa"/>
            <w:tcBorders>
              <w:top w:val="single" w:color="auto" w:sz="4" w:space="0"/>
              <w:left w:val="single" w:color="auto" w:sz="4" w:space="0"/>
              <w:bottom w:val="single" w:color="auto" w:sz="4" w:space="0"/>
              <w:right w:val="single" w:color="auto" w:sz="4" w:space="0"/>
            </w:tcBorders>
          </w:tcPr>
          <w:p w14:paraId="4B71CF18">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color w:val="000000" w:themeColor="text1"/>
                <w:kern w:val="0"/>
                <w:szCs w:val="24"/>
                <w14:textFill>
                  <w14:solidFill>
                    <w14:schemeClr w14:val="tx1"/>
                  </w14:solidFill>
                </w14:textFill>
                <w14:ligatures w14:val="none"/>
              </w:rPr>
              <w:t>2</w:t>
            </w:r>
          </w:p>
        </w:tc>
        <w:tc>
          <w:tcPr>
            <w:tcW w:w="6381" w:type="dxa"/>
            <w:tcBorders>
              <w:top w:val="single" w:color="auto" w:sz="4" w:space="0"/>
              <w:left w:val="single" w:color="auto" w:sz="4" w:space="0"/>
              <w:bottom w:val="single" w:color="auto" w:sz="4" w:space="0"/>
              <w:right w:val="single" w:color="auto" w:sz="4" w:space="0"/>
            </w:tcBorders>
          </w:tcPr>
          <w:p w14:paraId="6822BBBC">
            <w:pPr>
              <w:rPr>
                <w:rFonts w:cs="Times New Roman"/>
                <w:color w:val="000000" w:themeColor="text1"/>
                <w:kern w:val="0"/>
                <w:szCs w:val="24"/>
                <w14:textFill>
                  <w14:solidFill>
                    <w14:schemeClr w14:val="tx1"/>
                  </w14:solidFill>
                </w14:textFill>
              </w:rPr>
            </w:pPr>
            <w:r>
              <w:rPr>
                <w:rFonts w:cs="Times New Roman"/>
                <w:color w:val="000000" w:themeColor="text1"/>
                <w:kern w:val="0"/>
                <w:szCs w:val="24"/>
                <w14:textFill>
                  <w14:solidFill>
                    <w14:schemeClr w14:val="tx1"/>
                  </w14:solidFill>
                </w14:textFill>
              </w:rPr>
              <w:t>Having many fertilizer suppliers improves uptake of fertilizer.</w:t>
            </w:r>
          </w:p>
        </w:tc>
        <w:tc>
          <w:tcPr>
            <w:tcW w:w="360" w:type="dxa"/>
            <w:tcBorders>
              <w:top w:val="single" w:color="auto" w:sz="4" w:space="0"/>
              <w:left w:val="single" w:color="auto" w:sz="4" w:space="0"/>
              <w:bottom w:val="single" w:color="auto" w:sz="4" w:space="0"/>
              <w:right w:val="single" w:color="auto" w:sz="4" w:space="0"/>
            </w:tcBorders>
          </w:tcPr>
          <w:p w14:paraId="17890A58">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7F5E8CC9">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694BEB69">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209306AB">
            <w:pPr>
              <w:spacing w:line="240" w:lineRule="auto"/>
              <w:rPr>
                <w:rFonts w:eastAsia="Calibri" w:cs="Times New Roman"/>
                <w:color w:val="000000" w:themeColor="text1"/>
                <w:kern w:val="0"/>
                <w:szCs w:val="24"/>
                <w14:textFill>
                  <w14:solidFill>
                    <w14:schemeClr w14:val="tx1"/>
                  </w14:solidFill>
                </w14:textFill>
                <w14:ligatures w14:val="none"/>
              </w:rPr>
            </w:pPr>
          </w:p>
        </w:tc>
        <w:tc>
          <w:tcPr>
            <w:tcW w:w="355" w:type="dxa"/>
            <w:tcBorders>
              <w:top w:val="single" w:color="auto" w:sz="4" w:space="0"/>
              <w:left w:val="single" w:color="auto" w:sz="4" w:space="0"/>
              <w:bottom w:val="single" w:color="auto" w:sz="4" w:space="0"/>
              <w:right w:val="single" w:color="auto" w:sz="4" w:space="0"/>
            </w:tcBorders>
          </w:tcPr>
          <w:p w14:paraId="43739AB3">
            <w:pPr>
              <w:spacing w:line="240" w:lineRule="auto"/>
              <w:rPr>
                <w:rFonts w:eastAsia="Calibri" w:cs="Times New Roman"/>
                <w:color w:val="000000" w:themeColor="text1"/>
                <w:kern w:val="0"/>
                <w:szCs w:val="24"/>
                <w14:textFill>
                  <w14:solidFill>
                    <w14:schemeClr w14:val="tx1"/>
                  </w14:solidFill>
                </w14:textFill>
                <w14:ligatures w14:val="none"/>
              </w:rPr>
            </w:pPr>
          </w:p>
        </w:tc>
      </w:tr>
      <w:tr w14:paraId="746DE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454" w:type="dxa"/>
            <w:tcBorders>
              <w:top w:val="single" w:color="auto" w:sz="4" w:space="0"/>
              <w:left w:val="single" w:color="auto" w:sz="4" w:space="0"/>
              <w:bottom w:val="single" w:color="auto" w:sz="4" w:space="0"/>
              <w:right w:val="single" w:color="auto" w:sz="4" w:space="0"/>
            </w:tcBorders>
          </w:tcPr>
          <w:p w14:paraId="0E7ED461">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color w:val="000000" w:themeColor="text1"/>
                <w:kern w:val="0"/>
                <w:szCs w:val="24"/>
                <w14:textFill>
                  <w14:solidFill>
                    <w14:schemeClr w14:val="tx1"/>
                  </w14:solidFill>
                </w14:textFill>
                <w14:ligatures w14:val="none"/>
              </w:rPr>
              <w:t>3</w:t>
            </w:r>
          </w:p>
        </w:tc>
        <w:tc>
          <w:tcPr>
            <w:tcW w:w="6381" w:type="dxa"/>
            <w:tcBorders>
              <w:top w:val="single" w:color="auto" w:sz="4" w:space="0"/>
              <w:left w:val="single" w:color="auto" w:sz="4" w:space="0"/>
              <w:bottom w:val="single" w:color="auto" w:sz="4" w:space="0"/>
              <w:right w:val="single" w:color="auto" w:sz="4" w:space="0"/>
            </w:tcBorders>
          </w:tcPr>
          <w:p w14:paraId="32A63F84">
            <w:pPr>
              <w:rPr>
                <w:rFonts w:cs="Times New Roman"/>
                <w:color w:val="000000" w:themeColor="text1"/>
                <w:kern w:val="0"/>
                <w:szCs w:val="24"/>
                <w14:textFill>
                  <w14:solidFill>
                    <w14:schemeClr w14:val="tx1"/>
                  </w14:solidFill>
                </w14:textFill>
              </w:rPr>
            </w:pPr>
            <w:r>
              <w:rPr>
                <w:rFonts w:cs="Times New Roman"/>
                <w:color w:val="000000" w:themeColor="text1"/>
                <w:kern w:val="0"/>
                <w:szCs w:val="24"/>
                <w14:textFill>
                  <w14:solidFill>
                    <w14:schemeClr w14:val="tx1"/>
                  </w14:solidFill>
                </w14:textFill>
              </w:rPr>
              <w:t>Farmers easily obtain fertilizer due to availability of many outlets.</w:t>
            </w:r>
          </w:p>
        </w:tc>
        <w:tc>
          <w:tcPr>
            <w:tcW w:w="360" w:type="dxa"/>
            <w:tcBorders>
              <w:top w:val="single" w:color="auto" w:sz="4" w:space="0"/>
              <w:left w:val="single" w:color="auto" w:sz="4" w:space="0"/>
              <w:bottom w:val="single" w:color="auto" w:sz="4" w:space="0"/>
              <w:right w:val="single" w:color="auto" w:sz="4" w:space="0"/>
            </w:tcBorders>
          </w:tcPr>
          <w:p w14:paraId="2EDF8039">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4F46D94E">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6C0B73ED">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0E6B4F33">
            <w:pPr>
              <w:spacing w:line="240" w:lineRule="auto"/>
              <w:rPr>
                <w:rFonts w:eastAsia="Calibri" w:cs="Times New Roman"/>
                <w:color w:val="000000" w:themeColor="text1"/>
                <w:kern w:val="0"/>
                <w:szCs w:val="24"/>
                <w14:textFill>
                  <w14:solidFill>
                    <w14:schemeClr w14:val="tx1"/>
                  </w14:solidFill>
                </w14:textFill>
                <w14:ligatures w14:val="none"/>
              </w:rPr>
            </w:pPr>
          </w:p>
        </w:tc>
        <w:tc>
          <w:tcPr>
            <w:tcW w:w="355" w:type="dxa"/>
            <w:tcBorders>
              <w:top w:val="single" w:color="auto" w:sz="4" w:space="0"/>
              <w:left w:val="single" w:color="auto" w:sz="4" w:space="0"/>
              <w:bottom w:val="single" w:color="auto" w:sz="4" w:space="0"/>
              <w:right w:val="single" w:color="auto" w:sz="4" w:space="0"/>
            </w:tcBorders>
          </w:tcPr>
          <w:p w14:paraId="45CA13FF">
            <w:pPr>
              <w:spacing w:line="240" w:lineRule="auto"/>
              <w:rPr>
                <w:rFonts w:eastAsia="Calibri" w:cs="Times New Roman"/>
                <w:color w:val="000000" w:themeColor="text1"/>
                <w:kern w:val="0"/>
                <w:szCs w:val="24"/>
                <w14:textFill>
                  <w14:solidFill>
                    <w14:schemeClr w14:val="tx1"/>
                  </w14:solidFill>
                </w14:textFill>
                <w14:ligatures w14:val="none"/>
              </w:rPr>
            </w:pPr>
          </w:p>
        </w:tc>
      </w:tr>
      <w:tr w14:paraId="66C89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454" w:type="dxa"/>
            <w:tcBorders>
              <w:top w:val="single" w:color="auto" w:sz="4" w:space="0"/>
              <w:left w:val="single" w:color="auto" w:sz="4" w:space="0"/>
              <w:bottom w:val="single" w:color="auto" w:sz="4" w:space="0"/>
              <w:right w:val="single" w:color="auto" w:sz="4" w:space="0"/>
            </w:tcBorders>
          </w:tcPr>
          <w:p w14:paraId="3757908A">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color w:val="000000" w:themeColor="text1"/>
                <w:kern w:val="0"/>
                <w:szCs w:val="24"/>
                <w14:textFill>
                  <w14:solidFill>
                    <w14:schemeClr w14:val="tx1"/>
                  </w14:solidFill>
                </w14:textFill>
                <w14:ligatures w14:val="none"/>
              </w:rPr>
              <w:t>4</w:t>
            </w:r>
          </w:p>
        </w:tc>
        <w:tc>
          <w:tcPr>
            <w:tcW w:w="6381" w:type="dxa"/>
            <w:tcBorders>
              <w:top w:val="single" w:color="auto" w:sz="4" w:space="0"/>
              <w:left w:val="single" w:color="auto" w:sz="4" w:space="0"/>
              <w:bottom w:val="single" w:color="auto" w:sz="4" w:space="0"/>
              <w:right w:val="single" w:color="auto" w:sz="4" w:space="0"/>
            </w:tcBorders>
          </w:tcPr>
          <w:p w14:paraId="3550D307">
            <w:pPr>
              <w:rPr>
                <w:rFonts w:cs="Times New Roman"/>
                <w:color w:val="000000" w:themeColor="text1"/>
                <w:kern w:val="0"/>
                <w:szCs w:val="24"/>
                <w14:textFill>
                  <w14:solidFill>
                    <w14:schemeClr w14:val="tx1"/>
                  </w14:solidFill>
                </w14:textFill>
              </w:rPr>
            </w:pPr>
            <w:r>
              <w:rPr>
                <w:rFonts w:cs="Times New Roman"/>
                <w:color w:val="000000" w:themeColor="text1"/>
                <w:kern w:val="0"/>
                <w:szCs w:val="24"/>
                <w14:textFill>
                  <w14:solidFill>
                    <w14:schemeClr w14:val="tx1"/>
                  </w14:solidFill>
                </w14:textFill>
              </w:rPr>
              <w:t>Limited fertilizer outlets reduce fertilizer availability.</w:t>
            </w:r>
          </w:p>
        </w:tc>
        <w:tc>
          <w:tcPr>
            <w:tcW w:w="360" w:type="dxa"/>
            <w:tcBorders>
              <w:top w:val="single" w:color="auto" w:sz="4" w:space="0"/>
              <w:left w:val="single" w:color="auto" w:sz="4" w:space="0"/>
              <w:bottom w:val="single" w:color="auto" w:sz="4" w:space="0"/>
              <w:right w:val="single" w:color="auto" w:sz="4" w:space="0"/>
            </w:tcBorders>
          </w:tcPr>
          <w:p w14:paraId="78BC85A9">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7360A797">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5E0A4E27">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4C652993">
            <w:pPr>
              <w:spacing w:line="240" w:lineRule="auto"/>
              <w:rPr>
                <w:rFonts w:eastAsia="Calibri" w:cs="Times New Roman"/>
                <w:color w:val="000000" w:themeColor="text1"/>
                <w:kern w:val="0"/>
                <w:szCs w:val="24"/>
                <w14:textFill>
                  <w14:solidFill>
                    <w14:schemeClr w14:val="tx1"/>
                  </w14:solidFill>
                </w14:textFill>
                <w14:ligatures w14:val="none"/>
              </w:rPr>
            </w:pPr>
          </w:p>
        </w:tc>
        <w:tc>
          <w:tcPr>
            <w:tcW w:w="355" w:type="dxa"/>
            <w:tcBorders>
              <w:top w:val="single" w:color="auto" w:sz="4" w:space="0"/>
              <w:left w:val="single" w:color="auto" w:sz="4" w:space="0"/>
              <w:bottom w:val="single" w:color="auto" w:sz="4" w:space="0"/>
              <w:right w:val="single" w:color="auto" w:sz="4" w:space="0"/>
            </w:tcBorders>
          </w:tcPr>
          <w:p w14:paraId="5FF8CC75">
            <w:pPr>
              <w:spacing w:line="240" w:lineRule="auto"/>
              <w:rPr>
                <w:rFonts w:eastAsia="Calibri" w:cs="Times New Roman"/>
                <w:color w:val="000000" w:themeColor="text1"/>
                <w:kern w:val="0"/>
                <w:szCs w:val="24"/>
                <w14:textFill>
                  <w14:solidFill>
                    <w14:schemeClr w14:val="tx1"/>
                  </w14:solidFill>
                </w14:textFill>
                <w14:ligatures w14:val="none"/>
              </w:rPr>
            </w:pPr>
          </w:p>
        </w:tc>
      </w:tr>
      <w:tr w14:paraId="724CF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454" w:type="dxa"/>
            <w:tcBorders>
              <w:top w:val="single" w:color="auto" w:sz="4" w:space="0"/>
              <w:left w:val="single" w:color="auto" w:sz="4" w:space="0"/>
              <w:bottom w:val="single" w:color="auto" w:sz="4" w:space="0"/>
              <w:right w:val="single" w:color="auto" w:sz="4" w:space="0"/>
            </w:tcBorders>
          </w:tcPr>
          <w:p w14:paraId="399A4E7B">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color w:val="000000" w:themeColor="text1"/>
                <w:kern w:val="0"/>
                <w:szCs w:val="24"/>
                <w14:textFill>
                  <w14:solidFill>
                    <w14:schemeClr w14:val="tx1"/>
                  </w14:solidFill>
                </w14:textFill>
                <w14:ligatures w14:val="none"/>
              </w:rPr>
              <w:t>5</w:t>
            </w:r>
          </w:p>
        </w:tc>
        <w:tc>
          <w:tcPr>
            <w:tcW w:w="6381" w:type="dxa"/>
            <w:tcBorders>
              <w:top w:val="single" w:color="auto" w:sz="4" w:space="0"/>
              <w:left w:val="single" w:color="auto" w:sz="4" w:space="0"/>
              <w:bottom w:val="single" w:color="auto" w:sz="4" w:space="0"/>
              <w:right w:val="single" w:color="auto" w:sz="4" w:space="0"/>
            </w:tcBorders>
          </w:tcPr>
          <w:p w14:paraId="6FC18BA3">
            <w:pPr>
              <w:rPr>
                <w:rFonts w:cs="Times New Roman"/>
                <w:color w:val="000000" w:themeColor="text1"/>
                <w:kern w:val="0"/>
                <w:szCs w:val="24"/>
                <w14:textFill>
                  <w14:solidFill>
                    <w14:schemeClr w14:val="tx1"/>
                  </w14:solidFill>
                </w14:textFill>
              </w:rPr>
            </w:pPr>
            <w:r>
              <w:rPr>
                <w:rFonts w:cs="Times New Roman"/>
                <w:color w:val="000000" w:themeColor="text1"/>
                <w:kern w:val="0"/>
                <w:szCs w:val="24"/>
                <w14:textFill>
                  <w14:solidFill>
                    <w14:schemeClr w14:val="tx1"/>
                  </w14:solidFill>
                </w14:textFill>
              </w:rPr>
              <w:t>Increased fertilizer outlets would improve fertilizer uptake.</w:t>
            </w:r>
          </w:p>
        </w:tc>
        <w:tc>
          <w:tcPr>
            <w:tcW w:w="360" w:type="dxa"/>
            <w:tcBorders>
              <w:top w:val="single" w:color="auto" w:sz="4" w:space="0"/>
              <w:left w:val="single" w:color="auto" w:sz="4" w:space="0"/>
              <w:bottom w:val="single" w:color="auto" w:sz="4" w:space="0"/>
              <w:right w:val="single" w:color="auto" w:sz="4" w:space="0"/>
            </w:tcBorders>
          </w:tcPr>
          <w:p w14:paraId="6F16ECF0">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5D8CB5C9">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7A26D0EF">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3E2A56C3">
            <w:pPr>
              <w:spacing w:line="240" w:lineRule="auto"/>
              <w:rPr>
                <w:rFonts w:eastAsia="Calibri" w:cs="Times New Roman"/>
                <w:color w:val="000000" w:themeColor="text1"/>
                <w:kern w:val="0"/>
                <w:szCs w:val="24"/>
                <w14:textFill>
                  <w14:solidFill>
                    <w14:schemeClr w14:val="tx1"/>
                  </w14:solidFill>
                </w14:textFill>
                <w14:ligatures w14:val="none"/>
              </w:rPr>
            </w:pPr>
          </w:p>
        </w:tc>
        <w:tc>
          <w:tcPr>
            <w:tcW w:w="355" w:type="dxa"/>
            <w:tcBorders>
              <w:top w:val="single" w:color="auto" w:sz="4" w:space="0"/>
              <w:left w:val="single" w:color="auto" w:sz="4" w:space="0"/>
              <w:bottom w:val="single" w:color="auto" w:sz="4" w:space="0"/>
              <w:right w:val="single" w:color="auto" w:sz="4" w:space="0"/>
            </w:tcBorders>
          </w:tcPr>
          <w:p w14:paraId="794F4D14">
            <w:pPr>
              <w:spacing w:line="240" w:lineRule="auto"/>
              <w:rPr>
                <w:rFonts w:eastAsia="Calibri" w:cs="Times New Roman"/>
                <w:color w:val="000000" w:themeColor="text1"/>
                <w:kern w:val="0"/>
                <w:szCs w:val="24"/>
                <w14:textFill>
                  <w14:solidFill>
                    <w14:schemeClr w14:val="tx1"/>
                  </w14:solidFill>
                </w14:textFill>
                <w14:ligatures w14:val="none"/>
              </w:rPr>
            </w:pPr>
          </w:p>
        </w:tc>
      </w:tr>
      <w:tr w14:paraId="5EE86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6835" w:type="dxa"/>
            <w:gridSpan w:val="2"/>
            <w:tcBorders>
              <w:top w:val="single" w:color="auto" w:sz="4" w:space="0"/>
              <w:left w:val="single" w:color="auto" w:sz="4" w:space="0"/>
              <w:bottom w:val="single" w:color="auto" w:sz="4" w:space="0"/>
              <w:right w:val="single" w:color="auto" w:sz="4" w:space="0"/>
            </w:tcBorders>
          </w:tcPr>
          <w:p w14:paraId="0E4980E4">
            <w:pPr>
              <w:rPr>
                <w:rFonts w:cs="Times New Roman"/>
                <w:b/>
                <w:bCs/>
                <w:color w:val="000000" w:themeColor="text1"/>
                <w:kern w:val="0"/>
                <w:szCs w:val="24"/>
                <w14:textFill>
                  <w14:solidFill>
                    <w14:schemeClr w14:val="tx1"/>
                  </w14:solidFill>
                </w14:textFill>
              </w:rPr>
            </w:pPr>
            <w:r>
              <w:rPr>
                <w:rFonts w:cs="Times New Roman"/>
                <w:b/>
                <w:bCs/>
                <w:color w:val="000000" w:themeColor="text1"/>
                <w:kern w:val="0"/>
                <w:szCs w:val="24"/>
                <w14:textFill>
                  <w14:solidFill>
                    <w14:schemeClr w14:val="tx1"/>
                  </w14:solidFill>
                </w14:textFill>
              </w:rPr>
              <w:t>Supply Consistency</w:t>
            </w:r>
          </w:p>
        </w:tc>
        <w:tc>
          <w:tcPr>
            <w:tcW w:w="360" w:type="dxa"/>
            <w:tcBorders>
              <w:top w:val="single" w:color="auto" w:sz="4" w:space="0"/>
              <w:left w:val="single" w:color="auto" w:sz="4" w:space="0"/>
              <w:bottom w:val="single" w:color="auto" w:sz="4" w:space="0"/>
              <w:right w:val="single" w:color="auto" w:sz="4" w:space="0"/>
            </w:tcBorders>
          </w:tcPr>
          <w:p w14:paraId="34E27515">
            <w:pPr>
              <w:spacing w:line="240" w:lineRule="auto"/>
              <w:rPr>
                <w:rFonts w:eastAsia="Calibri" w:cs="Times New Roman"/>
                <w:b/>
                <w:bCs/>
                <w:color w:val="000000" w:themeColor="text1"/>
                <w:kern w:val="0"/>
                <w:szCs w:val="24"/>
                <w14:textFill>
                  <w14:solidFill>
                    <w14:schemeClr w14:val="tx1"/>
                  </w14:solidFill>
                </w14:textFill>
                <w14:ligatures w14:val="none"/>
              </w:rPr>
            </w:pPr>
            <w:r>
              <w:rPr>
                <w:b/>
                <w:bCs/>
                <w:color w:val="000000" w:themeColor="text1"/>
                <w:kern w:val="0"/>
                <w14:textFill>
                  <w14:solidFill>
                    <w14:schemeClr w14:val="tx1"/>
                  </w14:solidFill>
                </w14:textFill>
                <w14:ligatures w14:val="none"/>
              </w:rPr>
              <w:t>1</w:t>
            </w:r>
          </w:p>
        </w:tc>
        <w:tc>
          <w:tcPr>
            <w:tcW w:w="360" w:type="dxa"/>
            <w:tcBorders>
              <w:top w:val="single" w:color="auto" w:sz="4" w:space="0"/>
              <w:left w:val="single" w:color="auto" w:sz="4" w:space="0"/>
              <w:bottom w:val="single" w:color="auto" w:sz="4" w:space="0"/>
              <w:right w:val="single" w:color="auto" w:sz="4" w:space="0"/>
            </w:tcBorders>
          </w:tcPr>
          <w:p w14:paraId="6EB280B1">
            <w:pPr>
              <w:spacing w:line="240" w:lineRule="auto"/>
              <w:rPr>
                <w:rFonts w:eastAsia="Calibri" w:cs="Times New Roman"/>
                <w:b/>
                <w:bCs/>
                <w:color w:val="000000" w:themeColor="text1"/>
                <w:kern w:val="0"/>
                <w:szCs w:val="24"/>
                <w14:textFill>
                  <w14:solidFill>
                    <w14:schemeClr w14:val="tx1"/>
                  </w14:solidFill>
                </w14:textFill>
                <w14:ligatures w14:val="none"/>
              </w:rPr>
            </w:pPr>
            <w:r>
              <w:rPr>
                <w:b/>
                <w:bCs/>
                <w:color w:val="000000" w:themeColor="text1"/>
                <w:kern w:val="0"/>
                <w14:textFill>
                  <w14:solidFill>
                    <w14:schemeClr w14:val="tx1"/>
                  </w14:solidFill>
                </w14:textFill>
                <w14:ligatures w14:val="none"/>
              </w:rPr>
              <w:t>2</w:t>
            </w:r>
          </w:p>
        </w:tc>
        <w:tc>
          <w:tcPr>
            <w:tcW w:w="360" w:type="dxa"/>
            <w:tcBorders>
              <w:top w:val="single" w:color="auto" w:sz="4" w:space="0"/>
              <w:left w:val="single" w:color="auto" w:sz="4" w:space="0"/>
              <w:bottom w:val="single" w:color="auto" w:sz="4" w:space="0"/>
              <w:right w:val="single" w:color="auto" w:sz="4" w:space="0"/>
            </w:tcBorders>
          </w:tcPr>
          <w:p w14:paraId="50FFECE0">
            <w:pPr>
              <w:spacing w:line="240" w:lineRule="auto"/>
              <w:rPr>
                <w:rFonts w:eastAsia="Calibri" w:cs="Times New Roman"/>
                <w:b/>
                <w:bCs/>
                <w:color w:val="000000" w:themeColor="text1"/>
                <w:kern w:val="0"/>
                <w:szCs w:val="24"/>
                <w14:textFill>
                  <w14:solidFill>
                    <w14:schemeClr w14:val="tx1"/>
                  </w14:solidFill>
                </w14:textFill>
                <w14:ligatures w14:val="none"/>
              </w:rPr>
            </w:pPr>
            <w:r>
              <w:rPr>
                <w:b/>
                <w:bCs/>
                <w:color w:val="000000" w:themeColor="text1"/>
                <w:kern w:val="0"/>
                <w14:textFill>
                  <w14:solidFill>
                    <w14:schemeClr w14:val="tx1"/>
                  </w14:solidFill>
                </w14:textFill>
                <w14:ligatures w14:val="none"/>
              </w:rPr>
              <w:t>3</w:t>
            </w:r>
          </w:p>
        </w:tc>
        <w:tc>
          <w:tcPr>
            <w:tcW w:w="360" w:type="dxa"/>
            <w:tcBorders>
              <w:top w:val="single" w:color="auto" w:sz="4" w:space="0"/>
              <w:left w:val="single" w:color="auto" w:sz="4" w:space="0"/>
              <w:bottom w:val="single" w:color="auto" w:sz="4" w:space="0"/>
              <w:right w:val="single" w:color="auto" w:sz="4" w:space="0"/>
            </w:tcBorders>
          </w:tcPr>
          <w:p w14:paraId="052F40D8">
            <w:pPr>
              <w:spacing w:line="240" w:lineRule="auto"/>
              <w:rPr>
                <w:rFonts w:eastAsia="Calibri" w:cs="Times New Roman"/>
                <w:b/>
                <w:bCs/>
                <w:color w:val="000000" w:themeColor="text1"/>
                <w:kern w:val="0"/>
                <w:szCs w:val="24"/>
                <w14:textFill>
                  <w14:solidFill>
                    <w14:schemeClr w14:val="tx1"/>
                  </w14:solidFill>
                </w14:textFill>
                <w14:ligatures w14:val="none"/>
              </w:rPr>
            </w:pPr>
            <w:r>
              <w:rPr>
                <w:b/>
                <w:bCs/>
                <w:color w:val="000000" w:themeColor="text1"/>
                <w:kern w:val="0"/>
                <w14:textFill>
                  <w14:solidFill>
                    <w14:schemeClr w14:val="tx1"/>
                  </w14:solidFill>
                </w14:textFill>
                <w14:ligatures w14:val="none"/>
              </w:rPr>
              <w:t>4</w:t>
            </w:r>
          </w:p>
        </w:tc>
        <w:tc>
          <w:tcPr>
            <w:tcW w:w="355" w:type="dxa"/>
            <w:tcBorders>
              <w:top w:val="single" w:color="auto" w:sz="4" w:space="0"/>
              <w:left w:val="single" w:color="auto" w:sz="4" w:space="0"/>
              <w:bottom w:val="single" w:color="auto" w:sz="4" w:space="0"/>
              <w:right w:val="single" w:color="auto" w:sz="4" w:space="0"/>
            </w:tcBorders>
          </w:tcPr>
          <w:p w14:paraId="00D74E6D">
            <w:pPr>
              <w:spacing w:line="240" w:lineRule="auto"/>
              <w:rPr>
                <w:rFonts w:eastAsia="Calibri" w:cs="Times New Roman"/>
                <w:b/>
                <w:bCs/>
                <w:color w:val="000000" w:themeColor="text1"/>
                <w:kern w:val="0"/>
                <w:szCs w:val="24"/>
                <w14:textFill>
                  <w14:solidFill>
                    <w14:schemeClr w14:val="tx1"/>
                  </w14:solidFill>
                </w14:textFill>
                <w14:ligatures w14:val="none"/>
              </w:rPr>
            </w:pPr>
            <w:r>
              <w:rPr>
                <w:b/>
                <w:bCs/>
                <w:color w:val="000000" w:themeColor="text1"/>
                <w:kern w:val="0"/>
                <w14:textFill>
                  <w14:solidFill>
                    <w14:schemeClr w14:val="tx1"/>
                  </w14:solidFill>
                </w14:textFill>
                <w14:ligatures w14:val="none"/>
              </w:rPr>
              <w:t>5</w:t>
            </w:r>
          </w:p>
        </w:tc>
      </w:tr>
      <w:tr w14:paraId="46E11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454" w:type="dxa"/>
            <w:tcBorders>
              <w:top w:val="single" w:color="auto" w:sz="4" w:space="0"/>
              <w:left w:val="single" w:color="auto" w:sz="4" w:space="0"/>
              <w:bottom w:val="single" w:color="auto" w:sz="4" w:space="0"/>
              <w:right w:val="single" w:color="auto" w:sz="4" w:space="0"/>
            </w:tcBorders>
          </w:tcPr>
          <w:p w14:paraId="15041D06">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color w:val="000000" w:themeColor="text1"/>
                <w:kern w:val="0"/>
                <w:szCs w:val="24"/>
                <w14:textFill>
                  <w14:solidFill>
                    <w14:schemeClr w14:val="tx1"/>
                  </w14:solidFill>
                </w14:textFill>
                <w14:ligatures w14:val="none"/>
              </w:rPr>
              <w:t>1</w:t>
            </w:r>
          </w:p>
        </w:tc>
        <w:tc>
          <w:tcPr>
            <w:tcW w:w="6381" w:type="dxa"/>
            <w:tcBorders>
              <w:top w:val="single" w:color="auto" w:sz="4" w:space="0"/>
              <w:left w:val="single" w:color="auto" w:sz="4" w:space="0"/>
              <w:bottom w:val="single" w:color="auto" w:sz="4" w:space="0"/>
              <w:right w:val="single" w:color="auto" w:sz="4" w:space="0"/>
            </w:tcBorders>
          </w:tcPr>
          <w:p w14:paraId="59DA3742">
            <w:pPr>
              <w:rPr>
                <w:rFonts w:cs="Times New Roman"/>
                <w:color w:val="000000" w:themeColor="text1"/>
                <w:kern w:val="0"/>
                <w:szCs w:val="24"/>
                <w14:textFill>
                  <w14:solidFill>
                    <w14:schemeClr w14:val="tx1"/>
                  </w14:solidFill>
                </w14:textFill>
              </w:rPr>
            </w:pPr>
            <w:r>
              <w:rPr>
                <w:rFonts w:cs="Times New Roman"/>
                <w:color w:val="000000" w:themeColor="text1"/>
                <w:kern w:val="0"/>
                <w:szCs w:val="24"/>
                <w14:textFill>
                  <w14:solidFill>
                    <w14:schemeClr w14:val="tx1"/>
                  </w14:solidFill>
                </w14:textFill>
              </w:rPr>
              <w:t>Fertilizer is consistently available at distribution centers.</w:t>
            </w:r>
          </w:p>
        </w:tc>
        <w:tc>
          <w:tcPr>
            <w:tcW w:w="360" w:type="dxa"/>
            <w:tcBorders>
              <w:top w:val="single" w:color="auto" w:sz="4" w:space="0"/>
              <w:left w:val="single" w:color="auto" w:sz="4" w:space="0"/>
              <w:bottom w:val="single" w:color="auto" w:sz="4" w:space="0"/>
              <w:right w:val="single" w:color="auto" w:sz="4" w:space="0"/>
            </w:tcBorders>
          </w:tcPr>
          <w:p w14:paraId="2386D524">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06AB8AB7">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7DF550A4">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47238C54">
            <w:pPr>
              <w:spacing w:line="240" w:lineRule="auto"/>
              <w:rPr>
                <w:rFonts w:eastAsia="Calibri" w:cs="Times New Roman"/>
                <w:color w:val="000000" w:themeColor="text1"/>
                <w:kern w:val="0"/>
                <w:szCs w:val="24"/>
                <w14:textFill>
                  <w14:solidFill>
                    <w14:schemeClr w14:val="tx1"/>
                  </w14:solidFill>
                </w14:textFill>
                <w14:ligatures w14:val="none"/>
              </w:rPr>
            </w:pPr>
          </w:p>
        </w:tc>
        <w:tc>
          <w:tcPr>
            <w:tcW w:w="355" w:type="dxa"/>
            <w:tcBorders>
              <w:top w:val="single" w:color="auto" w:sz="4" w:space="0"/>
              <w:left w:val="single" w:color="auto" w:sz="4" w:space="0"/>
              <w:bottom w:val="single" w:color="auto" w:sz="4" w:space="0"/>
              <w:right w:val="single" w:color="auto" w:sz="4" w:space="0"/>
            </w:tcBorders>
          </w:tcPr>
          <w:p w14:paraId="39CB49F5">
            <w:pPr>
              <w:spacing w:line="240" w:lineRule="auto"/>
              <w:rPr>
                <w:rFonts w:eastAsia="Calibri" w:cs="Times New Roman"/>
                <w:color w:val="000000" w:themeColor="text1"/>
                <w:kern w:val="0"/>
                <w:szCs w:val="24"/>
                <w14:textFill>
                  <w14:solidFill>
                    <w14:schemeClr w14:val="tx1"/>
                  </w14:solidFill>
                </w14:textFill>
                <w14:ligatures w14:val="none"/>
              </w:rPr>
            </w:pPr>
          </w:p>
        </w:tc>
      </w:tr>
      <w:tr w14:paraId="6F681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454" w:type="dxa"/>
            <w:tcBorders>
              <w:top w:val="single" w:color="auto" w:sz="4" w:space="0"/>
              <w:left w:val="single" w:color="auto" w:sz="4" w:space="0"/>
              <w:bottom w:val="single" w:color="auto" w:sz="4" w:space="0"/>
              <w:right w:val="single" w:color="auto" w:sz="4" w:space="0"/>
            </w:tcBorders>
          </w:tcPr>
          <w:p w14:paraId="43EA72D2">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color w:val="000000" w:themeColor="text1"/>
                <w:kern w:val="0"/>
                <w:szCs w:val="24"/>
                <w14:textFill>
                  <w14:solidFill>
                    <w14:schemeClr w14:val="tx1"/>
                  </w14:solidFill>
                </w14:textFill>
                <w14:ligatures w14:val="none"/>
              </w:rPr>
              <w:t>2</w:t>
            </w:r>
          </w:p>
        </w:tc>
        <w:tc>
          <w:tcPr>
            <w:tcW w:w="6381" w:type="dxa"/>
            <w:tcBorders>
              <w:top w:val="single" w:color="auto" w:sz="4" w:space="0"/>
              <w:left w:val="single" w:color="auto" w:sz="4" w:space="0"/>
              <w:bottom w:val="single" w:color="auto" w:sz="4" w:space="0"/>
              <w:right w:val="single" w:color="auto" w:sz="4" w:space="0"/>
            </w:tcBorders>
          </w:tcPr>
          <w:p w14:paraId="1443CAE4">
            <w:pPr>
              <w:rPr>
                <w:rFonts w:cs="Times New Roman"/>
                <w:color w:val="000000" w:themeColor="text1"/>
                <w:kern w:val="0"/>
                <w:szCs w:val="24"/>
                <w14:textFill>
                  <w14:solidFill>
                    <w14:schemeClr w14:val="tx1"/>
                  </w14:solidFill>
                </w14:textFill>
              </w:rPr>
            </w:pPr>
            <w:r>
              <w:rPr>
                <w:rFonts w:cs="Times New Roman"/>
                <w:color w:val="000000" w:themeColor="text1"/>
                <w:kern w:val="0"/>
                <w:szCs w:val="24"/>
                <w14:textFill>
                  <w14:solidFill>
                    <w14:schemeClr w14:val="tx1"/>
                  </w14:solidFill>
                </w14:textFill>
              </w:rPr>
              <w:t>Farmers experience fertilizer shortages during planting seasons.</w:t>
            </w:r>
          </w:p>
        </w:tc>
        <w:tc>
          <w:tcPr>
            <w:tcW w:w="360" w:type="dxa"/>
            <w:tcBorders>
              <w:top w:val="single" w:color="auto" w:sz="4" w:space="0"/>
              <w:left w:val="single" w:color="auto" w:sz="4" w:space="0"/>
              <w:bottom w:val="single" w:color="auto" w:sz="4" w:space="0"/>
              <w:right w:val="single" w:color="auto" w:sz="4" w:space="0"/>
            </w:tcBorders>
          </w:tcPr>
          <w:p w14:paraId="07CB5630">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1EB61C3F">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4B666830">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32B7E855">
            <w:pPr>
              <w:spacing w:line="240" w:lineRule="auto"/>
              <w:rPr>
                <w:rFonts w:eastAsia="Calibri" w:cs="Times New Roman"/>
                <w:color w:val="000000" w:themeColor="text1"/>
                <w:kern w:val="0"/>
                <w:szCs w:val="24"/>
                <w14:textFill>
                  <w14:solidFill>
                    <w14:schemeClr w14:val="tx1"/>
                  </w14:solidFill>
                </w14:textFill>
                <w14:ligatures w14:val="none"/>
              </w:rPr>
            </w:pPr>
          </w:p>
        </w:tc>
        <w:tc>
          <w:tcPr>
            <w:tcW w:w="355" w:type="dxa"/>
            <w:tcBorders>
              <w:top w:val="single" w:color="auto" w:sz="4" w:space="0"/>
              <w:left w:val="single" w:color="auto" w:sz="4" w:space="0"/>
              <w:bottom w:val="single" w:color="auto" w:sz="4" w:space="0"/>
              <w:right w:val="single" w:color="auto" w:sz="4" w:space="0"/>
            </w:tcBorders>
          </w:tcPr>
          <w:p w14:paraId="5458D820">
            <w:pPr>
              <w:spacing w:line="240" w:lineRule="auto"/>
              <w:rPr>
                <w:rFonts w:eastAsia="Calibri" w:cs="Times New Roman"/>
                <w:color w:val="000000" w:themeColor="text1"/>
                <w:kern w:val="0"/>
                <w:szCs w:val="24"/>
                <w14:textFill>
                  <w14:solidFill>
                    <w14:schemeClr w14:val="tx1"/>
                  </w14:solidFill>
                </w14:textFill>
                <w14:ligatures w14:val="none"/>
              </w:rPr>
            </w:pPr>
          </w:p>
        </w:tc>
      </w:tr>
      <w:tr w14:paraId="5D2EC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454" w:type="dxa"/>
            <w:tcBorders>
              <w:top w:val="single" w:color="auto" w:sz="4" w:space="0"/>
              <w:left w:val="single" w:color="auto" w:sz="4" w:space="0"/>
              <w:bottom w:val="single" w:color="auto" w:sz="4" w:space="0"/>
              <w:right w:val="single" w:color="auto" w:sz="4" w:space="0"/>
            </w:tcBorders>
          </w:tcPr>
          <w:p w14:paraId="071CDCF8">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color w:val="000000" w:themeColor="text1"/>
                <w:kern w:val="0"/>
                <w:szCs w:val="24"/>
                <w14:textFill>
                  <w14:solidFill>
                    <w14:schemeClr w14:val="tx1"/>
                  </w14:solidFill>
                </w14:textFill>
                <w14:ligatures w14:val="none"/>
              </w:rPr>
              <w:t>3</w:t>
            </w:r>
          </w:p>
        </w:tc>
        <w:tc>
          <w:tcPr>
            <w:tcW w:w="6381" w:type="dxa"/>
            <w:tcBorders>
              <w:top w:val="single" w:color="auto" w:sz="4" w:space="0"/>
              <w:left w:val="single" w:color="auto" w:sz="4" w:space="0"/>
              <w:bottom w:val="single" w:color="auto" w:sz="4" w:space="0"/>
              <w:right w:val="single" w:color="auto" w:sz="4" w:space="0"/>
            </w:tcBorders>
          </w:tcPr>
          <w:p w14:paraId="7955C36C">
            <w:pPr>
              <w:rPr>
                <w:rFonts w:cs="Times New Roman"/>
                <w:color w:val="000000" w:themeColor="text1"/>
                <w:kern w:val="0"/>
                <w:szCs w:val="24"/>
                <w14:textFill>
                  <w14:solidFill>
                    <w14:schemeClr w14:val="tx1"/>
                  </w14:solidFill>
                </w14:textFill>
              </w:rPr>
            </w:pPr>
            <w:r>
              <w:rPr>
                <w:rFonts w:cs="Times New Roman"/>
                <w:color w:val="000000" w:themeColor="text1"/>
                <w:kern w:val="0"/>
                <w:szCs w:val="24"/>
                <w14:textFill>
                  <w14:solidFill>
                    <w14:schemeClr w14:val="tx1"/>
                  </w14:solidFill>
                </w14:textFill>
              </w:rPr>
              <w:t>Reliable fertilizer supply encourages farmers to apply fertilizer.</w:t>
            </w:r>
          </w:p>
        </w:tc>
        <w:tc>
          <w:tcPr>
            <w:tcW w:w="360" w:type="dxa"/>
            <w:tcBorders>
              <w:top w:val="single" w:color="auto" w:sz="4" w:space="0"/>
              <w:left w:val="single" w:color="auto" w:sz="4" w:space="0"/>
              <w:bottom w:val="single" w:color="auto" w:sz="4" w:space="0"/>
              <w:right w:val="single" w:color="auto" w:sz="4" w:space="0"/>
            </w:tcBorders>
          </w:tcPr>
          <w:p w14:paraId="6A370250">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5B60AF79">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27388AD4">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3F32A0A3">
            <w:pPr>
              <w:spacing w:line="240" w:lineRule="auto"/>
              <w:rPr>
                <w:rFonts w:eastAsia="Calibri" w:cs="Times New Roman"/>
                <w:color w:val="000000" w:themeColor="text1"/>
                <w:kern w:val="0"/>
                <w:szCs w:val="24"/>
                <w14:textFill>
                  <w14:solidFill>
                    <w14:schemeClr w14:val="tx1"/>
                  </w14:solidFill>
                </w14:textFill>
                <w14:ligatures w14:val="none"/>
              </w:rPr>
            </w:pPr>
          </w:p>
        </w:tc>
        <w:tc>
          <w:tcPr>
            <w:tcW w:w="355" w:type="dxa"/>
            <w:tcBorders>
              <w:top w:val="single" w:color="auto" w:sz="4" w:space="0"/>
              <w:left w:val="single" w:color="auto" w:sz="4" w:space="0"/>
              <w:bottom w:val="single" w:color="auto" w:sz="4" w:space="0"/>
              <w:right w:val="single" w:color="auto" w:sz="4" w:space="0"/>
            </w:tcBorders>
          </w:tcPr>
          <w:p w14:paraId="14495AD8">
            <w:pPr>
              <w:spacing w:line="240" w:lineRule="auto"/>
              <w:rPr>
                <w:rFonts w:eastAsia="Calibri" w:cs="Times New Roman"/>
                <w:color w:val="000000" w:themeColor="text1"/>
                <w:kern w:val="0"/>
                <w:szCs w:val="24"/>
                <w14:textFill>
                  <w14:solidFill>
                    <w14:schemeClr w14:val="tx1"/>
                  </w14:solidFill>
                </w14:textFill>
                <w14:ligatures w14:val="none"/>
              </w:rPr>
            </w:pPr>
          </w:p>
        </w:tc>
      </w:tr>
      <w:tr w14:paraId="2C4CC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454" w:type="dxa"/>
            <w:tcBorders>
              <w:top w:val="single" w:color="auto" w:sz="4" w:space="0"/>
              <w:left w:val="single" w:color="auto" w:sz="4" w:space="0"/>
              <w:bottom w:val="single" w:color="auto" w:sz="4" w:space="0"/>
              <w:right w:val="single" w:color="auto" w:sz="4" w:space="0"/>
            </w:tcBorders>
          </w:tcPr>
          <w:p w14:paraId="672860B0">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color w:val="000000" w:themeColor="text1"/>
                <w:kern w:val="0"/>
                <w:szCs w:val="24"/>
                <w14:textFill>
                  <w14:solidFill>
                    <w14:schemeClr w14:val="tx1"/>
                  </w14:solidFill>
                </w14:textFill>
                <w14:ligatures w14:val="none"/>
              </w:rPr>
              <w:t>4</w:t>
            </w:r>
          </w:p>
        </w:tc>
        <w:tc>
          <w:tcPr>
            <w:tcW w:w="6381" w:type="dxa"/>
            <w:tcBorders>
              <w:top w:val="single" w:color="auto" w:sz="4" w:space="0"/>
              <w:left w:val="single" w:color="auto" w:sz="4" w:space="0"/>
              <w:bottom w:val="single" w:color="auto" w:sz="4" w:space="0"/>
              <w:right w:val="single" w:color="auto" w:sz="4" w:space="0"/>
            </w:tcBorders>
          </w:tcPr>
          <w:p w14:paraId="13121DD3">
            <w:pPr>
              <w:rPr>
                <w:rFonts w:cs="Times New Roman"/>
                <w:color w:val="000000" w:themeColor="text1"/>
                <w:kern w:val="0"/>
                <w:szCs w:val="24"/>
                <w14:textFill>
                  <w14:solidFill>
                    <w14:schemeClr w14:val="tx1"/>
                  </w14:solidFill>
                </w14:textFill>
              </w:rPr>
            </w:pPr>
            <w:r>
              <w:rPr>
                <w:rFonts w:cs="Times New Roman"/>
                <w:color w:val="000000" w:themeColor="text1"/>
                <w:kern w:val="0"/>
                <w:szCs w:val="24"/>
                <w14:textFill>
                  <w14:solidFill>
                    <w14:schemeClr w14:val="tx1"/>
                  </w14:solidFill>
                </w14:textFill>
              </w:rPr>
              <w:t>Fertilizer availability influences farmers’ fertilizer use decisions.</w:t>
            </w:r>
          </w:p>
        </w:tc>
        <w:tc>
          <w:tcPr>
            <w:tcW w:w="360" w:type="dxa"/>
            <w:tcBorders>
              <w:top w:val="single" w:color="auto" w:sz="4" w:space="0"/>
              <w:left w:val="single" w:color="auto" w:sz="4" w:space="0"/>
              <w:bottom w:val="single" w:color="auto" w:sz="4" w:space="0"/>
              <w:right w:val="single" w:color="auto" w:sz="4" w:space="0"/>
            </w:tcBorders>
          </w:tcPr>
          <w:p w14:paraId="390EF1FB">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0D660B38">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1EC91F70">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24C7D917">
            <w:pPr>
              <w:spacing w:line="240" w:lineRule="auto"/>
              <w:rPr>
                <w:rFonts w:eastAsia="Calibri" w:cs="Times New Roman"/>
                <w:color w:val="000000" w:themeColor="text1"/>
                <w:kern w:val="0"/>
                <w:szCs w:val="24"/>
                <w14:textFill>
                  <w14:solidFill>
                    <w14:schemeClr w14:val="tx1"/>
                  </w14:solidFill>
                </w14:textFill>
                <w14:ligatures w14:val="none"/>
              </w:rPr>
            </w:pPr>
          </w:p>
        </w:tc>
        <w:tc>
          <w:tcPr>
            <w:tcW w:w="355" w:type="dxa"/>
            <w:tcBorders>
              <w:top w:val="single" w:color="auto" w:sz="4" w:space="0"/>
              <w:left w:val="single" w:color="auto" w:sz="4" w:space="0"/>
              <w:bottom w:val="single" w:color="auto" w:sz="4" w:space="0"/>
              <w:right w:val="single" w:color="auto" w:sz="4" w:space="0"/>
            </w:tcBorders>
          </w:tcPr>
          <w:p w14:paraId="21E0132F">
            <w:pPr>
              <w:spacing w:line="240" w:lineRule="auto"/>
              <w:rPr>
                <w:rFonts w:eastAsia="Calibri" w:cs="Times New Roman"/>
                <w:color w:val="000000" w:themeColor="text1"/>
                <w:kern w:val="0"/>
                <w:szCs w:val="24"/>
                <w14:textFill>
                  <w14:solidFill>
                    <w14:schemeClr w14:val="tx1"/>
                  </w14:solidFill>
                </w14:textFill>
                <w14:ligatures w14:val="none"/>
              </w:rPr>
            </w:pPr>
          </w:p>
        </w:tc>
      </w:tr>
      <w:tr w14:paraId="0F5BD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454" w:type="dxa"/>
            <w:tcBorders>
              <w:top w:val="single" w:color="auto" w:sz="4" w:space="0"/>
              <w:left w:val="single" w:color="auto" w:sz="4" w:space="0"/>
              <w:bottom w:val="single" w:color="auto" w:sz="4" w:space="0"/>
              <w:right w:val="single" w:color="auto" w:sz="4" w:space="0"/>
            </w:tcBorders>
          </w:tcPr>
          <w:p w14:paraId="182F2D95">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color w:val="000000" w:themeColor="text1"/>
                <w:kern w:val="0"/>
                <w:szCs w:val="24"/>
                <w14:textFill>
                  <w14:solidFill>
                    <w14:schemeClr w14:val="tx1"/>
                  </w14:solidFill>
                </w14:textFill>
                <w14:ligatures w14:val="none"/>
              </w:rPr>
              <w:t>5</w:t>
            </w:r>
          </w:p>
        </w:tc>
        <w:tc>
          <w:tcPr>
            <w:tcW w:w="6381" w:type="dxa"/>
            <w:tcBorders>
              <w:top w:val="single" w:color="auto" w:sz="4" w:space="0"/>
              <w:left w:val="single" w:color="auto" w:sz="4" w:space="0"/>
              <w:bottom w:val="single" w:color="auto" w:sz="4" w:space="0"/>
              <w:right w:val="single" w:color="auto" w:sz="4" w:space="0"/>
            </w:tcBorders>
          </w:tcPr>
          <w:p w14:paraId="64F45BA8">
            <w:pPr>
              <w:rPr>
                <w:rFonts w:cs="Times New Roman"/>
                <w:color w:val="000000" w:themeColor="text1"/>
                <w:szCs w:val="24"/>
                <w14:textFill>
                  <w14:solidFill>
                    <w14:schemeClr w14:val="tx1"/>
                  </w14:solidFill>
                </w14:textFill>
              </w:rPr>
            </w:pPr>
            <w:r>
              <w:rPr>
                <w:rFonts w:cs="Times New Roman"/>
                <w:color w:val="000000" w:themeColor="text1"/>
                <w:kern w:val="0"/>
                <w:szCs w:val="24"/>
                <w14:textFill>
                  <w14:solidFill>
                    <w14:schemeClr w14:val="tx1"/>
                  </w14:solidFill>
                </w14:textFill>
              </w:rPr>
              <w:t>Inconsistent fertilizer supply discourages fertilizer application.</w:t>
            </w:r>
          </w:p>
        </w:tc>
        <w:tc>
          <w:tcPr>
            <w:tcW w:w="360" w:type="dxa"/>
            <w:tcBorders>
              <w:top w:val="single" w:color="auto" w:sz="4" w:space="0"/>
              <w:left w:val="single" w:color="auto" w:sz="4" w:space="0"/>
              <w:bottom w:val="single" w:color="auto" w:sz="4" w:space="0"/>
              <w:right w:val="single" w:color="auto" w:sz="4" w:space="0"/>
            </w:tcBorders>
          </w:tcPr>
          <w:p w14:paraId="0D6D3485">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318488CA">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4480893F">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121E03E4">
            <w:pPr>
              <w:spacing w:line="240" w:lineRule="auto"/>
              <w:rPr>
                <w:rFonts w:eastAsia="Calibri" w:cs="Times New Roman"/>
                <w:color w:val="000000" w:themeColor="text1"/>
                <w:kern w:val="0"/>
                <w:szCs w:val="24"/>
                <w14:textFill>
                  <w14:solidFill>
                    <w14:schemeClr w14:val="tx1"/>
                  </w14:solidFill>
                </w14:textFill>
                <w14:ligatures w14:val="none"/>
              </w:rPr>
            </w:pPr>
          </w:p>
        </w:tc>
        <w:tc>
          <w:tcPr>
            <w:tcW w:w="355" w:type="dxa"/>
            <w:tcBorders>
              <w:top w:val="single" w:color="auto" w:sz="4" w:space="0"/>
              <w:left w:val="single" w:color="auto" w:sz="4" w:space="0"/>
              <w:bottom w:val="single" w:color="auto" w:sz="4" w:space="0"/>
              <w:right w:val="single" w:color="auto" w:sz="4" w:space="0"/>
            </w:tcBorders>
          </w:tcPr>
          <w:p w14:paraId="2487F8AD">
            <w:pPr>
              <w:spacing w:line="240" w:lineRule="auto"/>
              <w:rPr>
                <w:rFonts w:eastAsia="Calibri" w:cs="Times New Roman"/>
                <w:color w:val="000000" w:themeColor="text1"/>
                <w:kern w:val="0"/>
                <w:szCs w:val="24"/>
                <w14:textFill>
                  <w14:solidFill>
                    <w14:schemeClr w14:val="tx1"/>
                  </w14:solidFill>
                </w14:textFill>
                <w14:ligatures w14:val="none"/>
              </w:rPr>
            </w:pPr>
          </w:p>
        </w:tc>
      </w:tr>
    </w:tbl>
    <w:p w14:paraId="52415A32">
      <w:pPr>
        <w:rPr>
          <w:rFonts w:cs="Times New Roman"/>
          <w:color w:val="000000" w:themeColor="text1"/>
          <w:kern w:val="0"/>
          <w:szCs w:val="24"/>
          <w14:textFill>
            <w14:solidFill>
              <w14:schemeClr w14:val="tx1"/>
            </w14:solidFill>
          </w14:textFill>
        </w:rPr>
      </w:pPr>
    </w:p>
    <w:p w14:paraId="57D5875A">
      <w:pPr>
        <w:rPr>
          <w:rFonts w:cs="Times New Roman"/>
          <w:color w:val="000000" w:themeColor="text1"/>
          <w:kern w:val="0"/>
          <w:szCs w:val="24"/>
          <w14:textFill>
            <w14:solidFill>
              <w14:schemeClr w14:val="tx1"/>
            </w14:solidFill>
          </w14:textFill>
        </w:rPr>
      </w:pPr>
    </w:p>
    <w:p w14:paraId="302E0F40">
      <w:pPr>
        <w:rPr>
          <w:rFonts w:cs="Times New Roman"/>
          <w:b/>
          <w:bCs/>
          <w:color w:val="000000" w:themeColor="text1"/>
          <w:szCs w:val="24"/>
          <w14:textFill>
            <w14:solidFill>
              <w14:schemeClr w14:val="tx1"/>
            </w14:solidFill>
          </w14:textFill>
        </w:rPr>
      </w:pPr>
      <w:r>
        <w:rPr>
          <w:rFonts w:cs="Times New Roman"/>
          <w:b/>
          <w:bCs/>
          <w:color w:val="000000" w:themeColor="text1"/>
          <w:szCs w:val="24"/>
          <w14:textFill>
            <w14:solidFill>
              <w14:schemeClr w14:val="tx1"/>
            </w14:solidFill>
          </w14:textFill>
        </w:rPr>
        <w:t>Section D: Revised Targeting Criteria</w:t>
      </w:r>
    </w:p>
    <w:p w14:paraId="720BD0FB">
      <w:pPr>
        <w:pStyle w:val="38"/>
        <w:numPr>
          <w:ilvl w:val="0"/>
          <w:numId w:val="2"/>
        </w:numPr>
        <w:ind w:left="360"/>
        <w:rPr>
          <w:color w:val="000000" w:themeColor="text1"/>
          <w:kern w:val="0"/>
          <w14:textFill>
            <w14:solidFill>
              <w14:schemeClr w14:val="tx1"/>
            </w14:solidFill>
          </w14:textFill>
          <w14:ligatures w14:val="none"/>
        </w:rPr>
      </w:pPr>
      <w:r>
        <w:rPr>
          <w:color w:val="000000" w:themeColor="text1"/>
          <w:kern w:val="0"/>
          <w14:textFill>
            <w14:solidFill>
              <w14:schemeClr w14:val="tx1"/>
            </w14:solidFill>
          </w14:textFill>
          <w14:ligatures w14:val="none"/>
        </w:rPr>
        <w:t xml:space="preserve">Please indicate your level of agreement with the following statements relating to </w:t>
      </w:r>
      <w:r>
        <w:rPr>
          <w:rFonts w:cs="Times New Roman"/>
          <w:color w:val="000000" w:themeColor="text1"/>
          <w:szCs w:val="24"/>
          <w14:textFill>
            <w14:solidFill>
              <w14:schemeClr w14:val="tx1"/>
            </w14:solidFill>
          </w14:textFill>
        </w:rPr>
        <w:t>revised targeting criteria</w:t>
      </w:r>
      <w:r>
        <w:rPr>
          <w:rFonts w:cs="Times New Roman"/>
          <w:b/>
          <w:bCs/>
          <w:color w:val="000000" w:themeColor="text1"/>
          <w:kern w:val="0"/>
          <w:szCs w:val="24"/>
          <w14:textFill>
            <w14:solidFill>
              <w14:schemeClr w14:val="tx1"/>
            </w14:solidFill>
          </w14:textFill>
          <w14:ligatures w14:val="none"/>
        </w:rPr>
        <w:t xml:space="preserve"> </w:t>
      </w:r>
      <w:r>
        <w:rPr>
          <w:color w:val="000000" w:themeColor="text1"/>
          <w:kern w:val="0"/>
          <w14:textFill>
            <w14:solidFill>
              <w14:schemeClr w14:val="tx1"/>
            </w14:solidFill>
          </w14:textFill>
          <w14:ligatures w14:val="none"/>
        </w:rPr>
        <w:t>and their effect on smallholder farmers’ uptake of fertilizers. (Codes: 1=Strongly Disagree, 2=Disagree, 3=Moderately Agree, 4=Agree, 5=Strongly Agree).</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4"/>
        <w:gridCol w:w="6381"/>
        <w:gridCol w:w="360"/>
        <w:gridCol w:w="360"/>
        <w:gridCol w:w="360"/>
        <w:gridCol w:w="360"/>
        <w:gridCol w:w="355"/>
      </w:tblGrid>
      <w:tr w14:paraId="0F3EA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trPr>
        <w:tc>
          <w:tcPr>
            <w:tcW w:w="6835" w:type="dxa"/>
            <w:gridSpan w:val="2"/>
            <w:tcBorders>
              <w:top w:val="single" w:color="auto" w:sz="4" w:space="0"/>
              <w:left w:val="single" w:color="auto" w:sz="4" w:space="0"/>
              <w:bottom w:val="single" w:color="auto" w:sz="4" w:space="0"/>
              <w:right w:val="single" w:color="auto" w:sz="4" w:space="0"/>
            </w:tcBorders>
          </w:tcPr>
          <w:p w14:paraId="4A5D1901">
            <w:pPr>
              <w:spacing w:line="240" w:lineRule="auto"/>
              <w:rPr>
                <w:rFonts w:eastAsia="Calibri" w:cs="Times New Roman"/>
                <w:b/>
                <w:color w:val="000000" w:themeColor="text1"/>
                <w:kern w:val="0"/>
                <w:szCs w:val="24"/>
                <w14:textFill>
                  <w14:solidFill>
                    <w14:schemeClr w14:val="tx1"/>
                  </w14:solidFill>
                </w14:textFill>
                <w14:ligatures w14:val="none"/>
              </w:rPr>
            </w:pPr>
            <w:r>
              <w:rPr>
                <w:rFonts w:eastAsia="Calibri" w:cs="Times New Roman"/>
                <w:b/>
                <w:color w:val="000000" w:themeColor="text1"/>
                <w:kern w:val="0"/>
                <w:szCs w:val="24"/>
                <w14:textFill>
                  <w14:solidFill>
                    <w14:schemeClr w14:val="tx1"/>
                  </w14:solidFill>
                </w14:textFill>
                <w14:ligatures w14:val="none"/>
              </w:rPr>
              <w:t xml:space="preserve">Statement on </w:t>
            </w:r>
            <w:r>
              <w:rPr>
                <w:rFonts w:cs="Times New Roman"/>
                <w:b/>
                <w:bCs/>
                <w:color w:val="000000" w:themeColor="text1"/>
                <w:szCs w:val="24"/>
                <w14:textFill>
                  <w14:solidFill>
                    <w14:schemeClr w14:val="tx1"/>
                  </w14:solidFill>
                </w14:textFill>
              </w:rPr>
              <w:t>Revised Targeting Criteria</w:t>
            </w:r>
          </w:p>
        </w:tc>
        <w:tc>
          <w:tcPr>
            <w:tcW w:w="1795" w:type="dxa"/>
            <w:gridSpan w:val="5"/>
            <w:tcBorders>
              <w:top w:val="single" w:color="auto" w:sz="4" w:space="0"/>
              <w:left w:val="single" w:color="auto" w:sz="4" w:space="0"/>
              <w:bottom w:val="single" w:color="auto" w:sz="4" w:space="0"/>
              <w:right w:val="single" w:color="auto" w:sz="4" w:space="0"/>
            </w:tcBorders>
          </w:tcPr>
          <w:p w14:paraId="248EA437">
            <w:pPr>
              <w:jc w:val="left"/>
              <w:rPr>
                <w:rFonts w:eastAsia="Calibri" w:cs="Times New Roman"/>
                <w:b/>
                <w:color w:val="000000" w:themeColor="text1"/>
                <w:kern w:val="0"/>
                <w:szCs w:val="24"/>
                <w14:textFill>
                  <w14:solidFill>
                    <w14:schemeClr w14:val="tx1"/>
                  </w14:solidFill>
                </w14:textFill>
                <w14:ligatures w14:val="none"/>
              </w:rPr>
            </w:pPr>
            <w:r>
              <w:rPr>
                <w:rFonts w:eastAsia="Calibri" w:cs="Times New Roman"/>
                <w:b/>
                <w:color w:val="000000" w:themeColor="text1"/>
                <w:kern w:val="0"/>
                <w:szCs w:val="24"/>
                <w14:textFill>
                  <w14:solidFill>
                    <w14:schemeClr w14:val="tx1"/>
                  </w14:solidFill>
                </w14:textFill>
                <w14:ligatures w14:val="none"/>
              </w:rPr>
              <w:t>Level of Agreement</w:t>
            </w:r>
          </w:p>
        </w:tc>
      </w:tr>
      <w:tr w14:paraId="20C54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6835" w:type="dxa"/>
            <w:gridSpan w:val="2"/>
            <w:tcBorders>
              <w:top w:val="single" w:color="auto" w:sz="4" w:space="0"/>
              <w:left w:val="single" w:color="auto" w:sz="4" w:space="0"/>
              <w:bottom w:val="single" w:color="auto" w:sz="4" w:space="0"/>
              <w:right w:val="single" w:color="auto" w:sz="4" w:space="0"/>
            </w:tcBorders>
          </w:tcPr>
          <w:p w14:paraId="71F66D19">
            <w:pPr>
              <w:rPr>
                <w:rFonts w:cs="Times New Roman"/>
                <w:b/>
                <w:bCs/>
                <w:color w:val="000000" w:themeColor="text1"/>
                <w:kern w:val="0"/>
                <w:szCs w:val="24"/>
                <w14:textFill>
                  <w14:solidFill>
                    <w14:schemeClr w14:val="tx1"/>
                  </w14:solidFill>
                </w14:textFill>
              </w:rPr>
            </w:pPr>
            <w:r>
              <w:rPr>
                <w:rFonts w:cs="Times New Roman"/>
                <w:b/>
                <w:bCs/>
                <w:color w:val="000000" w:themeColor="text1"/>
                <w:kern w:val="0"/>
                <w:szCs w:val="24"/>
                <w14:textFill>
                  <w14:solidFill>
                    <w14:schemeClr w14:val="tx1"/>
                  </w14:solidFill>
                </w14:textFill>
              </w:rPr>
              <w:t>Registration Status</w:t>
            </w:r>
          </w:p>
        </w:tc>
        <w:tc>
          <w:tcPr>
            <w:tcW w:w="360" w:type="dxa"/>
            <w:tcBorders>
              <w:top w:val="single" w:color="auto" w:sz="4" w:space="0"/>
              <w:left w:val="single" w:color="auto" w:sz="4" w:space="0"/>
              <w:bottom w:val="single" w:color="auto" w:sz="4" w:space="0"/>
              <w:right w:val="single" w:color="auto" w:sz="4" w:space="0"/>
            </w:tcBorders>
          </w:tcPr>
          <w:p w14:paraId="15C44242">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b/>
                <w:color w:val="000000" w:themeColor="text1"/>
                <w:kern w:val="0"/>
                <w:szCs w:val="24"/>
                <w14:textFill>
                  <w14:solidFill>
                    <w14:schemeClr w14:val="tx1"/>
                  </w14:solidFill>
                </w14:textFill>
                <w14:ligatures w14:val="none"/>
              </w:rPr>
              <w:t>1</w:t>
            </w:r>
          </w:p>
        </w:tc>
        <w:tc>
          <w:tcPr>
            <w:tcW w:w="360" w:type="dxa"/>
            <w:tcBorders>
              <w:top w:val="single" w:color="auto" w:sz="4" w:space="0"/>
              <w:left w:val="single" w:color="auto" w:sz="4" w:space="0"/>
              <w:bottom w:val="single" w:color="auto" w:sz="4" w:space="0"/>
              <w:right w:val="single" w:color="auto" w:sz="4" w:space="0"/>
            </w:tcBorders>
          </w:tcPr>
          <w:p w14:paraId="252EA04A">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b/>
                <w:color w:val="000000" w:themeColor="text1"/>
                <w:kern w:val="0"/>
                <w:szCs w:val="24"/>
                <w14:textFill>
                  <w14:solidFill>
                    <w14:schemeClr w14:val="tx1"/>
                  </w14:solidFill>
                </w14:textFill>
                <w14:ligatures w14:val="none"/>
              </w:rPr>
              <w:t>2</w:t>
            </w:r>
          </w:p>
        </w:tc>
        <w:tc>
          <w:tcPr>
            <w:tcW w:w="360" w:type="dxa"/>
            <w:tcBorders>
              <w:top w:val="single" w:color="auto" w:sz="4" w:space="0"/>
              <w:left w:val="single" w:color="auto" w:sz="4" w:space="0"/>
              <w:bottom w:val="single" w:color="auto" w:sz="4" w:space="0"/>
              <w:right w:val="single" w:color="auto" w:sz="4" w:space="0"/>
            </w:tcBorders>
          </w:tcPr>
          <w:p w14:paraId="08C80736">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b/>
                <w:color w:val="000000" w:themeColor="text1"/>
                <w:kern w:val="0"/>
                <w:szCs w:val="24"/>
                <w14:textFill>
                  <w14:solidFill>
                    <w14:schemeClr w14:val="tx1"/>
                  </w14:solidFill>
                </w14:textFill>
                <w14:ligatures w14:val="none"/>
              </w:rPr>
              <w:t>3</w:t>
            </w:r>
          </w:p>
        </w:tc>
        <w:tc>
          <w:tcPr>
            <w:tcW w:w="360" w:type="dxa"/>
            <w:tcBorders>
              <w:top w:val="single" w:color="auto" w:sz="4" w:space="0"/>
              <w:left w:val="single" w:color="auto" w:sz="4" w:space="0"/>
              <w:bottom w:val="single" w:color="auto" w:sz="4" w:space="0"/>
              <w:right w:val="single" w:color="auto" w:sz="4" w:space="0"/>
            </w:tcBorders>
          </w:tcPr>
          <w:p w14:paraId="7CC94B4D">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b/>
                <w:color w:val="000000" w:themeColor="text1"/>
                <w:kern w:val="0"/>
                <w:szCs w:val="24"/>
                <w14:textFill>
                  <w14:solidFill>
                    <w14:schemeClr w14:val="tx1"/>
                  </w14:solidFill>
                </w14:textFill>
                <w14:ligatures w14:val="none"/>
              </w:rPr>
              <w:t>4</w:t>
            </w:r>
          </w:p>
        </w:tc>
        <w:tc>
          <w:tcPr>
            <w:tcW w:w="355" w:type="dxa"/>
            <w:tcBorders>
              <w:top w:val="single" w:color="auto" w:sz="4" w:space="0"/>
              <w:left w:val="single" w:color="auto" w:sz="4" w:space="0"/>
              <w:bottom w:val="single" w:color="auto" w:sz="4" w:space="0"/>
              <w:right w:val="single" w:color="auto" w:sz="4" w:space="0"/>
            </w:tcBorders>
          </w:tcPr>
          <w:p w14:paraId="515ABB03">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b/>
                <w:color w:val="000000" w:themeColor="text1"/>
                <w:kern w:val="0"/>
                <w:szCs w:val="24"/>
                <w14:textFill>
                  <w14:solidFill>
                    <w14:schemeClr w14:val="tx1"/>
                  </w14:solidFill>
                </w14:textFill>
                <w14:ligatures w14:val="none"/>
              </w:rPr>
              <w:t>5</w:t>
            </w:r>
          </w:p>
        </w:tc>
      </w:tr>
      <w:tr w14:paraId="120AF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454" w:type="dxa"/>
            <w:tcBorders>
              <w:top w:val="single" w:color="auto" w:sz="4" w:space="0"/>
              <w:left w:val="single" w:color="auto" w:sz="4" w:space="0"/>
              <w:bottom w:val="single" w:color="auto" w:sz="4" w:space="0"/>
              <w:right w:val="single" w:color="auto" w:sz="4" w:space="0"/>
            </w:tcBorders>
          </w:tcPr>
          <w:p w14:paraId="4C3F4C9D">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color w:val="000000" w:themeColor="text1"/>
                <w:kern w:val="0"/>
                <w:szCs w:val="24"/>
                <w14:textFill>
                  <w14:solidFill>
                    <w14:schemeClr w14:val="tx1"/>
                  </w14:solidFill>
                </w14:textFill>
                <w14:ligatures w14:val="none"/>
              </w:rPr>
              <w:t>1</w:t>
            </w:r>
          </w:p>
        </w:tc>
        <w:tc>
          <w:tcPr>
            <w:tcW w:w="6381" w:type="dxa"/>
            <w:tcBorders>
              <w:top w:val="single" w:color="auto" w:sz="4" w:space="0"/>
              <w:left w:val="single" w:color="auto" w:sz="4" w:space="0"/>
              <w:bottom w:val="single" w:color="auto" w:sz="4" w:space="0"/>
              <w:right w:val="single" w:color="auto" w:sz="4" w:space="0"/>
            </w:tcBorders>
          </w:tcPr>
          <w:p w14:paraId="336AEEF0">
            <w:pPr>
              <w:rPr>
                <w:rFonts w:cs="Times New Roman"/>
                <w:color w:val="000000" w:themeColor="text1"/>
                <w:kern w:val="0"/>
                <w:szCs w:val="24"/>
                <w14:textFill>
                  <w14:solidFill>
                    <w14:schemeClr w14:val="tx1"/>
                  </w14:solidFill>
                </w14:textFill>
              </w:rPr>
            </w:pPr>
            <w:r>
              <w:rPr>
                <w:rFonts w:cs="Times New Roman"/>
                <w:color w:val="000000" w:themeColor="text1"/>
                <w:kern w:val="0"/>
                <w:szCs w:val="24"/>
                <w14:textFill>
                  <w14:solidFill>
                    <w14:schemeClr w14:val="tx1"/>
                  </w14:solidFill>
                </w14:textFill>
              </w:rPr>
              <w:t>Farmer registration improves uptake of fertilizer subsidies.</w:t>
            </w:r>
          </w:p>
        </w:tc>
        <w:tc>
          <w:tcPr>
            <w:tcW w:w="360" w:type="dxa"/>
            <w:tcBorders>
              <w:top w:val="single" w:color="auto" w:sz="4" w:space="0"/>
              <w:left w:val="single" w:color="auto" w:sz="4" w:space="0"/>
              <w:bottom w:val="single" w:color="auto" w:sz="4" w:space="0"/>
              <w:right w:val="single" w:color="auto" w:sz="4" w:space="0"/>
            </w:tcBorders>
          </w:tcPr>
          <w:p w14:paraId="285D471A">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1D7D8917">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7400E642">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618E66F0">
            <w:pPr>
              <w:spacing w:line="240" w:lineRule="auto"/>
              <w:rPr>
                <w:rFonts w:eastAsia="Calibri" w:cs="Times New Roman"/>
                <w:color w:val="000000" w:themeColor="text1"/>
                <w:kern w:val="0"/>
                <w:szCs w:val="24"/>
                <w14:textFill>
                  <w14:solidFill>
                    <w14:schemeClr w14:val="tx1"/>
                  </w14:solidFill>
                </w14:textFill>
                <w14:ligatures w14:val="none"/>
              </w:rPr>
            </w:pPr>
          </w:p>
        </w:tc>
        <w:tc>
          <w:tcPr>
            <w:tcW w:w="355" w:type="dxa"/>
            <w:tcBorders>
              <w:top w:val="single" w:color="auto" w:sz="4" w:space="0"/>
              <w:left w:val="single" w:color="auto" w:sz="4" w:space="0"/>
              <w:bottom w:val="single" w:color="auto" w:sz="4" w:space="0"/>
              <w:right w:val="single" w:color="auto" w:sz="4" w:space="0"/>
            </w:tcBorders>
          </w:tcPr>
          <w:p w14:paraId="2F0FF3DC">
            <w:pPr>
              <w:spacing w:line="240" w:lineRule="auto"/>
              <w:rPr>
                <w:rFonts w:eastAsia="Calibri" w:cs="Times New Roman"/>
                <w:color w:val="000000" w:themeColor="text1"/>
                <w:kern w:val="0"/>
                <w:szCs w:val="24"/>
                <w14:textFill>
                  <w14:solidFill>
                    <w14:schemeClr w14:val="tx1"/>
                  </w14:solidFill>
                </w14:textFill>
                <w14:ligatures w14:val="none"/>
              </w:rPr>
            </w:pPr>
          </w:p>
        </w:tc>
      </w:tr>
      <w:tr w14:paraId="6F876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454" w:type="dxa"/>
            <w:tcBorders>
              <w:top w:val="single" w:color="auto" w:sz="4" w:space="0"/>
              <w:left w:val="single" w:color="auto" w:sz="4" w:space="0"/>
              <w:bottom w:val="single" w:color="auto" w:sz="4" w:space="0"/>
              <w:right w:val="single" w:color="auto" w:sz="4" w:space="0"/>
            </w:tcBorders>
          </w:tcPr>
          <w:p w14:paraId="4AA2D1F9">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color w:val="000000" w:themeColor="text1"/>
                <w:kern w:val="0"/>
                <w:szCs w:val="24"/>
                <w14:textFill>
                  <w14:solidFill>
                    <w14:schemeClr w14:val="tx1"/>
                  </w14:solidFill>
                </w14:textFill>
                <w14:ligatures w14:val="none"/>
              </w:rPr>
              <w:t>2</w:t>
            </w:r>
          </w:p>
        </w:tc>
        <w:tc>
          <w:tcPr>
            <w:tcW w:w="6381" w:type="dxa"/>
            <w:tcBorders>
              <w:top w:val="single" w:color="auto" w:sz="4" w:space="0"/>
              <w:left w:val="single" w:color="auto" w:sz="4" w:space="0"/>
              <w:bottom w:val="single" w:color="auto" w:sz="4" w:space="0"/>
              <w:right w:val="single" w:color="auto" w:sz="4" w:space="0"/>
            </w:tcBorders>
          </w:tcPr>
          <w:p w14:paraId="635E271B">
            <w:pPr>
              <w:rPr>
                <w:rFonts w:cs="Times New Roman"/>
                <w:color w:val="000000" w:themeColor="text1"/>
                <w:kern w:val="0"/>
                <w:szCs w:val="24"/>
                <w14:textFill>
                  <w14:solidFill>
                    <w14:schemeClr w14:val="tx1"/>
                  </w14:solidFill>
                </w14:textFill>
              </w:rPr>
            </w:pPr>
            <w:r>
              <w:rPr>
                <w:rFonts w:cs="Times New Roman"/>
                <w:color w:val="000000" w:themeColor="text1"/>
                <w:kern w:val="0"/>
                <w:szCs w:val="24"/>
                <w14:textFill>
                  <w14:solidFill>
                    <w14:schemeClr w14:val="tx1"/>
                  </w14:solidFill>
                </w14:textFill>
              </w:rPr>
              <w:t>Registered farmers receive fertilizer subsidies more easily.</w:t>
            </w:r>
          </w:p>
        </w:tc>
        <w:tc>
          <w:tcPr>
            <w:tcW w:w="360" w:type="dxa"/>
            <w:tcBorders>
              <w:top w:val="single" w:color="auto" w:sz="4" w:space="0"/>
              <w:left w:val="single" w:color="auto" w:sz="4" w:space="0"/>
              <w:bottom w:val="single" w:color="auto" w:sz="4" w:space="0"/>
              <w:right w:val="single" w:color="auto" w:sz="4" w:space="0"/>
            </w:tcBorders>
          </w:tcPr>
          <w:p w14:paraId="2E0F14FF">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13A53A7B">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44C12ADE">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41966A9A">
            <w:pPr>
              <w:spacing w:line="240" w:lineRule="auto"/>
              <w:rPr>
                <w:rFonts w:eastAsia="Calibri" w:cs="Times New Roman"/>
                <w:color w:val="000000" w:themeColor="text1"/>
                <w:kern w:val="0"/>
                <w:szCs w:val="24"/>
                <w14:textFill>
                  <w14:solidFill>
                    <w14:schemeClr w14:val="tx1"/>
                  </w14:solidFill>
                </w14:textFill>
                <w14:ligatures w14:val="none"/>
              </w:rPr>
            </w:pPr>
          </w:p>
        </w:tc>
        <w:tc>
          <w:tcPr>
            <w:tcW w:w="355" w:type="dxa"/>
            <w:tcBorders>
              <w:top w:val="single" w:color="auto" w:sz="4" w:space="0"/>
              <w:left w:val="single" w:color="auto" w:sz="4" w:space="0"/>
              <w:bottom w:val="single" w:color="auto" w:sz="4" w:space="0"/>
              <w:right w:val="single" w:color="auto" w:sz="4" w:space="0"/>
            </w:tcBorders>
          </w:tcPr>
          <w:p w14:paraId="42847BA0">
            <w:pPr>
              <w:spacing w:line="240" w:lineRule="auto"/>
              <w:rPr>
                <w:rFonts w:eastAsia="Calibri" w:cs="Times New Roman"/>
                <w:color w:val="000000" w:themeColor="text1"/>
                <w:kern w:val="0"/>
                <w:szCs w:val="24"/>
                <w14:textFill>
                  <w14:solidFill>
                    <w14:schemeClr w14:val="tx1"/>
                  </w14:solidFill>
                </w14:textFill>
                <w14:ligatures w14:val="none"/>
              </w:rPr>
            </w:pPr>
          </w:p>
        </w:tc>
      </w:tr>
      <w:tr w14:paraId="4D4B1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454" w:type="dxa"/>
            <w:tcBorders>
              <w:top w:val="single" w:color="auto" w:sz="4" w:space="0"/>
              <w:left w:val="single" w:color="auto" w:sz="4" w:space="0"/>
              <w:bottom w:val="single" w:color="auto" w:sz="4" w:space="0"/>
              <w:right w:val="single" w:color="auto" w:sz="4" w:space="0"/>
            </w:tcBorders>
          </w:tcPr>
          <w:p w14:paraId="39C4116A">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color w:val="000000" w:themeColor="text1"/>
                <w:kern w:val="0"/>
                <w:szCs w:val="24"/>
                <w14:textFill>
                  <w14:solidFill>
                    <w14:schemeClr w14:val="tx1"/>
                  </w14:solidFill>
                </w14:textFill>
                <w14:ligatures w14:val="none"/>
              </w:rPr>
              <w:t>3</w:t>
            </w:r>
          </w:p>
        </w:tc>
        <w:tc>
          <w:tcPr>
            <w:tcW w:w="6381" w:type="dxa"/>
            <w:tcBorders>
              <w:top w:val="single" w:color="auto" w:sz="4" w:space="0"/>
              <w:left w:val="single" w:color="auto" w:sz="4" w:space="0"/>
              <w:bottom w:val="single" w:color="auto" w:sz="4" w:space="0"/>
              <w:right w:val="single" w:color="auto" w:sz="4" w:space="0"/>
            </w:tcBorders>
          </w:tcPr>
          <w:p w14:paraId="31DCF2A4">
            <w:pPr>
              <w:rPr>
                <w:rFonts w:cs="Times New Roman"/>
                <w:color w:val="000000" w:themeColor="text1"/>
                <w:kern w:val="0"/>
                <w:szCs w:val="24"/>
                <w14:textFill>
                  <w14:solidFill>
                    <w14:schemeClr w14:val="tx1"/>
                  </w14:solidFill>
                </w14:textFill>
              </w:rPr>
            </w:pPr>
            <w:r>
              <w:rPr>
                <w:rFonts w:cs="Times New Roman"/>
                <w:color w:val="000000" w:themeColor="text1"/>
                <w:kern w:val="0"/>
                <w:szCs w:val="24"/>
                <w14:textFill>
                  <w14:solidFill>
                    <w14:schemeClr w14:val="tx1"/>
                  </w14:solidFill>
                </w14:textFill>
              </w:rPr>
              <w:t>The digital registration system improves subsidy transparency.</w:t>
            </w:r>
          </w:p>
        </w:tc>
        <w:tc>
          <w:tcPr>
            <w:tcW w:w="360" w:type="dxa"/>
            <w:tcBorders>
              <w:top w:val="single" w:color="auto" w:sz="4" w:space="0"/>
              <w:left w:val="single" w:color="auto" w:sz="4" w:space="0"/>
              <w:bottom w:val="single" w:color="auto" w:sz="4" w:space="0"/>
              <w:right w:val="single" w:color="auto" w:sz="4" w:space="0"/>
            </w:tcBorders>
          </w:tcPr>
          <w:p w14:paraId="04553CF9">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5510C332">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7F1D2B7A">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1D19F11E">
            <w:pPr>
              <w:spacing w:line="240" w:lineRule="auto"/>
              <w:rPr>
                <w:rFonts w:eastAsia="Calibri" w:cs="Times New Roman"/>
                <w:color w:val="000000" w:themeColor="text1"/>
                <w:kern w:val="0"/>
                <w:szCs w:val="24"/>
                <w14:textFill>
                  <w14:solidFill>
                    <w14:schemeClr w14:val="tx1"/>
                  </w14:solidFill>
                </w14:textFill>
                <w14:ligatures w14:val="none"/>
              </w:rPr>
            </w:pPr>
          </w:p>
        </w:tc>
        <w:tc>
          <w:tcPr>
            <w:tcW w:w="355" w:type="dxa"/>
            <w:tcBorders>
              <w:top w:val="single" w:color="auto" w:sz="4" w:space="0"/>
              <w:left w:val="single" w:color="auto" w:sz="4" w:space="0"/>
              <w:bottom w:val="single" w:color="auto" w:sz="4" w:space="0"/>
              <w:right w:val="single" w:color="auto" w:sz="4" w:space="0"/>
            </w:tcBorders>
          </w:tcPr>
          <w:p w14:paraId="0743C0E0">
            <w:pPr>
              <w:spacing w:line="240" w:lineRule="auto"/>
              <w:rPr>
                <w:rFonts w:eastAsia="Calibri" w:cs="Times New Roman"/>
                <w:color w:val="000000" w:themeColor="text1"/>
                <w:kern w:val="0"/>
                <w:szCs w:val="24"/>
                <w14:textFill>
                  <w14:solidFill>
                    <w14:schemeClr w14:val="tx1"/>
                  </w14:solidFill>
                </w14:textFill>
                <w14:ligatures w14:val="none"/>
              </w:rPr>
            </w:pPr>
          </w:p>
        </w:tc>
      </w:tr>
      <w:tr w14:paraId="5701A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454" w:type="dxa"/>
            <w:tcBorders>
              <w:top w:val="single" w:color="auto" w:sz="4" w:space="0"/>
              <w:left w:val="single" w:color="auto" w:sz="4" w:space="0"/>
              <w:bottom w:val="single" w:color="auto" w:sz="4" w:space="0"/>
              <w:right w:val="single" w:color="auto" w:sz="4" w:space="0"/>
            </w:tcBorders>
          </w:tcPr>
          <w:p w14:paraId="546FF510">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color w:val="000000" w:themeColor="text1"/>
                <w:kern w:val="0"/>
                <w:szCs w:val="24"/>
                <w14:textFill>
                  <w14:solidFill>
                    <w14:schemeClr w14:val="tx1"/>
                  </w14:solidFill>
                </w14:textFill>
                <w14:ligatures w14:val="none"/>
              </w:rPr>
              <w:t>4</w:t>
            </w:r>
          </w:p>
        </w:tc>
        <w:tc>
          <w:tcPr>
            <w:tcW w:w="6381" w:type="dxa"/>
            <w:tcBorders>
              <w:top w:val="single" w:color="auto" w:sz="4" w:space="0"/>
              <w:left w:val="single" w:color="auto" w:sz="4" w:space="0"/>
              <w:bottom w:val="single" w:color="auto" w:sz="4" w:space="0"/>
              <w:right w:val="single" w:color="auto" w:sz="4" w:space="0"/>
            </w:tcBorders>
          </w:tcPr>
          <w:p w14:paraId="66193C87">
            <w:pPr>
              <w:rPr>
                <w:rFonts w:cs="Times New Roman"/>
                <w:color w:val="000000" w:themeColor="text1"/>
                <w:kern w:val="0"/>
                <w:szCs w:val="24"/>
                <w14:textFill>
                  <w14:solidFill>
                    <w14:schemeClr w14:val="tx1"/>
                  </w14:solidFill>
                </w14:textFill>
              </w:rPr>
            </w:pPr>
            <w:r>
              <w:rPr>
                <w:rFonts w:cs="Times New Roman"/>
                <w:color w:val="000000" w:themeColor="text1"/>
                <w:kern w:val="0"/>
                <w:szCs w:val="24"/>
                <w14:textFill>
                  <w14:solidFill>
                    <w14:schemeClr w14:val="tx1"/>
                  </w14:solidFill>
                </w14:textFill>
              </w:rPr>
              <w:t>The registration process is simple and accessible to farmers.</w:t>
            </w:r>
          </w:p>
        </w:tc>
        <w:tc>
          <w:tcPr>
            <w:tcW w:w="360" w:type="dxa"/>
            <w:tcBorders>
              <w:top w:val="single" w:color="auto" w:sz="4" w:space="0"/>
              <w:left w:val="single" w:color="auto" w:sz="4" w:space="0"/>
              <w:bottom w:val="single" w:color="auto" w:sz="4" w:space="0"/>
              <w:right w:val="single" w:color="auto" w:sz="4" w:space="0"/>
            </w:tcBorders>
          </w:tcPr>
          <w:p w14:paraId="7133FF73">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72DBDB01">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776DBBDB">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47CCC28F">
            <w:pPr>
              <w:spacing w:line="240" w:lineRule="auto"/>
              <w:rPr>
                <w:rFonts w:eastAsia="Calibri" w:cs="Times New Roman"/>
                <w:color w:val="000000" w:themeColor="text1"/>
                <w:kern w:val="0"/>
                <w:szCs w:val="24"/>
                <w14:textFill>
                  <w14:solidFill>
                    <w14:schemeClr w14:val="tx1"/>
                  </w14:solidFill>
                </w14:textFill>
                <w14:ligatures w14:val="none"/>
              </w:rPr>
            </w:pPr>
          </w:p>
        </w:tc>
        <w:tc>
          <w:tcPr>
            <w:tcW w:w="355" w:type="dxa"/>
            <w:tcBorders>
              <w:top w:val="single" w:color="auto" w:sz="4" w:space="0"/>
              <w:left w:val="single" w:color="auto" w:sz="4" w:space="0"/>
              <w:bottom w:val="single" w:color="auto" w:sz="4" w:space="0"/>
              <w:right w:val="single" w:color="auto" w:sz="4" w:space="0"/>
            </w:tcBorders>
          </w:tcPr>
          <w:p w14:paraId="1550C77C">
            <w:pPr>
              <w:spacing w:line="240" w:lineRule="auto"/>
              <w:rPr>
                <w:rFonts w:eastAsia="Calibri" w:cs="Times New Roman"/>
                <w:color w:val="000000" w:themeColor="text1"/>
                <w:kern w:val="0"/>
                <w:szCs w:val="24"/>
                <w14:textFill>
                  <w14:solidFill>
                    <w14:schemeClr w14:val="tx1"/>
                  </w14:solidFill>
                </w14:textFill>
                <w14:ligatures w14:val="none"/>
              </w:rPr>
            </w:pPr>
          </w:p>
        </w:tc>
      </w:tr>
      <w:tr w14:paraId="540B9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454" w:type="dxa"/>
            <w:tcBorders>
              <w:top w:val="single" w:color="auto" w:sz="4" w:space="0"/>
              <w:left w:val="single" w:color="auto" w:sz="4" w:space="0"/>
              <w:bottom w:val="single" w:color="auto" w:sz="4" w:space="0"/>
              <w:right w:val="single" w:color="auto" w:sz="4" w:space="0"/>
            </w:tcBorders>
          </w:tcPr>
          <w:p w14:paraId="75EC462A">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color w:val="000000" w:themeColor="text1"/>
                <w:kern w:val="0"/>
                <w:szCs w:val="24"/>
                <w14:textFill>
                  <w14:solidFill>
                    <w14:schemeClr w14:val="tx1"/>
                  </w14:solidFill>
                </w14:textFill>
                <w14:ligatures w14:val="none"/>
              </w:rPr>
              <w:t>5</w:t>
            </w:r>
          </w:p>
        </w:tc>
        <w:tc>
          <w:tcPr>
            <w:tcW w:w="6381" w:type="dxa"/>
            <w:tcBorders>
              <w:top w:val="single" w:color="auto" w:sz="4" w:space="0"/>
              <w:left w:val="single" w:color="auto" w:sz="4" w:space="0"/>
              <w:bottom w:val="single" w:color="auto" w:sz="4" w:space="0"/>
              <w:right w:val="single" w:color="auto" w:sz="4" w:space="0"/>
            </w:tcBorders>
          </w:tcPr>
          <w:p w14:paraId="06C0219D">
            <w:pPr>
              <w:rPr>
                <w:rFonts w:cs="Times New Roman"/>
                <w:color w:val="000000" w:themeColor="text1"/>
                <w:kern w:val="0"/>
                <w:szCs w:val="24"/>
                <w14:textFill>
                  <w14:solidFill>
                    <w14:schemeClr w14:val="tx1"/>
                  </w14:solidFill>
                </w14:textFill>
              </w:rPr>
            </w:pPr>
            <w:r>
              <w:rPr>
                <w:rFonts w:cs="Times New Roman"/>
                <w:color w:val="000000" w:themeColor="text1"/>
                <w:kern w:val="0"/>
                <w:szCs w:val="24"/>
                <w14:textFill>
                  <w14:solidFill>
                    <w14:schemeClr w14:val="tx1"/>
                  </w14:solidFill>
                </w14:textFill>
              </w:rPr>
              <w:t>Unregistered farmers find it difficult to access fertilizer subsidies.</w:t>
            </w:r>
          </w:p>
          <w:p w14:paraId="044CA3F6">
            <w:pPr>
              <w:rPr>
                <w:rFonts w:cs="Times New Roman"/>
                <w:color w:val="000000" w:themeColor="text1"/>
                <w:kern w:val="0"/>
                <w:szCs w:val="24"/>
                <w14:textFill>
                  <w14:solidFill>
                    <w14:schemeClr w14:val="tx1"/>
                  </w14:solidFill>
                </w14:textFill>
              </w:rPr>
            </w:pPr>
          </w:p>
        </w:tc>
        <w:tc>
          <w:tcPr>
            <w:tcW w:w="360" w:type="dxa"/>
            <w:tcBorders>
              <w:top w:val="single" w:color="auto" w:sz="4" w:space="0"/>
              <w:left w:val="single" w:color="auto" w:sz="4" w:space="0"/>
              <w:bottom w:val="single" w:color="auto" w:sz="4" w:space="0"/>
              <w:right w:val="single" w:color="auto" w:sz="4" w:space="0"/>
            </w:tcBorders>
          </w:tcPr>
          <w:p w14:paraId="0B3ABAA9">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671791E6">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0E4520B7">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0D04BF23">
            <w:pPr>
              <w:spacing w:line="240" w:lineRule="auto"/>
              <w:rPr>
                <w:rFonts w:eastAsia="Calibri" w:cs="Times New Roman"/>
                <w:color w:val="000000" w:themeColor="text1"/>
                <w:kern w:val="0"/>
                <w:szCs w:val="24"/>
                <w14:textFill>
                  <w14:solidFill>
                    <w14:schemeClr w14:val="tx1"/>
                  </w14:solidFill>
                </w14:textFill>
                <w14:ligatures w14:val="none"/>
              </w:rPr>
            </w:pPr>
          </w:p>
        </w:tc>
        <w:tc>
          <w:tcPr>
            <w:tcW w:w="355" w:type="dxa"/>
            <w:tcBorders>
              <w:top w:val="single" w:color="auto" w:sz="4" w:space="0"/>
              <w:left w:val="single" w:color="auto" w:sz="4" w:space="0"/>
              <w:bottom w:val="single" w:color="auto" w:sz="4" w:space="0"/>
              <w:right w:val="single" w:color="auto" w:sz="4" w:space="0"/>
            </w:tcBorders>
          </w:tcPr>
          <w:p w14:paraId="0A254D1A">
            <w:pPr>
              <w:spacing w:line="240" w:lineRule="auto"/>
              <w:rPr>
                <w:rFonts w:eastAsia="Calibri" w:cs="Times New Roman"/>
                <w:color w:val="000000" w:themeColor="text1"/>
                <w:kern w:val="0"/>
                <w:szCs w:val="24"/>
                <w14:textFill>
                  <w14:solidFill>
                    <w14:schemeClr w14:val="tx1"/>
                  </w14:solidFill>
                </w14:textFill>
                <w14:ligatures w14:val="none"/>
              </w:rPr>
            </w:pPr>
          </w:p>
        </w:tc>
      </w:tr>
      <w:tr w14:paraId="71CE7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6835" w:type="dxa"/>
            <w:gridSpan w:val="2"/>
            <w:tcBorders>
              <w:top w:val="single" w:color="auto" w:sz="4" w:space="0"/>
              <w:left w:val="single" w:color="auto" w:sz="4" w:space="0"/>
              <w:bottom w:val="single" w:color="auto" w:sz="4" w:space="0"/>
              <w:right w:val="single" w:color="auto" w:sz="4" w:space="0"/>
            </w:tcBorders>
          </w:tcPr>
          <w:p w14:paraId="5BE3F127">
            <w:pPr>
              <w:rPr>
                <w:rFonts w:cs="Times New Roman"/>
                <w:b/>
                <w:bCs/>
                <w:color w:val="000000" w:themeColor="text1"/>
                <w:kern w:val="0"/>
                <w:szCs w:val="24"/>
                <w14:textFill>
                  <w14:solidFill>
                    <w14:schemeClr w14:val="tx1"/>
                  </w14:solidFill>
                </w14:textFill>
              </w:rPr>
            </w:pPr>
            <w:r>
              <w:rPr>
                <w:rFonts w:cs="Times New Roman"/>
                <w:b/>
                <w:bCs/>
                <w:color w:val="000000" w:themeColor="text1"/>
                <w:kern w:val="0"/>
                <w:szCs w:val="24"/>
                <w14:textFill>
                  <w14:solidFill>
                    <w14:schemeClr w14:val="tx1"/>
                  </w14:solidFill>
                </w14:textFill>
              </w:rPr>
              <w:t>Voucher Receipt Timing</w:t>
            </w:r>
          </w:p>
        </w:tc>
        <w:tc>
          <w:tcPr>
            <w:tcW w:w="360" w:type="dxa"/>
            <w:tcBorders>
              <w:top w:val="single" w:color="auto" w:sz="4" w:space="0"/>
              <w:left w:val="single" w:color="auto" w:sz="4" w:space="0"/>
              <w:bottom w:val="single" w:color="auto" w:sz="4" w:space="0"/>
              <w:right w:val="single" w:color="auto" w:sz="4" w:space="0"/>
            </w:tcBorders>
          </w:tcPr>
          <w:p w14:paraId="52A757A8">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b/>
                <w:color w:val="000000" w:themeColor="text1"/>
                <w:kern w:val="0"/>
                <w:szCs w:val="24"/>
                <w14:textFill>
                  <w14:solidFill>
                    <w14:schemeClr w14:val="tx1"/>
                  </w14:solidFill>
                </w14:textFill>
                <w14:ligatures w14:val="none"/>
              </w:rPr>
              <w:t>1</w:t>
            </w:r>
          </w:p>
        </w:tc>
        <w:tc>
          <w:tcPr>
            <w:tcW w:w="360" w:type="dxa"/>
            <w:tcBorders>
              <w:top w:val="single" w:color="auto" w:sz="4" w:space="0"/>
              <w:left w:val="single" w:color="auto" w:sz="4" w:space="0"/>
              <w:bottom w:val="single" w:color="auto" w:sz="4" w:space="0"/>
              <w:right w:val="single" w:color="auto" w:sz="4" w:space="0"/>
            </w:tcBorders>
          </w:tcPr>
          <w:p w14:paraId="78DAB6D9">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b/>
                <w:color w:val="000000" w:themeColor="text1"/>
                <w:kern w:val="0"/>
                <w:szCs w:val="24"/>
                <w14:textFill>
                  <w14:solidFill>
                    <w14:schemeClr w14:val="tx1"/>
                  </w14:solidFill>
                </w14:textFill>
                <w14:ligatures w14:val="none"/>
              </w:rPr>
              <w:t>2</w:t>
            </w:r>
          </w:p>
        </w:tc>
        <w:tc>
          <w:tcPr>
            <w:tcW w:w="360" w:type="dxa"/>
            <w:tcBorders>
              <w:top w:val="single" w:color="auto" w:sz="4" w:space="0"/>
              <w:left w:val="single" w:color="auto" w:sz="4" w:space="0"/>
              <w:bottom w:val="single" w:color="auto" w:sz="4" w:space="0"/>
              <w:right w:val="single" w:color="auto" w:sz="4" w:space="0"/>
            </w:tcBorders>
          </w:tcPr>
          <w:p w14:paraId="79A59578">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b/>
                <w:color w:val="000000" w:themeColor="text1"/>
                <w:kern w:val="0"/>
                <w:szCs w:val="24"/>
                <w14:textFill>
                  <w14:solidFill>
                    <w14:schemeClr w14:val="tx1"/>
                  </w14:solidFill>
                </w14:textFill>
                <w14:ligatures w14:val="none"/>
              </w:rPr>
              <w:t>3</w:t>
            </w:r>
          </w:p>
        </w:tc>
        <w:tc>
          <w:tcPr>
            <w:tcW w:w="360" w:type="dxa"/>
            <w:tcBorders>
              <w:top w:val="single" w:color="auto" w:sz="4" w:space="0"/>
              <w:left w:val="single" w:color="auto" w:sz="4" w:space="0"/>
              <w:bottom w:val="single" w:color="auto" w:sz="4" w:space="0"/>
              <w:right w:val="single" w:color="auto" w:sz="4" w:space="0"/>
            </w:tcBorders>
          </w:tcPr>
          <w:p w14:paraId="6064197F">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b/>
                <w:color w:val="000000" w:themeColor="text1"/>
                <w:kern w:val="0"/>
                <w:szCs w:val="24"/>
                <w14:textFill>
                  <w14:solidFill>
                    <w14:schemeClr w14:val="tx1"/>
                  </w14:solidFill>
                </w14:textFill>
                <w14:ligatures w14:val="none"/>
              </w:rPr>
              <w:t>4</w:t>
            </w:r>
          </w:p>
        </w:tc>
        <w:tc>
          <w:tcPr>
            <w:tcW w:w="355" w:type="dxa"/>
            <w:tcBorders>
              <w:top w:val="single" w:color="auto" w:sz="4" w:space="0"/>
              <w:left w:val="single" w:color="auto" w:sz="4" w:space="0"/>
              <w:bottom w:val="single" w:color="auto" w:sz="4" w:space="0"/>
              <w:right w:val="single" w:color="auto" w:sz="4" w:space="0"/>
            </w:tcBorders>
          </w:tcPr>
          <w:p w14:paraId="7B33158B">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b/>
                <w:color w:val="000000" w:themeColor="text1"/>
                <w:kern w:val="0"/>
                <w:szCs w:val="24"/>
                <w14:textFill>
                  <w14:solidFill>
                    <w14:schemeClr w14:val="tx1"/>
                  </w14:solidFill>
                </w14:textFill>
                <w14:ligatures w14:val="none"/>
              </w:rPr>
              <w:t>5</w:t>
            </w:r>
          </w:p>
        </w:tc>
      </w:tr>
      <w:tr w14:paraId="55B1A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454" w:type="dxa"/>
            <w:tcBorders>
              <w:top w:val="single" w:color="auto" w:sz="4" w:space="0"/>
              <w:left w:val="single" w:color="auto" w:sz="4" w:space="0"/>
              <w:bottom w:val="single" w:color="auto" w:sz="4" w:space="0"/>
              <w:right w:val="single" w:color="auto" w:sz="4" w:space="0"/>
            </w:tcBorders>
          </w:tcPr>
          <w:p w14:paraId="17EDCCB5">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color w:val="000000" w:themeColor="text1"/>
                <w:kern w:val="0"/>
                <w:szCs w:val="24"/>
                <w14:textFill>
                  <w14:solidFill>
                    <w14:schemeClr w14:val="tx1"/>
                  </w14:solidFill>
                </w14:textFill>
                <w14:ligatures w14:val="none"/>
              </w:rPr>
              <w:t>1</w:t>
            </w:r>
          </w:p>
        </w:tc>
        <w:tc>
          <w:tcPr>
            <w:tcW w:w="6381" w:type="dxa"/>
            <w:tcBorders>
              <w:top w:val="single" w:color="auto" w:sz="4" w:space="0"/>
              <w:left w:val="single" w:color="auto" w:sz="4" w:space="0"/>
              <w:bottom w:val="single" w:color="auto" w:sz="4" w:space="0"/>
              <w:right w:val="single" w:color="auto" w:sz="4" w:space="0"/>
            </w:tcBorders>
          </w:tcPr>
          <w:p w14:paraId="18D2F108">
            <w:pPr>
              <w:rPr>
                <w:rFonts w:cs="Times New Roman"/>
                <w:color w:val="000000" w:themeColor="text1"/>
                <w:kern w:val="0"/>
                <w:szCs w:val="24"/>
                <w14:textFill>
                  <w14:solidFill>
                    <w14:schemeClr w14:val="tx1"/>
                  </w14:solidFill>
                </w14:textFill>
              </w:rPr>
            </w:pPr>
            <w:r>
              <w:rPr>
                <w:rFonts w:cs="Times New Roman"/>
                <w:color w:val="000000" w:themeColor="text1"/>
                <w:kern w:val="0"/>
                <w:szCs w:val="24"/>
                <w14:textFill>
                  <w14:solidFill>
                    <w14:schemeClr w14:val="tx1"/>
                  </w14:solidFill>
                </w14:textFill>
              </w:rPr>
              <w:t>Farmers receive subsidy vouchers before the planting season.</w:t>
            </w:r>
          </w:p>
        </w:tc>
        <w:tc>
          <w:tcPr>
            <w:tcW w:w="360" w:type="dxa"/>
            <w:tcBorders>
              <w:top w:val="single" w:color="auto" w:sz="4" w:space="0"/>
              <w:left w:val="single" w:color="auto" w:sz="4" w:space="0"/>
              <w:bottom w:val="single" w:color="auto" w:sz="4" w:space="0"/>
              <w:right w:val="single" w:color="auto" w:sz="4" w:space="0"/>
            </w:tcBorders>
          </w:tcPr>
          <w:p w14:paraId="6F757900">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08AFDE94">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5DFA84B1">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6EC16B97">
            <w:pPr>
              <w:spacing w:line="240" w:lineRule="auto"/>
              <w:rPr>
                <w:rFonts w:eastAsia="Calibri" w:cs="Times New Roman"/>
                <w:color w:val="000000" w:themeColor="text1"/>
                <w:kern w:val="0"/>
                <w:szCs w:val="24"/>
                <w14:textFill>
                  <w14:solidFill>
                    <w14:schemeClr w14:val="tx1"/>
                  </w14:solidFill>
                </w14:textFill>
                <w14:ligatures w14:val="none"/>
              </w:rPr>
            </w:pPr>
          </w:p>
        </w:tc>
        <w:tc>
          <w:tcPr>
            <w:tcW w:w="355" w:type="dxa"/>
            <w:tcBorders>
              <w:top w:val="single" w:color="auto" w:sz="4" w:space="0"/>
              <w:left w:val="single" w:color="auto" w:sz="4" w:space="0"/>
              <w:bottom w:val="single" w:color="auto" w:sz="4" w:space="0"/>
              <w:right w:val="single" w:color="auto" w:sz="4" w:space="0"/>
            </w:tcBorders>
          </w:tcPr>
          <w:p w14:paraId="0D497246">
            <w:pPr>
              <w:spacing w:line="240" w:lineRule="auto"/>
              <w:rPr>
                <w:rFonts w:eastAsia="Calibri" w:cs="Times New Roman"/>
                <w:color w:val="000000" w:themeColor="text1"/>
                <w:kern w:val="0"/>
                <w:szCs w:val="24"/>
                <w14:textFill>
                  <w14:solidFill>
                    <w14:schemeClr w14:val="tx1"/>
                  </w14:solidFill>
                </w14:textFill>
                <w14:ligatures w14:val="none"/>
              </w:rPr>
            </w:pPr>
          </w:p>
        </w:tc>
      </w:tr>
      <w:tr w14:paraId="60E16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trPr>
        <w:tc>
          <w:tcPr>
            <w:tcW w:w="454" w:type="dxa"/>
            <w:tcBorders>
              <w:top w:val="single" w:color="auto" w:sz="4" w:space="0"/>
              <w:left w:val="single" w:color="auto" w:sz="4" w:space="0"/>
              <w:bottom w:val="single" w:color="auto" w:sz="4" w:space="0"/>
              <w:right w:val="single" w:color="auto" w:sz="4" w:space="0"/>
            </w:tcBorders>
          </w:tcPr>
          <w:p w14:paraId="1BACEFA4">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color w:val="000000" w:themeColor="text1"/>
                <w:kern w:val="0"/>
                <w:szCs w:val="24"/>
                <w14:textFill>
                  <w14:solidFill>
                    <w14:schemeClr w14:val="tx1"/>
                  </w14:solidFill>
                </w14:textFill>
                <w14:ligatures w14:val="none"/>
              </w:rPr>
              <w:t>2</w:t>
            </w:r>
          </w:p>
        </w:tc>
        <w:tc>
          <w:tcPr>
            <w:tcW w:w="6381" w:type="dxa"/>
            <w:tcBorders>
              <w:top w:val="single" w:color="auto" w:sz="4" w:space="0"/>
              <w:left w:val="single" w:color="auto" w:sz="4" w:space="0"/>
              <w:bottom w:val="single" w:color="auto" w:sz="4" w:space="0"/>
              <w:right w:val="single" w:color="auto" w:sz="4" w:space="0"/>
            </w:tcBorders>
          </w:tcPr>
          <w:p w14:paraId="54723879">
            <w:pPr>
              <w:rPr>
                <w:rFonts w:cs="Times New Roman"/>
                <w:color w:val="000000" w:themeColor="text1"/>
                <w:kern w:val="0"/>
                <w:szCs w:val="24"/>
                <w14:textFill>
                  <w14:solidFill>
                    <w14:schemeClr w14:val="tx1"/>
                  </w14:solidFill>
                </w14:textFill>
              </w:rPr>
            </w:pPr>
            <w:r>
              <w:rPr>
                <w:rFonts w:cs="Times New Roman"/>
                <w:color w:val="000000" w:themeColor="text1"/>
                <w:kern w:val="0"/>
                <w:szCs w:val="24"/>
                <w14:textFill>
                  <w14:solidFill>
                    <w14:schemeClr w14:val="tx1"/>
                  </w14:solidFill>
                </w14:textFill>
              </w:rPr>
              <w:t>Late voucher distribution reduces fertilizer usage.</w:t>
            </w:r>
          </w:p>
        </w:tc>
        <w:tc>
          <w:tcPr>
            <w:tcW w:w="360" w:type="dxa"/>
            <w:tcBorders>
              <w:top w:val="single" w:color="auto" w:sz="4" w:space="0"/>
              <w:left w:val="single" w:color="auto" w:sz="4" w:space="0"/>
              <w:bottom w:val="single" w:color="auto" w:sz="4" w:space="0"/>
              <w:right w:val="single" w:color="auto" w:sz="4" w:space="0"/>
            </w:tcBorders>
          </w:tcPr>
          <w:p w14:paraId="3CED6841">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7AC54779">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7D53E031">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15CCC618">
            <w:pPr>
              <w:spacing w:line="240" w:lineRule="auto"/>
              <w:rPr>
                <w:rFonts w:eastAsia="Calibri" w:cs="Times New Roman"/>
                <w:color w:val="000000" w:themeColor="text1"/>
                <w:kern w:val="0"/>
                <w:szCs w:val="24"/>
                <w14:textFill>
                  <w14:solidFill>
                    <w14:schemeClr w14:val="tx1"/>
                  </w14:solidFill>
                </w14:textFill>
                <w14:ligatures w14:val="none"/>
              </w:rPr>
            </w:pPr>
          </w:p>
        </w:tc>
        <w:tc>
          <w:tcPr>
            <w:tcW w:w="355" w:type="dxa"/>
            <w:tcBorders>
              <w:top w:val="single" w:color="auto" w:sz="4" w:space="0"/>
              <w:left w:val="single" w:color="auto" w:sz="4" w:space="0"/>
              <w:bottom w:val="single" w:color="auto" w:sz="4" w:space="0"/>
              <w:right w:val="single" w:color="auto" w:sz="4" w:space="0"/>
            </w:tcBorders>
          </w:tcPr>
          <w:p w14:paraId="6BD837CB">
            <w:pPr>
              <w:spacing w:line="240" w:lineRule="auto"/>
              <w:rPr>
                <w:rFonts w:eastAsia="Calibri" w:cs="Times New Roman"/>
                <w:color w:val="000000" w:themeColor="text1"/>
                <w:kern w:val="0"/>
                <w:szCs w:val="24"/>
                <w14:textFill>
                  <w14:solidFill>
                    <w14:schemeClr w14:val="tx1"/>
                  </w14:solidFill>
                </w14:textFill>
                <w14:ligatures w14:val="none"/>
              </w:rPr>
            </w:pPr>
          </w:p>
        </w:tc>
      </w:tr>
      <w:tr w14:paraId="1B8C3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454" w:type="dxa"/>
            <w:tcBorders>
              <w:top w:val="single" w:color="auto" w:sz="4" w:space="0"/>
              <w:left w:val="single" w:color="auto" w:sz="4" w:space="0"/>
              <w:bottom w:val="single" w:color="auto" w:sz="4" w:space="0"/>
              <w:right w:val="single" w:color="auto" w:sz="4" w:space="0"/>
            </w:tcBorders>
          </w:tcPr>
          <w:p w14:paraId="4211EBC8">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color w:val="000000" w:themeColor="text1"/>
                <w:kern w:val="0"/>
                <w:szCs w:val="24"/>
                <w14:textFill>
                  <w14:solidFill>
                    <w14:schemeClr w14:val="tx1"/>
                  </w14:solidFill>
                </w14:textFill>
                <w14:ligatures w14:val="none"/>
              </w:rPr>
              <w:t>3</w:t>
            </w:r>
          </w:p>
        </w:tc>
        <w:tc>
          <w:tcPr>
            <w:tcW w:w="6381" w:type="dxa"/>
            <w:tcBorders>
              <w:top w:val="single" w:color="auto" w:sz="4" w:space="0"/>
              <w:left w:val="single" w:color="auto" w:sz="4" w:space="0"/>
              <w:bottom w:val="single" w:color="auto" w:sz="4" w:space="0"/>
              <w:right w:val="single" w:color="auto" w:sz="4" w:space="0"/>
            </w:tcBorders>
          </w:tcPr>
          <w:p w14:paraId="448F27D4">
            <w:pPr>
              <w:rPr>
                <w:rFonts w:cs="Times New Roman"/>
                <w:color w:val="000000" w:themeColor="text1"/>
                <w:kern w:val="0"/>
                <w:szCs w:val="24"/>
                <w14:textFill>
                  <w14:solidFill>
                    <w14:schemeClr w14:val="tx1"/>
                  </w14:solidFill>
                </w14:textFill>
              </w:rPr>
            </w:pPr>
            <w:r>
              <w:rPr>
                <w:rFonts w:cs="Times New Roman"/>
                <w:color w:val="000000" w:themeColor="text1"/>
                <w:kern w:val="0"/>
                <w:szCs w:val="24"/>
                <w14:textFill>
                  <w14:solidFill>
                    <w14:schemeClr w14:val="tx1"/>
                  </w14:solidFill>
                </w14:textFill>
              </w:rPr>
              <w:t>Early voucher distribution improves fertilizer redemption.</w:t>
            </w:r>
          </w:p>
        </w:tc>
        <w:tc>
          <w:tcPr>
            <w:tcW w:w="360" w:type="dxa"/>
            <w:tcBorders>
              <w:top w:val="single" w:color="auto" w:sz="4" w:space="0"/>
              <w:left w:val="single" w:color="auto" w:sz="4" w:space="0"/>
              <w:bottom w:val="single" w:color="auto" w:sz="4" w:space="0"/>
              <w:right w:val="single" w:color="auto" w:sz="4" w:space="0"/>
            </w:tcBorders>
          </w:tcPr>
          <w:p w14:paraId="42F7D77E">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3912D0B2">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21DD00ED">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367949C8">
            <w:pPr>
              <w:spacing w:line="240" w:lineRule="auto"/>
              <w:rPr>
                <w:rFonts w:eastAsia="Calibri" w:cs="Times New Roman"/>
                <w:color w:val="000000" w:themeColor="text1"/>
                <w:kern w:val="0"/>
                <w:szCs w:val="24"/>
                <w14:textFill>
                  <w14:solidFill>
                    <w14:schemeClr w14:val="tx1"/>
                  </w14:solidFill>
                </w14:textFill>
                <w14:ligatures w14:val="none"/>
              </w:rPr>
            </w:pPr>
          </w:p>
        </w:tc>
        <w:tc>
          <w:tcPr>
            <w:tcW w:w="355" w:type="dxa"/>
            <w:tcBorders>
              <w:top w:val="single" w:color="auto" w:sz="4" w:space="0"/>
              <w:left w:val="single" w:color="auto" w:sz="4" w:space="0"/>
              <w:bottom w:val="single" w:color="auto" w:sz="4" w:space="0"/>
              <w:right w:val="single" w:color="auto" w:sz="4" w:space="0"/>
            </w:tcBorders>
          </w:tcPr>
          <w:p w14:paraId="661054A5">
            <w:pPr>
              <w:spacing w:line="240" w:lineRule="auto"/>
              <w:rPr>
                <w:rFonts w:eastAsia="Calibri" w:cs="Times New Roman"/>
                <w:color w:val="000000" w:themeColor="text1"/>
                <w:kern w:val="0"/>
                <w:szCs w:val="24"/>
                <w14:textFill>
                  <w14:solidFill>
                    <w14:schemeClr w14:val="tx1"/>
                  </w14:solidFill>
                </w14:textFill>
                <w14:ligatures w14:val="none"/>
              </w:rPr>
            </w:pPr>
          </w:p>
        </w:tc>
      </w:tr>
      <w:tr w14:paraId="1EEDA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454" w:type="dxa"/>
            <w:tcBorders>
              <w:top w:val="single" w:color="auto" w:sz="4" w:space="0"/>
              <w:left w:val="single" w:color="auto" w:sz="4" w:space="0"/>
              <w:bottom w:val="single" w:color="auto" w:sz="4" w:space="0"/>
              <w:right w:val="single" w:color="auto" w:sz="4" w:space="0"/>
            </w:tcBorders>
          </w:tcPr>
          <w:p w14:paraId="6D8F4ABE">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color w:val="000000" w:themeColor="text1"/>
                <w:kern w:val="0"/>
                <w:szCs w:val="24"/>
                <w14:textFill>
                  <w14:solidFill>
                    <w14:schemeClr w14:val="tx1"/>
                  </w14:solidFill>
                </w14:textFill>
                <w14:ligatures w14:val="none"/>
              </w:rPr>
              <w:t>4</w:t>
            </w:r>
          </w:p>
        </w:tc>
        <w:tc>
          <w:tcPr>
            <w:tcW w:w="6381" w:type="dxa"/>
            <w:tcBorders>
              <w:top w:val="single" w:color="auto" w:sz="4" w:space="0"/>
              <w:left w:val="single" w:color="auto" w:sz="4" w:space="0"/>
              <w:bottom w:val="single" w:color="auto" w:sz="4" w:space="0"/>
              <w:right w:val="single" w:color="auto" w:sz="4" w:space="0"/>
            </w:tcBorders>
          </w:tcPr>
          <w:p w14:paraId="2D334161">
            <w:pPr>
              <w:rPr>
                <w:rFonts w:cs="Times New Roman"/>
                <w:color w:val="000000" w:themeColor="text1"/>
                <w:kern w:val="0"/>
                <w:szCs w:val="24"/>
                <w14:textFill>
                  <w14:solidFill>
                    <w14:schemeClr w14:val="tx1"/>
                  </w14:solidFill>
                </w14:textFill>
              </w:rPr>
            </w:pPr>
            <w:r>
              <w:rPr>
                <w:rFonts w:cs="Times New Roman"/>
                <w:color w:val="000000" w:themeColor="text1"/>
                <w:kern w:val="0"/>
                <w:szCs w:val="24"/>
                <w14:textFill>
                  <w14:solidFill>
                    <w14:schemeClr w14:val="tx1"/>
                  </w14:solidFill>
                </w14:textFill>
              </w:rPr>
              <w:t>Voucher timing influences farmers’ fertilizer purchase decisions.</w:t>
            </w:r>
          </w:p>
        </w:tc>
        <w:tc>
          <w:tcPr>
            <w:tcW w:w="360" w:type="dxa"/>
            <w:tcBorders>
              <w:top w:val="single" w:color="auto" w:sz="4" w:space="0"/>
              <w:left w:val="single" w:color="auto" w:sz="4" w:space="0"/>
              <w:bottom w:val="single" w:color="auto" w:sz="4" w:space="0"/>
              <w:right w:val="single" w:color="auto" w:sz="4" w:space="0"/>
            </w:tcBorders>
          </w:tcPr>
          <w:p w14:paraId="225FDE83">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52E80AE0">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2AF61190">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3D0C8127">
            <w:pPr>
              <w:spacing w:line="240" w:lineRule="auto"/>
              <w:rPr>
                <w:rFonts w:eastAsia="Calibri" w:cs="Times New Roman"/>
                <w:color w:val="000000" w:themeColor="text1"/>
                <w:kern w:val="0"/>
                <w:szCs w:val="24"/>
                <w14:textFill>
                  <w14:solidFill>
                    <w14:schemeClr w14:val="tx1"/>
                  </w14:solidFill>
                </w14:textFill>
                <w14:ligatures w14:val="none"/>
              </w:rPr>
            </w:pPr>
          </w:p>
        </w:tc>
        <w:tc>
          <w:tcPr>
            <w:tcW w:w="355" w:type="dxa"/>
            <w:tcBorders>
              <w:top w:val="single" w:color="auto" w:sz="4" w:space="0"/>
              <w:left w:val="single" w:color="auto" w:sz="4" w:space="0"/>
              <w:bottom w:val="single" w:color="auto" w:sz="4" w:space="0"/>
              <w:right w:val="single" w:color="auto" w:sz="4" w:space="0"/>
            </w:tcBorders>
          </w:tcPr>
          <w:p w14:paraId="23C385B8">
            <w:pPr>
              <w:spacing w:line="240" w:lineRule="auto"/>
              <w:rPr>
                <w:rFonts w:eastAsia="Calibri" w:cs="Times New Roman"/>
                <w:color w:val="000000" w:themeColor="text1"/>
                <w:kern w:val="0"/>
                <w:szCs w:val="24"/>
                <w14:textFill>
                  <w14:solidFill>
                    <w14:schemeClr w14:val="tx1"/>
                  </w14:solidFill>
                </w14:textFill>
                <w14:ligatures w14:val="none"/>
              </w:rPr>
            </w:pPr>
          </w:p>
        </w:tc>
      </w:tr>
      <w:tr w14:paraId="3BA34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454" w:type="dxa"/>
            <w:tcBorders>
              <w:top w:val="single" w:color="auto" w:sz="4" w:space="0"/>
              <w:left w:val="single" w:color="auto" w:sz="4" w:space="0"/>
              <w:bottom w:val="single" w:color="auto" w:sz="4" w:space="0"/>
              <w:right w:val="single" w:color="auto" w:sz="4" w:space="0"/>
            </w:tcBorders>
          </w:tcPr>
          <w:p w14:paraId="1D570501">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color w:val="000000" w:themeColor="text1"/>
                <w:kern w:val="0"/>
                <w:szCs w:val="24"/>
                <w14:textFill>
                  <w14:solidFill>
                    <w14:schemeClr w14:val="tx1"/>
                  </w14:solidFill>
                </w14:textFill>
                <w14:ligatures w14:val="none"/>
              </w:rPr>
              <w:t>5</w:t>
            </w:r>
          </w:p>
        </w:tc>
        <w:tc>
          <w:tcPr>
            <w:tcW w:w="6381" w:type="dxa"/>
            <w:tcBorders>
              <w:top w:val="single" w:color="auto" w:sz="4" w:space="0"/>
              <w:left w:val="single" w:color="auto" w:sz="4" w:space="0"/>
              <w:bottom w:val="single" w:color="auto" w:sz="4" w:space="0"/>
              <w:right w:val="single" w:color="auto" w:sz="4" w:space="0"/>
            </w:tcBorders>
          </w:tcPr>
          <w:p w14:paraId="2E67BD7F">
            <w:pPr>
              <w:rPr>
                <w:rFonts w:cs="Times New Roman"/>
                <w:color w:val="000000" w:themeColor="text1"/>
                <w:kern w:val="0"/>
                <w:szCs w:val="24"/>
                <w14:textFill>
                  <w14:solidFill>
                    <w14:schemeClr w14:val="tx1"/>
                  </w14:solidFill>
                </w14:textFill>
              </w:rPr>
            </w:pPr>
            <w:r>
              <w:rPr>
                <w:rFonts w:cs="Times New Roman"/>
                <w:color w:val="000000" w:themeColor="text1"/>
                <w:kern w:val="0"/>
                <w:szCs w:val="24"/>
                <w14:textFill>
                  <w14:solidFill>
                    <w14:schemeClr w14:val="tx1"/>
                  </w14:solidFill>
                </w14:textFill>
              </w:rPr>
              <w:t>Receiving vouchers early increases fertilizer application.</w:t>
            </w:r>
          </w:p>
        </w:tc>
        <w:tc>
          <w:tcPr>
            <w:tcW w:w="360" w:type="dxa"/>
            <w:tcBorders>
              <w:top w:val="single" w:color="auto" w:sz="4" w:space="0"/>
              <w:left w:val="single" w:color="auto" w:sz="4" w:space="0"/>
              <w:bottom w:val="single" w:color="auto" w:sz="4" w:space="0"/>
              <w:right w:val="single" w:color="auto" w:sz="4" w:space="0"/>
            </w:tcBorders>
          </w:tcPr>
          <w:p w14:paraId="5CDD8B93">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3A406975">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541A8C4A">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1984C41C">
            <w:pPr>
              <w:spacing w:line="240" w:lineRule="auto"/>
              <w:rPr>
                <w:rFonts w:eastAsia="Calibri" w:cs="Times New Roman"/>
                <w:color w:val="000000" w:themeColor="text1"/>
                <w:kern w:val="0"/>
                <w:szCs w:val="24"/>
                <w14:textFill>
                  <w14:solidFill>
                    <w14:schemeClr w14:val="tx1"/>
                  </w14:solidFill>
                </w14:textFill>
                <w14:ligatures w14:val="none"/>
              </w:rPr>
            </w:pPr>
          </w:p>
        </w:tc>
        <w:tc>
          <w:tcPr>
            <w:tcW w:w="355" w:type="dxa"/>
            <w:tcBorders>
              <w:top w:val="single" w:color="auto" w:sz="4" w:space="0"/>
              <w:left w:val="single" w:color="auto" w:sz="4" w:space="0"/>
              <w:bottom w:val="single" w:color="auto" w:sz="4" w:space="0"/>
              <w:right w:val="single" w:color="auto" w:sz="4" w:space="0"/>
            </w:tcBorders>
          </w:tcPr>
          <w:p w14:paraId="156415C1">
            <w:pPr>
              <w:spacing w:line="240" w:lineRule="auto"/>
              <w:rPr>
                <w:rFonts w:eastAsia="Calibri" w:cs="Times New Roman"/>
                <w:color w:val="000000" w:themeColor="text1"/>
                <w:kern w:val="0"/>
                <w:szCs w:val="24"/>
                <w14:textFill>
                  <w14:solidFill>
                    <w14:schemeClr w14:val="tx1"/>
                  </w14:solidFill>
                </w14:textFill>
                <w14:ligatures w14:val="none"/>
              </w:rPr>
            </w:pPr>
          </w:p>
        </w:tc>
      </w:tr>
      <w:tr w14:paraId="5DFE7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6835" w:type="dxa"/>
            <w:gridSpan w:val="2"/>
            <w:tcBorders>
              <w:top w:val="single" w:color="auto" w:sz="4" w:space="0"/>
              <w:left w:val="single" w:color="auto" w:sz="4" w:space="0"/>
              <w:bottom w:val="single" w:color="auto" w:sz="4" w:space="0"/>
              <w:right w:val="single" w:color="auto" w:sz="4" w:space="0"/>
            </w:tcBorders>
          </w:tcPr>
          <w:p w14:paraId="02E8BBE6">
            <w:pPr>
              <w:rPr>
                <w:rFonts w:cs="Times New Roman"/>
                <w:b/>
                <w:bCs/>
                <w:color w:val="000000" w:themeColor="text1"/>
                <w:kern w:val="0"/>
                <w:szCs w:val="24"/>
                <w14:textFill>
                  <w14:solidFill>
                    <w14:schemeClr w14:val="tx1"/>
                  </w14:solidFill>
                </w14:textFill>
              </w:rPr>
            </w:pPr>
            <w:r>
              <w:rPr>
                <w:rFonts w:cs="Times New Roman"/>
                <w:b/>
                <w:bCs/>
                <w:color w:val="000000" w:themeColor="text1"/>
                <w:kern w:val="0"/>
                <w:szCs w:val="24"/>
                <w14:textFill>
                  <w14:solidFill>
                    <w14:schemeClr w14:val="tx1"/>
                  </w14:solidFill>
                </w14:textFill>
              </w:rPr>
              <w:t>Redemption Frequency</w:t>
            </w:r>
          </w:p>
        </w:tc>
        <w:tc>
          <w:tcPr>
            <w:tcW w:w="360" w:type="dxa"/>
            <w:tcBorders>
              <w:top w:val="single" w:color="auto" w:sz="4" w:space="0"/>
              <w:left w:val="single" w:color="auto" w:sz="4" w:space="0"/>
              <w:bottom w:val="single" w:color="auto" w:sz="4" w:space="0"/>
              <w:right w:val="single" w:color="auto" w:sz="4" w:space="0"/>
            </w:tcBorders>
          </w:tcPr>
          <w:p w14:paraId="357D214D">
            <w:pPr>
              <w:spacing w:line="240" w:lineRule="auto"/>
              <w:rPr>
                <w:rFonts w:eastAsia="Calibri" w:cs="Times New Roman"/>
                <w:b/>
                <w:bCs/>
                <w:color w:val="000000" w:themeColor="text1"/>
                <w:kern w:val="0"/>
                <w:szCs w:val="24"/>
                <w14:textFill>
                  <w14:solidFill>
                    <w14:schemeClr w14:val="tx1"/>
                  </w14:solidFill>
                </w14:textFill>
                <w14:ligatures w14:val="none"/>
              </w:rPr>
            </w:pPr>
            <w:r>
              <w:rPr>
                <w:b/>
                <w:bCs/>
                <w:color w:val="000000" w:themeColor="text1"/>
                <w:kern w:val="0"/>
                <w14:textFill>
                  <w14:solidFill>
                    <w14:schemeClr w14:val="tx1"/>
                  </w14:solidFill>
                </w14:textFill>
                <w14:ligatures w14:val="none"/>
              </w:rPr>
              <w:t>1</w:t>
            </w:r>
          </w:p>
        </w:tc>
        <w:tc>
          <w:tcPr>
            <w:tcW w:w="360" w:type="dxa"/>
            <w:tcBorders>
              <w:top w:val="single" w:color="auto" w:sz="4" w:space="0"/>
              <w:left w:val="single" w:color="auto" w:sz="4" w:space="0"/>
              <w:bottom w:val="single" w:color="auto" w:sz="4" w:space="0"/>
              <w:right w:val="single" w:color="auto" w:sz="4" w:space="0"/>
            </w:tcBorders>
          </w:tcPr>
          <w:p w14:paraId="1C734A0A">
            <w:pPr>
              <w:spacing w:line="240" w:lineRule="auto"/>
              <w:rPr>
                <w:rFonts w:eastAsia="Calibri" w:cs="Times New Roman"/>
                <w:b/>
                <w:bCs/>
                <w:color w:val="000000" w:themeColor="text1"/>
                <w:kern w:val="0"/>
                <w:szCs w:val="24"/>
                <w14:textFill>
                  <w14:solidFill>
                    <w14:schemeClr w14:val="tx1"/>
                  </w14:solidFill>
                </w14:textFill>
                <w14:ligatures w14:val="none"/>
              </w:rPr>
            </w:pPr>
            <w:r>
              <w:rPr>
                <w:b/>
                <w:bCs/>
                <w:color w:val="000000" w:themeColor="text1"/>
                <w:kern w:val="0"/>
                <w14:textFill>
                  <w14:solidFill>
                    <w14:schemeClr w14:val="tx1"/>
                  </w14:solidFill>
                </w14:textFill>
                <w14:ligatures w14:val="none"/>
              </w:rPr>
              <w:t>2</w:t>
            </w:r>
          </w:p>
        </w:tc>
        <w:tc>
          <w:tcPr>
            <w:tcW w:w="360" w:type="dxa"/>
            <w:tcBorders>
              <w:top w:val="single" w:color="auto" w:sz="4" w:space="0"/>
              <w:left w:val="single" w:color="auto" w:sz="4" w:space="0"/>
              <w:bottom w:val="single" w:color="auto" w:sz="4" w:space="0"/>
              <w:right w:val="single" w:color="auto" w:sz="4" w:space="0"/>
            </w:tcBorders>
          </w:tcPr>
          <w:p w14:paraId="0DEC1B8E">
            <w:pPr>
              <w:spacing w:line="240" w:lineRule="auto"/>
              <w:rPr>
                <w:rFonts w:eastAsia="Calibri" w:cs="Times New Roman"/>
                <w:b/>
                <w:bCs/>
                <w:color w:val="000000" w:themeColor="text1"/>
                <w:kern w:val="0"/>
                <w:szCs w:val="24"/>
                <w14:textFill>
                  <w14:solidFill>
                    <w14:schemeClr w14:val="tx1"/>
                  </w14:solidFill>
                </w14:textFill>
                <w14:ligatures w14:val="none"/>
              </w:rPr>
            </w:pPr>
            <w:r>
              <w:rPr>
                <w:b/>
                <w:bCs/>
                <w:color w:val="000000" w:themeColor="text1"/>
                <w:kern w:val="0"/>
                <w14:textFill>
                  <w14:solidFill>
                    <w14:schemeClr w14:val="tx1"/>
                  </w14:solidFill>
                </w14:textFill>
                <w14:ligatures w14:val="none"/>
              </w:rPr>
              <w:t>3</w:t>
            </w:r>
          </w:p>
        </w:tc>
        <w:tc>
          <w:tcPr>
            <w:tcW w:w="360" w:type="dxa"/>
            <w:tcBorders>
              <w:top w:val="single" w:color="auto" w:sz="4" w:space="0"/>
              <w:left w:val="single" w:color="auto" w:sz="4" w:space="0"/>
              <w:bottom w:val="single" w:color="auto" w:sz="4" w:space="0"/>
              <w:right w:val="single" w:color="auto" w:sz="4" w:space="0"/>
            </w:tcBorders>
          </w:tcPr>
          <w:p w14:paraId="35E9D9B9">
            <w:pPr>
              <w:spacing w:line="240" w:lineRule="auto"/>
              <w:rPr>
                <w:rFonts w:eastAsia="Calibri" w:cs="Times New Roman"/>
                <w:b/>
                <w:bCs/>
                <w:color w:val="000000" w:themeColor="text1"/>
                <w:kern w:val="0"/>
                <w:szCs w:val="24"/>
                <w14:textFill>
                  <w14:solidFill>
                    <w14:schemeClr w14:val="tx1"/>
                  </w14:solidFill>
                </w14:textFill>
                <w14:ligatures w14:val="none"/>
              </w:rPr>
            </w:pPr>
            <w:r>
              <w:rPr>
                <w:b/>
                <w:bCs/>
                <w:color w:val="000000" w:themeColor="text1"/>
                <w:kern w:val="0"/>
                <w14:textFill>
                  <w14:solidFill>
                    <w14:schemeClr w14:val="tx1"/>
                  </w14:solidFill>
                </w14:textFill>
                <w14:ligatures w14:val="none"/>
              </w:rPr>
              <w:t>4</w:t>
            </w:r>
          </w:p>
        </w:tc>
        <w:tc>
          <w:tcPr>
            <w:tcW w:w="355" w:type="dxa"/>
            <w:tcBorders>
              <w:top w:val="single" w:color="auto" w:sz="4" w:space="0"/>
              <w:left w:val="single" w:color="auto" w:sz="4" w:space="0"/>
              <w:bottom w:val="single" w:color="auto" w:sz="4" w:space="0"/>
              <w:right w:val="single" w:color="auto" w:sz="4" w:space="0"/>
            </w:tcBorders>
          </w:tcPr>
          <w:p w14:paraId="67525E74">
            <w:pPr>
              <w:spacing w:line="240" w:lineRule="auto"/>
              <w:rPr>
                <w:rFonts w:eastAsia="Calibri" w:cs="Times New Roman"/>
                <w:b/>
                <w:bCs/>
                <w:color w:val="000000" w:themeColor="text1"/>
                <w:kern w:val="0"/>
                <w:szCs w:val="24"/>
                <w14:textFill>
                  <w14:solidFill>
                    <w14:schemeClr w14:val="tx1"/>
                  </w14:solidFill>
                </w14:textFill>
                <w14:ligatures w14:val="none"/>
              </w:rPr>
            </w:pPr>
            <w:r>
              <w:rPr>
                <w:b/>
                <w:bCs/>
                <w:color w:val="000000" w:themeColor="text1"/>
                <w:kern w:val="0"/>
                <w14:textFill>
                  <w14:solidFill>
                    <w14:schemeClr w14:val="tx1"/>
                  </w14:solidFill>
                </w14:textFill>
                <w14:ligatures w14:val="none"/>
              </w:rPr>
              <w:t>5</w:t>
            </w:r>
          </w:p>
        </w:tc>
      </w:tr>
      <w:tr w14:paraId="5558A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454" w:type="dxa"/>
            <w:tcBorders>
              <w:top w:val="single" w:color="auto" w:sz="4" w:space="0"/>
              <w:left w:val="single" w:color="auto" w:sz="4" w:space="0"/>
              <w:bottom w:val="single" w:color="auto" w:sz="4" w:space="0"/>
              <w:right w:val="single" w:color="auto" w:sz="4" w:space="0"/>
            </w:tcBorders>
          </w:tcPr>
          <w:p w14:paraId="0618284B">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color w:val="000000" w:themeColor="text1"/>
                <w:kern w:val="0"/>
                <w:szCs w:val="24"/>
                <w14:textFill>
                  <w14:solidFill>
                    <w14:schemeClr w14:val="tx1"/>
                  </w14:solidFill>
                </w14:textFill>
                <w14:ligatures w14:val="none"/>
              </w:rPr>
              <w:t>1</w:t>
            </w:r>
          </w:p>
        </w:tc>
        <w:tc>
          <w:tcPr>
            <w:tcW w:w="6381" w:type="dxa"/>
            <w:tcBorders>
              <w:top w:val="single" w:color="auto" w:sz="4" w:space="0"/>
              <w:left w:val="single" w:color="auto" w:sz="4" w:space="0"/>
              <w:bottom w:val="single" w:color="auto" w:sz="4" w:space="0"/>
              <w:right w:val="single" w:color="auto" w:sz="4" w:space="0"/>
            </w:tcBorders>
          </w:tcPr>
          <w:p w14:paraId="67CE89E1">
            <w:pPr>
              <w:rPr>
                <w:rFonts w:cs="Times New Roman"/>
                <w:color w:val="000000" w:themeColor="text1"/>
                <w:kern w:val="0"/>
                <w:szCs w:val="24"/>
                <w14:textFill>
                  <w14:solidFill>
                    <w14:schemeClr w14:val="tx1"/>
                  </w14:solidFill>
                </w14:textFill>
              </w:rPr>
            </w:pPr>
            <w:r>
              <w:rPr>
                <w:rFonts w:cs="Times New Roman"/>
                <w:color w:val="000000" w:themeColor="text1"/>
                <w:kern w:val="0"/>
                <w:szCs w:val="24"/>
                <w14:textFill>
                  <w14:solidFill>
                    <w14:schemeClr w14:val="tx1"/>
                  </w14:solidFill>
                </w14:textFill>
              </w:rPr>
              <w:t>Farmers redeem fertilizer vouchers regularly during planting seasons.</w:t>
            </w:r>
          </w:p>
        </w:tc>
        <w:tc>
          <w:tcPr>
            <w:tcW w:w="360" w:type="dxa"/>
            <w:tcBorders>
              <w:top w:val="single" w:color="auto" w:sz="4" w:space="0"/>
              <w:left w:val="single" w:color="auto" w:sz="4" w:space="0"/>
              <w:bottom w:val="single" w:color="auto" w:sz="4" w:space="0"/>
              <w:right w:val="single" w:color="auto" w:sz="4" w:space="0"/>
            </w:tcBorders>
          </w:tcPr>
          <w:p w14:paraId="798C6543">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1A15A418">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4B44DDCC">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2BFDB3FA">
            <w:pPr>
              <w:spacing w:line="240" w:lineRule="auto"/>
              <w:rPr>
                <w:rFonts w:eastAsia="Calibri" w:cs="Times New Roman"/>
                <w:color w:val="000000" w:themeColor="text1"/>
                <w:kern w:val="0"/>
                <w:szCs w:val="24"/>
                <w14:textFill>
                  <w14:solidFill>
                    <w14:schemeClr w14:val="tx1"/>
                  </w14:solidFill>
                </w14:textFill>
                <w14:ligatures w14:val="none"/>
              </w:rPr>
            </w:pPr>
          </w:p>
        </w:tc>
        <w:tc>
          <w:tcPr>
            <w:tcW w:w="355" w:type="dxa"/>
            <w:tcBorders>
              <w:top w:val="single" w:color="auto" w:sz="4" w:space="0"/>
              <w:left w:val="single" w:color="auto" w:sz="4" w:space="0"/>
              <w:bottom w:val="single" w:color="auto" w:sz="4" w:space="0"/>
              <w:right w:val="single" w:color="auto" w:sz="4" w:space="0"/>
            </w:tcBorders>
          </w:tcPr>
          <w:p w14:paraId="3EEE41A1">
            <w:pPr>
              <w:spacing w:line="240" w:lineRule="auto"/>
              <w:rPr>
                <w:rFonts w:eastAsia="Calibri" w:cs="Times New Roman"/>
                <w:color w:val="000000" w:themeColor="text1"/>
                <w:kern w:val="0"/>
                <w:szCs w:val="24"/>
                <w14:textFill>
                  <w14:solidFill>
                    <w14:schemeClr w14:val="tx1"/>
                  </w14:solidFill>
                </w14:textFill>
                <w14:ligatures w14:val="none"/>
              </w:rPr>
            </w:pPr>
          </w:p>
        </w:tc>
      </w:tr>
      <w:tr w14:paraId="63D97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454" w:type="dxa"/>
            <w:tcBorders>
              <w:top w:val="single" w:color="auto" w:sz="4" w:space="0"/>
              <w:left w:val="single" w:color="auto" w:sz="4" w:space="0"/>
              <w:bottom w:val="single" w:color="auto" w:sz="4" w:space="0"/>
              <w:right w:val="single" w:color="auto" w:sz="4" w:space="0"/>
            </w:tcBorders>
          </w:tcPr>
          <w:p w14:paraId="44E889B6">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color w:val="000000" w:themeColor="text1"/>
                <w:kern w:val="0"/>
                <w:szCs w:val="24"/>
                <w14:textFill>
                  <w14:solidFill>
                    <w14:schemeClr w14:val="tx1"/>
                  </w14:solidFill>
                </w14:textFill>
                <w14:ligatures w14:val="none"/>
              </w:rPr>
              <w:t>2</w:t>
            </w:r>
          </w:p>
        </w:tc>
        <w:tc>
          <w:tcPr>
            <w:tcW w:w="6381" w:type="dxa"/>
            <w:tcBorders>
              <w:top w:val="single" w:color="auto" w:sz="4" w:space="0"/>
              <w:left w:val="single" w:color="auto" w:sz="4" w:space="0"/>
              <w:bottom w:val="single" w:color="auto" w:sz="4" w:space="0"/>
              <w:right w:val="single" w:color="auto" w:sz="4" w:space="0"/>
            </w:tcBorders>
          </w:tcPr>
          <w:p w14:paraId="27F7DE4A">
            <w:pPr>
              <w:rPr>
                <w:rFonts w:cs="Times New Roman"/>
                <w:color w:val="000000" w:themeColor="text1"/>
                <w:kern w:val="0"/>
                <w:szCs w:val="24"/>
                <w14:textFill>
                  <w14:solidFill>
                    <w14:schemeClr w14:val="tx1"/>
                  </w14:solidFill>
                </w14:textFill>
              </w:rPr>
            </w:pPr>
            <w:r>
              <w:rPr>
                <w:rFonts w:cs="Times New Roman"/>
                <w:color w:val="000000" w:themeColor="text1"/>
                <w:kern w:val="0"/>
                <w:szCs w:val="24"/>
                <w14:textFill>
                  <w14:solidFill>
                    <w14:schemeClr w14:val="tx1"/>
                  </w14:solidFill>
                </w14:textFill>
              </w:rPr>
              <w:t>Frequent voucher redemption increases fertilizer usage.</w:t>
            </w:r>
          </w:p>
        </w:tc>
        <w:tc>
          <w:tcPr>
            <w:tcW w:w="360" w:type="dxa"/>
            <w:tcBorders>
              <w:top w:val="single" w:color="auto" w:sz="4" w:space="0"/>
              <w:left w:val="single" w:color="auto" w:sz="4" w:space="0"/>
              <w:bottom w:val="single" w:color="auto" w:sz="4" w:space="0"/>
              <w:right w:val="single" w:color="auto" w:sz="4" w:space="0"/>
            </w:tcBorders>
          </w:tcPr>
          <w:p w14:paraId="6B17882F">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00D061F9">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554B3A57">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4209EDE1">
            <w:pPr>
              <w:spacing w:line="240" w:lineRule="auto"/>
              <w:rPr>
                <w:rFonts w:eastAsia="Calibri" w:cs="Times New Roman"/>
                <w:color w:val="000000" w:themeColor="text1"/>
                <w:kern w:val="0"/>
                <w:szCs w:val="24"/>
                <w14:textFill>
                  <w14:solidFill>
                    <w14:schemeClr w14:val="tx1"/>
                  </w14:solidFill>
                </w14:textFill>
                <w14:ligatures w14:val="none"/>
              </w:rPr>
            </w:pPr>
          </w:p>
        </w:tc>
        <w:tc>
          <w:tcPr>
            <w:tcW w:w="355" w:type="dxa"/>
            <w:tcBorders>
              <w:top w:val="single" w:color="auto" w:sz="4" w:space="0"/>
              <w:left w:val="single" w:color="auto" w:sz="4" w:space="0"/>
              <w:bottom w:val="single" w:color="auto" w:sz="4" w:space="0"/>
              <w:right w:val="single" w:color="auto" w:sz="4" w:space="0"/>
            </w:tcBorders>
          </w:tcPr>
          <w:p w14:paraId="11F7A09D">
            <w:pPr>
              <w:spacing w:line="240" w:lineRule="auto"/>
              <w:rPr>
                <w:rFonts w:eastAsia="Calibri" w:cs="Times New Roman"/>
                <w:color w:val="000000" w:themeColor="text1"/>
                <w:kern w:val="0"/>
                <w:szCs w:val="24"/>
                <w14:textFill>
                  <w14:solidFill>
                    <w14:schemeClr w14:val="tx1"/>
                  </w14:solidFill>
                </w14:textFill>
                <w14:ligatures w14:val="none"/>
              </w:rPr>
            </w:pPr>
          </w:p>
        </w:tc>
      </w:tr>
      <w:tr w14:paraId="280D4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454" w:type="dxa"/>
            <w:tcBorders>
              <w:top w:val="single" w:color="auto" w:sz="4" w:space="0"/>
              <w:left w:val="single" w:color="auto" w:sz="4" w:space="0"/>
              <w:bottom w:val="single" w:color="auto" w:sz="4" w:space="0"/>
              <w:right w:val="single" w:color="auto" w:sz="4" w:space="0"/>
            </w:tcBorders>
          </w:tcPr>
          <w:p w14:paraId="280FBB9F">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color w:val="000000" w:themeColor="text1"/>
                <w:kern w:val="0"/>
                <w:szCs w:val="24"/>
                <w14:textFill>
                  <w14:solidFill>
                    <w14:schemeClr w14:val="tx1"/>
                  </w14:solidFill>
                </w14:textFill>
                <w14:ligatures w14:val="none"/>
              </w:rPr>
              <w:t>3</w:t>
            </w:r>
          </w:p>
        </w:tc>
        <w:tc>
          <w:tcPr>
            <w:tcW w:w="6381" w:type="dxa"/>
            <w:tcBorders>
              <w:top w:val="single" w:color="auto" w:sz="4" w:space="0"/>
              <w:left w:val="single" w:color="auto" w:sz="4" w:space="0"/>
              <w:bottom w:val="single" w:color="auto" w:sz="4" w:space="0"/>
              <w:right w:val="single" w:color="auto" w:sz="4" w:space="0"/>
            </w:tcBorders>
          </w:tcPr>
          <w:p w14:paraId="7E9D8585">
            <w:pPr>
              <w:rPr>
                <w:rFonts w:cs="Times New Roman"/>
                <w:color w:val="000000" w:themeColor="text1"/>
                <w:kern w:val="0"/>
                <w:szCs w:val="24"/>
                <w14:textFill>
                  <w14:solidFill>
                    <w14:schemeClr w14:val="tx1"/>
                  </w14:solidFill>
                </w14:textFill>
              </w:rPr>
            </w:pPr>
            <w:r>
              <w:rPr>
                <w:rFonts w:cs="Times New Roman"/>
                <w:color w:val="000000" w:themeColor="text1"/>
                <w:kern w:val="0"/>
                <w:szCs w:val="24"/>
                <w14:textFill>
                  <w14:solidFill>
                    <w14:schemeClr w14:val="tx1"/>
                  </w14:solidFill>
                </w14:textFill>
              </w:rPr>
              <w:t>Farmers who redeem vouchers often apply fertilizer more consistently.</w:t>
            </w:r>
          </w:p>
        </w:tc>
        <w:tc>
          <w:tcPr>
            <w:tcW w:w="360" w:type="dxa"/>
            <w:tcBorders>
              <w:top w:val="single" w:color="auto" w:sz="4" w:space="0"/>
              <w:left w:val="single" w:color="auto" w:sz="4" w:space="0"/>
              <w:bottom w:val="single" w:color="auto" w:sz="4" w:space="0"/>
              <w:right w:val="single" w:color="auto" w:sz="4" w:space="0"/>
            </w:tcBorders>
          </w:tcPr>
          <w:p w14:paraId="7C183972">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4860CD9D">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44BCDBF9">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1C4FB46E">
            <w:pPr>
              <w:spacing w:line="240" w:lineRule="auto"/>
              <w:rPr>
                <w:rFonts w:eastAsia="Calibri" w:cs="Times New Roman"/>
                <w:color w:val="000000" w:themeColor="text1"/>
                <w:kern w:val="0"/>
                <w:szCs w:val="24"/>
                <w14:textFill>
                  <w14:solidFill>
                    <w14:schemeClr w14:val="tx1"/>
                  </w14:solidFill>
                </w14:textFill>
                <w14:ligatures w14:val="none"/>
              </w:rPr>
            </w:pPr>
          </w:p>
        </w:tc>
        <w:tc>
          <w:tcPr>
            <w:tcW w:w="355" w:type="dxa"/>
            <w:tcBorders>
              <w:top w:val="single" w:color="auto" w:sz="4" w:space="0"/>
              <w:left w:val="single" w:color="auto" w:sz="4" w:space="0"/>
              <w:bottom w:val="single" w:color="auto" w:sz="4" w:space="0"/>
              <w:right w:val="single" w:color="auto" w:sz="4" w:space="0"/>
            </w:tcBorders>
          </w:tcPr>
          <w:p w14:paraId="38C992B0">
            <w:pPr>
              <w:spacing w:line="240" w:lineRule="auto"/>
              <w:rPr>
                <w:rFonts w:eastAsia="Calibri" w:cs="Times New Roman"/>
                <w:color w:val="000000" w:themeColor="text1"/>
                <w:kern w:val="0"/>
                <w:szCs w:val="24"/>
                <w14:textFill>
                  <w14:solidFill>
                    <w14:schemeClr w14:val="tx1"/>
                  </w14:solidFill>
                </w14:textFill>
                <w14:ligatures w14:val="none"/>
              </w:rPr>
            </w:pPr>
          </w:p>
        </w:tc>
      </w:tr>
      <w:tr w14:paraId="0B4FD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454" w:type="dxa"/>
            <w:tcBorders>
              <w:top w:val="single" w:color="auto" w:sz="4" w:space="0"/>
              <w:left w:val="single" w:color="auto" w:sz="4" w:space="0"/>
              <w:bottom w:val="single" w:color="auto" w:sz="4" w:space="0"/>
              <w:right w:val="single" w:color="auto" w:sz="4" w:space="0"/>
            </w:tcBorders>
          </w:tcPr>
          <w:p w14:paraId="1FC2DCE8">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color w:val="000000" w:themeColor="text1"/>
                <w:kern w:val="0"/>
                <w:szCs w:val="24"/>
                <w14:textFill>
                  <w14:solidFill>
                    <w14:schemeClr w14:val="tx1"/>
                  </w14:solidFill>
                </w14:textFill>
                <w14:ligatures w14:val="none"/>
              </w:rPr>
              <w:t>4</w:t>
            </w:r>
          </w:p>
        </w:tc>
        <w:tc>
          <w:tcPr>
            <w:tcW w:w="6381" w:type="dxa"/>
            <w:tcBorders>
              <w:top w:val="single" w:color="auto" w:sz="4" w:space="0"/>
              <w:left w:val="single" w:color="auto" w:sz="4" w:space="0"/>
              <w:bottom w:val="single" w:color="auto" w:sz="4" w:space="0"/>
              <w:right w:val="single" w:color="auto" w:sz="4" w:space="0"/>
            </w:tcBorders>
          </w:tcPr>
          <w:p w14:paraId="11A17AC3">
            <w:pPr>
              <w:rPr>
                <w:rFonts w:cs="Times New Roman"/>
                <w:color w:val="000000" w:themeColor="text1"/>
                <w:kern w:val="0"/>
                <w:szCs w:val="24"/>
                <w14:textFill>
                  <w14:solidFill>
                    <w14:schemeClr w14:val="tx1"/>
                  </w14:solidFill>
                </w14:textFill>
              </w:rPr>
            </w:pPr>
            <w:r>
              <w:rPr>
                <w:rFonts w:cs="Times New Roman"/>
                <w:color w:val="000000" w:themeColor="text1"/>
                <w:kern w:val="0"/>
                <w:szCs w:val="24"/>
                <w14:textFill>
                  <w14:solidFill>
                    <w14:schemeClr w14:val="tx1"/>
                  </w14:solidFill>
                </w14:textFill>
              </w:rPr>
              <w:t>Regular participation in the subsidy program improves fertilizer adoption.</w:t>
            </w:r>
          </w:p>
        </w:tc>
        <w:tc>
          <w:tcPr>
            <w:tcW w:w="360" w:type="dxa"/>
            <w:tcBorders>
              <w:top w:val="single" w:color="auto" w:sz="4" w:space="0"/>
              <w:left w:val="single" w:color="auto" w:sz="4" w:space="0"/>
              <w:bottom w:val="single" w:color="auto" w:sz="4" w:space="0"/>
              <w:right w:val="single" w:color="auto" w:sz="4" w:space="0"/>
            </w:tcBorders>
          </w:tcPr>
          <w:p w14:paraId="7AEF5371">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4A6116A1">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09ADECA4">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705C145C">
            <w:pPr>
              <w:spacing w:line="240" w:lineRule="auto"/>
              <w:rPr>
                <w:rFonts w:eastAsia="Calibri" w:cs="Times New Roman"/>
                <w:color w:val="000000" w:themeColor="text1"/>
                <w:kern w:val="0"/>
                <w:szCs w:val="24"/>
                <w14:textFill>
                  <w14:solidFill>
                    <w14:schemeClr w14:val="tx1"/>
                  </w14:solidFill>
                </w14:textFill>
                <w14:ligatures w14:val="none"/>
              </w:rPr>
            </w:pPr>
          </w:p>
        </w:tc>
        <w:tc>
          <w:tcPr>
            <w:tcW w:w="355" w:type="dxa"/>
            <w:tcBorders>
              <w:top w:val="single" w:color="auto" w:sz="4" w:space="0"/>
              <w:left w:val="single" w:color="auto" w:sz="4" w:space="0"/>
              <w:bottom w:val="single" w:color="auto" w:sz="4" w:space="0"/>
              <w:right w:val="single" w:color="auto" w:sz="4" w:space="0"/>
            </w:tcBorders>
          </w:tcPr>
          <w:p w14:paraId="178603E3">
            <w:pPr>
              <w:spacing w:line="240" w:lineRule="auto"/>
              <w:rPr>
                <w:rFonts w:eastAsia="Calibri" w:cs="Times New Roman"/>
                <w:color w:val="000000" w:themeColor="text1"/>
                <w:kern w:val="0"/>
                <w:szCs w:val="24"/>
                <w14:textFill>
                  <w14:solidFill>
                    <w14:schemeClr w14:val="tx1"/>
                  </w14:solidFill>
                </w14:textFill>
                <w14:ligatures w14:val="none"/>
              </w:rPr>
            </w:pPr>
          </w:p>
        </w:tc>
      </w:tr>
      <w:tr w14:paraId="07CD3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454" w:type="dxa"/>
            <w:tcBorders>
              <w:top w:val="single" w:color="auto" w:sz="4" w:space="0"/>
              <w:left w:val="single" w:color="auto" w:sz="4" w:space="0"/>
              <w:bottom w:val="single" w:color="auto" w:sz="4" w:space="0"/>
              <w:right w:val="single" w:color="auto" w:sz="4" w:space="0"/>
            </w:tcBorders>
          </w:tcPr>
          <w:p w14:paraId="10C57996">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color w:val="000000" w:themeColor="text1"/>
                <w:kern w:val="0"/>
                <w:szCs w:val="24"/>
                <w14:textFill>
                  <w14:solidFill>
                    <w14:schemeClr w14:val="tx1"/>
                  </w14:solidFill>
                </w14:textFill>
                <w14:ligatures w14:val="none"/>
              </w:rPr>
              <w:t>5</w:t>
            </w:r>
          </w:p>
        </w:tc>
        <w:tc>
          <w:tcPr>
            <w:tcW w:w="6381" w:type="dxa"/>
            <w:tcBorders>
              <w:top w:val="single" w:color="auto" w:sz="4" w:space="0"/>
              <w:left w:val="single" w:color="auto" w:sz="4" w:space="0"/>
              <w:bottom w:val="single" w:color="auto" w:sz="4" w:space="0"/>
              <w:right w:val="single" w:color="auto" w:sz="4" w:space="0"/>
            </w:tcBorders>
          </w:tcPr>
          <w:p w14:paraId="02D62F43">
            <w:pPr>
              <w:rPr>
                <w:rFonts w:cs="Times New Roman"/>
                <w:color w:val="000000" w:themeColor="text1"/>
                <w:szCs w:val="24"/>
                <w14:textFill>
                  <w14:solidFill>
                    <w14:schemeClr w14:val="tx1"/>
                  </w14:solidFill>
                </w14:textFill>
              </w:rPr>
            </w:pPr>
            <w:r>
              <w:rPr>
                <w:rFonts w:cs="Times New Roman"/>
                <w:color w:val="000000" w:themeColor="text1"/>
                <w:kern w:val="0"/>
                <w:szCs w:val="24"/>
                <w14:textFill>
                  <w14:solidFill>
                    <w14:schemeClr w14:val="tx1"/>
                  </w14:solidFill>
                </w14:textFill>
              </w:rPr>
              <w:t>Farmers redeem vouchers whenever fertilizer subsidies are available.</w:t>
            </w:r>
          </w:p>
        </w:tc>
        <w:tc>
          <w:tcPr>
            <w:tcW w:w="360" w:type="dxa"/>
            <w:tcBorders>
              <w:top w:val="single" w:color="auto" w:sz="4" w:space="0"/>
              <w:left w:val="single" w:color="auto" w:sz="4" w:space="0"/>
              <w:bottom w:val="single" w:color="auto" w:sz="4" w:space="0"/>
              <w:right w:val="single" w:color="auto" w:sz="4" w:space="0"/>
            </w:tcBorders>
          </w:tcPr>
          <w:p w14:paraId="6DDFC08E">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3BEAEFAA">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3EF922B3">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76B513FA">
            <w:pPr>
              <w:spacing w:line="240" w:lineRule="auto"/>
              <w:rPr>
                <w:rFonts w:eastAsia="Calibri" w:cs="Times New Roman"/>
                <w:color w:val="000000" w:themeColor="text1"/>
                <w:kern w:val="0"/>
                <w:szCs w:val="24"/>
                <w14:textFill>
                  <w14:solidFill>
                    <w14:schemeClr w14:val="tx1"/>
                  </w14:solidFill>
                </w14:textFill>
                <w14:ligatures w14:val="none"/>
              </w:rPr>
            </w:pPr>
          </w:p>
        </w:tc>
        <w:tc>
          <w:tcPr>
            <w:tcW w:w="355" w:type="dxa"/>
            <w:tcBorders>
              <w:top w:val="single" w:color="auto" w:sz="4" w:space="0"/>
              <w:left w:val="single" w:color="auto" w:sz="4" w:space="0"/>
              <w:bottom w:val="single" w:color="auto" w:sz="4" w:space="0"/>
              <w:right w:val="single" w:color="auto" w:sz="4" w:space="0"/>
            </w:tcBorders>
          </w:tcPr>
          <w:p w14:paraId="1BCC4DB1">
            <w:pPr>
              <w:spacing w:line="240" w:lineRule="auto"/>
              <w:rPr>
                <w:rFonts w:eastAsia="Calibri" w:cs="Times New Roman"/>
                <w:color w:val="000000" w:themeColor="text1"/>
                <w:kern w:val="0"/>
                <w:szCs w:val="24"/>
                <w14:textFill>
                  <w14:solidFill>
                    <w14:schemeClr w14:val="tx1"/>
                  </w14:solidFill>
                </w14:textFill>
                <w14:ligatures w14:val="none"/>
              </w:rPr>
            </w:pPr>
          </w:p>
        </w:tc>
      </w:tr>
    </w:tbl>
    <w:p w14:paraId="673B814A">
      <w:pPr>
        <w:rPr>
          <w:color w:val="000000" w:themeColor="text1"/>
          <w14:textFill>
            <w14:solidFill>
              <w14:schemeClr w14:val="tx1"/>
            </w14:solidFill>
          </w14:textFill>
        </w:rPr>
      </w:pPr>
    </w:p>
    <w:p w14:paraId="70DBDF67">
      <w:pPr>
        <w:rPr>
          <w:rFonts w:cs="Times New Roman"/>
          <w:b/>
          <w:bCs/>
          <w:color w:val="000000" w:themeColor="text1"/>
          <w:szCs w:val="24"/>
          <w14:textFill>
            <w14:solidFill>
              <w14:schemeClr w14:val="tx1"/>
            </w14:solidFill>
          </w14:textFill>
        </w:rPr>
      </w:pPr>
      <w:r>
        <w:rPr>
          <w:rFonts w:cs="Times New Roman"/>
          <w:b/>
          <w:bCs/>
          <w:color w:val="000000" w:themeColor="text1"/>
          <w:szCs w:val="24"/>
          <w14:textFill>
            <w14:solidFill>
              <w14:schemeClr w14:val="tx1"/>
            </w14:solidFill>
          </w14:textFill>
        </w:rPr>
        <w:t xml:space="preserve">Section E: Smallholder Farmers’ </w:t>
      </w:r>
      <w:r>
        <w:rPr>
          <w:b/>
          <w:bCs/>
          <w:color w:val="000000" w:themeColor="text1"/>
          <w:kern w:val="0"/>
          <w14:textFill>
            <w14:solidFill>
              <w14:schemeClr w14:val="tx1"/>
            </w14:solidFill>
          </w14:textFill>
          <w14:ligatures w14:val="none"/>
        </w:rPr>
        <w:t>Uptake of Fertilizers</w:t>
      </w:r>
    </w:p>
    <w:p w14:paraId="3E16655C">
      <w:pPr>
        <w:pStyle w:val="38"/>
        <w:numPr>
          <w:ilvl w:val="0"/>
          <w:numId w:val="2"/>
        </w:numPr>
        <w:ind w:left="360"/>
        <w:rPr>
          <w:color w:val="000000" w:themeColor="text1"/>
          <w:kern w:val="0"/>
          <w14:textFill>
            <w14:solidFill>
              <w14:schemeClr w14:val="tx1"/>
            </w14:solidFill>
          </w14:textFill>
          <w14:ligatures w14:val="none"/>
        </w:rPr>
      </w:pPr>
      <w:r>
        <w:rPr>
          <w:color w:val="000000" w:themeColor="text1"/>
          <w:kern w:val="0"/>
          <w14:textFill>
            <w14:solidFill>
              <w14:schemeClr w14:val="tx1"/>
            </w14:solidFill>
          </w14:textFill>
          <w14:ligatures w14:val="none"/>
        </w:rPr>
        <w:t xml:space="preserve">Please indicate your level of agreement with the following statements relating to </w:t>
      </w:r>
      <w:r>
        <w:rPr>
          <w:rFonts w:cs="Times New Roman"/>
          <w:color w:val="000000" w:themeColor="text1"/>
          <w:szCs w:val="24"/>
          <w14:textFill>
            <w14:solidFill>
              <w14:schemeClr w14:val="tx1"/>
            </w14:solidFill>
          </w14:textFill>
        </w:rPr>
        <w:t xml:space="preserve">smallholder farmers’ </w:t>
      </w:r>
      <w:r>
        <w:rPr>
          <w:color w:val="000000" w:themeColor="text1"/>
          <w:kern w:val="0"/>
          <w14:textFill>
            <w14:solidFill>
              <w14:schemeClr w14:val="tx1"/>
            </w14:solidFill>
          </w14:textFill>
          <w14:ligatures w14:val="none"/>
        </w:rPr>
        <w:t>uptake of fertilizers. (Codes: 1=Strongly Disagree, 2=Disagree, 3=Moderately Agree, 4=Agree, 5=Strongly Agree).</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4"/>
        <w:gridCol w:w="6381"/>
        <w:gridCol w:w="360"/>
        <w:gridCol w:w="360"/>
        <w:gridCol w:w="360"/>
        <w:gridCol w:w="360"/>
        <w:gridCol w:w="355"/>
      </w:tblGrid>
      <w:tr w14:paraId="558F5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trPr>
        <w:tc>
          <w:tcPr>
            <w:tcW w:w="6835" w:type="dxa"/>
            <w:gridSpan w:val="2"/>
            <w:tcBorders>
              <w:top w:val="single" w:color="auto" w:sz="4" w:space="0"/>
              <w:left w:val="single" w:color="auto" w:sz="4" w:space="0"/>
              <w:bottom w:val="single" w:color="auto" w:sz="4" w:space="0"/>
              <w:right w:val="single" w:color="auto" w:sz="4" w:space="0"/>
            </w:tcBorders>
          </w:tcPr>
          <w:p w14:paraId="7C3B4679">
            <w:pPr>
              <w:spacing w:line="240" w:lineRule="auto"/>
              <w:rPr>
                <w:rFonts w:eastAsia="Calibri" w:cs="Times New Roman"/>
                <w:b/>
                <w:color w:val="000000" w:themeColor="text1"/>
                <w:kern w:val="0"/>
                <w:szCs w:val="24"/>
                <w14:textFill>
                  <w14:solidFill>
                    <w14:schemeClr w14:val="tx1"/>
                  </w14:solidFill>
                </w14:textFill>
                <w14:ligatures w14:val="none"/>
              </w:rPr>
            </w:pPr>
            <w:r>
              <w:rPr>
                <w:rFonts w:eastAsia="Calibri" w:cs="Times New Roman"/>
                <w:b/>
                <w:color w:val="000000" w:themeColor="text1"/>
                <w:kern w:val="0"/>
                <w:szCs w:val="24"/>
                <w14:textFill>
                  <w14:solidFill>
                    <w14:schemeClr w14:val="tx1"/>
                  </w14:solidFill>
                </w14:textFill>
                <w14:ligatures w14:val="none"/>
              </w:rPr>
              <w:t xml:space="preserve">Statement on </w:t>
            </w:r>
            <w:r>
              <w:rPr>
                <w:rFonts w:cs="Times New Roman"/>
                <w:b/>
                <w:bCs/>
                <w:color w:val="000000" w:themeColor="text1"/>
                <w:szCs w:val="24"/>
                <w14:textFill>
                  <w14:solidFill>
                    <w14:schemeClr w14:val="tx1"/>
                  </w14:solidFill>
                </w14:textFill>
              </w:rPr>
              <w:t>Smallholder Farmers’ Access</w:t>
            </w:r>
          </w:p>
        </w:tc>
        <w:tc>
          <w:tcPr>
            <w:tcW w:w="1795" w:type="dxa"/>
            <w:gridSpan w:val="5"/>
            <w:tcBorders>
              <w:top w:val="single" w:color="auto" w:sz="4" w:space="0"/>
              <w:left w:val="single" w:color="auto" w:sz="4" w:space="0"/>
              <w:bottom w:val="single" w:color="auto" w:sz="4" w:space="0"/>
              <w:right w:val="single" w:color="auto" w:sz="4" w:space="0"/>
            </w:tcBorders>
          </w:tcPr>
          <w:p w14:paraId="180010C0">
            <w:pPr>
              <w:rPr>
                <w:rFonts w:eastAsia="Calibri" w:cs="Times New Roman"/>
                <w:b/>
                <w:color w:val="000000" w:themeColor="text1"/>
                <w:kern w:val="0"/>
                <w:szCs w:val="24"/>
                <w14:textFill>
                  <w14:solidFill>
                    <w14:schemeClr w14:val="tx1"/>
                  </w14:solidFill>
                </w14:textFill>
                <w14:ligatures w14:val="none"/>
              </w:rPr>
            </w:pPr>
            <w:r>
              <w:rPr>
                <w:rFonts w:eastAsia="Calibri" w:cs="Times New Roman"/>
                <w:b/>
                <w:color w:val="000000" w:themeColor="text1"/>
                <w:kern w:val="0"/>
                <w:szCs w:val="24"/>
                <w14:textFill>
                  <w14:solidFill>
                    <w14:schemeClr w14:val="tx1"/>
                  </w14:solidFill>
                </w14:textFill>
                <w14:ligatures w14:val="none"/>
              </w:rPr>
              <w:t>Level of Agreement</w:t>
            </w:r>
          </w:p>
        </w:tc>
      </w:tr>
      <w:tr w14:paraId="128E4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6835" w:type="dxa"/>
            <w:gridSpan w:val="2"/>
            <w:tcBorders>
              <w:top w:val="single" w:color="auto" w:sz="4" w:space="0"/>
              <w:left w:val="single" w:color="auto" w:sz="4" w:space="0"/>
              <w:bottom w:val="single" w:color="auto" w:sz="4" w:space="0"/>
              <w:right w:val="single" w:color="auto" w:sz="4" w:space="0"/>
            </w:tcBorders>
          </w:tcPr>
          <w:p w14:paraId="767D1648">
            <w:pPr>
              <w:jc w:val="left"/>
              <w:rPr>
                <w:b/>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37CCB4A7">
            <w:pPr>
              <w:spacing w:line="240" w:lineRule="auto"/>
              <w:rPr>
                <w:rFonts w:eastAsia="Calibri" w:cs="Times New Roman"/>
                <w:b/>
                <w:color w:val="000000" w:themeColor="text1"/>
                <w:kern w:val="0"/>
                <w:szCs w:val="24"/>
                <w14:textFill>
                  <w14:solidFill>
                    <w14:schemeClr w14:val="tx1"/>
                  </w14:solidFill>
                </w14:textFill>
                <w14:ligatures w14:val="none"/>
              </w:rPr>
            </w:pPr>
            <w:r>
              <w:rPr>
                <w:rFonts w:eastAsia="Calibri" w:cs="Times New Roman"/>
                <w:b/>
                <w:color w:val="000000" w:themeColor="text1"/>
                <w:kern w:val="0"/>
                <w:szCs w:val="24"/>
                <w14:textFill>
                  <w14:solidFill>
                    <w14:schemeClr w14:val="tx1"/>
                  </w14:solidFill>
                </w14:textFill>
                <w14:ligatures w14:val="none"/>
              </w:rPr>
              <w:t>1</w:t>
            </w:r>
          </w:p>
        </w:tc>
        <w:tc>
          <w:tcPr>
            <w:tcW w:w="360" w:type="dxa"/>
            <w:tcBorders>
              <w:top w:val="single" w:color="auto" w:sz="4" w:space="0"/>
              <w:left w:val="single" w:color="auto" w:sz="4" w:space="0"/>
              <w:bottom w:val="single" w:color="auto" w:sz="4" w:space="0"/>
              <w:right w:val="single" w:color="auto" w:sz="4" w:space="0"/>
            </w:tcBorders>
          </w:tcPr>
          <w:p w14:paraId="433B451B">
            <w:pPr>
              <w:spacing w:line="240" w:lineRule="auto"/>
              <w:rPr>
                <w:rFonts w:eastAsia="Calibri" w:cs="Times New Roman"/>
                <w:b/>
                <w:color w:val="000000" w:themeColor="text1"/>
                <w:kern w:val="0"/>
                <w:szCs w:val="24"/>
                <w14:textFill>
                  <w14:solidFill>
                    <w14:schemeClr w14:val="tx1"/>
                  </w14:solidFill>
                </w14:textFill>
                <w14:ligatures w14:val="none"/>
              </w:rPr>
            </w:pPr>
            <w:r>
              <w:rPr>
                <w:rFonts w:eastAsia="Calibri" w:cs="Times New Roman"/>
                <w:b/>
                <w:color w:val="000000" w:themeColor="text1"/>
                <w:kern w:val="0"/>
                <w:szCs w:val="24"/>
                <w14:textFill>
                  <w14:solidFill>
                    <w14:schemeClr w14:val="tx1"/>
                  </w14:solidFill>
                </w14:textFill>
                <w14:ligatures w14:val="none"/>
              </w:rPr>
              <w:t>2</w:t>
            </w:r>
          </w:p>
        </w:tc>
        <w:tc>
          <w:tcPr>
            <w:tcW w:w="360" w:type="dxa"/>
            <w:tcBorders>
              <w:top w:val="single" w:color="auto" w:sz="4" w:space="0"/>
              <w:left w:val="single" w:color="auto" w:sz="4" w:space="0"/>
              <w:bottom w:val="single" w:color="auto" w:sz="4" w:space="0"/>
              <w:right w:val="single" w:color="auto" w:sz="4" w:space="0"/>
            </w:tcBorders>
          </w:tcPr>
          <w:p w14:paraId="53D6FFDD">
            <w:pPr>
              <w:spacing w:line="240" w:lineRule="auto"/>
              <w:rPr>
                <w:rFonts w:eastAsia="Calibri" w:cs="Times New Roman"/>
                <w:b/>
                <w:color w:val="000000" w:themeColor="text1"/>
                <w:kern w:val="0"/>
                <w:szCs w:val="24"/>
                <w14:textFill>
                  <w14:solidFill>
                    <w14:schemeClr w14:val="tx1"/>
                  </w14:solidFill>
                </w14:textFill>
                <w14:ligatures w14:val="none"/>
              </w:rPr>
            </w:pPr>
            <w:r>
              <w:rPr>
                <w:rFonts w:eastAsia="Calibri" w:cs="Times New Roman"/>
                <w:b/>
                <w:color w:val="000000" w:themeColor="text1"/>
                <w:kern w:val="0"/>
                <w:szCs w:val="24"/>
                <w14:textFill>
                  <w14:solidFill>
                    <w14:schemeClr w14:val="tx1"/>
                  </w14:solidFill>
                </w14:textFill>
                <w14:ligatures w14:val="none"/>
              </w:rPr>
              <w:t>3</w:t>
            </w:r>
          </w:p>
        </w:tc>
        <w:tc>
          <w:tcPr>
            <w:tcW w:w="360" w:type="dxa"/>
            <w:tcBorders>
              <w:top w:val="single" w:color="auto" w:sz="4" w:space="0"/>
              <w:left w:val="single" w:color="auto" w:sz="4" w:space="0"/>
              <w:bottom w:val="single" w:color="auto" w:sz="4" w:space="0"/>
              <w:right w:val="single" w:color="auto" w:sz="4" w:space="0"/>
            </w:tcBorders>
          </w:tcPr>
          <w:p w14:paraId="7A22A011">
            <w:pPr>
              <w:spacing w:line="240" w:lineRule="auto"/>
              <w:rPr>
                <w:rFonts w:eastAsia="Calibri" w:cs="Times New Roman"/>
                <w:b/>
                <w:color w:val="000000" w:themeColor="text1"/>
                <w:kern w:val="0"/>
                <w:szCs w:val="24"/>
                <w14:textFill>
                  <w14:solidFill>
                    <w14:schemeClr w14:val="tx1"/>
                  </w14:solidFill>
                </w14:textFill>
                <w14:ligatures w14:val="none"/>
              </w:rPr>
            </w:pPr>
            <w:r>
              <w:rPr>
                <w:rFonts w:eastAsia="Calibri" w:cs="Times New Roman"/>
                <w:b/>
                <w:color w:val="000000" w:themeColor="text1"/>
                <w:kern w:val="0"/>
                <w:szCs w:val="24"/>
                <w14:textFill>
                  <w14:solidFill>
                    <w14:schemeClr w14:val="tx1"/>
                  </w14:solidFill>
                </w14:textFill>
                <w14:ligatures w14:val="none"/>
              </w:rPr>
              <w:t>4</w:t>
            </w:r>
          </w:p>
        </w:tc>
        <w:tc>
          <w:tcPr>
            <w:tcW w:w="355" w:type="dxa"/>
            <w:tcBorders>
              <w:top w:val="single" w:color="auto" w:sz="4" w:space="0"/>
              <w:left w:val="single" w:color="auto" w:sz="4" w:space="0"/>
              <w:bottom w:val="single" w:color="auto" w:sz="4" w:space="0"/>
              <w:right w:val="single" w:color="auto" w:sz="4" w:space="0"/>
            </w:tcBorders>
          </w:tcPr>
          <w:p w14:paraId="1D63A3C4">
            <w:pPr>
              <w:spacing w:line="240" w:lineRule="auto"/>
              <w:rPr>
                <w:rFonts w:eastAsia="Calibri" w:cs="Times New Roman"/>
                <w:b/>
                <w:color w:val="000000" w:themeColor="text1"/>
                <w:kern w:val="0"/>
                <w:szCs w:val="24"/>
                <w14:textFill>
                  <w14:solidFill>
                    <w14:schemeClr w14:val="tx1"/>
                  </w14:solidFill>
                </w14:textFill>
                <w14:ligatures w14:val="none"/>
              </w:rPr>
            </w:pPr>
            <w:r>
              <w:rPr>
                <w:rFonts w:eastAsia="Calibri" w:cs="Times New Roman"/>
                <w:b/>
                <w:color w:val="000000" w:themeColor="text1"/>
                <w:kern w:val="0"/>
                <w:szCs w:val="24"/>
                <w14:textFill>
                  <w14:solidFill>
                    <w14:schemeClr w14:val="tx1"/>
                  </w14:solidFill>
                </w14:textFill>
                <w14:ligatures w14:val="none"/>
              </w:rPr>
              <w:t>5</w:t>
            </w:r>
          </w:p>
        </w:tc>
      </w:tr>
      <w:tr w14:paraId="33585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454" w:type="dxa"/>
            <w:tcBorders>
              <w:top w:val="single" w:color="auto" w:sz="4" w:space="0"/>
              <w:left w:val="single" w:color="auto" w:sz="4" w:space="0"/>
              <w:bottom w:val="single" w:color="auto" w:sz="4" w:space="0"/>
              <w:right w:val="single" w:color="auto" w:sz="4" w:space="0"/>
            </w:tcBorders>
          </w:tcPr>
          <w:p w14:paraId="7717F09B">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color w:val="000000" w:themeColor="text1"/>
                <w:kern w:val="0"/>
                <w:szCs w:val="24"/>
                <w14:textFill>
                  <w14:solidFill>
                    <w14:schemeClr w14:val="tx1"/>
                  </w14:solidFill>
                </w14:textFill>
                <w14:ligatures w14:val="none"/>
              </w:rPr>
              <w:t>1</w:t>
            </w:r>
          </w:p>
        </w:tc>
        <w:tc>
          <w:tcPr>
            <w:tcW w:w="6381" w:type="dxa"/>
            <w:tcBorders>
              <w:top w:val="single" w:color="auto" w:sz="4" w:space="0"/>
              <w:left w:val="single" w:color="auto" w:sz="4" w:space="0"/>
              <w:bottom w:val="single" w:color="auto" w:sz="4" w:space="0"/>
              <w:right w:val="single" w:color="auto" w:sz="4" w:space="0"/>
            </w:tcBorders>
          </w:tcPr>
          <w:p w14:paraId="6C765A2D">
            <w:r>
              <w:t xml:space="preserve">Farmers use fertilizer more frequently under the subsidy program. </w:t>
            </w:r>
          </w:p>
        </w:tc>
        <w:tc>
          <w:tcPr>
            <w:tcW w:w="360" w:type="dxa"/>
            <w:tcBorders>
              <w:top w:val="single" w:color="auto" w:sz="4" w:space="0"/>
              <w:left w:val="single" w:color="auto" w:sz="4" w:space="0"/>
              <w:bottom w:val="single" w:color="auto" w:sz="4" w:space="0"/>
              <w:right w:val="single" w:color="auto" w:sz="4" w:space="0"/>
            </w:tcBorders>
          </w:tcPr>
          <w:p w14:paraId="136E5188">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0A3A9884">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04F9A5B9">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78574C4C">
            <w:pPr>
              <w:spacing w:line="240" w:lineRule="auto"/>
              <w:rPr>
                <w:rFonts w:eastAsia="Calibri" w:cs="Times New Roman"/>
                <w:color w:val="000000" w:themeColor="text1"/>
                <w:kern w:val="0"/>
                <w:szCs w:val="24"/>
                <w14:textFill>
                  <w14:solidFill>
                    <w14:schemeClr w14:val="tx1"/>
                  </w14:solidFill>
                </w14:textFill>
                <w14:ligatures w14:val="none"/>
              </w:rPr>
            </w:pPr>
          </w:p>
        </w:tc>
        <w:tc>
          <w:tcPr>
            <w:tcW w:w="355" w:type="dxa"/>
            <w:tcBorders>
              <w:top w:val="single" w:color="auto" w:sz="4" w:space="0"/>
              <w:left w:val="single" w:color="auto" w:sz="4" w:space="0"/>
              <w:bottom w:val="single" w:color="auto" w:sz="4" w:space="0"/>
              <w:right w:val="single" w:color="auto" w:sz="4" w:space="0"/>
            </w:tcBorders>
          </w:tcPr>
          <w:p w14:paraId="4816F240">
            <w:pPr>
              <w:spacing w:line="240" w:lineRule="auto"/>
              <w:rPr>
                <w:rFonts w:eastAsia="Calibri" w:cs="Times New Roman"/>
                <w:color w:val="000000" w:themeColor="text1"/>
                <w:kern w:val="0"/>
                <w:szCs w:val="24"/>
                <w14:textFill>
                  <w14:solidFill>
                    <w14:schemeClr w14:val="tx1"/>
                  </w14:solidFill>
                </w14:textFill>
                <w14:ligatures w14:val="none"/>
              </w:rPr>
            </w:pPr>
          </w:p>
        </w:tc>
      </w:tr>
      <w:tr w14:paraId="0CCB4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454" w:type="dxa"/>
            <w:tcBorders>
              <w:top w:val="single" w:color="auto" w:sz="4" w:space="0"/>
              <w:left w:val="single" w:color="auto" w:sz="4" w:space="0"/>
              <w:bottom w:val="single" w:color="auto" w:sz="4" w:space="0"/>
              <w:right w:val="single" w:color="auto" w:sz="4" w:space="0"/>
            </w:tcBorders>
          </w:tcPr>
          <w:p w14:paraId="5F2CD8B7">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color w:val="000000" w:themeColor="text1"/>
                <w:kern w:val="0"/>
                <w:szCs w:val="24"/>
                <w14:textFill>
                  <w14:solidFill>
                    <w14:schemeClr w14:val="tx1"/>
                  </w14:solidFill>
                </w14:textFill>
                <w14:ligatures w14:val="none"/>
              </w:rPr>
              <w:t>2</w:t>
            </w:r>
          </w:p>
        </w:tc>
        <w:tc>
          <w:tcPr>
            <w:tcW w:w="6381" w:type="dxa"/>
            <w:tcBorders>
              <w:top w:val="single" w:color="auto" w:sz="4" w:space="0"/>
              <w:left w:val="single" w:color="auto" w:sz="4" w:space="0"/>
              <w:bottom w:val="single" w:color="auto" w:sz="4" w:space="0"/>
              <w:right w:val="single" w:color="auto" w:sz="4" w:space="0"/>
            </w:tcBorders>
          </w:tcPr>
          <w:p w14:paraId="5682D9BE">
            <w:r>
              <w:t xml:space="preserve">The subsidy program has increased the quantity of fertilizer used by farmers. </w:t>
            </w:r>
          </w:p>
        </w:tc>
        <w:tc>
          <w:tcPr>
            <w:tcW w:w="360" w:type="dxa"/>
            <w:tcBorders>
              <w:top w:val="single" w:color="auto" w:sz="4" w:space="0"/>
              <w:left w:val="single" w:color="auto" w:sz="4" w:space="0"/>
              <w:bottom w:val="single" w:color="auto" w:sz="4" w:space="0"/>
              <w:right w:val="single" w:color="auto" w:sz="4" w:space="0"/>
            </w:tcBorders>
          </w:tcPr>
          <w:p w14:paraId="74E83220">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0AD7E93E">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181BAD7E">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78DB7690">
            <w:pPr>
              <w:spacing w:line="240" w:lineRule="auto"/>
              <w:rPr>
                <w:rFonts w:eastAsia="Calibri" w:cs="Times New Roman"/>
                <w:color w:val="000000" w:themeColor="text1"/>
                <w:kern w:val="0"/>
                <w:szCs w:val="24"/>
                <w14:textFill>
                  <w14:solidFill>
                    <w14:schemeClr w14:val="tx1"/>
                  </w14:solidFill>
                </w14:textFill>
                <w14:ligatures w14:val="none"/>
              </w:rPr>
            </w:pPr>
          </w:p>
        </w:tc>
        <w:tc>
          <w:tcPr>
            <w:tcW w:w="355" w:type="dxa"/>
            <w:tcBorders>
              <w:top w:val="single" w:color="auto" w:sz="4" w:space="0"/>
              <w:left w:val="single" w:color="auto" w:sz="4" w:space="0"/>
              <w:bottom w:val="single" w:color="auto" w:sz="4" w:space="0"/>
              <w:right w:val="single" w:color="auto" w:sz="4" w:space="0"/>
            </w:tcBorders>
          </w:tcPr>
          <w:p w14:paraId="16607092">
            <w:pPr>
              <w:spacing w:line="240" w:lineRule="auto"/>
              <w:rPr>
                <w:rFonts w:eastAsia="Calibri" w:cs="Times New Roman"/>
                <w:color w:val="000000" w:themeColor="text1"/>
                <w:kern w:val="0"/>
                <w:szCs w:val="24"/>
                <w14:textFill>
                  <w14:solidFill>
                    <w14:schemeClr w14:val="tx1"/>
                  </w14:solidFill>
                </w14:textFill>
                <w14:ligatures w14:val="none"/>
              </w:rPr>
            </w:pPr>
          </w:p>
        </w:tc>
      </w:tr>
      <w:tr w14:paraId="43300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454" w:type="dxa"/>
            <w:tcBorders>
              <w:top w:val="single" w:color="auto" w:sz="4" w:space="0"/>
              <w:left w:val="single" w:color="auto" w:sz="4" w:space="0"/>
              <w:bottom w:val="single" w:color="auto" w:sz="4" w:space="0"/>
              <w:right w:val="single" w:color="auto" w:sz="4" w:space="0"/>
            </w:tcBorders>
          </w:tcPr>
          <w:p w14:paraId="6D72093A">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color w:val="000000" w:themeColor="text1"/>
                <w:kern w:val="0"/>
                <w:szCs w:val="24"/>
                <w14:textFill>
                  <w14:solidFill>
                    <w14:schemeClr w14:val="tx1"/>
                  </w14:solidFill>
                </w14:textFill>
                <w14:ligatures w14:val="none"/>
              </w:rPr>
              <w:t>3</w:t>
            </w:r>
          </w:p>
        </w:tc>
        <w:tc>
          <w:tcPr>
            <w:tcW w:w="6381" w:type="dxa"/>
            <w:tcBorders>
              <w:top w:val="single" w:color="auto" w:sz="4" w:space="0"/>
              <w:left w:val="single" w:color="auto" w:sz="4" w:space="0"/>
              <w:bottom w:val="single" w:color="auto" w:sz="4" w:space="0"/>
              <w:right w:val="single" w:color="auto" w:sz="4" w:space="0"/>
            </w:tcBorders>
          </w:tcPr>
          <w:p w14:paraId="4AD8DCCC">
            <w:r>
              <w:t xml:space="preserve">Farmers apply fertilizer more consistently during planting seasons due to the subsidy program. </w:t>
            </w:r>
          </w:p>
        </w:tc>
        <w:tc>
          <w:tcPr>
            <w:tcW w:w="360" w:type="dxa"/>
            <w:tcBorders>
              <w:top w:val="single" w:color="auto" w:sz="4" w:space="0"/>
              <w:left w:val="single" w:color="auto" w:sz="4" w:space="0"/>
              <w:bottom w:val="single" w:color="auto" w:sz="4" w:space="0"/>
              <w:right w:val="single" w:color="auto" w:sz="4" w:space="0"/>
            </w:tcBorders>
          </w:tcPr>
          <w:p w14:paraId="7C9B5925">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6EB7D4E1">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1D6EA012">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37FF8E68">
            <w:pPr>
              <w:spacing w:line="240" w:lineRule="auto"/>
              <w:rPr>
                <w:rFonts w:eastAsia="Calibri" w:cs="Times New Roman"/>
                <w:color w:val="000000" w:themeColor="text1"/>
                <w:kern w:val="0"/>
                <w:szCs w:val="24"/>
                <w14:textFill>
                  <w14:solidFill>
                    <w14:schemeClr w14:val="tx1"/>
                  </w14:solidFill>
                </w14:textFill>
                <w14:ligatures w14:val="none"/>
              </w:rPr>
            </w:pPr>
          </w:p>
        </w:tc>
        <w:tc>
          <w:tcPr>
            <w:tcW w:w="355" w:type="dxa"/>
            <w:tcBorders>
              <w:top w:val="single" w:color="auto" w:sz="4" w:space="0"/>
              <w:left w:val="single" w:color="auto" w:sz="4" w:space="0"/>
              <w:bottom w:val="single" w:color="auto" w:sz="4" w:space="0"/>
              <w:right w:val="single" w:color="auto" w:sz="4" w:space="0"/>
            </w:tcBorders>
          </w:tcPr>
          <w:p w14:paraId="62070AA4">
            <w:pPr>
              <w:spacing w:line="240" w:lineRule="auto"/>
              <w:rPr>
                <w:rFonts w:eastAsia="Calibri" w:cs="Times New Roman"/>
                <w:color w:val="000000" w:themeColor="text1"/>
                <w:kern w:val="0"/>
                <w:szCs w:val="24"/>
                <w14:textFill>
                  <w14:solidFill>
                    <w14:schemeClr w14:val="tx1"/>
                  </w14:solidFill>
                </w14:textFill>
                <w14:ligatures w14:val="none"/>
              </w:rPr>
            </w:pPr>
          </w:p>
        </w:tc>
      </w:tr>
      <w:tr w14:paraId="757DF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454" w:type="dxa"/>
            <w:tcBorders>
              <w:top w:val="single" w:color="auto" w:sz="4" w:space="0"/>
              <w:left w:val="single" w:color="auto" w:sz="4" w:space="0"/>
              <w:bottom w:val="single" w:color="auto" w:sz="4" w:space="0"/>
              <w:right w:val="single" w:color="auto" w:sz="4" w:space="0"/>
            </w:tcBorders>
          </w:tcPr>
          <w:p w14:paraId="258D1064">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color w:val="000000" w:themeColor="text1"/>
                <w:kern w:val="0"/>
                <w:szCs w:val="24"/>
                <w14:textFill>
                  <w14:solidFill>
                    <w14:schemeClr w14:val="tx1"/>
                  </w14:solidFill>
                </w14:textFill>
                <w14:ligatures w14:val="none"/>
              </w:rPr>
              <w:t>4</w:t>
            </w:r>
          </w:p>
        </w:tc>
        <w:tc>
          <w:tcPr>
            <w:tcW w:w="6381" w:type="dxa"/>
            <w:tcBorders>
              <w:top w:val="single" w:color="auto" w:sz="4" w:space="0"/>
              <w:left w:val="single" w:color="auto" w:sz="4" w:space="0"/>
              <w:bottom w:val="single" w:color="auto" w:sz="4" w:space="0"/>
              <w:right w:val="single" w:color="auto" w:sz="4" w:space="0"/>
            </w:tcBorders>
          </w:tcPr>
          <w:p w14:paraId="2FBA8D4B">
            <w:r>
              <w:t xml:space="preserve">Fertilizer subsidies have improved the level of fertilizer application on farms. </w:t>
            </w:r>
          </w:p>
        </w:tc>
        <w:tc>
          <w:tcPr>
            <w:tcW w:w="360" w:type="dxa"/>
            <w:tcBorders>
              <w:top w:val="single" w:color="auto" w:sz="4" w:space="0"/>
              <w:left w:val="single" w:color="auto" w:sz="4" w:space="0"/>
              <w:bottom w:val="single" w:color="auto" w:sz="4" w:space="0"/>
              <w:right w:val="single" w:color="auto" w:sz="4" w:space="0"/>
            </w:tcBorders>
          </w:tcPr>
          <w:p w14:paraId="22CB3C3B">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69D26FEF">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491D0F1F">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7AD9F64B">
            <w:pPr>
              <w:spacing w:line="240" w:lineRule="auto"/>
              <w:rPr>
                <w:rFonts w:eastAsia="Calibri" w:cs="Times New Roman"/>
                <w:color w:val="000000" w:themeColor="text1"/>
                <w:kern w:val="0"/>
                <w:szCs w:val="24"/>
                <w14:textFill>
                  <w14:solidFill>
                    <w14:schemeClr w14:val="tx1"/>
                  </w14:solidFill>
                </w14:textFill>
                <w14:ligatures w14:val="none"/>
              </w:rPr>
            </w:pPr>
          </w:p>
        </w:tc>
        <w:tc>
          <w:tcPr>
            <w:tcW w:w="355" w:type="dxa"/>
            <w:tcBorders>
              <w:top w:val="single" w:color="auto" w:sz="4" w:space="0"/>
              <w:left w:val="single" w:color="auto" w:sz="4" w:space="0"/>
              <w:bottom w:val="single" w:color="auto" w:sz="4" w:space="0"/>
              <w:right w:val="single" w:color="auto" w:sz="4" w:space="0"/>
            </w:tcBorders>
          </w:tcPr>
          <w:p w14:paraId="16CA99E1">
            <w:pPr>
              <w:spacing w:line="240" w:lineRule="auto"/>
              <w:rPr>
                <w:rFonts w:eastAsia="Calibri" w:cs="Times New Roman"/>
                <w:color w:val="000000" w:themeColor="text1"/>
                <w:kern w:val="0"/>
                <w:szCs w:val="24"/>
                <w14:textFill>
                  <w14:solidFill>
                    <w14:schemeClr w14:val="tx1"/>
                  </w14:solidFill>
                </w14:textFill>
                <w14:ligatures w14:val="none"/>
              </w:rPr>
            </w:pPr>
          </w:p>
        </w:tc>
      </w:tr>
      <w:tr w14:paraId="78CB4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454" w:type="dxa"/>
            <w:tcBorders>
              <w:top w:val="single" w:color="auto" w:sz="4" w:space="0"/>
              <w:left w:val="single" w:color="auto" w:sz="4" w:space="0"/>
              <w:bottom w:val="single" w:color="auto" w:sz="4" w:space="0"/>
              <w:right w:val="single" w:color="auto" w:sz="4" w:space="0"/>
            </w:tcBorders>
          </w:tcPr>
          <w:p w14:paraId="7DB89133">
            <w:pPr>
              <w:spacing w:line="240" w:lineRule="auto"/>
              <w:rPr>
                <w:rFonts w:eastAsia="Calibri" w:cs="Times New Roman"/>
                <w:color w:val="000000" w:themeColor="text1"/>
                <w:kern w:val="0"/>
                <w:szCs w:val="24"/>
                <w14:textFill>
                  <w14:solidFill>
                    <w14:schemeClr w14:val="tx1"/>
                  </w14:solidFill>
                </w14:textFill>
                <w14:ligatures w14:val="none"/>
              </w:rPr>
            </w:pPr>
            <w:r>
              <w:rPr>
                <w:rFonts w:eastAsia="Calibri" w:cs="Times New Roman"/>
                <w:color w:val="000000" w:themeColor="text1"/>
                <w:kern w:val="0"/>
                <w:szCs w:val="24"/>
                <w14:textFill>
                  <w14:solidFill>
                    <w14:schemeClr w14:val="tx1"/>
                  </w14:solidFill>
                </w14:textFill>
                <w14:ligatures w14:val="none"/>
              </w:rPr>
              <w:t>5</w:t>
            </w:r>
          </w:p>
        </w:tc>
        <w:tc>
          <w:tcPr>
            <w:tcW w:w="6381" w:type="dxa"/>
            <w:tcBorders>
              <w:top w:val="single" w:color="auto" w:sz="4" w:space="0"/>
              <w:left w:val="single" w:color="auto" w:sz="4" w:space="0"/>
              <w:bottom w:val="single" w:color="auto" w:sz="4" w:space="0"/>
              <w:right w:val="single" w:color="auto" w:sz="4" w:space="0"/>
            </w:tcBorders>
          </w:tcPr>
          <w:p w14:paraId="2CA75C85">
            <w:r>
              <w:t>Farmers are more likely to use fertilizer because of the subsidy program.</w:t>
            </w:r>
          </w:p>
        </w:tc>
        <w:tc>
          <w:tcPr>
            <w:tcW w:w="360" w:type="dxa"/>
            <w:tcBorders>
              <w:top w:val="single" w:color="auto" w:sz="4" w:space="0"/>
              <w:left w:val="single" w:color="auto" w:sz="4" w:space="0"/>
              <w:bottom w:val="single" w:color="auto" w:sz="4" w:space="0"/>
              <w:right w:val="single" w:color="auto" w:sz="4" w:space="0"/>
            </w:tcBorders>
          </w:tcPr>
          <w:p w14:paraId="2B95320F">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15AE37D4">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57A07357">
            <w:pPr>
              <w:spacing w:line="240" w:lineRule="auto"/>
              <w:rPr>
                <w:rFonts w:eastAsia="Calibri" w:cs="Times New Roman"/>
                <w:color w:val="000000" w:themeColor="text1"/>
                <w:kern w:val="0"/>
                <w:szCs w:val="24"/>
                <w14:textFill>
                  <w14:solidFill>
                    <w14:schemeClr w14:val="tx1"/>
                  </w14:solidFill>
                </w14:textFill>
                <w14:ligatures w14:val="none"/>
              </w:rPr>
            </w:pPr>
          </w:p>
        </w:tc>
        <w:tc>
          <w:tcPr>
            <w:tcW w:w="360" w:type="dxa"/>
            <w:tcBorders>
              <w:top w:val="single" w:color="auto" w:sz="4" w:space="0"/>
              <w:left w:val="single" w:color="auto" w:sz="4" w:space="0"/>
              <w:bottom w:val="single" w:color="auto" w:sz="4" w:space="0"/>
              <w:right w:val="single" w:color="auto" w:sz="4" w:space="0"/>
            </w:tcBorders>
          </w:tcPr>
          <w:p w14:paraId="4175BAB4">
            <w:pPr>
              <w:spacing w:line="240" w:lineRule="auto"/>
              <w:rPr>
                <w:rFonts w:eastAsia="Calibri" w:cs="Times New Roman"/>
                <w:color w:val="000000" w:themeColor="text1"/>
                <w:kern w:val="0"/>
                <w:szCs w:val="24"/>
                <w14:textFill>
                  <w14:solidFill>
                    <w14:schemeClr w14:val="tx1"/>
                  </w14:solidFill>
                </w14:textFill>
                <w14:ligatures w14:val="none"/>
              </w:rPr>
            </w:pPr>
          </w:p>
        </w:tc>
        <w:tc>
          <w:tcPr>
            <w:tcW w:w="355" w:type="dxa"/>
            <w:tcBorders>
              <w:top w:val="single" w:color="auto" w:sz="4" w:space="0"/>
              <w:left w:val="single" w:color="auto" w:sz="4" w:space="0"/>
              <w:bottom w:val="single" w:color="auto" w:sz="4" w:space="0"/>
              <w:right w:val="single" w:color="auto" w:sz="4" w:space="0"/>
            </w:tcBorders>
          </w:tcPr>
          <w:p w14:paraId="5C886D05">
            <w:pPr>
              <w:spacing w:line="240" w:lineRule="auto"/>
              <w:rPr>
                <w:rFonts w:eastAsia="Calibri" w:cs="Times New Roman"/>
                <w:color w:val="000000" w:themeColor="text1"/>
                <w:kern w:val="0"/>
                <w:szCs w:val="24"/>
                <w14:textFill>
                  <w14:solidFill>
                    <w14:schemeClr w14:val="tx1"/>
                  </w14:solidFill>
                </w14:textFill>
                <w14:ligatures w14:val="none"/>
              </w:rPr>
            </w:pPr>
          </w:p>
        </w:tc>
      </w:tr>
    </w:tbl>
    <w:p w14:paraId="2A489BD4"/>
    <w:p w14:paraId="7F7B6350"/>
    <w:p w14:paraId="4772B924">
      <w:pPr>
        <w:jc w:val="center"/>
        <w:rPr>
          <w:b/>
          <w:bCs/>
          <w:color w:val="000000" w:themeColor="text1"/>
          <w14:textFill>
            <w14:solidFill>
              <w14:schemeClr w14:val="tx1"/>
            </w14:solidFill>
          </w14:textFill>
        </w:rPr>
      </w:pPr>
      <w:r>
        <w:rPr>
          <w:b/>
          <w:bCs/>
          <w:color w:val="000000" w:themeColor="text1"/>
          <w14:textFill>
            <w14:solidFill>
              <w14:schemeClr w14:val="tx1"/>
            </w14:solidFill>
          </w14:textFill>
        </w:rPr>
        <w:t>THANK YOU FOR YOUR TIME</w:t>
      </w:r>
    </w:p>
    <w:p w14:paraId="3FE5EAA9">
      <w:pPr>
        <w:rPr>
          <w:color w:val="000000" w:themeColor="text1"/>
          <w14:textFill>
            <w14:solidFill>
              <w14:schemeClr w14:val="tx1"/>
            </w14:solidFill>
          </w14:textFill>
        </w:rPr>
      </w:pPr>
    </w:p>
    <w:sectPr>
      <w:pgSz w:w="12240" w:h="15840"/>
      <w:pgMar w:top="1440" w:right="1440" w:bottom="1440" w:left="216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97680851"/>
    </w:sdtPr>
    <w:sdtContent>
      <w:p w14:paraId="54CF16D1">
        <w:pPr>
          <w:pStyle w:val="17"/>
          <w:jc w:val="center"/>
        </w:pPr>
        <w:r>
          <w:fldChar w:fldCharType="begin"/>
        </w:r>
        <w:r>
          <w:instrText xml:space="preserve"> PAGE   \* MERGEFORMAT </w:instrText>
        </w:r>
        <w:r>
          <w:fldChar w:fldCharType="separate"/>
        </w:r>
        <w:r>
          <w:t>41</w:t>
        </w:r>
        <w:r>
          <w:fldChar w:fldCharType="end"/>
        </w:r>
      </w:p>
    </w:sdtContent>
  </w:sdt>
  <w:p w14:paraId="27AB208D">
    <w:pPr>
      <w:pStyle w:val="1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C25AE6"/>
    <w:multiLevelType w:val="multilevel"/>
    <w:tmpl w:val="07C25AE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6E29606C"/>
    <w:multiLevelType w:val="multilevel"/>
    <w:tmpl w:val="6E29606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ocumentProtection w:enforcement="0"/>
  <w:defaultTabStop w:val="720"/>
  <w:drawingGridHorizontalSpacing w:val="12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551C"/>
    <w:rsid w:val="00053F2F"/>
    <w:rsid w:val="000878B1"/>
    <w:rsid w:val="000A0E09"/>
    <w:rsid w:val="000D632C"/>
    <w:rsid w:val="00104D9B"/>
    <w:rsid w:val="00125DC3"/>
    <w:rsid w:val="00167AE4"/>
    <w:rsid w:val="00171C03"/>
    <w:rsid w:val="00180739"/>
    <w:rsid w:val="001D4E8C"/>
    <w:rsid w:val="002079F0"/>
    <w:rsid w:val="00221EB4"/>
    <w:rsid w:val="003228CE"/>
    <w:rsid w:val="00324582"/>
    <w:rsid w:val="003E0A25"/>
    <w:rsid w:val="0046162A"/>
    <w:rsid w:val="0049629E"/>
    <w:rsid w:val="004D7B2C"/>
    <w:rsid w:val="00592774"/>
    <w:rsid w:val="005E294E"/>
    <w:rsid w:val="0060136D"/>
    <w:rsid w:val="006B19E7"/>
    <w:rsid w:val="006E049F"/>
    <w:rsid w:val="00722CFC"/>
    <w:rsid w:val="00761C8D"/>
    <w:rsid w:val="007633BA"/>
    <w:rsid w:val="007810D3"/>
    <w:rsid w:val="00791987"/>
    <w:rsid w:val="007C3B0E"/>
    <w:rsid w:val="00800442"/>
    <w:rsid w:val="008848A6"/>
    <w:rsid w:val="00914466"/>
    <w:rsid w:val="009236DD"/>
    <w:rsid w:val="009A243A"/>
    <w:rsid w:val="00A61706"/>
    <w:rsid w:val="00A8551C"/>
    <w:rsid w:val="00AF55C0"/>
    <w:rsid w:val="00B137B1"/>
    <w:rsid w:val="00B27C71"/>
    <w:rsid w:val="00BC2799"/>
    <w:rsid w:val="00C02758"/>
    <w:rsid w:val="00C5682D"/>
    <w:rsid w:val="00D16A0E"/>
    <w:rsid w:val="00D9707F"/>
    <w:rsid w:val="00DD7EC5"/>
    <w:rsid w:val="00E9355B"/>
    <w:rsid w:val="00EA778A"/>
    <w:rsid w:val="00EB1116"/>
    <w:rsid w:val="00ED7D06"/>
    <w:rsid w:val="00F017F6"/>
    <w:rsid w:val="00F2098B"/>
    <w:rsid w:val="00F24679"/>
    <w:rsid w:val="00FA69D7"/>
    <w:rsid w:val="00FC0011"/>
    <w:rsid w:val="277F69CA"/>
    <w:rsid w:val="45596A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jc w:val="both"/>
    </w:pPr>
    <w:rPr>
      <w:rFonts w:ascii="Times New Roman" w:hAnsi="Times New Roman" w:eastAsiaTheme="minorHAnsi" w:cstheme="minorBidi"/>
      <w:kern w:val="2"/>
      <w:sz w:val="24"/>
      <w:szCs w:val="22"/>
      <w:lang w:val="en-US" w:eastAsia="en-US" w:bidi="ar-SA"/>
      <w14:ligatures w14:val="standardContextual"/>
    </w:rPr>
  </w:style>
  <w:style w:type="paragraph" w:styleId="2">
    <w:name w:val="heading 1"/>
    <w:basedOn w:val="1"/>
    <w:next w:val="1"/>
    <w:link w:val="25"/>
    <w:autoRedefine/>
    <w:qFormat/>
    <w:uiPriority w:val="9"/>
    <w:pPr>
      <w:keepNext/>
      <w:keepLines/>
      <w:spacing w:before="240"/>
      <w:jc w:val="center"/>
      <w:outlineLvl w:val="0"/>
    </w:pPr>
    <w:rPr>
      <w:rFonts w:eastAsia="Calibri" w:cstheme="majorBidi"/>
      <w:b/>
      <w:color w:val="000000" w:themeColor="text1"/>
      <w:szCs w:val="32"/>
      <w:lang w:val="en-GB"/>
      <w14:textFill>
        <w14:solidFill>
          <w14:schemeClr w14:val="tx1"/>
        </w14:solidFill>
      </w14:textFill>
    </w:rPr>
  </w:style>
  <w:style w:type="paragraph" w:styleId="3">
    <w:name w:val="heading 2"/>
    <w:basedOn w:val="1"/>
    <w:next w:val="1"/>
    <w:link w:val="26"/>
    <w:autoRedefine/>
    <w:unhideWhenUsed/>
    <w:qFormat/>
    <w:uiPriority w:val="9"/>
    <w:pPr>
      <w:keepNext/>
      <w:keepLines/>
      <w:outlineLvl w:val="1"/>
    </w:pPr>
    <w:rPr>
      <w:rFonts w:eastAsia="Times New Roman" w:cstheme="majorBidi"/>
      <w:b/>
      <w:color w:val="000000" w:themeColor="text1"/>
      <w:szCs w:val="26"/>
      <w14:textFill>
        <w14:solidFill>
          <w14:schemeClr w14:val="tx1"/>
        </w14:solidFill>
      </w14:textFill>
    </w:rPr>
  </w:style>
  <w:style w:type="paragraph" w:styleId="4">
    <w:name w:val="heading 3"/>
    <w:basedOn w:val="1"/>
    <w:next w:val="1"/>
    <w:link w:val="27"/>
    <w:autoRedefine/>
    <w:unhideWhenUsed/>
    <w:qFormat/>
    <w:uiPriority w:val="9"/>
    <w:pPr>
      <w:keepNext/>
      <w:keepLines/>
      <w:outlineLvl w:val="2"/>
    </w:pPr>
    <w:rPr>
      <w:rFonts w:eastAsiaTheme="majorEastAsia" w:cstheme="majorBidi"/>
      <w:b/>
      <w:sz w:val="22"/>
      <w:szCs w:val="24"/>
    </w:rPr>
  </w:style>
  <w:style w:type="paragraph" w:styleId="5">
    <w:name w:val="heading 4"/>
    <w:basedOn w:val="1"/>
    <w:next w:val="1"/>
    <w:link w:val="28"/>
    <w:semiHidden/>
    <w:unhideWhenUsed/>
    <w:qFormat/>
    <w:uiPriority w:val="9"/>
    <w:pPr>
      <w:keepNext/>
      <w:keepLines/>
      <w:spacing w:before="80" w:after="40"/>
      <w:outlineLvl w:val="3"/>
    </w:pPr>
    <w:rPr>
      <w:rFonts w:asciiTheme="minorHAnsi" w:hAnsiTheme="minorHAnsi" w:eastAsiaTheme="majorEastAsia" w:cstheme="majorBidi"/>
      <w:i/>
      <w:iCs/>
      <w:color w:val="2F5597" w:themeColor="accent1" w:themeShade="BF"/>
    </w:rPr>
  </w:style>
  <w:style w:type="paragraph" w:styleId="6">
    <w:name w:val="heading 5"/>
    <w:basedOn w:val="1"/>
    <w:next w:val="1"/>
    <w:link w:val="29"/>
    <w:semiHidden/>
    <w:unhideWhenUsed/>
    <w:qFormat/>
    <w:uiPriority w:val="9"/>
    <w:pPr>
      <w:keepNext/>
      <w:keepLines/>
      <w:spacing w:before="80" w:after="40"/>
      <w:outlineLvl w:val="4"/>
    </w:pPr>
    <w:rPr>
      <w:rFonts w:asciiTheme="minorHAnsi" w:hAnsiTheme="minorHAnsi" w:eastAsiaTheme="majorEastAsia" w:cstheme="majorBidi"/>
      <w:color w:val="2F5597" w:themeColor="accent1" w:themeShade="BF"/>
    </w:rPr>
  </w:style>
  <w:style w:type="paragraph" w:styleId="7">
    <w:name w:val="heading 6"/>
    <w:basedOn w:val="1"/>
    <w:next w:val="1"/>
    <w:link w:val="30"/>
    <w:semiHidden/>
    <w:unhideWhenUsed/>
    <w:qFormat/>
    <w:uiPriority w:val="9"/>
    <w:pPr>
      <w:keepNext/>
      <w:keepLines/>
      <w:spacing w:before="4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1"/>
    <w:semiHidden/>
    <w:unhideWhenUsed/>
    <w:qFormat/>
    <w:uiPriority w:val="9"/>
    <w:pPr>
      <w:keepNext/>
      <w:keepLines/>
      <w:spacing w:before="4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2"/>
    <w:semiHidden/>
    <w:unhideWhenUsed/>
    <w:qFormat/>
    <w:uiPriority w:val="9"/>
    <w:pPr>
      <w:keepNext/>
      <w:keepLines/>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3"/>
    <w:semiHidden/>
    <w:unhideWhenUsed/>
    <w:qFormat/>
    <w:uiPriority w:val="9"/>
    <w:pPr>
      <w:keepNext/>
      <w:keepLines/>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annotation reference"/>
    <w:basedOn w:val="11"/>
    <w:semiHidden/>
    <w:unhideWhenUsed/>
    <w:uiPriority w:val="99"/>
    <w:rPr>
      <w:sz w:val="16"/>
      <w:szCs w:val="16"/>
    </w:rPr>
  </w:style>
  <w:style w:type="paragraph" w:styleId="14">
    <w:name w:val="annotation text"/>
    <w:basedOn w:val="1"/>
    <w:link w:val="47"/>
    <w:semiHidden/>
    <w:unhideWhenUsed/>
    <w:uiPriority w:val="99"/>
    <w:pPr>
      <w:jc w:val="left"/>
    </w:pPr>
  </w:style>
  <w:style w:type="paragraph" w:styleId="15">
    <w:name w:val="annotation subject"/>
    <w:basedOn w:val="14"/>
    <w:next w:val="14"/>
    <w:link w:val="48"/>
    <w:semiHidden/>
    <w:unhideWhenUsed/>
    <w:uiPriority w:val="99"/>
    <w:pPr>
      <w:spacing w:line="240" w:lineRule="auto"/>
      <w:jc w:val="both"/>
    </w:pPr>
    <w:rPr>
      <w:b/>
      <w:bCs/>
      <w:sz w:val="20"/>
      <w:szCs w:val="20"/>
    </w:rPr>
  </w:style>
  <w:style w:type="character" w:styleId="16">
    <w:name w:val="Emphasis"/>
    <w:basedOn w:val="11"/>
    <w:qFormat/>
    <w:uiPriority w:val="20"/>
    <w:rPr>
      <w:i/>
      <w:iCs/>
    </w:rPr>
  </w:style>
  <w:style w:type="paragraph" w:styleId="17">
    <w:name w:val="footer"/>
    <w:basedOn w:val="1"/>
    <w:link w:val="44"/>
    <w:unhideWhenUsed/>
    <w:qFormat/>
    <w:uiPriority w:val="99"/>
    <w:pPr>
      <w:tabs>
        <w:tab w:val="center" w:pos="4680"/>
        <w:tab w:val="right" w:pos="9360"/>
      </w:tabs>
      <w:spacing w:line="240" w:lineRule="auto"/>
    </w:pPr>
    <w:rPr>
      <w:kern w:val="0"/>
      <w14:ligatures w14:val="none"/>
    </w:rPr>
  </w:style>
  <w:style w:type="character" w:styleId="18">
    <w:name w:val="Hyperlink"/>
    <w:basedOn w:val="11"/>
    <w:unhideWhenUsed/>
    <w:qFormat/>
    <w:uiPriority w:val="99"/>
    <w:rPr>
      <w:color w:val="0563C1" w:themeColor="hyperlink"/>
      <w:u w:val="single"/>
      <w14:textFill>
        <w14:solidFill>
          <w14:schemeClr w14:val="hlink"/>
        </w14:solidFill>
      </w14:textFill>
    </w:rPr>
  </w:style>
  <w:style w:type="paragraph" w:styleId="19">
    <w:name w:val="Normal (Web)"/>
    <w:basedOn w:val="1"/>
    <w:semiHidden/>
    <w:unhideWhenUsed/>
    <w:qFormat/>
    <w:uiPriority w:val="99"/>
    <w:pPr>
      <w:spacing w:before="100" w:beforeAutospacing="1" w:after="100" w:afterAutospacing="1" w:line="240" w:lineRule="auto"/>
      <w:jc w:val="left"/>
    </w:pPr>
    <w:rPr>
      <w:rFonts w:eastAsia="Times New Roman" w:cs="Times New Roman"/>
      <w:kern w:val="0"/>
      <w:szCs w:val="24"/>
      <w14:ligatures w14:val="none"/>
    </w:rPr>
  </w:style>
  <w:style w:type="character" w:styleId="20">
    <w:name w:val="Strong"/>
    <w:basedOn w:val="11"/>
    <w:qFormat/>
    <w:uiPriority w:val="22"/>
    <w:rPr>
      <w:b/>
      <w:bCs/>
    </w:rPr>
  </w:style>
  <w:style w:type="paragraph" w:styleId="21">
    <w:name w:val="Subtitle"/>
    <w:basedOn w:val="1"/>
    <w:next w:val="1"/>
    <w:link w:val="35"/>
    <w:qFormat/>
    <w:uiPriority w:val="11"/>
    <w:pPr>
      <w:spacing w:after="160"/>
    </w:pPr>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2">
    <w:name w:val="Title"/>
    <w:basedOn w:val="1"/>
    <w:next w:val="1"/>
    <w:link w:val="3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3">
    <w:name w:val="toc 1"/>
    <w:basedOn w:val="1"/>
    <w:next w:val="1"/>
    <w:autoRedefine/>
    <w:unhideWhenUsed/>
    <w:qFormat/>
    <w:uiPriority w:val="39"/>
    <w:pPr>
      <w:spacing w:after="100"/>
    </w:pPr>
    <w:rPr>
      <w:b/>
      <w:kern w:val="0"/>
      <w14:ligatures w14:val="none"/>
    </w:rPr>
  </w:style>
  <w:style w:type="paragraph" w:styleId="24">
    <w:name w:val="toc 2"/>
    <w:basedOn w:val="1"/>
    <w:next w:val="1"/>
    <w:autoRedefine/>
    <w:unhideWhenUsed/>
    <w:qFormat/>
    <w:uiPriority w:val="39"/>
    <w:pPr>
      <w:spacing w:after="100"/>
      <w:ind w:left="240"/>
    </w:pPr>
    <w:rPr>
      <w:kern w:val="0"/>
      <w14:ligatures w14:val="none"/>
    </w:rPr>
  </w:style>
  <w:style w:type="character" w:customStyle="1" w:styleId="25">
    <w:name w:val="Heading 1 Char"/>
    <w:basedOn w:val="11"/>
    <w:link w:val="2"/>
    <w:qFormat/>
    <w:uiPriority w:val="9"/>
    <w:rPr>
      <w:rFonts w:ascii="Times New Roman" w:hAnsi="Times New Roman" w:eastAsia="Calibri" w:cstheme="majorBidi"/>
      <w:b/>
      <w:color w:val="000000" w:themeColor="text1"/>
      <w:sz w:val="24"/>
      <w:szCs w:val="32"/>
      <w:lang w:val="en-GB"/>
      <w14:textFill>
        <w14:solidFill>
          <w14:schemeClr w14:val="tx1"/>
        </w14:solidFill>
      </w14:textFill>
    </w:rPr>
  </w:style>
  <w:style w:type="character" w:customStyle="1" w:styleId="26">
    <w:name w:val="Heading 2 Char"/>
    <w:basedOn w:val="11"/>
    <w:link w:val="3"/>
    <w:qFormat/>
    <w:uiPriority w:val="9"/>
    <w:rPr>
      <w:rFonts w:ascii="Times New Roman" w:hAnsi="Times New Roman" w:eastAsia="Times New Roman" w:cstheme="majorBidi"/>
      <w:b/>
      <w:color w:val="000000" w:themeColor="text1"/>
      <w:sz w:val="24"/>
      <w:szCs w:val="26"/>
      <w14:textFill>
        <w14:solidFill>
          <w14:schemeClr w14:val="tx1"/>
        </w14:solidFill>
      </w14:textFill>
    </w:rPr>
  </w:style>
  <w:style w:type="character" w:customStyle="1" w:styleId="27">
    <w:name w:val="Heading 3 Char"/>
    <w:basedOn w:val="11"/>
    <w:link w:val="4"/>
    <w:qFormat/>
    <w:uiPriority w:val="9"/>
    <w:rPr>
      <w:rFonts w:ascii="Times New Roman" w:hAnsi="Times New Roman" w:eastAsiaTheme="majorEastAsia" w:cstheme="majorBidi"/>
      <w:b/>
      <w:szCs w:val="24"/>
    </w:rPr>
  </w:style>
  <w:style w:type="character" w:customStyle="1" w:styleId="28">
    <w:name w:val="Heading 4 Char"/>
    <w:basedOn w:val="11"/>
    <w:link w:val="5"/>
    <w:semiHidden/>
    <w:qFormat/>
    <w:uiPriority w:val="9"/>
    <w:rPr>
      <w:rFonts w:eastAsiaTheme="majorEastAsia" w:cstheme="majorBidi"/>
      <w:i/>
      <w:iCs/>
      <w:color w:val="2F5597" w:themeColor="accent1" w:themeShade="BF"/>
      <w:sz w:val="24"/>
    </w:rPr>
  </w:style>
  <w:style w:type="character" w:customStyle="1" w:styleId="29">
    <w:name w:val="Heading 5 Char"/>
    <w:basedOn w:val="11"/>
    <w:link w:val="6"/>
    <w:semiHidden/>
    <w:qFormat/>
    <w:uiPriority w:val="9"/>
    <w:rPr>
      <w:rFonts w:eastAsiaTheme="majorEastAsia" w:cstheme="majorBidi"/>
      <w:color w:val="2F5597" w:themeColor="accent1" w:themeShade="BF"/>
      <w:sz w:val="24"/>
    </w:rPr>
  </w:style>
  <w:style w:type="character" w:customStyle="1" w:styleId="30">
    <w:name w:val="Heading 6 Char"/>
    <w:basedOn w:val="11"/>
    <w:link w:val="7"/>
    <w:semiHidden/>
    <w:qFormat/>
    <w:uiPriority w:val="9"/>
    <w:rPr>
      <w:rFonts w:eastAsiaTheme="majorEastAsia" w:cstheme="majorBidi"/>
      <w:i/>
      <w:iCs/>
      <w:color w:val="595959" w:themeColor="text1" w:themeTint="A6"/>
      <w:sz w:val="24"/>
      <w14:textFill>
        <w14:solidFill>
          <w14:schemeClr w14:val="tx1">
            <w14:lumMod w14:val="65000"/>
            <w14:lumOff w14:val="35000"/>
          </w14:schemeClr>
        </w14:solidFill>
      </w14:textFill>
    </w:rPr>
  </w:style>
  <w:style w:type="character" w:customStyle="1" w:styleId="31">
    <w:name w:val="Heading 7 Char"/>
    <w:basedOn w:val="11"/>
    <w:link w:val="8"/>
    <w:semiHidden/>
    <w:qFormat/>
    <w:uiPriority w:val="9"/>
    <w:rPr>
      <w:rFonts w:eastAsiaTheme="majorEastAsia" w:cstheme="majorBidi"/>
      <w:color w:val="595959" w:themeColor="text1" w:themeTint="A6"/>
      <w:sz w:val="24"/>
      <w14:textFill>
        <w14:solidFill>
          <w14:schemeClr w14:val="tx1">
            <w14:lumMod w14:val="65000"/>
            <w14:lumOff w14:val="35000"/>
          </w14:schemeClr>
        </w14:solidFill>
      </w14:textFill>
    </w:rPr>
  </w:style>
  <w:style w:type="character" w:customStyle="1" w:styleId="32">
    <w:name w:val="Heading 8 Char"/>
    <w:basedOn w:val="11"/>
    <w:link w:val="9"/>
    <w:semiHidden/>
    <w:qFormat/>
    <w:uiPriority w:val="9"/>
    <w:rPr>
      <w:rFonts w:eastAsiaTheme="majorEastAsia" w:cstheme="majorBidi"/>
      <w:i/>
      <w:iCs/>
      <w:color w:val="262626" w:themeColor="text1" w:themeTint="D9"/>
      <w:sz w:val="24"/>
      <w14:textFill>
        <w14:solidFill>
          <w14:schemeClr w14:val="tx1">
            <w14:lumMod w14:val="85000"/>
            <w14:lumOff w14:val="15000"/>
          </w14:schemeClr>
        </w14:solidFill>
      </w14:textFill>
    </w:rPr>
  </w:style>
  <w:style w:type="character" w:customStyle="1" w:styleId="33">
    <w:name w:val="Heading 9 Char"/>
    <w:basedOn w:val="11"/>
    <w:link w:val="10"/>
    <w:semiHidden/>
    <w:qFormat/>
    <w:uiPriority w:val="9"/>
    <w:rPr>
      <w:rFonts w:eastAsiaTheme="majorEastAsia" w:cstheme="majorBidi"/>
      <w:color w:val="262626" w:themeColor="text1" w:themeTint="D9"/>
      <w:sz w:val="24"/>
      <w14:textFill>
        <w14:solidFill>
          <w14:schemeClr w14:val="tx1">
            <w14:lumMod w14:val="85000"/>
            <w14:lumOff w14:val="15000"/>
          </w14:schemeClr>
        </w14:solidFill>
      </w14:textFill>
    </w:rPr>
  </w:style>
  <w:style w:type="character" w:customStyle="1" w:styleId="34">
    <w:name w:val="Title Char"/>
    <w:basedOn w:val="11"/>
    <w:link w:val="22"/>
    <w:qFormat/>
    <w:uiPriority w:val="10"/>
    <w:rPr>
      <w:rFonts w:asciiTheme="majorHAnsi" w:hAnsiTheme="majorHAnsi" w:eastAsiaTheme="majorEastAsia" w:cstheme="majorBidi"/>
      <w:spacing w:val="-10"/>
      <w:kern w:val="28"/>
      <w:sz w:val="56"/>
      <w:szCs w:val="56"/>
    </w:rPr>
  </w:style>
  <w:style w:type="character" w:customStyle="1" w:styleId="35">
    <w:name w:val="Subtitle Char"/>
    <w:basedOn w:val="11"/>
    <w:link w:val="2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6">
    <w:name w:val="Quote"/>
    <w:basedOn w:val="1"/>
    <w:next w:val="1"/>
    <w:link w:val="37"/>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7">
    <w:name w:val="Quote Char"/>
    <w:basedOn w:val="11"/>
    <w:link w:val="36"/>
    <w:qFormat/>
    <w:uiPriority w:val="29"/>
    <w:rPr>
      <w:rFonts w:ascii="Times New Roman" w:hAnsi="Times New Roman"/>
      <w:i/>
      <w:iCs/>
      <w:color w:val="404040" w:themeColor="text1" w:themeTint="BF"/>
      <w:sz w:val="24"/>
      <w14:textFill>
        <w14:solidFill>
          <w14:schemeClr w14:val="tx1">
            <w14:lumMod w14:val="75000"/>
            <w14:lumOff w14:val="25000"/>
          </w14:schemeClr>
        </w14:solidFill>
      </w14:textFill>
    </w:rPr>
  </w:style>
  <w:style w:type="paragraph" w:styleId="38">
    <w:name w:val="List Paragraph"/>
    <w:basedOn w:val="1"/>
    <w:qFormat/>
    <w:uiPriority w:val="34"/>
    <w:pPr>
      <w:ind w:left="720"/>
      <w:contextualSpacing/>
    </w:pPr>
  </w:style>
  <w:style w:type="character" w:customStyle="1" w:styleId="39">
    <w:name w:val="Intense Emphasis1"/>
    <w:basedOn w:val="11"/>
    <w:qFormat/>
    <w:uiPriority w:val="21"/>
    <w:rPr>
      <w:i/>
      <w:iCs/>
      <w:color w:val="2F5597" w:themeColor="accent1" w:themeShade="BF"/>
    </w:rPr>
  </w:style>
  <w:style w:type="paragraph" w:styleId="40">
    <w:name w:val="Intense Quote"/>
    <w:basedOn w:val="1"/>
    <w:next w:val="1"/>
    <w:link w:val="4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1">
    <w:name w:val="Intense Quote Char"/>
    <w:basedOn w:val="11"/>
    <w:link w:val="40"/>
    <w:qFormat/>
    <w:uiPriority w:val="30"/>
    <w:rPr>
      <w:rFonts w:ascii="Times New Roman" w:hAnsi="Times New Roman"/>
      <w:i/>
      <w:iCs/>
      <w:color w:val="2F5597" w:themeColor="accent1" w:themeShade="BF"/>
      <w:sz w:val="24"/>
    </w:rPr>
  </w:style>
  <w:style w:type="character" w:customStyle="1" w:styleId="42">
    <w:name w:val="Intense Reference1"/>
    <w:basedOn w:val="11"/>
    <w:qFormat/>
    <w:uiPriority w:val="32"/>
    <w:rPr>
      <w:b/>
      <w:bCs/>
      <w:smallCaps/>
      <w:color w:val="2F5597" w:themeColor="accent1" w:themeShade="BF"/>
      <w:spacing w:val="5"/>
    </w:rPr>
  </w:style>
  <w:style w:type="paragraph" w:styleId="43">
    <w:name w:val="No Spacing"/>
    <w:qFormat/>
    <w:uiPriority w:val="1"/>
    <w:pPr>
      <w:jc w:val="both"/>
    </w:pPr>
    <w:rPr>
      <w:rFonts w:ascii="Times New Roman" w:hAnsi="Times New Roman" w:eastAsiaTheme="minorHAnsi" w:cstheme="minorBidi"/>
      <w:kern w:val="2"/>
      <w:sz w:val="24"/>
      <w:szCs w:val="22"/>
      <w:lang w:val="en-US" w:eastAsia="en-US" w:bidi="ar-SA"/>
      <w14:ligatures w14:val="standardContextual"/>
    </w:rPr>
  </w:style>
  <w:style w:type="character" w:customStyle="1" w:styleId="44">
    <w:name w:val="Footer Char"/>
    <w:basedOn w:val="11"/>
    <w:link w:val="17"/>
    <w:qFormat/>
    <w:uiPriority w:val="99"/>
    <w:rPr>
      <w:rFonts w:ascii="Times New Roman" w:hAnsi="Times New Roman"/>
      <w:kern w:val="0"/>
      <w:sz w:val="24"/>
      <w14:ligatures w14:val="none"/>
    </w:rPr>
  </w:style>
  <w:style w:type="character" w:customStyle="1" w:styleId="45">
    <w:name w:val="bz_pyq_fadein"/>
    <w:basedOn w:val="11"/>
    <w:qFormat/>
    <w:uiPriority w:val="0"/>
  </w:style>
  <w:style w:type="paragraph" w:customStyle="1" w:styleId="46">
    <w:name w:val="Revision"/>
    <w:hidden/>
    <w:unhideWhenUsed/>
    <w:uiPriority w:val="99"/>
    <w:rPr>
      <w:rFonts w:ascii="Times New Roman" w:hAnsi="Times New Roman" w:eastAsiaTheme="minorHAnsi" w:cstheme="minorBidi"/>
      <w:kern w:val="2"/>
      <w:sz w:val="24"/>
      <w:szCs w:val="22"/>
      <w:lang w:val="en-US" w:eastAsia="en-US" w:bidi="ar-SA"/>
      <w14:ligatures w14:val="standardContextual"/>
    </w:rPr>
  </w:style>
  <w:style w:type="character" w:customStyle="1" w:styleId="47">
    <w:name w:val="Comment Text Char"/>
    <w:basedOn w:val="11"/>
    <w:link w:val="14"/>
    <w:semiHidden/>
    <w:uiPriority w:val="99"/>
    <w:rPr>
      <w:rFonts w:ascii="Times New Roman" w:hAnsi="Times New Roman"/>
      <w:kern w:val="2"/>
      <w:sz w:val="24"/>
      <w:szCs w:val="22"/>
      <w:lang w:val="en-US" w:eastAsia="en-US"/>
      <w14:ligatures w14:val="standardContextual"/>
    </w:rPr>
  </w:style>
  <w:style w:type="character" w:customStyle="1" w:styleId="48">
    <w:name w:val="Comment Subject Char"/>
    <w:basedOn w:val="47"/>
    <w:link w:val="15"/>
    <w:semiHidden/>
    <w:uiPriority w:val="99"/>
    <w:rPr>
      <w:rFonts w:ascii="Times New Roman" w:hAnsi="Times New Roman"/>
      <w:b/>
      <w:bCs/>
      <w:kern w:val="2"/>
      <w:sz w:val="24"/>
      <w:szCs w:val="22"/>
      <w:lang w:val="en-US" w:eastAsia="en-US"/>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image" Target="media/image2.wmf"/><Relationship Id="rId8" Type="http://schemas.openxmlformats.org/officeDocument/2006/relationships/oleObject" Target="embeddings/oleObject1.bin"/><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63</Pages>
  <Words>6249</Words>
  <Characters>40007</Characters>
  <Lines>808</Lines>
  <Paragraphs>227</Paragraphs>
  <TotalTime>36</TotalTime>
  <ScaleCrop>false</ScaleCrop>
  <LinksUpToDate>false</LinksUpToDate>
  <CharactersWithSpaces>46189</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2026-04-01T15:31:00Z</dcterms:created>
  <dc:creator>Sebastian Nthusi</dc:creator>
  <cp:lastModifiedBy>WPS_1775642518</cp:lastModifiedBy>
  <dcterms:modified xsi:type="dcterms:W3CDTF">2026-04-09T12:17:03Z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7EB9903D1099447094AD20E0EF380053_13</vt:lpwstr>
  </property>
</Properties>
</file>