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rFonts w:ascii="Times New Roman" w:hAnsi="Times New Roman"/>
          <w:b/>
          <w:sz w:val="28"/>
        </w:rPr>
        <w:t>CHAPTER 4: SYSTEM DESIGN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4.1 Introduction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 xml:space="preserve">This chapter presents the detailed system design of the </w:t>
      </w:r>
      <w:r>
        <w:rPr>
          <w:rFonts w:ascii="Times New Roman" w:hAnsi="Times New Roman"/>
          <w:b/>
          <w:sz w:val="24"/>
        </w:rPr>
        <w:t>Biomech-Coach</w:t>
      </w:r>
      <w:r>
        <w:rPr>
          <w:rFonts w:ascii="Times New Roman" w:hAnsi="Times New Roman"/>
          <w:sz w:val="24"/>
        </w:rPr>
        <w:t xml:space="preserve"> application. It details the structural architecture, the finite-state machine (FSM) transitions, the local database schema, and the user interface design. The design is engineered to support low-latency on-device processing and robust offline storage.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4.2 System Architecture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 xml:space="preserve">The application is structured using a modular architecture based on the </w:t>
      </w:r>
      <w:r>
        <w:rPr>
          <w:rFonts w:ascii="Times New Roman" w:hAnsi="Times New Roman"/>
          <w:b/>
          <w:sz w:val="24"/>
        </w:rPr>
        <w:t>Model-View-Controller (MVC)</w:t>
      </w:r>
      <w:r>
        <w:rPr>
          <w:rFonts w:ascii="Times New Roman" w:hAnsi="Times New Roman"/>
          <w:sz w:val="24"/>
        </w:rPr>
        <w:t xml:space="preserve"> design pattern, modified to integrate localized machine learning and biomechanical analysis services. This division separates camera capture and UI rendering from joint angle analysis and state transitions.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The data flow and interactions between modules are structured as follows: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1.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View Layer:</w:t>
      </w:r>
      <w:r>
        <w:rPr>
          <w:rFonts w:ascii="Times New Roman" w:hAnsi="Times New Roman"/>
          <w:sz w:val="24"/>
        </w:rPr>
        <w:t xml:space="preserve"> Comprises Flutter screens and painter overlays. The live camera preview captures raw video frames, and a custom skeleton overlay paints coordinates directly onto the screen.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2.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Controller Layer:</w:t>
      </w:r>
      <w:r>
        <w:rPr>
          <w:rFonts w:ascii="Times New Roman" w:hAnsi="Times New Roman"/>
          <w:sz w:val="24"/>
        </w:rPr>
        <w:t xml:space="preserve"> Managed by the camera controller and State Providers. It coordinates the lifecycle of the camera stream and routes landmark data to the analytical services.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3.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Model Layer:</w:t>
      </w:r>
      <w:r>
        <w:rPr>
          <w:rFonts w:ascii="Times New Roman" w:hAnsi="Times New Roman"/>
          <w:sz w:val="24"/>
        </w:rPr>
        <w:t xml:space="preserve"> Defined by Hive database models (</w:t>
      </w:r>
      <w:r>
        <w:rPr>
          <w:rFonts w:ascii="Times New Roman" w:hAnsi="Times New Roman"/>
          <w:sz w:val="24"/>
        </w:rPr>
        <w:t>LiftSession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sz w:val="24"/>
        </w:rPr>
        <w:t>RepRecord</w:t>
      </w:r>
      <w:r>
        <w:rPr>
          <w:rFonts w:ascii="Times New Roman" w:hAnsi="Times New Roman"/>
          <w:sz w:val="24"/>
        </w:rPr>
        <w:t>), which represent local persistent structures.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4.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Service &amp; Engine Layer:</w:t>
      </w:r>
      <w:r>
        <w:rPr>
          <w:rFonts w:ascii="Times New Roman" w:hAnsi="Times New Roman"/>
          <w:sz w:val="24"/>
        </w:rPr>
        <w:t xml:space="preserve"> Houses the core processing modules, including Google ML Kit Pose Detection, the Biomechanics Engine, the Repetition State Machine, the Text-to-Speech (TTS) Coach, and the Backup Service.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This structural data flow is illustrated in Figure 4.1.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![Figure 4.1: System Architecture and Data Flow](diagrams/system_architecture.png)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4.3 Biomechanical State Machine Design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Repetition validation is executed via a deterministic Finite State Machine (FSM). The FSM evaluates joint coordinate angles sequentially to transition between movement phases. This prevents half-reps or poor-form movements from being recorded.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4.3.1 Repetition States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The lifecycle of a single repetition transitions through the following states: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•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idle</w:t>
      </w:r>
      <w:r>
        <w:rPr>
          <w:rFonts w:ascii="Times New Roman" w:hAnsi="Times New Roman"/>
          <w:sz w:val="24"/>
        </w:rPr>
        <w:t>: The athlete is standing or holding the starting position. The joint angles are above the start threshold.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•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descending</w:t>
      </w:r>
      <w:r>
        <w:rPr>
          <w:rFonts w:ascii="Times New Roman" w:hAnsi="Times New Roman"/>
          <w:sz w:val="24"/>
        </w:rPr>
        <w:t>: The athlete begins the eccentric phase of the lift. Joint angles decrease.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•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atDepth</w:t>
      </w:r>
      <w:r>
        <w:rPr>
          <w:rFonts w:ascii="Times New Roman" w:hAnsi="Times New Roman"/>
          <w:sz w:val="24"/>
        </w:rPr>
        <w:t>: The target depth is achieved (e.g., hip crease below knee level for a squat).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•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ascending</w:t>
      </w:r>
      <w:r>
        <w:rPr>
          <w:rFonts w:ascii="Times New Roman" w:hAnsi="Times New Roman"/>
          <w:sz w:val="24"/>
        </w:rPr>
        <w:t>: The athlete executes the concentric phase, pushing upward. Joint angles increase.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•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lockout</w:t>
      </w:r>
      <w:r>
        <w:rPr>
          <w:rFonts w:ascii="Times New Roman" w:hAnsi="Times New Roman"/>
          <w:sz w:val="24"/>
        </w:rPr>
        <w:t>: The joint angles reach full extension, completing the range of motion.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•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complete</w:t>
      </w:r>
      <w:r>
        <w:rPr>
          <w:rFonts w:ascii="Times New Roman" w:hAnsi="Times New Roman"/>
          <w:sz w:val="24"/>
        </w:rPr>
        <w:t xml:space="preserve">: The repetition is verified as valid or invalid, logged to the database, and the state resets back to </w:t>
      </w:r>
      <w:r>
        <w:rPr>
          <w:rFonts w:ascii="Times New Roman" w:hAnsi="Times New Roman"/>
          <w:sz w:val="24"/>
        </w:rPr>
        <w:t>idle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The state transition path is mapped in Figure 4.2.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![Figure 4.2: Repetition State Machine Transitions](diagrams/state_machine.png)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4.3.2 Lift Transition Parameters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 xml:space="preserve">The state transitions are governed by angle thresholds configured in </w:t>
      </w:r>
      <w:r>
        <w:rPr>
          <w:rFonts w:ascii="Times New Roman" w:hAnsi="Times New Roman"/>
          <w:sz w:val="24"/>
        </w:rPr>
        <w:t>lift_thresholds.dart</w:t>
      </w:r>
      <w:r>
        <w:rPr>
          <w:rFonts w:ascii="Times New Roman" w:hAnsi="Times New Roman"/>
          <w:sz w:val="24"/>
        </w:rPr>
        <w:t>. Table 4.1 summarizes the exact joint parameters used to evaluate each lift.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Table 4.1: State Machine Transition Constraints</w:t>
      </w:r>
      <w:r>
        <w:rPr>
          <w:rFonts w:ascii="Times New Roman" w:hAnsi="Times New Roman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2F2F2"/>
          </w:tcPr>
          <w:p>
            <w:pPr>
              <w:jc w:val="center"/>
            </w:pPr>
            <w:r/>
            <w:r>
              <w:rPr>
                <w:b/>
              </w:rPr>
              <w:t>Lift Type</w:t>
            </w:r>
          </w:p>
        </w:tc>
        <w:tc>
          <w:tcPr>
            <w:tcW w:type="dxa" w:w="1800"/>
            <w:shd w:fill="F2F2F2"/>
          </w:tcPr>
          <w:p>
            <w:pPr>
              <w:jc w:val="center"/>
            </w:pPr>
            <w:r/>
            <w:r>
              <w:rPr>
                <w:b/>
              </w:rPr>
              <w:t>Primary Joint (Depth)</w:t>
            </w:r>
          </w:p>
        </w:tc>
        <w:tc>
          <w:tcPr>
            <w:tcW w:type="dxa" w:w="1800"/>
            <w:shd w:fill="F2F2F2"/>
          </w:tcPr>
          <w:p>
            <w:pPr>
              <w:jc w:val="center"/>
            </w:pPr>
            <w:r/>
            <w:r>
              <w:rPr>
                <w:b/>
              </w:rPr>
              <w:t>Start Descent Angle</w:t>
            </w:r>
          </w:p>
        </w:tc>
        <w:tc>
          <w:tcPr>
            <w:tcW w:type="dxa" w:w="1800"/>
            <w:shd w:fill="F2F2F2"/>
          </w:tcPr>
          <w:p>
            <w:pPr>
              <w:jc w:val="center"/>
            </w:pPr>
            <w:r/>
            <w:r>
              <w:rPr>
                <w:b/>
              </w:rPr>
              <w:t>Target Depth Angle</w:t>
            </w:r>
          </w:p>
        </w:tc>
        <w:tc>
          <w:tcPr>
            <w:tcW w:type="dxa" w:w="1800"/>
            <w:shd w:fill="F2F2F2"/>
          </w:tcPr>
          <w:p>
            <w:pPr>
              <w:jc w:val="center"/>
            </w:pPr>
            <w:r/>
            <w:r>
              <w:rPr>
                <w:b/>
              </w:rPr>
              <w:t>Lockout Joint &amp; Angle</w:t>
            </w:r>
          </w:p>
        </w:tc>
      </w:tr>
      <w:tr>
        <w:tc>
          <w:tcPr>
            <w:tcW w:type="dxa" w:w="1800"/>
          </w:tcPr>
          <w:p>
            <w:r/>
            <w:r/>
            <w:r>
              <w:rPr>
                <w:b/>
              </w:rPr>
              <w:t>Squat</w:t>
            </w:r>
            <w:r/>
          </w:p>
        </w:tc>
        <w:tc>
          <w:tcPr>
            <w:tcW w:type="dxa" w:w="1800"/>
          </w:tcPr>
          <w:p>
            <w:r/>
            <w:r>
              <w:t>Hip Flexion (Shoulder-Hip-Knee)</w:t>
            </w:r>
          </w:p>
        </w:tc>
        <w:tc>
          <w:tcPr>
            <w:tcW w:type="dxa" w:w="1800"/>
          </w:tcPr>
          <w:p>
            <w:r/>
            <w:r>
              <w:t>&lt; 138.0°</w:t>
            </w:r>
          </w:p>
        </w:tc>
        <w:tc>
          <w:tcPr>
            <w:tcW w:type="dxa" w:w="1800"/>
          </w:tcPr>
          <w:p>
            <w:r/>
            <w:r>
              <w:t>≤ 90.0°</w:t>
            </w:r>
          </w:p>
        </w:tc>
        <w:tc>
          <w:tcPr>
            <w:tcW w:type="dxa" w:w="1800"/>
          </w:tcPr>
          <w:p>
            <w:r/>
            <w:r>
              <w:t>Hip &amp; Knee ≥ 145.0°</w:t>
            </w:r>
          </w:p>
        </w:tc>
      </w:tr>
      <w:tr>
        <w:tc>
          <w:tcPr>
            <w:tcW w:type="dxa" w:w="1800"/>
          </w:tcPr>
          <w:p>
            <w:r/>
            <w:r/>
            <w:r>
              <w:rPr>
                <w:b/>
              </w:rPr>
              <w:t>Bench Press</w:t>
            </w:r>
            <w:r/>
          </w:p>
        </w:tc>
        <w:tc>
          <w:tcPr>
            <w:tcW w:type="dxa" w:w="1800"/>
          </w:tcPr>
          <w:p>
            <w:r/>
            <w:r>
              <w:t>Elbow Flexion (Shoulder-Elbow-Wrist)</w:t>
            </w:r>
          </w:p>
        </w:tc>
        <w:tc>
          <w:tcPr>
            <w:tcW w:type="dxa" w:w="1800"/>
          </w:tcPr>
          <w:p>
            <w:r/>
            <w:r>
              <w:t>&lt; 135.0°</w:t>
            </w:r>
          </w:p>
        </w:tc>
        <w:tc>
          <w:tcPr>
            <w:tcW w:type="dxa" w:w="1800"/>
          </w:tcPr>
          <w:p>
            <w:r/>
            <w:r>
              <w:t>≤ 90.0°</w:t>
            </w:r>
          </w:p>
        </w:tc>
        <w:tc>
          <w:tcPr>
            <w:tcW w:type="dxa" w:w="1800"/>
          </w:tcPr>
          <w:p>
            <w:r/>
            <w:r>
              <w:t>Elbow ≥ 140.0°</w:t>
            </w:r>
          </w:p>
        </w:tc>
      </w:tr>
      <w:tr>
        <w:tc>
          <w:tcPr>
            <w:tcW w:type="dxa" w:w="1800"/>
          </w:tcPr>
          <w:p>
            <w:r/>
            <w:r/>
            <w:r>
              <w:rPr>
                <w:b/>
              </w:rPr>
              <w:t>Deadlift</w:t>
            </w:r>
            <w:r/>
          </w:p>
        </w:tc>
        <w:tc>
          <w:tcPr>
            <w:tcW w:type="dxa" w:w="1800"/>
          </w:tcPr>
          <w:p>
            <w:r/>
            <w:r>
              <w:t>Hip Flexion (Shoulder-Hip-Knee)</w:t>
            </w:r>
          </w:p>
        </w:tc>
        <w:tc>
          <w:tcPr>
            <w:tcW w:type="dxa" w:w="1800"/>
          </w:tcPr>
          <w:p>
            <w:r/>
            <w:r>
              <w:t>&lt; 138.0°</w:t>
            </w:r>
          </w:p>
        </w:tc>
        <w:tc>
          <w:tcPr>
            <w:tcW w:type="dxa" w:w="1800"/>
          </w:tcPr>
          <w:p>
            <w:r/>
            <w:r>
              <w:t>≤ 75.0°</w:t>
            </w:r>
          </w:p>
        </w:tc>
        <w:tc>
          <w:tcPr>
            <w:tcW w:type="dxa" w:w="1800"/>
          </w:tcPr>
          <w:p>
            <w:r/>
            <w:r>
              <w:t>Hip &amp; Knee ≥ 145.0°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---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4.4 Database Schema Design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 xml:space="preserve">For persistent storage, the app utilizes </w:t>
      </w:r>
      <w:r>
        <w:rPr>
          <w:rFonts w:ascii="Times New Roman" w:hAnsi="Times New Roman"/>
          <w:b/>
          <w:sz w:val="24"/>
        </w:rPr>
        <w:t>Hive</w:t>
      </w:r>
      <w:r>
        <w:rPr>
          <w:rFonts w:ascii="Times New Roman" w:hAnsi="Times New Roman"/>
          <w:sz w:val="24"/>
        </w:rPr>
        <w:t>, a lightweight key-value database. It runs in pure Dart and saves objects directly in binary format to local memory.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4.4.1 Entity Relationship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The data model consists of two main classes registered with TypeAdapters: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1.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`LiftSession` (TypeID: 0):</w:t>
      </w:r>
      <w:r>
        <w:rPr>
          <w:rFonts w:ascii="Times New Roman" w:hAnsi="Times New Roman"/>
          <w:sz w:val="24"/>
        </w:rPr>
        <w:t xml:space="preserve"> Stores metadata of the workout session. It has a one-to-many relationship with </w:t>
      </w:r>
      <w:r>
        <w:rPr>
          <w:rFonts w:ascii="Times New Roman" w:hAnsi="Times New Roman"/>
          <w:sz w:val="24"/>
        </w:rPr>
        <w:t>RepRecord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2.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`RepRecord` (TypeID: 1):</w:t>
      </w:r>
      <w:r>
        <w:rPr>
          <w:rFonts w:ascii="Times New Roman" w:hAnsi="Times New Roman"/>
          <w:sz w:val="24"/>
        </w:rPr>
        <w:t xml:space="preserve"> Stores the telemetry and results of individual repetitions.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4.4.2 Schema Details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The properties of the database entities are structured as follows: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`dart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// RepRecord Schema (TypeID: 1)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class RepRecord {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DateTime timestamp;      // Exact completion time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bool isValid;            // True if no faults were detected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double formScore;        // Calibrated score out of 100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double minDepthAngle;    // Lowest angle reached at bottom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double lockoutAngle;     // Angle reached at lockout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List&lt;String&gt; faultNotes; // List of detected faults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double durationSeconds;  // Time taken to complete the rep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}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// LiftSession Schema (TypeID: 0)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class LiftSession {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DateTime startTime;      // Session start timestamp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String liftType;         // 'squat', 'benchPress', or 'deadlift'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List&lt;RepRecord&gt; reps;    // Collection of completed repetitions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DateTime endTime;        // Session end timestamp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}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4.4.3 Backup File Format Schema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 xml:space="preserve">The backup service serializes the collection of </w:t>
      </w:r>
      <w:r>
        <w:rPr>
          <w:rFonts w:ascii="Times New Roman" w:hAnsi="Times New Roman"/>
          <w:sz w:val="24"/>
        </w:rPr>
        <w:t>LiftSession</w:t>
      </w:r>
      <w:r>
        <w:rPr>
          <w:rFonts w:ascii="Times New Roman" w:hAnsi="Times New Roman"/>
          <w:sz w:val="24"/>
        </w:rPr>
        <w:t xml:space="preserve"> objects into a single portable JSON file. The JSON schema is structured as a list of session objects containing nested lists of repetition records: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`json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[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{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"startTime": "2026-06-15T10:00:00.000Z",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"liftType": "squat",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"endTime": "2026-06-15T10:15:00.000Z",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"reps": [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{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"timestamp": "2026-06-15T10:01:30.000Z",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"isValid": true,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"formScore": 100.0,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"minDepthAngle": 82.5,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"lockoutAngle": 146.2,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"faultNotes": [],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"durationSeconds": 2.4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}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]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}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]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---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4.5 User Interface Design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4"/>
        </w:rPr>
        <w:t>The user interface is designed using a clean, modern HUD aesthetic with frosted glass elements. The layout consists of four primary screens: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1.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Dashboard (Home Screen):</w:t>
      </w:r>
      <w:r>
        <w:rPr>
          <w:rFonts w:ascii="Times New Roman" w:hAnsi="Times New Roman"/>
          <w:sz w:val="24"/>
        </w:rPr>
        <w:t xml:space="preserve"> Contains exercise selection cards (Squat, Bench Press, Deadlift). It displays overall weekly volume and summary stats.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2.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Camera HUD Screen:</w:t>
      </w:r>
      <w:r>
        <w:rPr>
          <w:rFonts w:ascii="Times New Roman" w:hAnsi="Times New Roman"/>
          <w:sz w:val="24"/>
        </w:rPr>
        <w:t xml:space="preserve"> Displays the live camera view with a overlaying color-coded skeletal frame. It features floating real-time angle gauges on the left and a prominent rep counter on the right.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3.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Session Summary Screen:</w:t>
      </w:r>
      <w:r>
        <w:rPr>
          <w:rFonts w:ascii="Times New Roman" w:hAnsi="Times New Roman"/>
          <w:sz w:val="24"/>
        </w:rPr>
        <w:t xml:space="preserve"> Appears when a workout is ended. It displays the average form score, valid vs. invalid rep ratio, and historical trend lines.</w:t>
      </w:r>
    </w:p>
    <w:p>
      <w:pPr>
        <w:spacing w:line="360" w:lineRule="auto" w:after="120"/>
        <w:ind w:left="360" w:hanging="360"/>
        <w:jc w:val="both"/>
      </w:pPr>
      <w:r>
        <w:rPr>
          <w:rFonts w:ascii="Times New Roman" w:hAnsi="Times New Roman"/>
          <w:sz w:val="24"/>
        </w:rPr>
        <w:t>4.</w:t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Journal Screen:</w:t>
      </w:r>
      <w:r>
        <w:rPr>
          <w:rFonts w:ascii="Times New Roman" w:hAnsi="Times New Roman"/>
          <w:sz w:val="24"/>
        </w:rPr>
        <w:t xml:space="preserve"> Lists historical sessions sequentially. It contains </w:t>
      </w:r>
      <w:r>
        <w:rPr>
          <w:rFonts w:ascii="Times New Roman" w:hAnsi="Times New Roman"/>
          <w:b/>
          <w:sz w:val="24"/>
        </w:rPr>
        <w:t>Import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b/>
          <w:sz w:val="24"/>
        </w:rPr>
        <w:t>Export</w:t>
      </w:r>
      <w:r>
        <w:rPr>
          <w:rFonts w:ascii="Times New Roman" w:hAnsi="Times New Roman"/>
          <w:sz w:val="24"/>
        </w:rPr>
        <w:t xml:space="preserve"> buttons in the top header, allowing users to select or share backup files locally.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