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88BF3" w14:textId="778E2BE9" w:rsidR="001473C7" w:rsidRPr="00715A6E" w:rsidRDefault="00AB29AC" w:rsidP="00715A6E">
      <w:pPr>
        <w:pStyle w:val="ArticleTitle"/>
      </w:pPr>
      <w:r>
        <w:t>From Pixels to plates: assessing resnet-50 and resnet-101 models for food image classification in the food-101 dataset</w:t>
      </w:r>
    </w:p>
    <w:p w14:paraId="717DD2B3" w14:textId="77777777" w:rsidR="001473C7" w:rsidRDefault="001473C7">
      <w:pPr>
        <w:jc w:val="center"/>
      </w:pPr>
    </w:p>
    <w:p w14:paraId="03090CAD" w14:textId="77777777" w:rsidR="001473C7" w:rsidRPr="00715A6E" w:rsidRDefault="001473C7" w:rsidP="00715A6E">
      <w:pPr>
        <w:pStyle w:val="Author"/>
      </w:pPr>
      <w:r w:rsidRPr="00715A6E">
        <w:t>Author(s) Name(s)</w:t>
      </w:r>
    </w:p>
    <w:p w14:paraId="0D37EED7" w14:textId="77777777" w:rsidR="001473C7" w:rsidRDefault="001473C7">
      <w:pPr>
        <w:pStyle w:val="PageNumber1"/>
        <w:rPr>
          <w:rFonts w:ascii="Times New Roman" w:hAnsi="Times New Roman"/>
        </w:rPr>
      </w:pPr>
    </w:p>
    <w:p w14:paraId="35D2651B" w14:textId="77777777" w:rsidR="001473C7" w:rsidRPr="00647336" w:rsidRDefault="001473C7" w:rsidP="00647336">
      <w:pPr>
        <w:pStyle w:val="Subtitle"/>
      </w:pPr>
      <w:r w:rsidRPr="00647336">
        <w:t>Author Affiliation(s)</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rsidSect="00291609">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44A78DE9" w14:textId="044800A9" w:rsidR="001473C7" w:rsidRPr="00647336" w:rsidRDefault="00B2044E" w:rsidP="00647336">
      <w:pPr>
        <w:pStyle w:val="BodyText"/>
      </w:pPr>
      <w:r>
        <w:t xml:space="preserve">In this study, we investigate the performance of deep learning models, specifically ResNet-50 and ResNet-101, in classifying images from the Food-101 dataset, a comprehensive collection comprising 1000 images across 101 distinct food categories. Our aim was to determine the effectiveness of these models in recognizing various food items, with a particular focus on optimizing hyperparameters to enhance classification accuracy. Through rigorous experimentation and analysis, we achieved an average accuracy of 82.91% with the ResNet-50 model and an improved accuracy of 84.02% with the ResNet-101 model. These results underscore the potential of </w:t>
      </w:r>
      <w:proofErr w:type="spellStart"/>
      <w:r>
        <w:t>ResNet</w:t>
      </w:r>
      <w:proofErr w:type="spellEnd"/>
      <w:r>
        <w:t xml:space="preserve"> architectures in the domain of image classification, especially in the context of food recognition. Our findings contribute valuable insights into the optimization of deep learning models for the accurate classification of complex image datasets. This paper provides a comprehensive comparison and offers guidance for future research in the field of food image classification using deep learning approaches.</w:t>
      </w:r>
    </w:p>
    <w:p w14:paraId="6AFBEA13" w14:textId="77777777" w:rsidR="001473C7" w:rsidRDefault="001473C7">
      <w:pPr>
        <w:pStyle w:val="BodyTextIndent"/>
        <w:ind w:firstLine="0"/>
        <w:rPr>
          <w:i w:val="0"/>
        </w:rPr>
      </w:pPr>
    </w:p>
    <w:p w14:paraId="5D4FD136" w14:textId="1BE1C803" w:rsidR="001473C7" w:rsidRDefault="00B2044E">
      <w:pPr>
        <w:pStyle w:val="BodyTextIndent"/>
        <w:ind w:firstLine="360"/>
        <w:rPr>
          <w:b/>
          <w:bCs/>
          <w:szCs w:val="24"/>
        </w:rPr>
      </w:pPr>
      <w:r>
        <w:rPr>
          <w:b/>
          <w:bCs/>
        </w:rPr>
        <w:t>Keywords</w:t>
      </w:r>
      <w:r w:rsidR="001473C7">
        <w:rPr>
          <w:b/>
          <w:bCs/>
          <w:szCs w:val="24"/>
        </w:rPr>
        <w:t xml:space="preserve">— </w:t>
      </w:r>
      <w:r>
        <w:rPr>
          <w:i w:val="0"/>
          <w:iCs/>
          <w:szCs w:val="24"/>
        </w:rPr>
        <w:t xml:space="preserve">Image classification, </w:t>
      </w:r>
      <w:proofErr w:type="spellStart"/>
      <w:r>
        <w:rPr>
          <w:i w:val="0"/>
          <w:iCs/>
          <w:szCs w:val="24"/>
        </w:rPr>
        <w:t>ResNet</w:t>
      </w:r>
      <w:proofErr w:type="spellEnd"/>
      <w:r>
        <w:rPr>
          <w:i w:val="0"/>
          <w:iCs/>
          <w:szCs w:val="24"/>
        </w:rPr>
        <w:t xml:space="preserve"> models, ResNet-50, ResNet-101, Food recognition</w:t>
      </w:r>
    </w:p>
    <w:p w14:paraId="5A19FDA0" w14:textId="77777777" w:rsidR="001473C7" w:rsidRDefault="001473C7">
      <w:pPr>
        <w:pStyle w:val="BodyTextIndent"/>
        <w:ind w:firstLine="0"/>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5E71F8B8" w14:textId="647862A7" w:rsidR="001473C7" w:rsidRDefault="007B74FA">
      <w:pPr>
        <w:jc w:val="both"/>
        <w:rPr>
          <w:sz w:val="20"/>
        </w:rPr>
      </w:pPr>
      <w:r>
        <w:rPr>
          <w:sz w:val="20"/>
        </w:rPr>
        <w:t xml:space="preserve">At the crossroads of culinary arts and technological innovation stands a burgeoning field: the automated identification of meals through the lens of food photography. As digital solutions increasingly become integral to daily routines, the demand for advanced algorithms capable of precisely identifying and classifying a wide spectrum of food items has never been more critical. This requirement transcends mere convenience, touching on vital areas including health, education, commercial activities, and fostering community ties. </w:t>
      </w:r>
    </w:p>
    <w:p w14:paraId="74A30DB3" w14:textId="77777777" w:rsidR="005B7E3F" w:rsidRDefault="005B7E3F">
      <w:pPr>
        <w:jc w:val="both"/>
        <w:rPr>
          <w:sz w:val="20"/>
        </w:rPr>
      </w:pPr>
    </w:p>
    <w:p w14:paraId="7AB09FFC" w14:textId="5731CB9C" w:rsidR="007B74FA" w:rsidRDefault="007B74FA">
      <w:pPr>
        <w:jc w:val="both"/>
        <w:rPr>
          <w:sz w:val="20"/>
        </w:rPr>
      </w:pPr>
      <w:r>
        <w:rPr>
          <w:sz w:val="20"/>
        </w:rPr>
        <w:t xml:space="preserve">The adoption of food recognition technologies into systems for monitoring nutrition and managing dietary habits underscores its significant impact. Amidst a global surge in obesity and diet-related health issues, the simple act of logging dietary intake with a photo offers a powerful tool </w:t>
      </w:r>
      <w:r>
        <w:rPr>
          <w:sz w:val="20"/>
        </w:rPr>
        <w:t>for individuals aiming to adopt healthier lifestyles. Additionally, with the rise of gastronomic curiosity worldwide, there’s an expanding appetite for apps capable of offering recipe ideas, dining suggestions, and meal planning assistance tailored to specific dietary needs and preferences.</w:t>
      </w:r>
    </w:p>
    <w:p w14:paraId="099D23D6" w14:textId="77777777" w:rsidR="005B7E3F" w:rsidRDefault="005B7E3F">
      <w:pPr>
        <w:jc w:val="both"/>
        <w:rPr>
          <w:sz w:val="20"/>
        </w:rPr>
      </w:pPr>
    </w:p>
    <w:p w14:paraId="07DC913F" w14:textId="11A16DB8" w:rsidR="007B74FA" w:rsidRDefault="007B74FA">
      <w:pPr>
        <w:jc w:val="both"/>
        <w:rPr>
          <w:sz w:val="20"/>
        </w:rPr>
      </w:pPr>
      <w:r>
        <w:rPr>
          <w:sz w:val="20"/>
        </w:rPr>
        <w:t xml:space="preserve">The utility of automatic food identification goes beyond personal health and enjoyment, extending into practical applications like inventory management within homes and commercial establishments. This facilitates more effective resource utilization and contributes to reducing food wastage. In the educational sector, this technology acts as a gateway to learning about the rich tapestry of global cuisines and cultures, enriching the knowledge and appreciation of students of all ages. </w:t>
      </w:r>
    </w:p>
    <w:p w14:paraId="4CC856C4" w14:textId="77777777" w:rsidR="005B7E3F" w:rsidRDefault="005B7E3F">
      <w:pPr>
        <w:jc w:val="both"/>
        <w:rPr>
          <w:sz w:val="20"/>
        </w:rPr>
      </w:pPr>
    </w:p>
    <w:p w14:paraId="4CD74D21" w14:textId="19F789DF" w:rsidR="007B74FA" w:rsidRDefault="007B74FA">
      <w:pPr>
        <w:jc w:val="both"/>
        <w:rPr>
          <w:sz w:val="20"/>
        </w:rPr>
      </w:pPr>
      <w:r>
        <w:rPr>
          <w:sz w:val="20"/>
        </w:rPr>
        <w:t xml:space="preserve">Yet, the task of food recognition poses distinctive challenges. Food items exhibit considerable variation in appearance due to differences in preparation, presentation, and ingredients, necessitating highly adaptable and robust models. The immense diversity found in cuisines around the world further complicates this task, requiring models to be trained on extensive datasets that accurately reflect this range to ensure inclusiveness and precision. </w:t>
      </w:r>
    </w:p>
    <w:p w14:paraId="16998A35" w14:textId="77777777" w:rsidR="005B7E3F" w:rsidRDefault="005B7E3F">
      <w:pPr>
        <w:jc w:val="both"/>
        <w:rPr>
          <w:sz w:val="20"/>
        </w:rPr>
      </w:pPr>
    </w:p>
    <w:p w14:paraId="3321F495" w14:textId="1797E468" w:rsidR="00025F84" w:rsidRDefault="00852756">
      <w:pPr>
        <w:jc w:val="both"/>
        <w:rPr>
          <w:sz w:val="20"/>
        </w:rPr>
      </w:pPr>
      <w:r>
        <w:rPr>
          <w:sz w:val="20"/>
        </w:rPr>
        <w:t>Addressing these challenges and leveraging the extensive application potential necessitates the creation of sophisticated models. These models must not only navigate the intricate aspects of food recognition with finesse but also be accessible, efficient, and user-friendly. Their development is poised to fundamentally change our interaction with food, promising benefits that span from personal health to global food industry insights and environmental sustainability.</w:t>
      </w:r>
    </w:p>
    <w:p w14:paraId="148921EA" w14:textId="77777777" w:rsidR="005B7E3F" w:rsidRDefault="005B7E3F">
      <w:pPr>
        <w:jc w:val="both"/>
        <w:rPr>
          <w:sz w:val="20"/>
        </w:rPr>
      </w:pPr>
    </w:p>
    <w:p w14:paraId="6C9E2096" w14:textId="6684FDCE" w:rsidR="00852756" w:rsidRDefault="00852756">
      <w:pPr>
        <w:jc w:val="both"/>
        <w:rPr>
          <w:sz w:val="20"/>
        </w:rPr>
      </w:pPr>
      <w:r>
        <w:rPr>
          <w:sz w:val="20"/>
        </w:rPr>
        <w:t>Confronting the inherent challenges of this domain, such as variability in food presentation and the breadth of global cuisine, our research centers on refining, testing, and enhancing models to achieve better accuracy and efficiency.</w:t>
      </w:r>
    </w:p>
    <w:p w14:paraId="6A15DE4A" w14:textId="017C63D1" w:rsidR="00852756" w:rsidRDefault="00852756">
      <w:pPr>
        <w:jc w:val="both"/>
        <w:rPr>
          <w:sz w:val="20"/>
        </w:rPr>
      </w:pPr>
      <w:r>
        <w:rPr>
          <w:sz w:val="20"/>
        </w:rPr>
        <w:t xml:space="preserve">Our examination primarily involves the ResNet-50 and ResNet-101 architectures, selected for their demonstrated excellence in various image classification challenges. These models undergo rigorous testing using the Food-101 dataset, </w:t>
      </w:r>
      <w:r>
        <w:rPr>
          <w:sz w:val="20"/>
        </w:rPr>
        <w:lastRenderedPageBreak/>
        <w:t xml:space="preserve">which consists of 1000 images from 101 distinct categories of food, embodying a broad spectrum of international dishes. Our goal is to evaluate the foundational accuracy of these models in identifying foods and to investigate how alterations in hyperparameters might boost their effectiveness. </w:t>
      </w:r>
    </w:p>
    <w:p w14:paraId="555F8C67" w14:textId="7EE7A963" w:rsidR="001473C7" w:rsidRDefault="001473C7" w:rsidP="00647336">
      <w:pPr>
        <w:pStyle w:val="Heading1"/>
      </w:pPr>
      <w:r>
        <w:t xml:space="preserve">2. </w:t>
      </w:r>
      <w:r w:rsidR="00DB36D6">
        <w:t>related work</w:t>
      </w:r>
    </w:p>
    <w:p w14:paraId="4D9A1D64" w14:textId="77777777" w:rsidR="001473C7" w:rsidRDefault="001473C7">
      <w:pPr>
        <w:jc w:val="both"/>
        <w:rPr>
          <w:sz w:val="20"/>
        </w:rPr>
      </w:pPr>
    </w:p>
    <w:p w14:paraId="2C66543B" w14:textId="77777777" w:rsidR="001473C7" w:rsidRDefault="001473C7" w:rsidP="00647336">
      <w:pPr>
        <w:pStyle w:val="BodyText"/>
      </w:pPr>
      <w:r w:rsidRPr="00973C08">
        <w:rPr>
          <w:highlight w:val="yellow"/>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sidRPr="00973C08">
        <w:rPr>
          <w:i/>
          <w:highlight w:val="yellow"/>
        </w:rPr>
        <w:t>text</w:t>
      </w:r>
      <w:r w:rsidRPr="00973C08">
        <w:rPr>
          <w:highlight w:val="yellow"/>
        </w:rPr>
        <w:t xml:space="preserve"> must be in a two-column format. Columns are to be 3.39 inches (86 mm) wide, with a </w:t>
      </w:r>
      <w:proofErr w:type="gramStart"/>
      <w:r w:rsidRPr="00973C08">
        <w:rPr>
          <w:highlight w:val="yellow"/>
        </w:rPr>
        <w:t>0.24 inch</w:t>
      </w:r>
      <w:proofErr w:type="gramEnd"/>
      <w:r w:rsidRPr="00973C08">
        <w:rPr>
          <w:highlight w:val="yellow"/>
        </w:rPr>
        <w:t xml:space="preserve"> (6 mm) space between them. Text must be fully justified.</w:t>
      </w:r>
    </w:p>
    <w:p w14:paraId="6CBA192C" w14:textId="77777777" w:rsidR="001473C7" w:rsidRDefault="001473C7">
      <w:pPr>
        <w:ind w:firstLine="245"/>
        <w:jc w:val="both"/>
        <w:rPr>
          <w:sz w:val="20"/>
        </w:rPr>
      </w:pPr>
    </w:p>
    <w:p w14:paraId="3A64A099" w14:textId="4F1C297A" w:rsidR="001473C7" w:rsidRDefault="001473C7" w:rsidP="00647336">
      <w:pPr>
        <w:pStyle w:val="Heading1"/>
      </w:pPr>
      <w:r>
        <w:t xml:space="preserve">3. </w:t>
      </w:r>
      <w:r w:rsidR="00A53E0C">
        <w:t>materials and methods</w:t>
      </w:r>
    </w:p>
    <w:p w14:paraId="4171F1E9" w14:textId="77777777" w:rsidR="001473C7" w:rsidRDefault="001473C7">
      <w:pPr>
        <w:jc w:val="both"/>
        <w:rPr>
          <w:b/>
          <w:sz w:val="20"/>
        </w:rPr>
      </w:pPr>
    </w:p>
    <w:p w14:paraId="4B5A59CD" w14:textId="77777777" w:rsidR="001473C7" w:rsidRDefault="001473C7" w:rsidP="00647336">
      <w:pPr>
        <w:pStyle w:val="BodyText"/>
      </w:pPr>
      <w:r w:rsidRPr="00973C08">
        <w:rPr>
          <w:highlight w:val="yellow"/>
        </w:rPr>
        <w:t xml:space="preserve">The paper title (on the first page) should begin 1.38 inches (35 mm) from the top edge of the page, centered, completely capitalized, and in Times 14-point, boldface type.  The authors’ name(s) and affiliation(s) appear below the title in capital and </w:t>
      </w:r>
      <w:proofErr w:type="gramStart"/>
      <w:r w:rsidRPr="00973C08">
        <w:rPr>
          <w:highlight w:val="yellow"/>
        </w:rPr>
        <w:t>lower case</w:t>
      </w:r>
      <w:proofErr w:type="gramEnd"/>
      <w:r w:rsidRPr="00973C08">
        <w:rPr>
          <w:highlight w:val="yellow"/>
        </w:rPr>
        <w:t xml:space="preserve"> letters.  Papers with multiple authors and affiliations may require two or more lines for this information.</w:t>
      </w:r>
    </w:p>
    <w:p w14:paraId="6433E55D" w14:textId="77777777" w:rsidR="001473C7" w:rsidRDefault="001473C7">
      <w:pPr>
        <w:jc w:val="both"/>
        <w:rPr>
          <w:sz w:val="20"/>
        </w:rPr>
      </w:pPr>
    </w:p>
    <w:p w14:paraId="35F2FD19" w14:textId="77777777" w:rsidR="001473C7" w:rsidRPr="00973C08" w:rsidRDefault="001473C7" w:rsidP="00647336">
      <w:pPr>
        <w:pStyle w:val="Heading1"/>
        <w:rPr>
          <w:highlight w:val="yellow"/>
        </w:rPr>
      </w:pPr>
      <w:r w:rsidRPr="00973C08">
        <w:rPr>
          <w:highlight w:val="yellow"/>
        </w:rPr>
        <w:t>4. Type-style and fonts</w:t>
      </w:r>
    </w:p>
    <w:p w14:paraId="45E47987" w14:textId="77777777" w:rsidR="001473C7" w:rsidRPr="00973C08" w:rsidRDefault="001473C7">
      <w:pPr>
        <w:keepNext/>
        <w:jc w:val="both"/>
        <w:rPr>
          <w:sz w:val="20"/>
          <w:highlight w:val="yellow"/>
        </w:rPr>
      </w:pPr>
    </w:p>
    <w:p w14:paraId="69171AE3" w14:textId="13762DA2" w:rsidR="001473C7" w:rsidRPr="00973C08" w:rsidRDefault="001473C7" w:rsidP="00647336">
      <w:pPr>
        <w:pStyle w:val="BodyText"/>
        <w:rPr>
          <w:highlight w:val="yellow"/>
        </w:rPr>
      </w:pPr>
      <w:r w:rsidRPr="00973C08">
        <w:rPr>
          <w:highlight w:val="yellow"/>
        </w:rPr>
        <w:t xml:space="preserve">To achieve the best rendering both in the </w:t>
      </w:r>
      <w:r w:rsidR="00647336" w:rsidRPr="00973C08">
        <w:rPr>
          <w:highlight w:val="yellow"/>
        </w:rPr>
        <w:t xml:space="preserve">printed and </w:t>
      </w:r>
      <w:r w:rsidR="00CE303D" w:rsidRPr="00973C08">
        <w:rPr>
          <w:highlight w:val="yellow"/>
        </w:rPr>
        <w:t>digital</w:t>
      </w:r>
      <w:r w:rsidR="00647336" w:rsidRPr="00973C08">
        <w:rPr>
          <w:highlight w:val="yellow"/>
        </w:rPr>
        <w:t xml:space="preserve"> </w:t>
      </w:r>
      <w:r w:rsidRPr="00973C08">
        <w:rPr>
          <w:highlight w:val="yellow"/>
        </w:rPr>
        <w:t xml:space="preserve">proceedings, we strongly encourage you to use Times-Roman font.  In addition, this will give the proceedings a more uniform look.  Use a font that is no smaller than </w:t>
      </w:r>
      <w:proofErr w:type="gramStart"/>
      <w:r w:rsidRPr="00973C08">
        <w:rPr>
          <w:highlight w:val="yellow"/>
        </w:rPr>
        <w:t>nine point</w:t>
      </w:r>
      <w:proofErr w:type="gramEnd"/>
      <w:r w:rsidRPr="00973C08">
        <w:rPr>
          <w:highlight w:val="yellow"/>
        </w:rPr>
        <w:t xml:space="preserve"> type throughout the paper, including figure captions.</w:t>
      </w:r>
    </w:p>
    <w:p w14:paraId="366F776B" w14:textId="77777777" w:rsidR="001473C7" w:rsidRPr="00973C08" w:rsidRDefault="001473C7" w:rsidP="00647336">
      <w:pPr>
        <w:pStyle w:val="BodyText2"/>
        <w:rPr>
          <w:highlight w:val="yellow"/>
        </w:rPr>
      </w:pPr>
      <w:r w:rsidRPr="00973C08">
        <w:rPr>
          <w:highlight w:val="yellow"/>
        </w:rPr>
        <w:t xml:space="preserve">In </w:t>
      </w:r>
      <w:proofErr w:type="gramStart"/>
      <w:r w:rsidRPr="00973C08">
        <w:rPr>
          <w:highlight w:val="yellow"/>
        </w:rPr>
        <w:t>nine point</w:t>
      </w:r>
      <w:proofErr w:type="gramEnd"/>
      <w:r w:rsidRPr="00973C08">
        <w:rPr>
          <w:highlight w:val="yellow"/>
        </w:rPr>
        <w:t xml:space="preserve">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6D450E7F" w14:textId="77777777" w:rsidR="001473C7" w:rsidRPr="00973C08" w:rsidRDefault="001473C7" w:rsidP="00647336">
      <w:pPr>
        <w:pStyle w:val="BodyText2"/>
        <w:rPr>
          <w:highlight w:val="yellow"/>
        </w:rPr>
      </w:pPr>
      <w:r w:rsidRPr="00973C08">
        <w:rPr>
          <w:highlight w:val="yellow"/>
        </w:rPr>
        <w:t>The first paragraph in each section should not be indented, but all following paragraphs within the section should be indented as these paragraphs demonstrate.</w:t>
      </w:r>
    </w:p>
    <w:p w14:paraId="0D4A1B0C" w14:textId="77777777" w:rsidR="001473C7" w:rsidRPr="00973C08" w:rsidRDefault="001473C7">
      <w:pPr>
        <w:jc w:val="both"/>
        <w:rPr>
          <w:sz w:val="20"/>
          <w:highlight w:val="yellow"/>
        </w:rPr>
      </w:pPr>
    </w:p>
    <w:p w14:paraId="6EFC470A" w14:textId="77777777" w:rsidR="001473C7" w:rsidRPr="00973C08" w:rsidRDefault="001473C7" w:rsidP="00647336">
      <w:pPr>
        <w:pStyle w:val="Heading1"/>
        <w:rPr>
          <w:highlight w:val="yellow"/>
        </w:rPr>
      </w:pPr>
      <w:r w:rsidRPr="00973C08">
        <w:rPr>
          <w:highlight w:val="yellow"/>
        </w:rPr>
        <w:t>5. MAjor headings</w:t>
      </w:r>
    </w:p>
    <w:p w14:paraId="5F3E46DD" w14:textId="77777777" w:rsidR="001473C7" w:rsidRPr="00973C08" w:rsidRDefault="001473C7">
      <w:pPr>
        <w:keepNext/>
        <w:jc w:val="both"/>
        <w:rPr>
          <w:sz w:val="20"/>
          <w:highlight w:val="yellow"/>
        </w:rPr>
      </w:pPr>
    </w:p>
    <w:p w14:paraId="73316C6A" w14:textId="77777777" w:rsidR="001473C7" w:rsidRPr="00973C08" w:rsidRDefault="001473C7" w:rsidP="00647336">
      <w:pPr>
        <w:pStyle w:val="BodyText"/>
        <w:rPr>
          <w:highlight w:val="yellow"/>
        </w:rPr>
      </w:pPr>
      <w:r w:rsidRPr="00973C08">
        <w:rPr>
          <w:highlight w:val="yellow"/>
        </w:rPr>
        <w:t>Major headings, for example, “1. Introduction”, should appear in all capital letters, bold face if possible, centered in the column, with one blank line before, and one blank line after. Use a period (“.”) after the heading number, not a colon.</w:t>
      </w:r>
    </w:p>
    <w:p w14:paraId="4A19206F" w14:textId="77777777" w:rsidR="001473C7" w:rsidRPr="00973C08" w:rsidRDefault="001473C7">
      <w:pPr>
        <w:jc w:val="both"/>
        <w:rPr>
          <w:sz w:val="20"/>
          <w:highlight w:val="yellow"/>
        </w:rPr>
      </w:pPr>
    </w:p>
    <w:p w14:paraId="40FE1AF7" w14:textId="77777777" w:rsidR="001473C7" w:rsidRPr="00973C08" w:rsidRDefault="001473C7" w:rsidP="00647336">
      <w:pPr>
        <w:pStyle w:val="Heading2"/>
        <w:rPr>
          <w:highlight w:val="yellow"/>
        </w:rPr>
      </w:pPr>
      <w:r w:rsidRPr="00973C08">
        <w:rPr>
          <w:highlight w:val="yellow"/>
        </w:rPr>
        <w:t>5.1. Subheadings</w:t>
      </w:r>
    </w:p>
    <w:p w14:paraId="6F5D4AFF" w14:textId="77777777" w:rsidR="001473C7" w:rsidRPr="00973C08" w:rsidRDefault="001473C7">
      <w:pPr>
        <w:jc w:val="both"/>
        <w:rPr>
          <w:sz w:val="20"/>
          <w:highlight w:val="yellow"/>
        </w:rPr>
      </w:pPr>
    </w:p>
    <w:p w14:paraId="69130D99" w14:textId="77777777" w:rsidR="001473C7" w:rsidRPr="00973C08" w:rsidRDefault="001473C7" w:rsidP="00647336">
      <w:pPr>
        <w:pStyle w:val="BodyText"/>
        <w:rPr>
          <w:highlight w:val="yellow"/>
        </w:rPr>
      </w:pPr>
      <w:r w:rsidRPr="00973C08">
        <w:rPr>
          <w:highlight w:val="yellow"/>
        </w:rPr>
        <w:t>Subheadings should appear in lower case (initial word capitalized) in boldface.  They should start at the left margin on a separate line.</w:t>
      </w:r>
    </w:p>
    <w:p w14:paraId="1AFD9541" w14:textId="77777777" w:rsidR="001473C7" w:rsidRPr="00973C08" w:rsidRDefault="001473C7">
      <w:pPr>
        <w:jc w:val="both"/>
        <w:rPr>
          <w:sz w:val="20"/>
          <w:highlight w:val="yellow"/>
        </w:rPr>
      </w:pPr>
    </w:p>
    <w:p w14:paraId="0D539CF5" w14:textId="77777777" w:rsidR="001473C7" w:rsidRPr="00973C08" w:rsidRDefault="001473C7" w:rsidP="00647336">
      <w:pPr>
        <w:pStyle w:val="Heading3"/>
        <w:rPr>
          <w:highlight w:val="yellow"/>
        </w:rPr>
      </w:pPr>
      <w:r w:rsidRPr="00973C08">
        <w:rPr>
          <w:highlight w:val="yellow"/>
        </w:rPr>
        <w:t>5.1.1. Sub-subheadings</w:t>
      </w:r>
    </w:p>
    <w:p w14:paraId="5BB91B46" w14:textId="77777777" w:rsidR="001473C7" w:rsidRPr="00973C08" w:rsidRDefault="001473C7" w:rsidP="00647336">
      <w:pPr>
        <w:pStyle w:val="BodyText"/>
        <w:rPr>
          <w:highlight w:val="yellow"/>
        </w:rPr>
      </w:pPr>
      <w:r w:rsidRPr="00973C08">
        <w:rPr>
          <w:highlight w:val="yellow"/>
        </w:rP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67583614" w14:textId="77777777" w:rsidR="001473C7" w:rsidRPr="00973C08" w:rsidRDefault="001473C7">
      <w:pPr>
        <w:jc w:val="both"/>
        <w:rPr>
          <w:sz w:val="20"/>
          <w:highlight w:val="yellow"/>
        </w:rPr>
      </w:pPr>
    </w:p>
    <w:p w14:paraId="3E1F7B73" w14:textId="77777777" w:rsidR="001473C7" w:rsidRPr="00973C08" w:rsidRDefault="001473C7" w:rsidP="00647336">
      <w:pPr>
        <w:pStyle w:val="Heading1"/>
        <w:rPr>
          <w:highlight w:val="yellow"/>
        </w:rPr>
      </w:pPr>
      <w:r w:rsidRPr="00973C08">
        <w:rPr>
          <w:highlight w:val="yellow"/>
        </w:rPr>
        <w:t>6. Printing your paper</w:t>
      </w:r>
    </w:p>
    <w:p w14:paraId="58CFD0FA" w14:textId="77777777" w:rsidR="001473C7" w:rsidRPr="00973C08" w:rsidRDefault="001473C7">
      <w:pPr>
        <w:jc w:val="both"/>
        <w:rPr>
          <w:sz w:val="20"/>
          <w:highlight w:val="yellow"/>
        </w:rPr>
      </w:pPr>
    </w:p>
    <w:p w14:paraId="3790FDBB" w14:textId="77777777" w:rsidR="001473C7" w:rsidRPr="00973C08" w:rsidRDefault="001473C7" w:rsidP="00647336">
      <w:pPr>
        <w:pStyle w:val="BodyText"/>
        <w:rPr>
          <w:highlight w:val="yellow"/>
        </w:rPr>
      </w:pPr>
      <w:r w:rsidRPr="00973C08">
        <w:rPr>
          <w:highlight w:val="yellow"/>
        </w:rPr>
        <w:t xml:space="preserve">Print your properly formatted text on high-quality, 8.5 x 11-inch white printer paper. A4 paper is also acceptable, but please leave the extra </w:t>
      </w:r>
      <w:proofErr w:type="gramStart"/>
      <w:r w:rsidRPr="00973C08">
        <w:rPr>
          <w:highlight w:val="yellow"/>
        </w:rPr>
        <w:t>0.5 inch</w:t>
      </w:r>
      <w:proofErr w:type="gramEnd"/>
      <w:r w:rsidRPr="00973C08">
        <w:rPr>
          <w:highlight w:val="yellow"/>
        </w:rPr>
        <w:t xml:space="preserve"> (12 mm) empty at the BOTTOM of the page and follow the top and left margins as specified.  If the last page of your paper is only partially filled, arrange the columns so that they are evenly balanced if possible, rather than having one long column.</w:t>
      </w:r>
    </w:p>
    <w:p w14:paraId="5062D2E3" w14:textId="77777777" w:rsidR="001473C7" w:rsidRPr="00973C08" w:rsidRDefault="001473C7">
      <w:pPr>
        <w:jc w:val="both"/>
        <w:rPr>
          <w:sz w:val="20"/>
          <w:highlight w:val="yellow"/>
        </w:rPr>
      </w:pPr>
    </w:p>
    <w:p w14:paraId="7A413424" w14:textId="77777777" w:rsidR="001473C7" w:rsidRPr="00973C08" w:rsidRDefault="001473C7" w:rsidP="00647336">
      <w:pPr>
        <w:pStyle w:val="Heading1"/>
        <w:rPr>
          <w:highlight w:val="yellow"/>
        </w:rPr>
      </w:pPr>
      <w:r w:rsidRPr="00973C08">
        <w:rPr>
          <w:highlight w:val="yellow"/>
        </w:rPr>
        <w:t>7. Page numbering</w:t>
      </w:r>
    </w:p>
    <w:p w14:paraId="327A3593" w14:textId="77777777" w:rsidR="001473C7" w:rsidRPr="00973C08" w:rsidRDefault="001473C7">
      <w:pPr>
        <w:keepNext/>
        <w:jc w:val="both"/>
        <w:rPr>
          <w:sz w:val="20"/>
          <w:highlight w:val="yellow"/>
        </w:rPr>
      </w:pPr>
    </w:p>
    <w:p w14:paraId="156622D8" w14:textId="77777777" w:rsidR="001473C7" w:rsidRPr="00973C08" w:rsidRDefault="001473C7" w:rsidP="00647336">
      <w:pPr>
        <w:pStyle w:val="BodyText"/>
        <w:rPr>
          <w:highlight w:val="yellow"/>
        </w:rPr>
      </w:pPr>
      <w:r w:rsidRPr="00973C08">
        <w:rPr>
          <w:highlight w:val="yellow"/>
        </w:rPr>
        <w:t xml:space="preserve">Please do </w:t>
      </w:r>
      <w:r w:rsidRPr="00973C08">
        <w:rPr>
          <w:b/>
          <w:highlight w:val="yellow"/>
        </w:rPr>
        <w:t>not</w:t>
      </w:r>
      <w:r w:rsidRPr="00973C08">
        <w:rPr>
          <w:highlight w:val="yellow"/>
        </w:rPr>
        <w:t xml:space="preserve"> paginate your paper.  Page numbers, session numbers, and conference identification will be inserted when the paper is included in the proceedings.</w:t>
      </w:r>
    </w:p>
    <w:p w14:paraId="0A53752A" w14:textId="77777777" w:rsidR="001473C7" w:rsidRPr="00973C08" w:rsidRDefault="001473C7">
      <w:pPr>
        <w:jc w:val="both"/>
        <w:rPr>
          <w:sz w:val="20"/>
          <w:highlight w:val="yellow"/>
        </w:rPr>
      </w:pPr>
    </w:p>
    <w:p w14:paraId="3EC284AE" w14:textId="77777777" w:rsidR="001473C7" w:rsidRPr="00973C08" w:rsidRDefault="001473C7" w:rsidP="00647336">
      <w:pPr>
        <w:pStyle w:val="Heading1"/>
        <w:rPr>
          <w:highlight w:val="yellow"/>
        </w:rPr>
      </w:pPr>
      <w:r w:rsidRPr="00973C08">
        <w:rPr>
          <w:highlight w:val="yellow"/>
        </w:rPr>
        <w:t>8. Illustrations, graphs, and photographs</w:t>
      </w:r>
    </w:p>
    <w:p w14:paraId="4768D86F" w14:textId="77777777" w:rsidR="001473C7" w:rsidRPr="00973C08" w:rsidRDefault="001473C7">
      <w:pPr>
        <w:keepNext/>
        <w:jc w:val="both"/>
        <w:rPr>
          <w:sz w:val="20"/>
          <w:highlight w:val="yellow"/>
        </w:rPr>
      </w:pPr>
    </w:p>
    <w:p w14:paraId="1C43F045" w14:textId="36A41548" w:rsidR="001473C7" w:rsidRPr="00973C08" w:rsidRDefault="001473C7" w:rsidP="00647336">
      <w:pPr>
        <w:pStyle w:val="BodyText"/>
        <w:rPr>
          <w:highlight w:val="yellow"/>
        </w:rPr>
      </w:pPr>
      <w:r w:rsidRPr="00973C08">
        <w:rPr>
          <w:highlight w:val="yellow"/>
        </w:rP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If you use color, make sure that the color figures are clear when printed on a black-only printer.</w:t>
      </w:r>
    </w:p>
    <w:p w14:paraId="09F17819" w14:textId="77777777" w:rsidR="00037EDD" w:rsidRPr="00973C08" w:rsidRDefault="00037EDD" w:rsidP="00037EDD">
      <w:pPr>
        <w:pStyle w:val="Figure"/>
        <w:rPr>
          <w:highlight w:val="yellow"/>
        </w:rPr>
      </w:pPr>
      <w:r w:rsidRPr="00973C08">
        <w:rPr>
          <w:highlight w:val="yellow"/>
        </w:rPr>
        <w:fldChar w:fldCharType="begin"/>
      </w:r>
      <w:r w:rsidRPr="00973C08">
        <w:rPr>
          <w:highlight w:val="yellow"/>
        </w:rPr>
        <w:instrText xml:space="preserve"> INCLUDEPICTURE "/var/folders/ms/f_djjzds72z83ctdnwxktmdr0000gp/T/com.microsoft.Word/WebArchiveCopyPasteTempFiles/page2image3980975392" \* MERGEFORMATINET </w:instrText>
      </w:r>
      <w:r w:rsidRPr="00973C08">
        <w:rPr>
          <w:highlight w:val="yellow"/>
        </w:rPr>
        <w:fldChar w:fldCharType="separate"/>
      </w:r>
      <w:r w:rsidR="009D56B7" w:rsidRPr="00973C08">
        <w:rPr>
          <w:highlight w:val="yellow"/>
        </w:rPr>
        <w:fldChar w:fldCharType="begin"/>
      </w:r>
      <w:r w:rsidR="009D56B7" w:rsidRPr="00973C08">
        <w:rPr>
          <w:highlight w:val="yellow"/>
        </w:rPr>
        <w:instrText xml:space="preserve"> INCLUDEPICTURE  "/var/folders/ms/f_djjzds72z83ctdnwxktmdr0000gp/T/com.microsoft.Word/WebArchiveCopyPasteTempFiles/page2image3980975392" \* MERGEFORMATINET </w:instrText>
      </w:r>
      <w:r w:rsidR="009D56B7" w:rsidRPr="00973C08">
        <w:rPr>
          <w:highlight w:val="yellow"/>
        </w:rPr>
        <w:fldChar w:fldCharType="separate"/>
      </w:r>
      <w:r w:rsidR="00993122" w:rsidRPr="00973C08">
        <w:rPr>
          <w:highlight w:val="yellow"/>
        </w:rPr>
        <w:fldChar w:fldCharType="begin"/>
      </w:r>
      <w:r w:rsidR="00993122" w:rsidRPr="00973C08">
        <w:rPr>
          <w:highlight w:val="yellow"/>
        </w:rPr>
        <w:instrText xml:space="preserve"> INCLUDEPICTURE  "/var/folders/ms/f_djjzds72z83ctdnwxktmdr0000gp/T/com.microsoft.Word/WebArchiveCopyPasteTempFiles/page2image3980975392" \* MERGEFORMATINET </w:instrText>
      </w:r>
      <w:r w:rsidR="00993122" w:rsidRPr="00973C08">
        <w:rPr>
          <w:highlight w:val="yellow"/>
        </w:rPr>
        <w:fldChar w:fldCharType="separate"/>
      </w:r>
      <w:r w:rsidR="00B011BA" w:rsidRPr="00973C08">
        <w:rPr>
          <w:highlight w:val="yellow"/>
        </w:rPr>
        <w:fldChar w:fldCharType="begin"/>
      </w:r>
      <w:r w:rsidR="00B011BA" w:rsidRPr="00973C08">
        <w:rPr>
          <w:highlight w:val="yellow"/>
        </w:rPr>
        <w:instrText xml:space="preserve"> INCLUDEPICTURE  "/var/folders/ms/f_djjzds72z83ctdnwxktmdr0000gp/T/com.microsoft.Word/WebArchiveCopyPasteTempFiles/page2image3980975392" \* MERGEFORMATINET </w:instrText>
      </w:r>
      <w:r w:rsidR="00B011BA" w:rsidRPr="00973C08">
        <w:rPr>
          <w:highlight w:val="yellow"/>
        </w:rPr>
        <w:fldChar w:fldCharType="separate"/>
      </w:r>
      <w:r w:rsidR="00000000" w:rsidRPr="00973C08">
        <w:rPr>
          <w:highlight w:val="yellow"/>
        </w:rPr>
        <w:fldChar w:fldCharType="begin"/>
      </w:r>
      <w:r w:rsidR="00000000" w:rsidRPr="00973C08">
        <w:rPr>
          <w:highlight w:val="yellow"/>
        </w:rPr>
        <w:instrText xml:space="preserve"> INCLUDEPICTURE  "\\\\var\\folders\\ms\\f_djjzds72z83ctdnwxktmdr0000gp\\T\\com.microsoft.Word\\WebArchiveCopyPasteTempFiles\\page2image3980975392" \* MERGEFORMATINET </w:instrText>
      </w:r>
      <w:r w:rsidR="00000000" w:rsidRPr="00973C08">
        <w:rPr>
          <w:highlight w:val="yellow"/>
        </w:rPr>
        <w:fldChar w:fldCharType="separate"/>
      </w:r>
      <w:r w:rsidR="00AB29AC" w:rsidRPr="00973C08">
        <w:rPr>
          <w:highlight w:val="yellow"/>
        </w:rPr>
        <w:pict w14:anchorId="14A6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40pt;height:180pt;mso-width-percent:0;mso-height-percent:0;mso-width-percent:0;mso-height-percent:0">
            <v:imagedata r:id="rId5" r:href="rId6"/>
          </v:shape>
        </w:pict>
      </w:r>
      <w:r w:rsidR="00000000" w:rsidRPr="00973C08">
        <w:rPr>
          <w:highlight w:val="yellow"/>
        </w:rPr>
        <w:fldChar w:fldCharType="end"/>
      </w:r>
      <w:r w:rsidR="00B011BA" w:rsidRPr="00973C08">
        <w:rPr>
          <w:highlight w:val="yellow"/>
        </w:rPr>
        <w:fldChar w:fldCharType="end"/>
      </w:r>
      <w:r w:rsidR="00993122" w:rsidRPr="00973C08">
        <w:rPr>
          <w:highlight w:val="yellow"/>
        </w:rPr>
        <w:fldChar w:fldCharType="end"/>
      </w:r>
      <w:r w:rsidR="009D56B7" w:rsidRPr="00973C08">
        <w:rPr>
          <w:highlight w:val="yellow"/>
        </w:rPr>
        <w:fldChar w:fldCharType="end"/>
      </w:r>
      <w:r w:rsidRPr="00973C08">
        <w:rPr>
          <w:highlight w:val="yellow"/>
        </w:rPr>
        <w:fldChar w:fldCharType="end"/>
      </w:r>
    </w:p>
    <w:p w14:paraId="4FD133E9" w14:textId="52F611C6" w:rsidR="00037EDD" w:rsidRPr="00973C08" w:rsidRDefault="00037EDD" w:rsidP="00037EDD">
      <w:pPr>
        <w:pStyle w:val="Caption"/>
        <w:rPr>
          <w:highlight w:val="yellow"/>
        </w:rPr>
      </w:pPr>
      <w:r w:rsidRPr="00973C08">
        <w:rPr>
          <w:b/>
          <w:bCs/>
          <w:highlight w:val="yellow"/>
        </w:rPr>
        <w:t xml:space="preserve">Fig. </w:t>
      </w:r>
      <w:r w:rsidRPr="00973C08">
        <w:rPr>
          <w:b/>
          <w:bCs/>
          <w:highlight w:val="yellow"/>
        </w:rPr>
        <w:fldChar w:fldCharType="begin"/>
      </w:r>
      <w:r w:rsidRPr="00973C08">
        <w:rPr>
          <w:b/>
          <w:bCs/>
          <w:highlight w:val="yellow"/>
        </w:rPr>
        <w:instrText xml:space="preserve"> SEQ Fig. \* ARABIC </w:instrText>
      </w:r>
      <w:r w:rsidRPr="00973C08">
        <w:rPr>
          <w:b/>
          <w:bCs/>
          <w:highlight w:val="yellow"/>
        </w:rPr>
        <w:fldChar w:fldCharType="separate"/>
      </w:r>
      <w:r w:rsidRPr="00973C08">
        <w:rPr>
          <w:b/>
          <w:bCs/>
          <w:highlight w:val="yellow"/>
        </w:rPr>
        <w:t>1</w:t>
      </w:r>
      <w:r w:rsidRPr="00973C08">
        <w:rPr>
          <w:b/>
          <w:bCs/>
          <w:highlight w:val="yellow"/>
        </w:rPr>
        <w:fldChar w:fldCharType="end"/>
      </w:r>
      <w:r w:rsidRPr="00973C08">
        <w:rPr>
          <w:b/>
          <w:bCs/>
          <w:highlight w:val="yellow"/>
        </w:rPr>
        <w:t>.</w:t>
      </w:r>
      <w:r w:rsidRPr="00973C08">
        <w:rPr>
          <w:highlight w:val="yellow"/>
        </w:rPr>
        <w:t xml:space="preserve"> Example of placing a figure with experimental results.</w:t>
      </w:r>
    </w:p>
    <w:p w14:paraId="756547A7" w14:textId="77777777" w:rsidR="001473C7" w:rsidRPr="00973C08" w:rsidRDefault="001473C7">
      <w:pPr>
        <w:jc w:val="both"/>
        <w:rPr>
          <w:sz w:val="20"/>
          <w:highlight w:val="yellow"/>
        </w:rPr>
      </w:pPr>
    </w:p>
    <w:p w14:paraId="497AC189" w14:textId="77777777" w:rsidR="001473C7" w:rsidRPr="00973C08" w:rsidRDefault="001473C7" w:rsidP="00647336">
      <w:pPr>
        <w:pStyle w:val="Heading1"/>
        <w:rPr>
          <w:highlight w:val="yellow"/>
        </w:rPr>
      </w:pPr>
      <w:r w:rsidRPr="00973C08">
        <w:rPr>
          <w:highlight w:val="yellow"/>
        </w:rPr>
        <w:t>9. Footnotes</w:t>
      </w:r>
    </w:p>
    <w:p w14:paraId="055F85F5" w14:textId="77777777" w:rsidR="001473C7" w:rsidRPr="00973C08" w:rsidRDefault="001473C7">
      <w:pPr>
        <w:keepNext/>
        <w:jc w:val="both"/>
        <w:rPr>
          <w:sz w:val="20"/>
          <w:highlight w:val="yellow"/>
        </w:rPr>
      </w:pPr>
    </w:p>
    <w:p w14:paraId="3CA2ABAC" w14:textId="39A07152" w:rsidR="001473C7" w:rsidRPr="00973C08" w:rsidRDefault="001473C7" w:rsidP="00647336">
      <w:pPr>
        <w:pStyle w:val="BodyText"/>
        <w:rPr>
          <w:highlight w:val="yellow"/>
        </w:rPr>
      </w:pPr>
      <w:r w:rsidRPr="00973C08">
        <w:rPr>
          <w:highlight w:val="yellow"/>
        </w:rP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5B2819C6" w14:textId="77777777" w:rsidR="005D2946" w:rsidRPr="00973C08" w:rsidRDefault="005D2946" w:rsidP="00647336">
      <w:pPr>
        <w:pStyle w:val="BodyText"/>
        <w:rPr>
          <w:highlight w:val="yellow"/>
        </w:rPr>
      </w:pPr>
    </w:p>
    <w:p w14:paraId="47A0AAA5" w14:textId="4503B0BF" w:rsidR="001473C7" w:rsidRPr="00973C08" w:rsidRDefault="001473C7" w:rsidP="00647336">
      <w:pPr>
        <w:pStyle w:val="Heading1"/>
        <w:rPr>
          <w:highlight w:val="yellow"/>
        </w:rPr>
      </w:pPr>
      <w:r w:rsidRPr="00973C08">
        <w:rPr>
          <w:highlight w:val="yellow"/>
        </w:rPr>
        <w:t>10. Copyright forms</w:t>
      </w:r>
    </w:p>
    <w:p w14:paraId="79BF4884" w14:textId="77777777" w:rsidR="001473C7" w:rsidRPr="00973C08" w:rsidRDefault="001473C7">
      <w:pPr>
        <w:jc w:val="both"/>
        <w:rPr>
          <w:sz w:val="20"/>
          <w:highlight w:val="yellow"/>
        </w:rPr>
      </w:pPr>
    </w:p>
    <w:p w14:paraId="58EC5855" w14:textId="2C71A99B" w:rsidR="001473C7" w:rsidRPr="00973C08" w:rsidRDefault="001473C7" w:rsidP="00CF51CC">
      <w:pPr>
        <w:pStyle w:val="BodyText"/>
        <w:rPr>
          <w:highlight w:val="yellow"/>
        </w:rPr>
      </w:pPr>
      <w:r w:rsidRPr="00973C08">
        <w:rPr>
          <w:highlight w:val="yellow"/>
        </w:rPr>
        <w:t xml:space="preserve">You must include your fully completed, signed IEEE copyright release form when you submit your paper. We </w:t>
      </w:r>
      <w:r w:rsidRPr="00973C08">
        <w:rPr>
          <w:b/>
          <w:highlight w:val="yellow"/>
        </w:rPr>
        <w:t>must</w:t>
      </w:r>
      <w:r w:rsidRPr="00973C08">
        <w:rPr>
          <w:highlight w:val="yellow"/>
        </w:rPr>
        <w:t xml:space="preserve"> have this form before your paper can be published in the proceedings.  The copyright form is available as a Word file, a PDF file, and an HTML file. You can also use the form sent with your author kit.</w:t>
      </w:r>
    </w:p>
    <w:p w14:paraId="1F846FA2" w14:textId="77777777" w:rsidR="005D2946" w:rsidRPr="00973C08" w:rsidRDefault="005D2946" w:rsidP="00CF51CC">
      <w:pPr>
        <w:pStyle w:val="BodyText"/>
        <w:rPr>
          <w:highlight w:val="yellow"/>
        </w:rPr>
      </w:pPr>
    </w:p>
    <w:p w14:paraId="78A76C96" w14:textId="77777777" w:rsidR="00647336" w:rsidRPr="00973C08" w:rsidRDefault="00647336" w:rsidP="00647336">
      <w:pPr>
        <w:jc w:val="both"/>
        <w:rPr>
          <w:sz w:val="20"/>
          <w:highlight w:val="yellow"/>
        </w:rPr>
      </w:pPr>
    </w:p>
    <w:p w14:paraId="7E05947C" w14:textId="0E7511A2" w:rsidR="001473C7" w:rsidRPr="00973C08" w:rsidRDefault="001473C7" w:rsidP="00647336">
      <w:pPr>
        <w:pStyle w:val="Heading1"/>
        <w:rPr>
          <w:highlight w:val="yellow"/>
        </w:rPr>
      </w:pPr>
      <w:r w:rsidRPr="00973C08">
        <w:rPr>
          <w:highlight w:val="yellow"/>
        </w:rPr>
        <w:t>11. Referenc</w:t>
      </w:r>
      <w:r w:rsidR="00CE303D" w:rsidRPr="00973C08">
        <w:rPr>
          <w:highlight w:val="yellow"/>
        </w:rPr>
        <w:t>ING</w:t>
      </w:r>
    </w:p>
    <w:p w14:paraId="371E508F" w14:textId="77777777" w:rsidR="001473C7" w:rsidRPr="00973C08" w:rsidRDefault="001473C7">
      <w:pPr>
        <w:jc w:val="both"/>
        <w:rPr>
          <w:sz w:val="20"/>
          <w:highlight w:val="yellow"/>
        </w:rPr>
      </w:pPr>
    </w:p>
    <w:p w14:paraId="5150C348" w14:textId="77777777" w:rsidR="00CF51CC" w:rsidRPr="00973C08" w:rsidRDefault="001473C7" w:rsidP="00CF51CC">
      <w:pPr>
        <w:pStyle w:val="BodyText"/>
        <w:rPr>
          <w:highlight w:val="yellow"/>
        </w:rPr>
      </w:pPr>
      <w:r w:rsidRPr="00973C08">
        <w:rPr>
          <w:highlight w:val="yellow"/>
        </w:rP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14:paraId="22607826" w14:textId="77777777" w:rsidR="00CF51CC" w:rsidRPr="00973C08" w:rsidRDefault="00CF51CC" w:rsidP="00CF51CC">
      <w:pPr>
        <w:jc w:val="both"/>
        <w:rPr>
          <w:sz w:val="20"/>
          <w:highlight w:val="yellow"/>
        </w:rPr>
      </w:pPr>
    </w:p>
    <w:p w14:paraId="69EE1F39" w14:textId="46F06B43" w:rsidR="00CF51CC" w:rsidRPr="00973C08" w:rsidRDefault="00CF51CC" w:rsidP="00CF51CC">
      <w:pPr>
        <w:pStyle w:val="Heading1"/>
        <w:rPr>
          <w:highlight w:val="yellow"/>
        </w:rPr>
      </w:pPr>
      <w:r w:rsidRPr="00973C08">
        <w:rPr>
          <w:highlight w:val="yellow"/>
        </w:rPr>
        <w:t>12. Compliance with Ethical Standards</w:t>
      </w:r>
    </w:p>
    <w:p w14:paraId="6F30AA3E" w14:textId="77777777" w:rsidR="00CF51CC" w:rsidRPr="00973C08" w:rsidRDefault="00CF51CC" w:rsidP="00CF51CC">
      <w:pPr>
        <w:jc w:val="both"/>
        <w:rPr>
          <w:sz w:val="20"/>
          <w:highlight w:val="yellow"/>
        </w:rPr>
      </w:pPr>
    </w:p>
    <w:p w14:paraId="4E155A02" w14:textId="5D11F0ED" w:rsidR="00CF51CC" w:rsidRPr="00973C08" w:rsidRDefault="00CF51CC" w:rsidP="00CF51CC">
      <w:pPr>
        <w:pStyle w:val="BodyText"/>
        <w:rPr>
          <w:highlight w:val="yellow"/>
        </w:rPr>
      </w:pPr>
      <w:r w:rsidRPr="00973C08">
        <w:rPr>
          <w:highlight w:val="yellow"/>
        </w:rPr>
        <w:t>IEEE-ISBI supports the standard requirements on the use of animal and human subjects for scientific and biomedical research. For all IEEE ISBI papers reporting data from studies involving human and/or animal subjects, formal review and approval, or formal review and waiver, by an appropriate institutional review board or ethics committee is required and should be stated in the papers. For those investigators whose Institutions do not have formal ethics review committees, the principles outlined in the Helsinki Declaration of 1975, as revised in 2000, should be followed.</w:t>
      </w:r>
    </w:p>
    <w:p w14:paraId="753CB1DF" w14:textId="0904CB95" w:rsidR="003100CC" w:rsidRPr="00973C08" w:rsidRDefault="003100CC" w:rsidP="003100CC">
      <w:pPr>
        <w:pStyle w:val="BodyText2"/>
        <w:rPr>
          <w:highlight w:val="yellow"/>
        </w:rPr>
      </w:pPr>
      <w:r w:rsidRPr="00973C08">
        <w:rPr>
          <w:highlight w:val="yellow"/>
        </w:rPr>
        <w:t>Reporting on compliance with ethical standards is required (irrespective of whether ethical approval was needed for the study) in the paper. Authors are responsible for correctness of the statements provided in the manuscript. Examples of appropriate statements include:</w:t>
      </w:r>
    </w:p>
    <w:p w14:paraId="0789DE13" w14:textId="77777777" w:rsidR="003100CC" w:rsidRPr="00973C08" w:rsidRDefault="003100CC" w:rsidP="003100CC">
      <w:pPr>
        <w:pStyle w:val="BodyText"/>
        <w:numPr>
          <w:ilvl w:val="0"/>
          <w:numId w:val="13"/>
        </w:numPr>
        <w:ind w:left="426" w:hanging="283"/>
        <w:rPr>
          <w:highlight w:val="yellow"/>
        </w:rPr>
      </w:pPr>
      <w:r w:rsidRPr="00973C08">
        <w:rPr>
          <w:highlight w:val="yellow"/>
        </w:rPr>
        <w:t>"This is a numerical simulation study for which no ethical approval was required."</w:t>
      </w:r>
    </w:p>
    <w:p w14:paraId="699B7982" w14:textId="77777777" w:rsidR="003100CC" w:rsidRPr="00973C08" w:rsidRDefault="003100CC" w:rsidP="003100CC">
      <w:pPr>
        <w:pStyle w:val="BodyText"/>
        <w:numPr>
          <w:ilvl w:val="0"/>
          <w:numId w:val="13"/>
        </w:numPr>
        <w:ind w:left="426" w:hanging="283"/>
        <w:rPr>
          <w:highlight w:val="yellow"/>
        </w:rPr>
      </w:pPr>
      <w:r w:rsidRPr="00973C08">
        <w:rPr>
          <w:highlight w:val="yellow"/>
        </w:rPr>
        <w:t>"This research study was conducted retrospectively using human subject data made available in open access by (Source information). Ethical approval was not required as confirmed by the license attached with the open access data."</w:t>
      </w:r>
    </w:p>
    <w:p w14:paraId="14549DE6" w14:textId="2A96788D" w:rsidR="003100CC" w:rsidRPr="00973C08" w:rsidRDefault="003100CC" w:rsidP="003100CC">
      <w:pPr>
        <w:pStyle w:val="BodyText"/>
        <w:numPr>
          <w:ilvl w:val="0"/>
          <w:numId w:val="13"/>
        </w:numPr>
        <w:ind w:left="426" w:hanging="283"/>
        <w:rPr>
          <w:highlight w:val="yellow"/>
        </w:rPr>
      </w:pPr>
      <w:r w:rsidRPr="00973C08">
        <w:rPr>
          <w:highlight w:val="yellow"/>
        </w:rPr>
        <w:t xml:space="preserve">"This study was performed in line with the principles of the Declaration of Helsinki. Approval was granted </w:t>
      </w:r>
      <w:r w:rsidRPr="00973C08">
        <w:rPr>
          <w:highlight w:val="yellow"/>
        </w:rPr>
        <w:t>by the Ethics Committee of University B (Date.../No. ...)."</w:t>
      </w:r>
    </w:p>
    <w:p w14:paraId="242AE861" w14:textId="77777777" w:rsidR="00CF51CC" w:rsidRPr="00973C08" w:rsidRDefault="00CF51CC" w:rsidP="00CF51CC">
      <w:pPr>
        <w:jc w:val="both"/>
        <w:rPr>
          <w:sz w:val="20"/>
          <w:highlight w:val="yellow"/>
        </w:rPr>
      </w:pPr>
    </w:p>
    <w:p w14:paraId="1D218910" w14:textId="56CDFE1D" w:rsidR="00CF51CC" w:rsidRPr="00973C08" w:rsidRDefault="00CF51CC" w:rsidP="00CF51CC">
      <w:pPr>
        <w:pStyle w:val="Heading1"/>
        <w:rPr>
          <w:highlight w:val="yellow"/>
        </w:rPr>
      </w:pPr>
      <w:r w:rsidRPr="00973C08">
        <w:rPr>
          <w:highlight w:val="yellow"/>
        </w:rPr>
        <w:t>13. Acknowledgments</w:t>
      </w:r>
    </w:p>
    <w:p w14:paraId="2A93EAA7" w14:textId="77777777" w:rsidR="00CF51CC" w:rsidRPr="00973C08" w:rsidRDefault="00CF51CC" w:rsidP="00CF51CC">
      <w:pPr>
        <w:jc w:val="both"/>
        <w:rPr>
          <w:sz w:val="20"/>
          <w:highlight w:val="yellow"/>
        </w:rPr>
      </w:pPr>
    </w:p>
    <w:p w14:paraId="4990E386" w14:textId="36BB68E7" w:rsidR="00CE303D" w:rsidRPr="00973C08" w:rsidRDefault="00CF51CC" w:rsidP="00CF51CC">
      <w:pPr>
        <w:pStyle w:val="BodyText"/>
        <w:rPr>
          <w:highlight w:val="yellow"/>
        </w:rPr>
      </w:pPr>
      <w:r w:rsidRPr="00973C08">
        <w:rPr>
          <w:highlight w:val="yellow"/>
        </w:rPr>
        <w:t>IEEE-ISBI supports the disclosure of financial support for the project as well as any financial and personal relationships of the author that could create even the appearance of bias in the published work. The authors must disclose any agency or individual that provided financial support for the work as well as any personal or financial or employment relationship between any author and the sources of financial support for the work.</w:t>
      </w:r>
    </w:p>
    <w:p w14:paraId="7C9D5D29" w14:textId="77777777" w:rsidR="005D2946" w:rsidRPr="00973C08" w:rsidRDefault="005D2946" w:rsidP="005D2946">
      <w:pPr>
        <w:pStyle w:val="BodyText2"/>
        <w:rPr>
          <w:highlight w:val="yellow"/>
        </w:rPr>
      </w:pPr>
      <w:r w:rsidRPr="00973C08">
        <w:rPr>
          <w:highlight w:val="yellow"/>
        </w:rPr>
        <w:t>Other types of acknowledgements can also be listed in this section.</w:t>
      </w:r>
    </w:p>
    <w:p w14:paraId="3C0BF717" w14:textId="6CDFD378" w:rsidR="005D2946" w:rsidRPr="00973C08" w:rsidRDefault="005D2946" w:rsidP="005D2946">
      <w:pPr>
        <w:pStyle w:val="BodyText2"/>
        <w:rPr>
          <w:highlight w:val="yellow"/>
        </w:rPr>
      </w:pPr>
      <w:r w:rsidRPr="00973C08">
        <w:rPr>
          <w:highlight w:val="yellow"/>
        </w:rPr>
        <w:t>Reporting on real or potential conflicts of interests, or the absence thereof, is required in the paper. Authors are responsible for correctness of the statements provided in the manuscript. Examples of appropriate statements include:</w:t>
      </w:r>
    </w:p>
    <w:p w14:paraId="305CAAEE" w14:textId="7C3ED0DE" w:rsidR="005D2946" w:rsidRPr="00973C08" w:rsidRDefault="005D2946" w:rsidP="00973882">
      <w:pPr>
        <w:pStyle w:val="BodyText"/>
        <w:numPr>
          <w:ilvl w:val="0"/>
          <w:numId w:val="13"/>
        </w:numPr>
        <w:ind w:left="426" w:hanging="283"/>
        <w:rPr>
          <w:highlight w:val="yellow"/>
        </w:rPr>
      </w:pPr>
      <w:r w:rsidRPr="00973C08">
        <w:rPr>
          <w:highlight w:val="yellow"/>
        </w:rPr>
        <w:t>“No funding was received for conducting this study. The authors have no relevant financial or non-financial interests to disclose.”</w:t>
      </w:r>
    </w:p>
    <w:p w14:paraId="7601CD1B" w14:textId="760E3A6B" w:rsidR="005D2946" w:rsidRPr="00973C08" w:rsidRDefault="005D2946" w:rsidP="00A86152">
      <w:pPr>
        <w:pStyle w:val="BodyText"/>
        <w:numPr>
          <w:ilvl w:val="0"/>
          <w:numId w:val="13"/>
        </w:numPr>
        <w:ind w:left="426" w:hanging="283"/>
        <w:rPr>
          <w:highlight w:val="yellow"/>
        </w:rPr>
      </w:pPr>
      <w:r w:rsidRPr="00973C08">
        <w:rPr>
          <w:highlight w:val="yellow"/>
        </w:rPr>
        <w:t>“This work was supported by […] (Grant numbers) and […]. Author X has served on advisory boards for Company Y.”</w:t>
      </w:r>
    </w:p>
    <w:p w14:paraId="4EB43198" w14:textId="51599DA6" w:rsidR="005D2946" w:rsidRPr="00973C08" w:rsidRDefault="005D2946" w:rsidP="00A86152">
      <w:pPr>
        <w:pStyle w:val="BodyText"/>
        <w:numPr>
          <w:ilvl w:val="0"/>
          <w:numId w:val="13"/>
        </w:numPr>
        <w:ind w:left="426" w:hanging="283"/>
        <w:rPr>
          <w:highlight w:val="yellow"/>
        </w:rPr>
      </w:pPr>
      <w:r w:rsidRPr="00973C08">
        <w:rPr>
          <w:highlight w:val="yellow"/>
        </w:rPr>
        <w:t>“Author X is partially funded by Y. Author Z is a Founder and Director for Company C.”</w:t>
      </w:r>
    </w:p>
    <w:p w14:paraId="56755F73" w14:textId="77777777" w:rsidR="00CE303D" w:rsidRPr="00973C08" w:rsidRDefault="00CE303D" w:rsidP="00CE303D">
      <w:pPr>
        <w:jc w:val="both"/>
        <w:rPr>
          <w:sz w:val="20"/>
          <w:highlight w:val="yellow"/>
        </w:rPr>
      </w:pPr>
    </w:p>
    <w:p w14:paraId="21054D00" w14:textId="59C4B3C9" w:rsidR="001473C7" w:rsidRPr="00973C08" w:rsidRDefault="00CE303D" w:rsidP="00CE303D">
      <w:pPr>
        <w:pStyle w:val="Heading1"/>
        <w:rPr>
          <w:highlight w:val="yellow"/>
        </w:rPr>
      </w:pPr>
      <w:r w:rsidRPr="00973C08">
        <w:rPr>
          <w:highlight w:val="yellow"/>
        </w:rPr>
        <w:t>1</w:t>
      </w:r>
      <w:r w:rsidR="00CF51CC" w:rsidRPr="00973C08">
        <w:rPr>
          <w:highlight w:val="yellow"/>
        </w:rPr>
        <w:t>4</w:t>
      </w:r>
      <w:r w:rsidRPr="00973C08">
        <w:rPr>
          <w:highlight w:val="yellow"/>
        </w:rPr>
        <w:t>. References</w:t>
      </w:r>
    </w:p>
    <w:p w14:paraId="6367C4AD" w14:textId="77777777" w:rsidR="001473C7" w:rsidRPr="00973C08" w:rsidRDefault="001473C7">
      <w:pPr>
        <w:jc w:val="both"/>
        <w:rPr>
          <w:sz w:val="20"/>
          <w:highlight w:val="yellow"/>
        </w:rPr>
      </w:pPr>
    </w:p>
    <w:p w14:paraId="1EF10C39" w14:textId="77777777" w:rsidR="001473C7" w:rsidRPr="00973C08" w:rsidRDefault="001473C7">
      <w:pPr>
        <w:jc w:val="both"/>
        <w:rPr>
          <w:sz w:val="18"/>
          <w:highlight w:val="yellow"/>
        </w:rPr>
      </w:pPr>
      <w:r w:rsidRPr="00973C08">
        <w:rPr>
          <w:sz w:val="18"/>
          <w:highlight w:val="yellow"/>
        </w:rPr>
        <w:t xml:space="preserve">[1] A.B. Smith, C.D. Jones, and E.F. Roberts, “Article Title,” </w:t>
      </w:r>
      <w:r w:rsidRPr="00973C08">
        <w:rPr>
          <w:i/>
          <w:sz w:val="18"/>
          <w:highlight w:val="yellow"/>
        </w:rPr>
        <w:t>Journal</w:t>
      </w:r>
      <w:r w:rsidRPr="00973C08">
        <w:rPr>
          <w:sz w:val="18"/>
          <w:highlight w:val="yellow"/>
        </w:rPr>
        <w:t xml:space="preserve">, </w:t>
      </w:r>
      <w:r w:rsidR="00FA2502" w:rsidRPr="00973C08">
        <w:rPr>
          <w:sz w:val="18"/>
          <w:highlight w:val="yellow"/>
        </w:rPr>
        <w:t>vol. &lt;volume&gt;</w:t>
      </w:r>
      <w:r w:rsidRPr="00973C08">
        <w:rPr>
          <w:sz w:val="18"/>
          <w:highlight w:val="yellow"/>
        </w:rPr>
        <w:t xml:space="preserve">, </w:t>
      </w:r>
      <w:r w:rsidR="00FA2502" w:rsidRPr="00973C08">
        <w:rPr>
          <w:sz w:val="18"/>
          <w:highlight w:val="yellow"/>
        </w:rPr>
        <w:t>no. &lt;</w:t>
      </w:r>
      <w:r w:rsidR="00200A6B" w:rsidRPr="00973C08">
        <w:rPr>
          <w:sz w:val="18"/>
          <w:highlight w:val="yellow"/>
        </w:rPr>
        <w:t xml:space="preserve">issue </w:t>
      </w:r>
      <w:r w:rsidR="00FA2502" w:rsidRPr="00973C08">
        <w:rPr>
          <w:sz w:val="18"/>
          <w:highlight w:val="yellow"/>
        </w:rPr>
        <w:t>number&gt;</w:t>
      </w:r>
      <w:r w:rsidRPr="00973C08">
        <w:rPr>
          <w:sz w:val="18"/>
          <w:highlight w:val="yellow"/>
        </w:rPr>
        <w:t xml:space="preserve">, pp. </w:t>
      </w:r>
      <w:r w:rsidR="00FA2502" w:rsidRPr="00973C08">
        <w:rPr>
          <w:sz w:val="18"/>
          <w:highlight w:val="yellow"/>
        </w:rPr>
        <w:t>&lt;page</w:t>
      </w:r>
      <w:r w:rsidR="00200A6B" w:rsidRPr="00973C08">
        <w:rPr>
          <w:sz w:val="18"/>
          <w:highlight w:val="yellow"/>
        </w:rPr>
        <w:t xml:space="preserve"> range</w:t>
      </w:r>
      <w:r w:rsidR="00FA2502" w:rsidRPr="00973C08">
        <w:rPr>
          <w:sz w:val="18"/>
          <w:highlight w:val="yellow"/>
        </w:rPr>
        <w:t>&gt;</w:t>
      </w:r>
      <w:r w:rsidRPr="00973C08">
        <w:rPr>
          <w:sz w:val="18"/>
          <w:highlight w:val="yellow"/>
        </w:rPr>
        <w:t xml:space="preserve">, </w:t>
      </w:r>
      <w:r w:rsidR="00FA2502" w:rsidRPr="00973C08">
        <w:rPr>
          <w:sz w:val="18"/>
          <w:highlight w:val="yellow"/>
        </w:rPr>
        <w:t>Month Year</w:t>
      </w:r>
      <w:r w:rsidRPr="00973C08">
        <w:rPr>
          <w:sz w:val="18"/>
          <w:highlight w:val="yellow"/>
        </w:rPr>
        <w:t>.</w:t>
      </w:r>
    </w:p>
    <w:p w14:paraId="206EA559" w14:textId="77777777" w:rsidR="001473C7" w:rsidRPr="00973C08" w:rsidRDefault="001473C7">
      <w:pPr>
        <w:jc w:val="both"/>
        <w:rPr>
          <w:sz w:val="18"/>
          <w:highlight w:val="yellow"/>
        </w:rPr>
      </w:pPr>
    </w:p>
    <w:p w14:paraId="4FCA1B7A" w14:textId="6130131F" w:rsidR="001473C7" w:rsidRDefault="001473C7">
      <w:pPr>
        <w:jc w:val="both"/>
        <w:rPr>
          <w:sz w:val="18"/>
        </w:rPr>
      </w:pPr>
      <w:r w:rsidRPr="00973C08">
        <w:rPr>
          <w:sz w:val="18"/>
          <w:highlight w:val="yellow"/>
        </w:rPr>
        <w:t xml:space="preserve">[2] </w:t>
      </w:r>
      <w:r w:rsidR="00CE303D" w:rsidRPr="00973C08">
        <w:rPr>
          <w:sz w:val="18"/>
          <w:highlight w:val="yellow"/>
        </w:rPr>
        <w:t xml:space="preserve">C.D. </w:t>
      </w:r>
      <w:r w:rsidRPr="00973C08">
        <w:rPr>
          <w:sz w:val="18"/>
          <w:highlight w:val="yellow"/>
        </w:rPr>
        <w:t>Jones, A.B. Smith, and E.F. Roberts,</w:t>
      </w:r>
      <w:r w:rsidR="00CE303D" w:rsidRPr="00973C08">
        <w:rPr>
          <w:sz w:val="18"/>
          <w:highlight w:val="yellow"/>
        </w:rPr>
        <w:t xml:space="preserve"> “Paper Title,” in</w:t>
      </w:r>
      <w:r w:rsidRPr="00973C08">
        <w:rPr>
          <w:sz w:val="18"/>
          <w:highlight w:val="yellow"/>
        </w:rPr>
        <w:t xml:space="preserve"> </w:t>
      </w:r>
      <w:r w:rsidR="00CE303D" w:rsidRPr="00973C08">
        <w:rPr>
          <w:i/>
          <w:sz w:val="18"/>
          <w:highlight w:val="yellow"/>
        </w:rPr>
        <w:t>Proceedings</w:t>
      </w:r>
      <w:r w:rsidRPr="00973C08">
        <w:rPr>
          <w:i/>
          <w:sz w:val="18"/>
          <w:highlight w:val="yellow"/>
        </w:rPr>
        <w:t xml:space="preserve"> Title</w:t>
      </w:r>
      <w:r w:rsidRPr="00973C08">
        <w:rPr>
          <w:sz w:val="18"/>
          <w:highlight w:val="yellow"/>
        </w:rPr>
        <w:t xml:space="preserve">, Publisher, Location, </w:t>
      </w:r>
      <w:r w:rsidR="00FA2502" w:rsidRPr="00973C08">
        <w:rPr>
          <w:sz w:val="18"/>
          <w:highlight w:val="yellow"/>
        </w:rPr>
        <w:t>Year</w:t>
      </w:r>
      <w:r w:rsidR="00CE303D" w:rsidRPr="00973C08">
        <w:rPr>
          <w:sz w:val="18"/>
          <w:highlight w:val="yellow"/>
        </w:rPr>
        <w:t>, vol. &lt;volume&gt;, pp. &lt;page range&gt;</w:t>
      </w:r>
      <w:r w:rsidRPr="00973C08">
        <w:rPr>
          <w:sz w:val="18"/>
          <w:highlight w:val="yellow"/>
        </w:rPr>
        <w:t>.</w:t>
      </w: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5209458">
    <w:abstractNumId w:val="9"/>
  </w:num>
  <w:num w:numId="2" w16cid:durableId="1846631135">
    <w:abstractNumId w:val="7"/>
  </w:num>
  <w:num w:numId="3" w16cid:durableId="865170367">
    <w:abstractNumId w:val="6"/>
  </w:num>
  <w:num w:numId="4" w16cid:durableId="125634398">
    <w:abstractNumId w:val="5"/>
  </w:num>
  <w:num w:numId="5" w16cid:durableId="1101602989">
    <w:abstractNumId w:val="4"/>
  </w:num>
  <w:num w:numId="6" w16cid:durableId="633678824">
    <w:abstractNumId w:val="8"/>
  </w:num>
  <w:num w:numId="7" w16cid:durableId="1690637948">
    <w:abstractNumId w:val="3"/>
  </w:num>
  <w:num w:numId="8" w16cid:durableId="1998265218">
    <w:abstractNumId w:val="2"/>
  </w:num>
  <w:num w:numId="9" w16cid:durableId="1886403039">
    <w:abstractNumId w:val="1"/>
  </w:num>
  <w:num w:numId="10" w16cid:durableId="1387215737">
    <w:abstractNumId w:val="0"/>
  </w:num>
  <w:num w:numId="11" w16cid:durableId="1365204954">
    <w:abstractNumId w:val="10"/>
  </w:num>
  <w:num w:numId="12" w16cid:durableId="1006979435">
    <w:abstractNumId w:val="13"/>
  </w:num>
  <w:num w:numId="13" w16cid:durableId="348022649">
    <w:abstractNumId w:val="12"/>
  </w:num>
  <w:num w:numId="14" w16cid:durableId="19668107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25F84"/>
    <w:rsid w:val="00037EDD"/>
    <w:rsid w:val="000D2250"/>
    <w:rsid w:val="001473C7"/>
    <w:rsid w:val="00200A6B"/>
    <w:rsid w:val="00291609"/>
    <w:rsid w:val="003100CC"/>
    <w:rsid w:val="004428A1"/>
    <w:rsid w:val="004C5400"/>
    <w:rsid w:val="005063E4"/>
    <w:rsid w:val="005872EA"/>
    <w:rsid w:val="005B7E3F"/>
    <w:rsid w:val="005D2946"/>
    <w:rsid w:val="006100CA"/>
    <w:rsid w:val="00647336"/>
    <w:rsid w:val="0067401D"/>
    <w:rsid w:val="006C426C"/>
    <w:rsid w:val="00715A6E"/>
    <w:rsid w:val="007B74FA"/>
    <w:rsid w:val="00852756"/>
    <w:rsid w:val="00917E05"/>
    <w:rsid w:val="00973C08"/>
    <w:rsid w:val="00993122"/>
    <w:rsid w:val="009D56B7"/>
    <w:rsid w:val="009F286B"/>
    <w:rsid w:val="009F706B"/>
    <w:rsid w:val="00A53E0C"/>
    <w:rsid w:val="00AB29AC"/>
    <w:rsid w:val="00AB79AD"/>
    <w:rsid w:val="00AE15E3"/>
    <w:rsid w:val="00B0059E"/>
    <w:rsid w:val="00B011BA"/>
    <w:rsid w:val="00B2044E"/>
    <w:rsid w:val="00B72EC4"/>
    <w:rsid w:val="00BB2867"/>
    <w:rsid w:val="00CA7285"/>
    <w:rsid w:val="00CE303D"/>
    <w:rsid w:val="00CF51CC"/>
    <w:rsid w:val="00DB36D6"/>
    <w:rsid w:val="00EA4D31"/>
    <w:rsid w:val="00F149B6"/>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ms\f_djjzds72z83ctdnwxktmdr0000gp\T\com.microsoft.Word\WebArchiveCopyPasteTempFiles\page2image398097539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Soumini M</cp:lastModifiedBy>
  <cp:revision>26</cp:revision>
  <cp:lastPrinted>2000-05-02T16:54:00Z</cp:lastPrinted>
  <dcterms:created xsi:type="dcterms:W3CDTF">2020-07-30T08:39:00Z</dcterms:created>
  <dcterms:modified xsi:type="dcterms:W3CDTF">2024-04-05T21:19:00Z</dcterms:modified>
</cp:coreProperties>
</file>