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jc w:val="right"/>
      </w:pPr>
      <w:r>
        <w:rPr>
          <w:rFonts w:ascii="Arial" w:cs="Arial" w:eastAsia="Arial" w:hAnsi="Arial"/>
          <w:b w:val="false"/>
          <w:bCs w:val="false"/>
          <w:i w:val="false"/>
          <w:iCs w:val="false"/>
          <w:color w:val="888888"/>
          <w:sz w:val="18"/>
          <w:szCs w:val="18"/>
        </w:rPr>
        <w:t xml:space="preserve">CONFIDENTIAL — INTERNAL USE ONLY</w:t>
      </w:r>
    </w:p>
    <w:p>
      <w:pPr>
        <w:spacing w:after="400" w:before="0"/>
        <w:jc w:val="left"/>
      </w:pPr>
      <w:r>
        <w:rPr>
          <w:rFonts w:ascii="Arial" w:cs="Arial" w:eastAsia="Arial" w:hAnsi="Arial"/>
          <w:b w:val="false"/>
          <w:bCs w:val="false"/>
          <w:i w:val="false"/>
          <w:iCs w:val="false"/>
          <w:color w:val="444444"/>
          <w:sz w:val="22"/>
          <w:szCs w:val="22"/>
        </w:rPr>
        <w:t xml:space="preserve"/>
      </w:r>
    </w:p>
    <w:p>
      <w:pPr>
        <w:spacing w:after="80" w:before="0"/>
      </w:pPr>
      <w:r>
        <w:rPr>
          <w:rFonts w:ascii="Arial" w:cs="Arial" w:eastAsia="Arial" w:hAnsi="Arial"/>
          <w:b/>
          <w:bCs/>
          <w:color w:val="1E3A5F"/>
          <w:sz w:val="56"/>
          <w:szCs w:val="56"/>
        </w:rPr>
        <w:t xml:space="preserve">E-Commerce Sales</w:t>
      </w:r>
    </w:p>
    <w:p>
      <w:pPr>
        <w:spacing w:after="80" w:before="0"/>
      </w:pPr>
      <w:r>
        <w:rPr>
          <w:rFonts w:ascii="Arial" w:cs="Arial" w:eastAsia="Arial" w:hAnsi="Arial"/>
          <w:b/>
          <w:bCs/>
          <w:color w:val="1E3A5F"/>
          <w:sz w:val="56"/>
          <w:szCs w:val="56"/>
        </w:rPr>
        <w:t xml:space="preserve">Performance Report</w:t>
      </w:r>
    </w:p>
    <w:p>
      <w:pPr>
        <w:pBdr>
          <w:bottom w:val="single" w:color="1E3A5F" w:sz="12" w:space="1"/>
        </w:pBdr>
        <w:spacing w:after="240" w:before="0"/>
      </w:pPr>
      <w:r>
        <w:rPr>
          <w:sz w:val="4"/>
          <w:szCs w:val="4"/>
        </w:rPr>
        <w:t xml:space="preserve"/>
      </w:r>
    </w:p>
    <w:p>
      <w:pPr>
        <w:spacing w:after="160" w:before="0"/>
        <w:jc w:val="left"/>
      </w:pPr>
      <w:r>
        <w:rPr>
          <w:rFonts w:ascii="Arial" w:cs="Arial" w:eastAsia="Arial" w:hAnsi="Arial"/>
          <w:b w:val="false"/>
          <w:bCs w:val="false"/>
          <w:i w:val="false"/>
          <w:iCs w:val="false"/>
          <w:color w:val="888888"/>
          <w:sz w:val="20"/>
          <w:szCs w:val="20"/>
        </w:rPr>
        <w:t xml:space="preserve">Prepared by: Data Analyst</w:t>
      </w:r>
    </w:p>
    <w:p>
      <w:pPr>
        <w:spacing w:after="160" w:before="0"/>
        <w:jc w:val="left"/>
      </w:pPr>
      <w:r>
        <w:rPr>
          <w:rFonts w:ascii="Arial" w:cs="Arial" w:eastAsia="Arial" w:hAnsi="Arial"/>
          <w:b w:val="false"/>
          <w:bCs w:val="false"/>
          <w:i w:val="false"/>
          <w:iCs w:val="false"/>
          <w:color w:val="888888"/>
          <w:sz w:val="20"/>
          <w:szCs w:val="20"/>
        </w:rPr>
        <w:t xml:space="preserve">Dataset: messy_ecommerce_sales_data.csv</w:t>
      </w:r>
    </w:p>
    <w:p>
      <w:pPr>
        <w:spacing w:after="160" w:before="0"/>
        <w:jc w:val="left"/>
      </w:pPr>
      <w:r>
        <w:rPr>
          <w:rFonts w:ascii="Arial" w:cs="Arial" w:eastAsia="Arial" w:hAnsi="Arial"/>
          <w:b w:val="false"/>
          <w:bCs w:val="false"/>
          <w:i w:val="false"/>
          <w:iCs w:val="false"/>
          <w:color w:val="888888"/>
          <w:sz w:val="20"/>
          <w:szCs w:val="20"/>
        </w:rPr>
        <w:t xml:space="preserve">Period: January 2023 – November 2025</w:t>
      </w:r>
    </w:p>
    <w:p>
      <w:pPr>
        <w:spacing w:after="160" w:before="0"/>
        <w:jc w:val="left"/>
      </w:pPr>
      <w:r>
        <w:rPr>
          <w:rFonts w:ascii="Arial" w:cs="Arial" w:eastAsia="Arial" w:hAnsi="Arial"/>
          <w:b w:val="false"/>
          <w:bCs w:val="false"/>
          <w:i w:val="false"/>
          <w:iCs w:val="false"/>
          <w:color w:val="888888"/>
          <w:sz w:val="20"/>
          <w:szCs w:val="20"/>
        </w:rPr>
        <w:t xml:space="preserve">Date: June 2026</w:t>
      </w:r>
    </w:p>
    <w:p>
      <w:pPr>
        <w:spacing w:after="600" w:before="0"/>
        <w:jc w:val="left"/>
      </w:pPr>
      <w:r>
        <w:rPr>
          <w:rFonts w:ascii="Arial" w:cs="Arial" w:eastAsia="Arial" w:hAnsi="Arial"/>
          <w:b w:val="false"/>
          <w:bCs w:val="false"/>
          <w:i w:val="false"/>
          <w:iCs w:val="false"/>
          <w:color w:val="444444"/>
          <w:sz w:val="22"/>
          <w:szCs w:val="22"/>
        </w:rPr>
        <w:t xml:space="preserve"/>
      </w:r>
    </w:p>
    <w:p>
      <w:pPr>
        <w:pStyle w:val="Heading1"/>
        <w:pBdr>
          <w:bottom w:val="single" w:color="1E3A5F" w:sz="6" w:space="1"/>
        </w:pBdr>
        <w:spacing w:after="160" w:before="340"/>
      </w:pPr>
      <w:r>
        <w:rPr>
          <w:rFonts w:ascii="Arial" w:cs="Arial" w:eastAsia="Arial" w:hAnsi="Arial"/>
          <w:b/>
          <w:bCs/>
          <w:color w:val="1E3A5F"/>
          <w:sz w:val="32"/>
          <w:szCs w:val="32"/>
        </w:rPr>
        <w:t xml:space="preserve">Executive Summary</w:t>
      </w:r>
    </w:p>
    <w:p>
      <w:pPr>
        <w:spacing w:after="160" w:before="0"/>
        <w:jc w:val="left"/>
      </w:pPr>
      <w:r>
        <w:rPr>
          <w:rFonts w:ascii="Arial" w:cs="Arial" w:eastAsia="Arial" w:hAnsi="Arial"/>
          <w:b w:val="false"/>
          <w:bCs w:val="false"/>
          <w:i w:val="false"/>
          <w:iCs w:val="false"/>
          <w:color w:val="444444"/>
          <w:sz w:val="22"/>
          <w:szCs w:val="22"/>
        </w:rPr>
        <w:t xml:space="preserve">This report analyses 102 e-commerce orders totalling ₹1,35,271 in revenue. The data reveals a business with strong top-line sales but a critically broken fulfilment pipeline. Only 10.8% of orders have been successfully delivered, while 41.2% are either cancelled or returned — representing ₹63,421 in revenue at risk. Immediate action is required on three fronts: fulfilment, payment method strategy, and category mix.</w:t>
      </w:r>
    </w:p>
    <w:p>
      <w:pPr>
        <w:spacing w:after="160" w:before="0"/>
        <w:jc w:val="left"/>
      </w:pPr>
      <w:r>
        <w:rPr>
          <w:rFonts w:ascii="Arial" w:cs="Arial" w:eastAsia="Arial" w:hAnsi="Arial"/>
          <w:b w:val="false"/>
          <w:bCs w:val="false"/>
          <w:i w:val="false"/>
          <w:iCs w:val="false"/>
          <w:color w:val="444444"/>
          <w:sz w:val="22"/>
          <w:szCs w:val="22"/>
        </w:rPr>
        <w:t xml:space="preserve"/>
      </w:r>
    </w:p>
    <w:p>
      <w:pPr>
        <w:pStyle w:val="Heading2"/>
        <w:spacing w:after="120" w:before="240"/>
      </w:pPr>
      <w:r>
        <w:rPr>
          <w:rFonts w:ascii="Arial" w:cs="Arial" w:eastAsia="Arial" w:hAnsi="Arial"/>
          <w:b/>
          <w:bCs/>
          <w:color w:val="1E3A5F"/>
          <w:sz w:val="26"/>
          <w:szCs w:val="26"/>
        </w:rPr>
        <w:t xml:space="preserve">Key Performance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Total Revenue</w:t>
            </w:r>
          </w:p>
        </w:tc>
        <w:tc>
          <w:tcPr>
            <w:tcW w:type="dxa" w:w="234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Total Orders</w:t>
            </w:r>
          </w:p>
        </w:tc>
        <w:tc>
          <w:tcPr>
            <w:tcW w:type="dxa" w:w="234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Delivered Rate</w:t>
            </w:r>
          </w:p>
        </w:tc>
        <w:tc>
          <w:tcPr>
            <w:tcW w:type="dxa" w:w="234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Revenue at Risk</w:t>
            </w:r>
          </w:p>
        </w:tc>
      </w:tr>
      <w:tr>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color w:val="444444"/>
                <w:sz w:val="24"/>
                <w:szCs w:val="24"/>
              </w:rPr>
              <w:t xml:space="preserve">₹1,35,271</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color w:val="444444"/>
                <w:sz w:val="24"/>
                <w:szCs w:val="24"/>
              </w:rPr>
              <w:t xml:space="preserve">102 orders</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color w:val="C0392B"/>
                <w:sz w:val="24"/>
                <w:szCs w:val="24"/>
              </w:rPr>
              <w:t xml:space="preserve">10.8% only</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color w:val="C0392B"/>
                <w:sz w:val="24"/>
                <w:szCs w:val="24"/>
              </w:rPr>
              <w:t xml:space="preserve">₹63,421 (47%)</w:t>
            </w:r>
          </w:p>
        </w:tc>
      </w:tr>
      <w:tr>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888888"/>
                <w:sz w:val="20"/>
                <w:szCs w:val="20"/>
              </w:rPr>
              <w:t xml:space="preserve">86 with valid data</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888888"/>
                <w:sz w:val="20"/>
                <w:szCs w:val="20"/>
              </w:rPr>
              <w:t xml:space="preserve">16 incomplete records</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888888"/>
                <w:sz w:val="20"/>
                <w:szCs w:val="20"/>
              </w:rPr>
              <w:t xml:space="preserve">11 of 102 orders</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888888"/>
                <w:sz w:val="20"/>
                <w:szCs w:val="20"/>
              </w:rPr>
              <w:t xml:space="preserve">Cancelled + Returned</w:t>
            </w:r>
          </w:p>
        </w:tc>
      </w:tr>
    </w:tbl>
    <w:p>
      <w:pPr>
        <w:spacing w:after="160" w:before="0"/>
        <w:jc w:val="left"/>
      </w:pPr>
      <w:r>
        <w:rPr>
          <w:rFonts w:ascii="Arial" w:cs="Arial" w:eastAsia="Arial" w:hAnsi="Arial"/>
          <w:b w:val="false"/>
          <w:bCs w:val="false"/>
          <w:i w:val="false"/>
          <w:iCs w:val="false"/>
          <w:color w:val="444444"/>
          <w:sz w:val="22"/>
          <w:szCs w:val="22"/>
        </w:rPr>
        <w:t xml:space="preserve"/>
      </w:r>
    </w:p>
    <w:p>
      <w:pPr>
        <w:pBdr>
          <w:bottom w:val="single" w:color="DDDDDD" w:sz="2" w:space="1"/>
        </w:pBdr>
        <w:spacing w:after="160" w:before="160"/>
      </w:pPr>
      <w:r>
        <w:rPr>
          <w:sz w:val="4"/>
          <w:szCs w:val="4"/>
        </w:rPr>
        <w:t xml:space="preserve"/>
      </w:r>
    </w:p>
    <w:p>
      <w:pPr>
        <w:pStyle w:val="Heading1"/>
        <w:pBdr>
          <w:bottom w:val="single" w:color="1E3A5F" w:sz="6" w:space="1"/>
        </w:pBdr>
        <w:spacing w:after="160" w:before="340"/>
      </w:pPr>
      <w:r>
        <w:rPr>
          <w:rFonts w:ascii="Arial" w:cs="Arial" w:eastAsia="Arial" w:hAnsi="Arial"/>
          <w:b/>
          <w:bCs/>
          <w:color w:val="1E3A5F"/>
          <w:sz w:val="32"/>
          <w:szCs w:val="32"/>
        </w:rPr>
        <w:t xml:space="preserve">Finding 1: Books Leads Revenue, but Clothing is the Real Opportunity</w:t>
      </w:r>
    </w:p>
    <w:p>
      <w:pPr>
        <w:spacing w:after="160" w:before="0"/>
        <w:jc w:val="left"/>
      </w:pPr>
      <w:r>
        <w:rPr>
          <w:rFonts w:ascii="Arial" w:cs="Arial" w:eastAsia="Arial" w:hAnsi="Arial"/>
          <w:b w:val="false"/>
          <w:bCs w:val="false"/>
          <w:i w:val="false"/>
          <w:iCs w:val="false"/>
          <w:color w:val="444444"/>
          <w:sz w:val="22"/>
          <w:szCs w:val="22"/>
        </w:rPr>
        <w:t xml:space="preserve">Books is the highest-revenue category (₹38,357) driven purely by volume — 22 orders. However, Clothing customers spend ₹2,466 per order on average, which is 35% higher than Books (₹1,826) and the highest average order value across all categories.</w:t>
      </w:r>
    </w:p>
    <w:p>
      <w:pPr>
        <w:spacing w:after="160" w:before="0"/>
        <w:jc w:val="left"/>
      </w:pPr>
      <w:r>
        <w:rPr>
          <w:rFonts w:ascii="Arial" w:cs="Arial" w:eastAsia="Arial" w:hAnsi="Arial"/>
          <w:b w:val="false"/>
          <w:bCs w:val="false"/>
          <w:i w:val="false"/>
          <w:iCs w:val="false"/>
          <w:color w:val="444444"/>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1560"/>
        <w:gridCol w:w="2340"/>
      </w:tblGrid>
      <w:tr>
        <w:tc>
          <w:tcPr>
            <w:tcW w:type="dxa" w:w="234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Category</w:t>
            </w:r>
          </w:p>
        </w:tc>
        <w:tc>
          <w:tcPr>
            <w:tcW w:type="dxa" w:w="15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Orders</w:t>
            </w:r>
          </w:p>
        </w:tc>
        <w:tc>
          <w:tcPr>
            <w:tcW w:type="dxa" w:w="15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Revenue</w:t>
            </w:r>
          </w:p>
        </w:tc>
        <w:tc>
          <w:tcPr>
            <w:tcW w:type="dxa" w:w="15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Avg Order Value</w:t>
            </w:r>
          </w:p>
        </w:tc>
        <w:tc>
          <w:tcPr>
            <w:tcW w:type="dxa" w:w="234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Observation</w:t>
            </w:r>
          </w:p>
        </w:tc>
      </w:tr>
      <w:tr>
        <w:tc>
          <w:tcPr>
            <w:tcW w:type="dxa" w:w="2340"/>
            <w:tcBorders>
              <w:top w:val="single" w:color="CCCCCC" w:sz="1"/>
              <w:left w:val="single" w:color="CCCCCC" w:sz="1"/>
              <w:bottom w:val="single" w:color="CCCCCC" w:sz="1"/>
              <w:right w:val="single" w:color="CCCCCC" w:sz="1"/>
            </w:tcBorders>
            <w:shd w:fill="EAF4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Books</w:t>
            </w:r>
          </w:p>
        </w:tc>
        <w:tc>
          <w:tcPr>
            <w:tcW w:type="dxa" w:w="2340"/>
            <w:tcBorders>
              <w:top w:val="single" w:color="CCCCCC" w:sz="1"/>
              <w:left w:val="single" w:color="CCCCCC" w:sz="1"/>
              <w:bottom w:val="single" w:color="CCCCCC" w:sz="1"/>
              <w:right w:val="single" w:color="CCCCCC" w:sz="1"/>
            </w:tcBorders>
            <w:shd w:fill="EAF4FF" w:val="clear"/>
            <w:tcMar>
              <w:top w:type="dxa" w:w="100"/>
              <w:left w:type="dxa" w:w="140"/>
              <w:bottom w:type="dxa" w:w="100"/>
              <w:right w:type="dxa" w:w="140"/>
            </w:tcMar>
            <w:vAlign w:val="center"/>
          </w:tcPr>
          <w:p>
            <w:pPr>
              <w:jc w:val="center"/>
            </w:pPr>
            <w:r>
              <w:rPr>
                <w:rFonts w:ascii="Arial" w:cs="Arial" w:eastAsia="Arial" w:hAnsi="Arial"/>
                <w:b w:val="false"/>
                <w:bCs w:val="false"/>
                <w:color w:val="444444"/>
                <w:sz w:val="20"/>
                <w:szCs w:val="20"/>
              </w:rPr>
              <w:t xml:space="preserve">22</w:t>
            </w:r>
          </w:p>
        </w:tc>
        <w:tc>
          <w:tcPr>
            <w:tcW w:type="dxa" w:w="2340"/>
            <w:tcBorders>
              <w:top w:val="single" w:color="CCCCCC" w:sz="1"/>
              <w:left w:val="single" w:color="CCCCCC" w:sz="1"/>
              <w:bottom w:val="single" w:color="CCCCCC" w:sz="1"/>
              <w:right w:val="single" w:color="CCCCCC" w:sz="1"/>
            </w:tcBorders>
            <w:shd w:fill="EAF4FF" w:val="clear"/>
            <w:tcMar>
              <w:top w:type="dxa" w:w="100"/>
              <w:left w:type="dxa" w:w="140"/>
              <w:bottom w:type="dxa" w:w="100"/>
              <w:right w:type="dxa" w:w="140"/>
            </w:tcMar>
            <w:vAlign w:val="center"/>
          </w:tcPr>
          <w:p>
            <w:pPr>
              <w:jc w:val="left"/>
            </w:pPr>
            <w:r>
              <w:rPr>
                <w:rFonts w:ascii="Arial" w:cs="Arial" w:eastAsia="Arial" w:hAnsi="Arial"/>
                <w:b/>
                <w:bCs/>
                <w:color w:val="444444"/>
                <w:sz w:val="20"/>
                <w:szCs w:val="20"/>
              </w:rPr>
              <w:t xml:space="preserve">₹38,357</w:t>
            </w:r>
          </w:p>
        </w:tc>
        <w:tc>
          <w:tcPr>
            <w:tcW w:type="dxa" w:w="2340"/>
            <w:tcBorders>
              <w:top w:val="single" w:color="CCCCCC" w:sz="1"/>
              <w:left w:val="single" w:color="CCCCCC" w:sz="1"/>
              <w:bottom w:val="single" w:color="CCCCCC" w:sz="1"/>
              <w:right w:val="single" w:color="CCCCCC" w:sz="1"/>
            </w:tcBorders>
            <w:shd w:fill="EAF4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₹1,826</w:t>
            </w:r>
          </w:p>
        </w:tc>
        <w:tc>
          <w:tcPr>
            <w:tcW w:type="dxa" w:w="2340"/>
            <w:tcBorders>
              <w:top w:val="single" w:color="CCCCCC" w:sz="1"/>
              <w:left w:val="single" w:color="CCCCCC" w:sz="1"/>
              <w:bottom w:val="single" w:color="CCCCCC" w:sz="1"/>
              <w:right w:val="single" w:color="CCCCCC" w:sz="1"/>
            </w:tcBorders>
            <w:shd w:fill="EAF4F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Highest revenue — volume-driven</w:t>
            </w:r>
          </w:p>
        </w:tc>
      </w:tr>
      <w:tr>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Clothing</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color w:val="444444"/>
                <w:sz w:val="20"/>
                <w:szCs w:val="20"/>
              </w:rPr>
              <w:t xml:space="preserve">15</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₹27,128</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color w:val="1A7A4A"/>
                <w:sz w:val="20"/>
                <w:szCs w:val="20"/>
              </w:rPr>
              <w:t xml:space="preserve">₹2,466</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Highest AOV — premium opportunity</w:t>
            </w:r>
          </w:p>
        </w:tc>
      </w:tr>
      <w:tr>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Home</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color w:val="444444"/>
                <w:sz w:val="20"/>
                <w:szCs w:val="20"/>
              </w:rPr>
              <w:t xml:space="preserve">20</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₹24,729</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₹1,545</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Consistent mid-tier performer</w:t>
            </w:r>
          </w:p>
        </w:tc>
      </w:tr>
      <w:tr>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Electronics</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color w:val="444444"/>
                <w:sz w:val="20"/>
                <w:szCs w:val="20"/>
              </w:rPr>
              <w:t xml:space="preserve">20</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₹20,251</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B7770D"/>
                <w:sz w:val="20"/>
                <w:szCs w:val="20"/>
              </w:rPr>
              <w:t xml:space="preserve">₹1,125</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Low AOV despite 20 orders</w:t>
            </w:r>
          </w:p>
        </w:tc>
      </w:tr>
      <w:tr>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Sports</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color w:val="444444"/>
                <w:sz w:val="20"/>
                <w:szCs w:val="20"/>
              </w:rPr>
              <w:t xml:space="preserve">17</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₹17,736</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₹1,364</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B7770D"/>
                <w:sz w:val="20"/>
                <w:szCs w:val="20"/>
              </w:rPr>
              <w:t xml:space="preserve">Lowest total revenue</w:t>
            </w:r>
          </w:p>
        </w:tc>
      </w:tr>
    </w:tbl>
    <w:p>
      <w:pPr>
        <w:spacing w:after="160" w:before="0"/>
        <w:jc w:val="left"/>
      </w:pPr>
      <w:r>
        <w:rPr>
          <w:rFonts w:ascii="Arial" w:cs="Arial" w:eastAsia="Arial" w:hAnsi="Arial"/>
          <w:b w:val="false"/>
          <w:bCs w:val="false"/>
          <w:i w:val="false"/>
          <w:iCs w:val="false"/>
          <w:color w:val="444444"/>
          <w:sz w:val="22"/>
          <w:szCs w:val="22"/>
        </w:rPr>
        <w:t xml:space="preserve"/>
      </w:r>
    </w:p>
    <w:p>
      <w:pPr>
        <w:spacing w:after="160" w:before="0"/>
        <w:jc w:val="left"/>
      </w:pPr>
      <w:r>
        <w:rPr>
          <w:rFonts w:ascii="Arial" w:cs="Arial" w:eastAsia="Arial" w:hAnsi="Arial"/>
          <w:b w:val="false"/>
          <w:bCs w:val="false"/>
          <w:i w:val="false"/>
          <w:iCs w:val="false"/>
          <w:color w:val="444444"/>
          <w:sz w:val="22"/>
          <w:szCs w:val="22"/>
        </w:rPr>
        <w:t xml:space="preserve">Electronics underperforms despite matching Home in order count (20 orders each). Its average order value of ₹1,125 is the lowest across all categories, suggesting a pricing or product mix issue.</w:t>
      </w:r>
    </w:p>
    <w:p>
      <w:pPr>
        <w:spacing w:after="160" w:before="0"/>
        <w:jc w:val="left"/>
      </w:pPr>
      <w:r>
        <w:rPr>
          <w:rFonts w:ascii="Arial" w:cs="Arial" w:eastAsia="Arial" w:hAnsi="Arial"/>
          <w:b w:val="false"/>
          <w:bCs w:val="false"/>
          <w:i w:val="false"/>
          <w:iCs w:val="false"/>
          <w:color w:val="444444"/>
          <w:sz w:val="22"/>
          <w:szCs w:val="22"/>
        </w:rPr>
        <w:t xml:space="preserve"/>
      </w:r>
    </w:p>
    <w:p>
      <w:pPr>
        <w:spacing w:after="160" w:before="0"/>
        <w:jc w:val="left"/>
      </w:pPr>
      <w:r>
        <w:rPr>
          <w:rFonts w:ascii="Arial" w:cs="Arial" w:eastAsia="Arial" w:hAnsi="Arial"/>
          <w:b/>
          <w:bCs/>
          <w:i w:val="false"/>
          <w:iCs w:val="false"/>
          <w:color w:val="1E3A5F"/>
          <w:sz w:val="22"/>
          <w:szCs w:val="22"/>
        </w:rPr>
        <w:t xml:space="preserve">Recommendation:</w:t>
      </w:r>
    </w:p>
    <w:p>
      <w:pPr>
        <w:pStyle w:val="ListParagraph"/>
        <w:numPr>
          <w:ilvl w:val="0"/>
          <w:numId w:val="2"/>
        </w:numPr>
        <w:spacing w:after="60" w:before="60"/>
      </w:pPr>
      <w:r>
        <w:rPr>
          <w:rFonts w:ascii="Arial" w:cs="Arial" w:eastAsia="Arial" w:hAnsi="Arial"/>
          <w:color w:val="444444"/>
          <w:sz w:val="22"/>
          <w:szCs w:val="22"/>
        </w:rPr>
        <w:t xml:space="preserve">Invest in growing the Clothing category — fewer orders are needed to achieve the same revenue as Books.</w:t>
      </w:r>
    </w:p>
    <w:p>
      <w:pPr>
        <w:pStyle w:val="ListParagraph"/>
        <w:numPr>
          <w:ilvl w:val="0"/>
          <w:numId w:val="2"/>
        </w:numPr>
        <w:spacing w:after="60" w:before="60"/>
      </w:pPr>
      <w:r>
        <w:rPr>
          <w:rFonts w:ascii="Arial" w:cs="Arial" w:eastAsia="Arial" w:hAnsi="Arial"/>
          <w:color w:val="444444"/>
          <w:sz w:val="22"/>
          <w:szCs w:val="22"/>
        </w:rPr>
        <w:t xml:space="preserve">Review the Electronics product mix. Lower AOV may indicate customers are buying low-margin accessories rather than high-value devices.</w:t>
      </w:r>
    </w:p>
    <w:p>
      <w:pPr>
        <w:pStyle w:val="ListParagraph"/>
        <w:numPr>
          <w:ilvl w:val="0"/>
          <w:numId w:val="2"/>
        </w:numPr>
        <w:spacing w:after="60" w:before="60"/>
      </w:pPr>
      <w:r>
        <w:rPr>
          <w:rFonts w:ascii="Arial" w:cs="Arial" w:eastAsia="Arial" w:hAnsi="Arial"/>
          <w:color w:val="444444"/>
          <w:sz w:val="22"/>
          <w:szCs w:val="22"/>
        </w:rPr>
        <w:t xml:space="preserve">Consider targeted promotions for Sports (lowest total revenue) to increase order frequency.</w:t>
      </w:r>
    </w:p>
    <w:p>
      <w:pPr>
        <w:spacing w:after="160" w:before="0"/>
        <w:jc w:val="left"/>
      </w:pPr>
      <w:r>
        <w:rPr>
          <w:rFonts w:ascii="Arial" w:cs="Arial" w:eastAsia="Arial" w:hAnsi="Arial"/>
          <w:b w:val="false"/>
          <w:bCs w:val="false"/>
          <w:i w:val="false"/>
          <w:iCs w:val="false"/>
          <w:color w:val="444444"/>
          <w:sz w:val="22"/>
          <w:szCs w:val="22"/>
        </w:rPr>
        <w:t xml:space="preserve"/>
      </w:r>
    </w:p>
    <w:p>
      <w:pPr>
        <w:pBdr>
          <w:bottom w:val="single" w:color="DDDDDD" w:sz="2" w:space="1"/>
        </w:pBdr>
        <w:spacing w:after="160" w:before="160"/>
      </w:pPr>
      <w:r>
        <w:rPr>
          <w:sz w:val="4"/>
          <w:szCs w:val="4"/>
        </w:rPr>
        <w:t xml:space="preserve"/>
      </w:r>
    </w:p>
    <w:p>
      <w:pPr>
        <w:pStyle w:val="Heading1"/>
        <w:pBdr>
          <w:bottom w:val="single" w:color="1E3A5F" w:sz="6" w:space="1"/>
        </w:pBdr>
        <w:spacing w:after="160" w:before="340"/>
      </w:pPr>
      <w:r>
        <w:rPr>
          <w:rFonts w:ascii="Arial" w:cs="Arial" w:eastAsia="Arial" w:hAnsi="Arial"/>
          <w:b/>
          <w:bCs/>
          <w:color w:val="1E3A5F"/>
          <w:sz w:val="32"/>
          <w:szCs w:val="32"/>
        </w:rPr>
        <w:t xml:space="preserve">Finding 2: The Fulfilment Pipeline is Critically Broken</w:t>
      </w:r>
    </w:p>
    <w:p>
      <w:pPr>
        <w:spacing w:after="160" w:before="0"/>
        <w:jc w:val="left"/>
      </w:pPr>
      <w:r>
        <w:rPr>
          <w:rFonts w:ascii="Arial" w:cs="Arial" w:eastAsia="Arial" w:hAnsi="Arial"/>
          <w:b w:val="false"/>
          <w:bCs w:val="false"/>
          <w:i w:val="false"/>
          <w:iCs w:val="false"/>
          <w:color w:val="444444"/>
          <w:sz w:val="22"/>
          <w:szCs w:val="22"/>
        </w:rPr>
        <w:t xml:space="preserve">This is the most alarming finding in the dataset. The order status breakdown tells a story of a fulfilment process that is failing customers at scale:</w:t>
      </w:r>
    </w:p>
    <w:p>
      <w:pPr>
        <w:spacing w:after="160" w:before="0"/>
        <w:jc w:val="left"/>
      </w:pPr>
      <w:r>
        <w:rPr>
          <w:rFonts w:ascii="Arial" w:cs="Arial" w:eastAsia="Arial" w:hAnsi="Arial"/>
          <w:b w:val="false"/>
          <w:bCs w:val="false"/>
          <w:i w:val="false"/>
          <w:iCs w:val="false"/>
          <w:color w:val="444444"/>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1560"/>
        <w:gridCol w:w="3120"/>
      </w:tblGrid>
      <w:tr>
        <w:tc>
          <w:tcPr>
            <w:tcW w:type="dxa" w:w="312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Status</w:t>
            </w:r>
          </w:p>
        </w:tc>
        <w:tc>
          <w:tcPr>
            <w:tcW w:type="dxa" w:w="15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Orders</w:t>
            </w:r>
          </w:p>
        </w:tc>
        <w:tc>
          <w:tcPr>
            <w:tcW w:type="dxa" w:w="15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 of Total</w:t>
            </w:r>
          </w:p>
        </w:tc>
        <w:tc>
          <w:tcPr>
            <w:tcW w:type="dxa" w:w="312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Revenue Impact</w:t>
            </w:r>
          </w:p>
        </w:tc>
      </w:tr>
      <w:tr>
        <w:tc>
          <w:tcPr>
            <w:tcW w:type="dxa" w:w="2340"/>
            <w:tcBorders>
              <w:top w:val="single" w:color="CCCCCC" w:sz="1"/>
              <w:left w:val="single" w:color="CCCCCC" w:sz="1"/>
              <w:bottom w:val="single" w:color="CCCCCC" w:sz="1"/>
              <w:right w:val="single" w:color="CCCCCC" w:sz="1"/>
            </w:tcBorders>
            <w:shd w:fill="FDF0E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Returned</w:t>
            </w:r>
          </w:p>
        </w:tc>
        <w:tc>
          <w:tcPr>
            <w:tcW w:type="dxa" w:w="2340"/>
            <w:tcBorders>
              <w:top w:val="single" w:color="CCCCCC" w:sz="1"/>
              <w:left w:val="single" w:color="CCCCCC" w:sz="1"/>
              <w:bottom w:val="single" w:color="CCCCCC" w:sz="1"/>
              <w:right w:val="single" w:color="CCCCCC" w:sz="1"/>
            </w:tcBorders>
            <w:shd w:fill="FDF0EF" w:val="clear"/>
            <w:tcMar>
              <w:top w:type="dxa" w:w="100"/>
              <w:left w:type="dxa" w:w="140"/>
              <w:bottom w:type="dxa" w:w="100"/>
              <w:right w:type="dxa" w:w="140"/>
            </w:tcMar>
            <w:vAlign w:val="center"/>
          </w:tcPr>
          <w:p>
            <w:pPr>
              <w:jc w:val="center"/>
            </w:pPr>
            <w:r>
              <w:rPr>
                <w:rFonts w:ascii="Arial" w:cs="Arial" w:eastAsia="Arial" w:hAnsi="Arial"/>
                <w:b w:val="false"/>
                <w:bCs w:val="false"/>
                <w:color w:val="444444"/>
                <w:sz w:val="20"/>
                <w:szCs w:val="20"/>
              </w:rPr>
              <w:t xml:space="preserve">27</w:t>
            </w:r>
          </w:p>
        </w:tc>
        <w:tc>
          <w:tcPr>
            <w:tcW w:type="dxa" w:w="2340"/>
            <w:tcBorders>
              <w:top w:val="single" w:color="CCCCCC" w:sz="1"/>
              <w:left w:val="single" w:color="CCCCCC" w:sz="1"/>
              <w:bottom w:val="single" w:color="CCCCCC" w:sz="1"/>
              <w:right w:val="single" w:color="CCCCCC" w:sz="1"/>
            </w:tcBorders>
            <w:shd w:fill="FDF0EF" w:val="clear"/>
            <w:tcMar>
              <w:top w:type="dxa" w:w="100"/>
              <w:left w:type="dxa" w:w="140"/>
              <w:bottom w:type="dxa" w:w="100"/>
              <w:right w:type="dxa" w:w="140"/>
            </w:tcMar>
            <w:vAlign w:val="center"/>
          </w:tcPr>
          <w:p>
            <w:pPr>
              <w:jc w:val="left"/>
            </w:pPr>
            <w:r>
              <w:rPr>
                <w:rFonts w:ascii="Arial" w:cs="Arial" w:eastAsia="Arial" w:hAnsi="Arial"/>
                <w:b/>
                <w:bCs/>
                <w:color w:val="C0392B"/>
                <w:sz w:val="20"/>
                <w:szCs w:val="20"/>
              </w:rPr>
              <w:t xml:space="preserve">26.5%</w:t>
            </w:r>
          </w:p>
        </w:tc>
        <w:tc>
          <w:tcPr>
            <w:tcW w:type="dxa" w:w="2340"/>
            <w:tcBorders>
              <w:top w:val="single" w:color="CCCCCC" w:sz="1"/>
              <w:left w:val="single" w:color="CCCCCC" w:sz="1"/>
              <w:bottom w:val="single" w:color="CCCCCC" w:sz="1"/>
              <w:right w:val="single" w:color="CCCCCC" w:sz="1"/>
            </w:tcBorders>
            <w:shd w:fill="FDF0EF" w:val="clear"/>
            <w:tcMar>
              <w:top w:type="dxa" w:w="100"/>
              <w:left w:type="dxa" w:w="140"/>
              <w:bottom w:type="dxa" w:w="100"/>
              <w:right w:type="dxa" w:w="140"/>
            </w:tcMar>
            <w:vAlign w:val="center"/>
          </w:tcPr>
          <w:p>
            <w:pPr>
              <w:jc w:val="left"/>
            </w:pPr>
            <w:r>
              <w:rPr>
                <w:rFonts w:ascii="Arial" w:cs="Arial" w:eastAsia="Arial" w:hAnsi="Arial"/>
                <w:b w:val="false"/>
                <w:bCs w:val="false"/>
                <w:color w:val="C0392B"/>
                <w:sz w:val="20"/>
                <w:szCs w:val="20"/>
              </w:rPr>
              <w:t xml:space="preserve">₹38,477 tied up</w:t>
            </w:r>
          </w:p>
        </w:tc>
      </w:tr>
      <w:tr>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Processing</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color w:val="444444"/>
                <w:sz w:val="20"/>
                <w:szCs w:val="20"/>
              </w:rPr>
              <w:t xml:space="preserve">26</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B7770D"/>
                <w:sz w:val="20"/>
                <w:szCs w:val="20"/>
              </w:rPr>
              <w:t xml:space="preserve">25.5%</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₹25,355 in pipeline</w:t>
            </w:r>
          </w:p>
        </w:tc>
      </w:tr>
      <w:tr>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Shipped</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color w:val="444444"/>
                <w:sz w:val="20"/>
                <w:szCs w:val="20"/>
              </w:rPr>
              <w:t xml:space="preserve">23</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22.5%</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₹33,487 in transit</w:t>
            </w:r>
          </w:p>
        </w:tc>
      </w:tr>
      <w:tr>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Cancelled</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color w:val="444444"/>
                <w:sz w:val="20"/>
                <w:szCs w:val="20"/>
              </w:rPr>
              <w:t xml:space="preserve">15</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color w:val="C0392B"/>
                <w:sz w:val="20"/>
                <w:szCs w:val="20"/>
              </w:rPr>
              <w:t xml:space="preserve">14.7%</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C0392B"/>
                <w:sz w:val="20"/>
                <w:szCs w:val="20"/>
              </w:rPr>
              <w:t xml:space="preserve">₹24,944 lost revenue</w:t>
            </w:r>
          </w:p>
        </w:tc>
      </w:tr>
      <w:tr>
        <w:tc>
          <w:tcPr>
            <w:tcW w:type="dxa" w:w="2340"/>
            <w:tcBorders>
              <w:top w:val="single" w:color="CCCCCC" w:sz="1"/>
              <w:left w:val="single" w:color="CCCCCC" w:sz="1"/>
              <w:bottom w:val="single" w:color="CCCCCC" w:sz="1"/>
              <w:right w:val="single" w:color="CCCCCC" w:sz="1"/>
            </w:tcBorders>
            <w:shd w:fill="EAF9E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Delivered</w:t>
            </w:r>
          </w:p>
        </w:tc>
        <w:tc>
          <w:tcPr>
            <w:tcW w:type="dxa" w:w="2340"/>
            <w:tcBorders>
              <w:top w:val="single" w:color="CCCCCC" w:sz="1"/>
              <w:left w:val="single" w:color="CCCCCC" w:sz="1"/>
              <w:bottom w:val="single" w:color="CCCCCC" w:sz="1"/>
              <w:right w:val="single" w:color="CCCCCC" w:sz="1"/>
            </w:tcBorders>
            <w:shd w:fill="EAF9EF" w:val="clear"/>
            <w:tcMar>
              <w:top w:type="dxa" w:w="100"/>
              <w:left w:type="dxa" w:w="140"/>
              <w:bottom w:type="dxa" w:w="100"/>
              <w:right w:type="dxa" w:w="140"/>
            </w:tcMar>
            <w:vAlign w:val="center"/>
          </w:tcPr>
          <w:p>
            <w:pPr>
              <w:jc w:val="center"/>
            </w:pPr>
            <w:r>
              <w:rPr>
                <w:rFonts w:ascii="Arial" w:cs="Arial" w:eastAsia="Arial" w:hAnsi="Arial"/>
                <w:b w:val="false"/>
                <w:bCs w:val="false"/>
                <w:color w:val="444444"/>
                <w:sz w:val="20"/>
                <w:szCs w:val="20"/>
              </w:rPr>
              <w:t xml:space="preserve">11</w:t>
            </w:r>
          </w:p>
        </w:tc>
        <w:tc>
          <w:tcPr>
            <w:tcW w:type="dxa" w:w="2340"/>
            <w:tcBorders>
              <w:top w:val="single" w:color="CCCCCC" w:sz="1"/>
              <w:left w:val="single" w:color="CCCCCC" w:sz="1"/>
              <w:bottom w:val="single" w:color="CCCCCC" w:sz="1"/>
              <w:right w:val="single" w:color="CCCCCC" w:sz="1"/>
            </w:tcBorders>
            <w:shd w:fill="EAF9EF" w:val="clear"/>
            <w:tcMar>
              <w:top w:type="dxa" w:w="100"/>
              <w:left w:type="dxa" w:w="140"/>
              <w:bottom w:type="dxa" w:w="100"/>
              <w:right w:type="dxa" w:w="140"/>
            </w:tcMar>
            <w:vAlign w:val="center"/>
          </w:tcPr>
          <w:p>
            <w:pPr>
              <w:jc w:val="left"/>
            </w:pPr>
            <w:r>
              <w:rPr>
                <w:rFonts w:ascii="Arial" w:cs="Arial" w:eastAsia="Arial" w:hAnsi="Arial"/>
                <w:b/>
                <w:bCs/>
                <w:color w:val="1A7A4A"/>
                <w:sz w:val="20"/>
                <w:szCs w:val="20"/>
              </w:rPr>
              <w:t xml:space="preserve">10.8%</w:t>
            </w:r>
          </w:p>
        </w:tc>
        <w:tc>
          <w:tcPr>
            <w:tcW w:type="dxa" w:w="2340"/>
            <w:tcBorders>
              <w:top w:val="single" w:color="CCCCCC" w:sz="1"/>
              <w:left w:val="single" w:color="CCCCCC" w:sz="1"/>
              <w:bottom w:val="single" w:color="CCCCCC" w:sz="1"/>
              <w:right w:val="single" w:color="CCCCCC" w:sz="1"/>
            </w:tcBorders>
            <w:shd w:fill="EAF9EF" w:val="clear"/>
            <w:tcMar>
              <w:top w:type="dxa" w:w="100"/>
              <w:left w:type="dxa" w:w="140"/>
              <w:bottom w:type="dxa" w:w="100"/>
              <w:right w:type="dxa" w:w="140"/>
            </w:tcMar>
            <w:vAlign w:val="center"/>
          </w:tcPr>
          <w:p>
            <w:pPr>
              <w:jc w:val="left"/>
            </w:pPr>
            <w:r>
              <w:rPr>
                <w:rFonts w:ascii="Arial" w:cs="Arial" w:eastAsia="Arial" w:hAnsi="Arial"/>
                <w:b w:val="false"/>
                <w:bCs w:val="false"/>
                <w:color w:val="1A7A4A"/>
                <w:sz w:val="20"/>
                <w:szCs w:val="20"/>
              </w:rPr>
              <w:t xml:space="preserve">₹13,006 realised</w:t>
            </w:r>
          </w:p>
        </w:tc>
      </w:tr>
    </w:tbl>
    <w:p>
      <w:pPr>
        <w:spacing w:after="160" w:before="0"/>
        <w:jc w:val="left"/>
      </w:pPr>
      <w:r>
        <w:rPr>
          <w:rFonts w:ascii="Arial" w:cs="Arial" w:eastAsia="Arial" w:hAnsi="Arial"/>
          <w:b w:val="false"/>
          <w:bCs w:val="false"/>
          <w:i w:val="false"/>
          <w:iCs w:val="false"/>
          <w:color w:val="444444"/>
          <w:sz w:val="22"/>
          <w:szCs w:val="22"/>
        </w:rPr>
        <w:t xml:space="preserve"/>
      </w:r>
    </w:p>
    <w:p>
      <w:pPr>
        <w:spacing w:after="160" w:before="0"/>
        <w:jc w:val="left"/>
      </w:pPr>
      <w:r>
        <w:rPr>
          <w:rFonts w:ascii="Arial" w:cs="Arial" w:eastAsia="Arial" w:hAnsi="Arial"/>
          <w:b w:val="false"/>
          <w:bCs w:val="false"/>
          <w:i w:val="false"/>
          <w:iCs w:val="false"/>
          <w:color w:val="444444"/>
          <w:sz w:val="22"/>
          <w:szCs w:val="22"/>
        </w:rPr>
        <w:t xml:space="preserve">In a healthy e-commerce business, Delivered should be the largest status bucket — typically 60–70% of orders. Here it is the smallest. The return rate of 26.5% is 3–5× the industry average for most categories.</w:t>
      </w:r>
    </w:p>
    <w:p>
      <w:pPr>
        <w:spacing w:after="160" w:before="0"/>
        <w:jc w:val="left"/>
      </w:pPr>
      <w:r>
        <w:rPr>
          <w:rFonts w:ascii="Arial" w:cs="Arial" w:eastAsia="Arial" w:hAnsi="Arial"/>
          <w:b w:val="false"/>
          <w:bCs w:val="false"/>
          <w:i w:val="false"/>
          <w:iCs w:val="false"/>
          <w:color w:val="444444"/>
          <w:sz w:val="22"/>
          <w:szCs w:val="22"/>
        </w:rPr>
        <w:t xml:space="preserve"/>
      </w:r>
    </w:p>
    <w:p>
      <w:pPr>
        <w:spacing w:after="160" w:before="0"/>
        <w:jc w:val="left"/>
      </w:pPr>
      <w:r>
        <w:rPr>
          <w:rFonts w:ascii="Arial" w:cs="Arial" w:eastAsia="Arial" w:hAnsi="Arial"/>
          <w:b/>
          <w:bCs/>
          <w:i w:val="false"/>
          <w:iCs w:val="false"/>
          <w:color w:val="1E3A5F"/>
          <w:sz w:val="22"/>
          <w:szCs w:val="22"/>
        </w:rPr>
        <w:t xml:space="preserve">Recommendation:</w:t>
      </w:r>
    </w:p>
    <w:p>
      <w:pPr>
        <w:pStyle w:val="ListParagraph"/>
        <w:numPr>
          <w:ilvl w:val="0"/>
          <w:numId w:val="2"/>
        </w:numPr>
        <w:spacing w:after="60" w:before="60"/>
      </w:pPr>
      <w:r>
        <w:rPr>
          <w:rFonts w:ascii="Arial" w:cs="Arial" w:eastAsia="Arial" w:hAnsi="Arial"/>
          <w:color w:val="444444"/>
          <w:sz w:val="22"/>
          <w:szCs w:val="22"/>
        </w:rPr>
        <w:t xml:space="preserve">Conduct an urgent fulfilment audit — identify where orders are stalling between Processing and Shipped.</w:t>
      </w:r>
    </w:p>
    <w:p>
      <w:pPr>
        <w:pStyle w:val="ListParagraph"/>
        <w:numPr>
          <w:ilvl w:val="0"/>
          <w:numId w:val="2"/>
        </w:numPr>
        <w:spacing w:after="60" w:before="60"/>
      </w:pPr>
      <w:r>
        <w:rPr>
          <w:rFonts w:ascii="Arial" w:cs="Arial" w:eastAsia="Arial" w:hAnsi="Arial"/>
          <w:color w:val="444444"/>
          <w:sz w:val="22"/>
          <w:szCs w:val="22"/>
        </w:rPr>
        <w:t xml:space="preserve">Investigate root cause of returns — likely culprits are product description mismatches, quality issues, or a lenient return policy being abused.</w:t>
      </w:r>
    </w:p>
    <w:p>
      <w:pPr>
        <w:pStyle w:val="ListParagraph"/>
        <w:numPr>
          <w:ilvl w:val="0"/>
          <w:numId w:val="2"/>
        </w:numPr>
        <w:spacing w:after="60" w:before="60"/>
      </w:pPr>
      <w:r>
        <w:rPr>
          <w:rFonts w:ascii="Arial" w:cs="Arial" w:eastAsia="Arial" w:hAnsi="Arial"/>
          <w:color w:val="444444"/>
          <w:sz w:val="22"/>
          <w:szCs w:val="22"/>
        </w:rPr>
        <w:t xml:space="preserve">Track time-to-delivery: even orders that eventually deliver may be arriving too late, triggering returns.</w:t>
      </w:r>
    </w:p>
    <w:p>
      <w:pPr>
        <w:spacing w:after="160" w:before="0"/>
        <w:jc w:val="left"/>
      </w:pPr>
      <w:r>
        <w:rPr>
          <w:rFonts w:ascii="Arial" w:cs="Arial" w:eastAsia="Arial" w:hAnsi="Arial"/>
          <w:b w:val="false"/>
          <w:bCs w:val="false"/>
          <w:i w:val="false"/>
          <w:iCs w:val="false"/>
          <w:color w:val="444444"/>
          <w:sz w:val="22"/>
          <w:szCs w:val="22"/>
        </w:rPr>
        <w:t xml:space="preserve"/>
      </w:r>
    </w:p>
    <w:p>
      <w:pPr>
        <w:pBdr>
          <w:bottom w:val="single" w:color="DDDDDD" w:sz="2" w:space="1"/>
        </w:pBdr>
        <w:spacing w:after="160" w:before="160"/>
      </w:pPr>
      <w:r>
        <w:rPr>
          <w:sz w:val="4"/>
          <w:szCs w:val="4"/>
        </w:rPr>
        <w:t xml:space="preserve"/>
      </w:r>
    </w:p>
    <w:p>
      <w:pPr>
        <w:pStyle w:val="Heading1"/>
        <w:pBdr>
          <w:bottom w:val="single" w:color="1E3A5F" w:sz="6" w:space="1"/>
        </w:pBdr>
        <w:spacing w:after="160" w:before="340"/>
      </w:pPr>
      <w:r>
        <w:rPr>
          <w:rFonts w:ascii="Arial" w:cs="Arial" w:eastAsia="Arial" w:hAnsi="Arial"/>
          <w:b/>
          <w:bCs/>
          <w:color w:val="1E3A5F"/>
          <w:sz w:val="32"/>
          <w:szCs w:val="32"/>
        </w:rPr>
        <w:t xml:space="preserve">Finding 3: Cash on Delivery is a Cancellation Risk</w:t>
      </w:r>
    </w:p>
    <w:p>
      <w:pPr>
        <w:spacing w:after="160" w:before="0"/>
        <w:jc w:val="left"/>
      </w:pPr>
      <w:r>
        <w:rPr>
          <w:rFonts w:ascii="Arial" w:cs="Arial" w:eastAsia="Arial" w:hAnsi="Arial"/>
          <w:b w:val="false"/>
          <w:bCs w:val="false"/>
          <w:i w:val="false"/>
          <w:iCs w:val="false"/>
          <w:color w:val="444444"/>
          <w:sz w:val="22"/>
          <w:szCs w:val="22"/>
        </w:rPr>
        <w:t xml:space="preserve">Cash on Delivery accounts for the most orders (33) and the highest revenue (₹42,458) — but also has the highest cancellation rate at 21.2%. This is 2.4× the cancellation rate of Credit Card orders (8.7%).</w:t>
      </w:r>
    </w:p>
    <w:p>
      <w:pPr>
        <w:spacing w:after="160" w:before="0"/>
        <w:jc w:val="left"/>
      </w:pPr>
      <w:r>
        <w:rPr>
          <w:rFonts w:ascii="Arial" w:cs="Arial" w:eastAsia="Arial" w:hAnsi="Arial"/>
          <w:b w:val="false"/>
          <w:bCs w:val="false"/>
          <w:i w:val="false"/>
          <w:iCs w:val="false"/>
          <w:color w:val="444444"/>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20"/>
        <w:gridCol w:w="1520"/>
        <w:gridCol w:w="3520"/>
      </w:tblGrid>
      <w:tr>
        <w:tc>
          <w:tcPr>
            <w:tcW w:type="dxa" w:w="28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Payment Method</w:t>
            </w:r>
          </w:p>
        </w:tc>
        <w:tc>
          <w:tcPr>
            <w:tcW w:type="dxa" w:w="152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Orders</w:t>
            </w:r>
          </w:p>
        </w:tc>
        <w:tc>
          <w:tcPr>
            <w:tcW w:type="dxa" w:w="152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Cancel Rate</w:t>
            </w:r>
          </w:p>
        </w:tc>
        <w:tc>
          <w:tcPr>
            <w:tcW w:type="dxa" w:w="352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Business Implication</w:t>
            </w:r>
          </w:p>
        </w:tc>
      </w:tr>
      <w:tr>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Cash on Delivery</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color w:val="444444"/>
                <w:sz w:val="20"/>
                <w:szCs w:val="20"/>
              </w:rPr>
              <w:t xml:space="preserve">33</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color w:val="C0392B"/>
                <w:sz w:val="20"/>
                <w:szCs w:val="20"/>
              </w:rPr>
              <w:t xml:space="preserve">21.2%</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Highest risk — no upfront commitment</w:t>
            </w:r>
          </w:p>
        </w:tc>
      </w:tr>
      <w:tr>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Bank Transfer</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center"/>
            </w:pPr>
            <w:r>
              <w:rPr>
                <w:rFonts w:ascii="Arial" w:cs="Arial" w:eastAsia="Arial" w:hAnsi="Arial"/>
                <w:b w:val="false"/>
                <w:bCs w:val="false"/>
                <w:color w:val="444444"/>
                <w:sz w:val="20"/>
                <w:szCs w:val="20"/>
              </w:rPr>
              <w:t xml:space="preserve">22</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B7770D"/>
                <w:sz w:val="20"/>
                <w:szCs w:val="20"/>
              </w:rPr>
              <w:t xml:space="preserve">13.6%</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Moderate — delayed confirmation</w:t>
            </w:r>
          </w:p>
        </w:tc>
      </w:tr>
      <w:tr>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PayPal</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color w:val="444444"/>
                <w:sz w:val="20"/>
                <w:szCs w:val="20"/>
              </w:rPr>
              <w:t xml:space="preserve">24</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B7770D"/>
                <w:sz w:val="20"/>
                <w:szCs w:val="20"/>
              </w:rPr>
              <w:t xml:space="preserve">12.5%</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Moderate — digital but low friction</w:t>
            </w:r>
          </w:p>
        </w:tc>
      </w:tr>
      <w:tr>
        <w:tc>
          <w:tcPr>
            <w:tcW w:type="dxa" w:w="2340"/>
            <w:tcBorders>
              <w:top w:val="single" w:color="CCCCCC" w:sz="1"/>
              <w:left w:val="single" w:color="CCCCCC" w:sz="1"/>
              <w:bottom w:val="single" w:color="CCCCCC" w:sz="1"/>
              <w:right w:val="single" w:color="CCCCCC" w:sz="1"/>
            </w:tcBorders>
            <w:shd w:fill="EAF9E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Credit Card</w:t>
            </w:r>
          </w:p>
        </w:tc>
        <w:tc>
          <w:tcPr>
            <w:tcW w:type="dxa" w:w="2340"/>
            <w:tcBorders>
              <w:top w:val="single" w:color="CCCCCC" w:sz="1"/>
              <w:left w:val="single" w:color="CCCCCC" w:sz="1"/>
              <w:bottom w:val="single" w:color="CCCCCC" w:sz="1"/>
              <w:right w:val="single" w:color="CCCCCC" w:sz="1"/>
            </w:tcBorders>
            <w:shd w:fill="EAF9EF" w:val="clear"/>
            <w:tcMar>
              <w:top w:type="dxa" w:w="100"/>
              <w:left w:type="dxa" w:w="140"/>
              <w:bottom w:type="dxa" w:w="100"/>
              <w:right w:type="dxa" w:w="140"/>
            </w:tcMar>
            <w:vAlign w:val="center"/>
          </w:tcPr>
          <w:p>
            <w:pPr>
              <w:jc w:val="center"/>
            </w:pPr>
            <w:r>
              <w:rPr>
                <w:rFonts w:ascii="Arial" w:cs="Arial" w:eastAsia="Arial" w:hAnsi="Arial"/>
                <w:b w:val="false"/>
                <w:bCs w:val="false"/>
                <w:color w:val="444444"/>
                <w:sz w:val="20"/>
                <w:szCs w:val="20"/>
              </w:rPr>
              <w:t xml:space="preserve">23</w:t>
            </w:r>
          </w:p>
        </w:tc>
        <w:tc>
          <w:tcPr>
            <w:tcW w:type="dxa" w:w="2340"/>
            <w:tcBorders>
              <w:top w:val="single" w:color="CCCCCC" w:sz="1"/>
              <w:left w:val="single" w:color="CCCCCC" w:sz="1"/>
              <w:bottom w:val="single" w:color="CCCCCC" w:sz="1"/>
              <w:right w:val="single" w:color="CCCCCC" w:sz="1"/>
            </w:tcBorders>
            <w:shd w:fill="EAF9EF" w:val="clear"/>
            <w:tcMar>
              <w:top w:type="dxa" w:w="100"/>
              <w:left w:type="dxa" w:w="140"/>
              <w:bottom w:type="dxa" w:w="100"/>
              <w:right w:type="dxa" w:w="140"/>
            </w:tcMar>
            <w:vAlign w:val="center"/>
          </w:tcPr>
          <w:p>
            <w:pPr>
              <w:jc w:val="left"/>
            </w:pPr>
            <w:r>
              <w:rPr>
                <w:rFonts w:ascii="Arial" w:cs="Arial" w:eastAsia="Arial" w:hAnsi="Arial"/>
                <w:b/>
                <w:bCs/>
                <w:color w:val="1A7A4A"/>
                <w:sz w:val="20"/>
                <w:szCs w:val="20"/>
              </w:rPr>
              <w:t xml:space="preserve">8.7%</w:t>
            </w:r>
          </w:p>
        </w:tc>
        <w:tc>
          <w:tcPr>
            <w:tcW w:type="dxa" w:w="2340"/>
            <w:tcBorders>
              <w:top w:val="single" w:color="CCCCCC" w:sz="1"/>
              <w:left w:val="single" w:color="CCCCCC" w:sz="1"/>
              <w:bottom w:val="single" w:color="CCCCCC" w:sz="1"/>
              <w:right w:val="single" w:color="CCCCCC" w:sz="1"/>
            </w:tcBorders>
            <w:shd w:fill="EAF9EF"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Lowest risk — committed payment upfront</w:t>
            </w:r>
          </w:p>
        </w:tc>
      </w:tr>
    </w:tbl>
    <w:p>
      <w:pPr>
        <w:spacing w:after="160" w:before="0"/>
        <w:jc w:val="left"/>
      </w:pPr>
      <w:r>
        <w:rPr>
          <w:rFonts w:ascii="Arial" w:cs="Arial" w:eastAsia="Arial" w:hAnsi="Arial"/>
          <w:b w:val="false"/>
          <w:bCs w:val="false"/>
          <w:i w:val="false"/>
          <w:iCs w:val="false"/>
          <w:color w:val="444444"/>
          <w:sz w:val="22"/>
          <w:szCs w:val="22"/>
        </w:rPr>
        <w:t xml:space="preserve"/>
      </w:r>
    </w:p>
    <w:p>
      <w:pPr>
        <w:spacing w:after="160" w:before="0"/>
        <w:jc w:val="left"/>
      </w:pPr>
      <w:r>
        <w:rPr>
          <w:rFonts w:ascii="Arial" w:cs="Arial" w:eastAsia="Arial" w:hAnsi="Arial"/>
          <w:b w:val="false"/>
          <w:bCs w:val="false"/>
          <w:i w:val="false"/>
          <w:iCs w:val="false"/>
          <w:color w:val="444444"/>
          <w:sz w:val="22"/>
          <w:szCs w:val="22"/>
        </w:rPr>
        <w:t xml:space="preserve">This pattern is well-documented in Indian e-commerce: COD customers make zero financial commitment at order time, making it frictionless to cancel. Every COD cancellation costs the business logistics preparation, warehouse pick-and-pack, and courier dispatch costs — even if revenue is not collected.</w:t>
      </w:r>
    </w:p>
    <w:p>
      <w:pPr>
        <w:spacing w:after="160" w:before="0"/>
        <w:jc w:val="left"/>
      </w:pPr>
      <w:r>
        <w:rPr>
          <w:rFonts w:ascii="Arial" w:cs="Arial" w:eastAsia="Arial" w:hAnsi="Arial"/>
          <w:b w:val="false"/>
          <w:bCs w:val="false"/>
          <w:i w:val="false"/>
          <w:iCs w:val="false"/>
          <w:color w:val="444444"/>
          <w:sz w:val="22"/>
          <w:szCs w:val="22"/>
        </w:rPr>
        <w:t xml:space="preserve"/>
      </w:r>
    </w:p>
    <w:p>
      <w:pPr>
        <w:spacing w:after="160" w:before="0"/>
        <w:jc w:val="left"/>
      </w:pPr>
      <w:r>
        <w:rPr>
          <w:rFonts w:ascii="Arial" w:cs="Arial" w:eastAsia="Arial" w:hAnsi="Arial"/>
          <w:b/>
          <w:bCs/>
          <w:i w:val="false"/>
          <w:iCs w:val="false"/>
          <w:color w:val="1E3A5F"/>
          <w:sz w:val="22"/>
          <w:szCs w:val="22"/>
        </w:rPr>
        <w:t xml:space="preserve">Recommendation:</w:t>
      </w:r>
    </w:p>
    <w:p>
      <w:pPr>
        <w:pStyle w:val="ListParagraph"/>
        <w:numPr>
          <w:ilvl w:val="0"/>
          <w:numId w:val="2"/>
        </w:numPr>
        <w:spacing w:after="60" w:before="60"/>
      </w:pPr>
      <w:r>
        <w:rPr>
          <w:rFonts w:ascii="Arial" w:cs="Arial" w:eastAsia="Arial" w:hAnsi="Arial"/>
          <w:color w:val="444444"/>
          <w:sz w:val="22"/>
          <w:szCs w:val="22"/>
        </w:rPr>
        <w:t xml:space="preserve">Offer a 2–3% discount incentive for customers switching from COD to prepaid methods (Credit Card, UPI, PayPal).</w:t>
      </w:r>
    </w:p>
    <w:p>
      <w:pPr>
        <w:pStyle w:val="ListParagraph"/>
        <w:numPr>
          <w:ilvl w:val="0"/>
          <w:numId w:val="2"/>
        </w:numPr>
        <w:spacing w:after="60" w:before="60"/>
      </w:pPr>
      <w:r>
        <w:rPr>
          <w:rFonts w:ascii="Arial" w:cs="Arial" w:eastAsia="Arial" w:hAnsi="Arial"/>
          <w:color w:val="444444"/>
          <w:sz w:val="22"/>
          <w:szCs w:val="22"/>
        </w:rPr>
        <w:t xml:space="preserve">Implement a COD confirmation SMS/call for orders above ₹2,000 to filter intent before dispatch.</w:t>
      </w:r>
    </w:p>
    <w:p>
      <w:pPr>
        <w:pStyle w:val="ListParagraph"/>
        <w:numPr>
          <w:ilvl w:val="0"/>
          <w:numId w:val="2"/>
        </w:numPr>
        <w:spacing w:after="60" w:before="60"/>
      </w:pPr>
      <w:r>
        <w:rPr>
          <w:rFonts w:ascii="Arial" w:cs="Arial" w:eastAsia="Arial" w:hAnsi="Arial"/>
          <w:color w:val="444444"/>
          <w:sz w:val="22"/>
          <w:szCs w:val="22"/>
        </w:rPr>
        <w:t xml:space="preserve">Consider disabling COD for repeat cancellers (customers with 2+ cancellations in 90 days).</w:t>
      </w:r>
    </w:p>
    <w:p>
      <w:pPr>
        <w:spacing w:after="160" w:before="0"/>
        <w:jc w:val="left"/>
      </w:pPr>
      <w:r>
        <w:rPr>
          <w:rFonts w:ascii="Arial" w:cs="Arial" w:eastAsia="Arial" w:hAnsi="Arial"/>
          <w:b w:val="false"/>
          <w:bCs w:val="false"/>
          <w:i w:val="false"/>
          <w:iCs w:val="false"/>
          <w:color w:val="444444"/>
          <w:sz w:val="22"/>
          <w:szCs w:val="22"/>
        </w:rPr>
        <w:t xml:space="preserve"/>
      </w:r>
    </w:p>
    <w:p>
      <w:pPr>
        <w:pBdr>
          <w:bottom w:val="single" w:color="DDDDDD" w:sz="2" w:space="1"/>
        </w:pBdr>
        <w:spacing w:after="160" w:before="160"/>
      </w:pPr>
      <w:r>
        <w:rPr>
          <w:sz w:val="4"/>
          <w:szCs w:val="4"/>
        </w:rPr>
        <w:t xml:space="preserve"/>
      </w:r>
    </w:p>
    <w:p>
      <w:pPr>
        <w:pStyle w:val="Heading1"/>
        <w:pBdr>
          <w:bottom w:val="single" w:color="1E3A5F" w:sz="6" w:space="1"/>
        </w:pBdr>
        <w:spacing w:after="160" w:before="340"/>
      </w:pPr>
      <w:r>
        <w:rPr>
          <w:rFonts w:ascii="Arial" w:cs="Arial" w:eastAsia="Arial" w:hAnsi="Arial"/>
          <w:b/>
          <w:bCs/>
          <w:color w:val="1E3A5F"/>
          <w:sz w:val="32"/>
          <w:szCs w:val="32"/>
        </w:rPr>
        <w:t xml:space="preserve">Finding 4: Revenue is Highly Volatile Month to Month</w:t>
      </w:r>
    </w:p>
    <w:p>
      <w:pPr>
        <w:spacing w:after="160" w:before="0"/>
        <w:jc w:val="left"/>
      </w:pPr>
      <w:r>
        <w:rPr>
          <w:rFonts w:ascii="Arial" w:cs="Arial" w:eastAsia="Arial" w:hAnsi="Arial"/>
          <w:b w:val="false"/>
          <w:bCs w:val="false"/>
          <w:i w:val="false"/>
          <w:iCs w:val="false"/>
          <w:color w:val="444444"/>
          <w:sz w:val="22"/>
          <w:szCs w:val="22"/>
        </w:rPr>
        <w:t xml:space="preserve">Monthly revenue in 2025 shows extreme variation, with no consistent growth trajectory:</w:t>
      </w:r>
    </w:p>
    <w:p>
      <w:pPr>
        <w:spacing w:after="160" w:before="0"/>
        <w:jc w:val="left"/>
      </w:pPr>
      <w:r>
        <w:rPr>
          <w:rFonts w:ascii="Arial" w:cs="Arial" w:eastAsia="Arial" w:hAnsi="Arial"/>
          <w:b w:val="false"/>
          <w:bCs w:val="false"/>
          <w:i w:val="false"/>
          <w:iCs w:val="false"/>
          <w:color w:val="444444"/>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Jan</w:t>
            </w:r>
          </w:p>
        </w:tc>
        <w:tc>
          <w:tcPr>
            <w:tcW w:type="dxa" w:w="15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Feb</w:t>
            </w:r>
          </w:p>
        </w:tc>
        <w:tc>
          <w:tcPr>
            <w:tcW w:type="dxa" w:w="15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Mar</w:t>
            </w:r>
          </w:p>
        </w:tc>
        <w:tc>
          <w:tcPr>
            <w:tcW w:type="dxa" w:w="15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Apr</w:t>
            </w:r>
          </w:p>
        </w:tc>
        <w:tc>
          <w:tcPr>
            <w:tcW w:type="dxa" w:w="15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May</w:t>
            </w:r>
          </w:p>
        </w:tc>
        <w:tc>
          <w:tcPr>
            <w:tcW w:type="dxa" w:w="15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Jun</w:t>
            </w:r>
          </w:p>
        </w:tc>
      </w:tr>
      <w:tr>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₹11,851</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color w:val="1A7A4A"/>
                <w:sz w:val="20"/>
                <w:szCs w:val="20"/>
              </w:rPr>
              <w:t xml:space="preserve">₹19,502</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₹5,675</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color w:val="C0392B"/>
                <w:sz w:val="20"/>
                <w:szCs w:val="20"/>
              </w:rPr>
              <w:t xml:space="preserve">₹1,200</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₹10,959</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₹17,876</w:t>
            </w:r>
          </w:p>
        </w:tc>
      </w:tr>
      <w:tr>
        <w:tc>
          <w:tcPr>
            <w:tcW w:type="dxa" w:w="15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Jul</w:t>
            </w:r>
          </w:p>
        </w:tc>
        <w:tc>
          <w:tcPr>
            <w:tcW w:type="dxa" w:w="15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Aug</w:t>
            </w:r>
          </w:p>
        </w:tc>
        <w:tc>
          <w:tcPr>
            <w:tcW w:type="dxa" w:w="15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Sep</w:t>
            </w:r>
          </w:p>
        </w:tc>
        <w:tc>
          <w:tcPr>
            <w:tcW w:type="dxa" w:w="15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Oct</w:t>
            </w:r>
          </w:p>
        </w:tc>
        <w:tc>
          <w:tcPr>
            <w:tcW w:type="dxa" w:w="15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Nov</w:t>
            </w:r>
          </w:p>
        </w:tc>
        <w:tc>
          <w:tcPr>
            <w:tcW w:type="dxa" w:w="15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
            </w:r>
          </w:p>
        </w:tc>
      </w:tr>
      <w:tr>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₹15,092</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₹5,543</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₹5,471</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color w:val="1A7A4A"/>
                <w:sz w:val="20"/>
                <w:szCs w:val="20"/>
              </w:rPr>
              <w:t xml:space="preserve">₹19,109</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color w:val="C0392B"/>
                <w:sz w:val="20"/>
                <w:szCs w:val="20"/>
              </w:rPr>
              <w:t xml:space="preserve">₹1,383</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
            </w:r>
          </w:p>
        </w:tc>
      </w:tr>
    </w:tbl>
    <w:p>
      <w:pPr>
        <w:spacing w:after="160" w:before="0"/>
        <w:jc w:val="left"/>
      </w:pPr>
      <w:r>
        <w:rPr>
          <w:rFonts w:ascii="Arial" w:cs="Arial" w:eastAsia="Arial" w:hAnsi="Arial"/>
          <w:b w:val="false"/>
          <w:bCs w:val="false"/>
          <w:i w:val="false"/>
          <w:iCs w:val="false"/>
          <w:color w:val="444444"/>
          <w:sz w:val="22"/>
          <w:szCs w:val="22"/>
        </w:rPr>
        <w:t xml:space="preserve"/>
      </w:r>
    </w:p>
    <w:p>
      <w:pPr>
        <w:spacing w:after="160" w:before="0"/>
        <w:jc w:val="left"/>
      </w:pPr>
      <w:r>
        <w:rPr>
          <w:rFonts w:ascii="Arial" w:cs="Arial" w:eastAsia="Arial" w:hAnsi="Arial"/>
          <w:b w:val="false"/>
          <w:bCs w:val="false"/>
          <w:i w:val="false"/>
          <w:iCs w:val="false"/>
          <w:color w:val="444444"/>
          <w:sz w:val="22"/>
          <w:szCs w:val="22"/>
        </w:rPr>
        <w:t xml:space="preserve">February (₹19,502) and October (₹19,109) are clear peaks. April (₹1,200) and November (₹1,383) are near zero — a 16× swing between best and worst months. This level of volatility makes inventory planning and cash flow forecasting nearly impossible.</w:t>
      </w:r>
    </w:p>
    <w:p>
      <w:pPr>
        <w:spacing w:after="160" w:before="0"/>
        <w:jc w:val="left"/>
      </w:pPr>
      <w:r>
        <w:rPr>
          <w:rFonts w:ascii="Arial" w:cs="Arial" w:eastAsia="Arial" w:hAnsi="Arial"/>
          <w:b w:val="false"/>
          <w:bCs w:val="false"/>
          <w:i w:val="false"/>
          <w:iCs w:val="false"/>
          <w:color w:val="444444"/>
          <w:sz w:val="22"/>
          <w:szCs w:val="22"/>
        </w:rPr>
        <w:t xml:space="preserve"/>
      </w:r>
    </w:p>
    <w:p>
      <w:pPr>
        <w:spacing w:after="160" w:before="0"/>
        <w:jc w:val="left"/>
      </w:pPr>
      <w:r>
        <w:rPr>
          <w:rFonts w:ascii="Arial" w:cs="Arial" w:eastAsia="Arial" w:hAnsi="Arial"/>
          <w:b/>
          <w:bCs/>
          <w:i w:val="false"/>
          <w:iCs w:val="false"/>
          <w:color w:val="1E3A5F"/>
          <w:sz w:val="22"/>
          <w:szCs w:val="22"/>
        </w:rPr>
        <w:t xml:space="preserve">Recommendation:</w:t>
      </w:r>
    </w:p>
    <w:p>
      <w:pPr>
        <w:pStyle w:val="ListParagraph"/>
        <w:numPr>
          <w:ilvl w:val="0"/>
          <w:numId w:val="2"/>
        </w:numPr>
        <w:spacing w:after="60" w:before="60"/>
      </w:pPr>
      <w:r>
        <w:rPr>
          <w:rFonts w:ascii="Arial" w:cs="Arial" w:eastAsia="Arial" w:hAnsi="Arial"/>
          <w:color w:val="444444"/>
          <w:sz w:val="22"/>
          <w:szCs w:val="22"/>
        </w:rPr>
        <w:t xml:space="preserve">Investigate whether Feb/Oct peaks correlate with promotions, sales events, or seasonal demand.</w:t>
      </w:r>
    </w:p>
    <w:p>
      <w:pPr>
        <w:pStyle w:val="ListParagraph"/>
        <w:numPr>
          <w:ilvl w:val="0"/>
          <w:numId w:val="2"/>
        </w:numPr>
        <w:spacing w:after="60" w:before="60"/>
      </w:pPr>
      <w:r>
        <w:rPr>
          <w:rFonts w:ascii="Arial" w:cs="Arial" w:eastAsia="Arial" w:hAnsi="Arial"/>
          <w:color w:val="444444"/>
          <w:sz w:val="22"/>
          <w:szCs w:val="22"/>
        </w:rPr>
        <w:t xml:space="preserve">Determine if Apr/Nov troughs reflect supply issues, platform downtime, or incomplete data collection.</w:t>
      </w:r>
    </w:p>
    <w:p>
      <w:pPr>
        <w:pStyle w:val="ListParagraph"/>
        <w:numPr>
          <w:ilvl w:val="0"/>
          <w:numId w:val="2"/>
        </w:numPr>
        <w:spacing w:after="60" w:before="60"/>
      </w:pPr>
      <w:r>
        <w:rPr>
          <w:rFonts w:ascii="Arial" w:cs="Arial" w:eastAsia="Arial" w:hAnsi="Arial"/>
          <w:color w:val="444444"/>
          <w:sz w:val="22"/>
          <w:szCs w:val="22"/>
        </w:rPr>
        <w:t xml:space="preserve">If the peaks are promotion-driven, build a promotional calendar to spread demand more evenly.</w:t>
      </w:r>
    </w:p>
    <w:p>
      <w:pPr>
        <w:spacing w:after="160" w:before="0"/>
        <w:jc w:val="left"/>
      </w:pPr>
      <w:r>
        <w:rPr>
          <w:rFonts w:ascii="Arial" w:cs="Arial" w:eastAsia="Arial" w:hAnsi="Arial"/>
          <w:b w:val="false"/>
          <w:bCs w:val="false"/>
          <w:i w:val="false"/>
          <w:iCs w:val="false"/>
          <w:color w:val="444444"/>
          <w:sz w:val="22"/>
          <w:szCs w:val="22"/>
        </w:rPr>
        <w:t xml:space="preserve"/>
      </w:r>
    </w:p>
    <w:p>
      <w:pPr>
        <w:pBdr>
          <w:bottom w:val="single" w:color="DDDDDD" w:sz="2" w:space="1"/>
        </w:pBdr>
        <w:spacing w:after="160" w:before="160"/>
      </w:pPr>
      <w:r>
        <w:rPr>
          <w:sz w:val="4"/>
          <w:szCs w:val="4"/>
        </w:rPr>
        <w:t xml:space="preserve"/>
      </w:r>
    </w:p>
    <w:p>
      <w:pPr>
        <w:pStyle w:val="Heading1"/>
        <w:pBdr>
          <w:bottom w:val="single" w:color="1E3A5F" w:sz="6" w:space="1"/>
        </w:pBdr>
        <w:spacing w:after="160" w:before="340"/>
      </w:pPr>
      <w:r>
        <w:rPr>
          <w:rFonts w:ascii="Arial" w:cs="Arial" w:eastAsia="Arial" w:hAnsi="Arial"/>
          <w:b/>
          <w:bCs/>
          <w:color w:val="1E3A5F"/>
          <w:sz w:val="32"/>
          <w:szCs w:val="32"/>
        </w:rPr>
        <w:t xml:space="preserve">Finding 5: Top Products by Revenue</w:t>
      </w:r>
    </w:p>
    <w:p>
      <w:pPr>
        <w:spacing w:after="160" w:before="0"/>
        <w:jc w:val="left"/>
      </w:pPr>
      <w:r>
        <w:rPr>
          <w:rFonts w:ascii="Arial" w:cs="Arial" w:eastAsia="Arial" w:hAnsi="Arial"/>
          <w:b w:val="false"/>
          <w:bCs w:val="false"/>
          <w:i w:val="false"/>
          <w:iCs w:val="false"/>
          <w:color w:val="444444"/>
          <w:sz w:val="22"/>
          <w:szCs w:val="22"/>
        </w:rPr>
        <w:t xml:space="preserve">Shoes (₹17,914), Comics (₹14,728), and Lamp (₹14,306) are the three highest-revenue products. Notably, these cross three different categories (Clothing, Books, Home), suggesting the business does not have a single dominant product vertical.</w:t>
      </w:r>
    </w:p>
    <w:p>
      <w:pPr>
        <w:spacing w:after="160" w:before="0"/>
        <w:jc w:val="left"/>
      </w:pPr>
      <w:r>
        <w:rPr>
          <w:rFonts w:ascii="Arial" w:cs="Arial" w:eastAsia="Arial" w:hAnsi="Arial"/>
          <w:b w:val="false"/>
          <w:bCs w:val="false"/>
          <w:i w:val="false"/>
          <w:iCs w:val="false"/>
          <w:color w:val="444444"/>
          <w:sz w:val="22"/>
          <w:szCs w:val="22"/>
        </w:rPr>
        <w:t xml:space="preserve"/>
      </w:r>
    </w:p>
    <w:p>
      <w:pPr>
        <w:pStyle w:val="ListParagraph"/>
        <w:numPr>
          <w:ilvl w:val="0"/>
          <w:numId w:val="2"/>
        </w:numPr>
        <w:spacing w:after="60" w:before="60"/>
      </w:pPr>
      <w:r>
        <w:rPr>
          <w:rFonts w:ascii="Arial" w:cs="Arial" w:eastAsia="Arial" w:hAnsi="Arial"/>
          <w:color w:val="444444"/>
          <w:sz w:val="22"/>
          <w:szCs w:val="22"/>
        </w:rPr>
        <w:t xml:space="preserve">Shoes alone accounts for 13.2% of total revenue — the single highest-impact product.</w:t>
      </w:r>
    </w:p>
    <w:p>
      <w:pPr>
        <w:pStyle w:val="ListParagraph"/>
        <w:numPr>
          <w:ilvl w:val="0"/>
          <w:numId w:val="2"/>
        </w:numPr>
        <w:spacing w:after="60" w:before="60"/>
      </w:pPr>
      <w:r>
        <w:rPr>
          <w:rFonts w:ascii="Arial" w:cs="Arial" w:eastAsia="Arial" w:hAnsi="Arial"/>
          <w:color w:val="444444"/>
          <w:sz w:val="22"/>
          <w:szCs w:val="22"/>
        </w:rPr>
        <w:t xml:space="preserve">Comics performing strongly confirms that Books revenue is being driven by niche but high-value titles, not commodity books.</w:t>
      </w:r>
    </w:p>
    <w:p>
      <w:pPr>
        <w:pStyle w:val="ListParagraph"/>
        <w:numPr>
          <w:ilvl w:val="0"/>
          <w:numId w:val="2"/>
        </w:numPr>
        <w:spacing w:after="60" w:before="60"/>
      </w:pPr>
      <w:r>
        <w:rPr>
          <w:rFonts w:ascii="Arial" w:cs="Arial" w:eastAsia="Arial" w:hAnsi="Arial"/>
          <w:color w:val="444444"/>
          <w:sz w:val="22"/>
          <w:szCs w:val="22"/>
        </w:rPr>
        <w:t xml:space="preserve">Lamp as a top Home product suggests home decor/lighting is a stronger subcategory than general Home goods.</w:t>
      </w:r>
    </w:p>
    <w:p>
      <w:pPr>
        <w:spacing w:after="160" w:before="0"/>
        <w:jc w:val="left"/>
      </w:pPr>
      <w:r>
        <w:rPr>
          <w:rFonts w:ascii="Arial" w:cs="Arial" w:eastAsia="Arial" w:hAnsi="Arial"/>
          <w:b w:val="false"/>
          <w:bCs w:val="false"/>
          <w:i w:val="false"/>
          <w:iCs w:val="false"/>
          <w:color w:val="444444"/>
          <w:sz w:val="22"/>
          <w:szCs w:val="22"/>
        </w:rPr>
        <w:t xml:space="preserve"/>
      </w:r>
    </w:p>
    <w:p>
      <w:pPr>
        <w:pBdr>
          <w:bottom w:val="single" w:color="DDDDDD" w:sz="2" w:space="1"/>
        </w:pBdr>
        <w:spacing w:after="160" w:before="160"/>
      </w:pPr>
      <w:r>
        <w:rPr>
          <w:sz w:val="4"/>
          <w:szCs w:val="4"/>
        </w:rPr>
        <w:t xml:space="preserve"/>
      </w:r>
    </w:p>
    <w:p>
      <w:pPr>
        <w:pStyle w:val="Heading1"/>
        <w:pBdr>
          <w:bottom w:val="single" w:color="1E3A5F" w:sz="6" w:space="1"/>
        </w:pBdr>
        <w:spacing w:after="160" w:before="340"/>
      </w:pPr>
      <w:r>
        <w:rPr>
          <w:rFonts w:ascii="Arial" w:cs="Arial" w:eastAsia="Arial" w:hAnsi="Arial"/>
          <w:b/>
          <w:bCs/>
          <w:color w:val="1E3A5F"/>
          <w:sz w:val="32"/>
          <w:szCs w:val="32"/>
        </w:rPr>
        <w:t xml:space="preserve">Data Quality Note</w:t>
      </w:r>
    </w:p>
    <w:p>
      <w:pPr>
        <w:spacing w:after="160" w:before="0"/>
        <w:jc w:val="left"/>
      </w:pPr>
      <w:r>
        <w:rPr>
          <w:rFonts w:ascii="Arial" w:cs="Arial" w:eastAsia="Arial" w:hAnsi="Arial"/>
          <w:b w:val="false"/>
          <w:bCs w:val="false"/>
          <w:i w:val="false"/>
          <w:iCs w:val="false"/>
          <w:color w:val="444444"/>
          <w:sz w:val="22"/>
          <w:szCs w:val="22"/>
        </w:rPr>
        <w:t xml:space="preserve">Before this analysis could be conducted, significant data cleaning was required. The following issues were identified and resolved:</w:t>
      </w:r>
    </w:p>
    <w:p>
      <w:pPr>
        <w:spacing w:after="160" w:before="0"/>
        <w:jc w:val="left"/>
      </w:pPr>
      <w:r>
        <w:rPr>
          <w:rFonts w:ascii="Arial" w:cs="Arial" w:eastAsia="Arial" w:hAnsi="Arial"/>
          <w:b w:val="false"/>
          <w:bCs w:val="false"/>
          <w:i w:val="false"/>
          <w:iCs w:val="false"/>
          <w:color w:val="444444"/>
          <w:sz w:val="22"/>
          <w:szCs w:val="22"/>
        </w:rPr>
        <w:t xml:space="preserve"/>
      </w:r>
    </w:p>
    <w:p>
      <w:pPr>
        <w:pStyle w:val="ListParagraph"/>
        <w:numPr>
          <w:ilvl w:val="0"/>
          <w:numId w:val="2"/>
        </w:numPr>
        <w:spacing w:after="60" w:before="60"/>
      </w:pPr>
      <w:r>
        <w:rPr>
          <w:rFonts w:ascii="Arial" w:cs="Arial" w:eastAsia="Arial" w:hAnsi="Arial"/>
          <w:color w:val="444444"/>
          <w:sz w:val="22"/>
          <w:szCs w:val="22"/>
        </w:rPr>
        <w:t xml:space="preserve">1 duplicate order row removed</w:t>
      </w:r>
    </w:p>
    <w:p>
      <w:pPr>
        <w:pStyle w:val="ListParagraph"/>
        <w:numPr>
          <w:ilvl w:val="0"/>
          <w:numId w:val="2"/>
        </w:numPr>
        <w:spacing w:after="60" w:before="60"/>
      </w:pPr>
      <w:r>
        <w:rPr>
          <w:rFonts w:ascii="Arial" w:cs="Arial" w:eastAsia="Arial" w:hAnsi="Arial"/>
          <w:color w:val="444444"/>
          <w:sz w:val="22"/>
          <w:szCs w:val="22"/>
        </w:rPr>
        <w:t xml:space="preserve">Price column contained text values ('abd', 'four hundred', '300$'), negative prices, and outliers above ₹5,000 — all set to null</w:t>
      </w:r>
    </w:p>
    <w:p>
      <w:pPr>
        <w:pStyle w:val="ListParagraph"/>
        <w:numPr>
          <w:ilvl w:val="0"/>
          <w:numId w:val="2"/>
        </w:numPr>
        <w:spacing w:after="60" w:before="60"/>
      </w:pPr>
      <w:r>
        <w:rPr>
          <w:rFonts w:ascii="Arial" w:cs="Arial" w:eastAsia="Arial" w:hAnsi="Arial"/>
          <w:color w:val="444444"/>
          <w:sz w:val="22"/>
          <w:szCs w:val="22"/>
        </w:rPr>
        <w:t xml:space="preserve">Category column had 4 spelling variants of the same value — standardised to Title Case</w:t>
      </w:r>
    </w:p>
    <w:p>
      <w:pPr>
        <w:pStyle w:val="ListParagraph"/>
        <w:numPr>
          <w:ilvl w:val="0"/>
          <w:numId w:val="2"/>
        </w:numPr>
        <w:spacing w:after="60" w:before="60"/>
      </w:pPr>
      <w:r>
        <w:rPr>
          <w:rFonts w:ascii="Arial" w:cs="Arial" w:eastAsia="Arial" w:hAnsi="Arial"/>
          <w:color w:val="444444"/>
          <w:sz w:val="22"/>
          <w:szCs w:val="22"/>
        </w:rPr>
        <w:t xml:space="preserve">14 null Total values recalculated from Quantity × Price</w:t>
      </w:r>
    </w:p>
    <w:p>
      <w:pPr>
        <w:pStyle w:val="ListParagraph"/>
        <w:numPr>
          <w:ilvl w:val="0"/>
          <w:numId w:val="2"/>
        </w:numPr>
        <w:spacing w:after="60" w:before="60"/>
      </w:pPr>
      <w:r>
        <w:rPr>
          <w:rFonts w:ascii="Arial" w:cs="Arial" w:eastAsia="Arial" w:hAnsi="Arial"/>
          <w:color w:val="444444"/>
          <w:sz w:val="22"/>
          <w:szCs w:val="22"/>
        </w:rPr>
        <w:t xml:space="preserve">Order dates in 3 different formats — standardised; 1 corrupt value ('abc') flagged</w:t>
      </w:r>
    </w:p>
    <w:p>
      <w:pPr>
        <w:spacing w:after="160" w:before="0"/>
        <w:jc w:val="left"/>
      </w:pPr>
      <w:r>
        <w:rPr>
          <w:rFonts w:ascii="Arial" w:cs="Arial" w:eastAsia="Arial" w:hAnsi="Arial"/>
          <w:b w:val="false"/>
          <w:bCs w:val="false"/>
          <w:i w:val="false"/>
          <w:iCs w:val="false"/>
          <w:color w:val="444444"/>
          <w:sz w:val="22"/>
          <w:szCs w:val="22"/>
        </w:rPr>
        <w:t xml:space="preserve"/>
      </w:r>
    </w:p>
    <w:p>
      <w:pPr>
        <w:spacing w:after="160" w:before="0"/>
        <w:jc w:val="left"/>
      </w:pPr>
      <w:r>
        <w:rPr>
          <w:rFonts w:ascii="Arial" w:cs="Arial" w:eastAsia="Arial" w:hAnsi="Arial"/>
          <w:b w:val="false"/>
          <w:bCs w:val="false"/>
          <w:i/>
          <w:iCs/>
          <w:color w:val="888888"/>
          <w:sz w:val="22"/>
          <w:szCs w:val="22"/>
        </w:rPr>
        <w:t xml:space="preserve">16 rows (15.7% of dataset) still contain incomplete data and were excluded from revenue calculations but retained for order count analysis. Any revenue figures in this report are based on the 86 rows with valid, complete data.</w:t>
      </w:r>
    </w:p>
    <w:p>
      <w:pPr>
        <w:spacing w:after="160" w:before="0"/>
        <w:jc w:val="left"/>
      </w:pPr>
      <w:r>
        <w:rPr>
          <w:rFonts w:ascii="Arial" w:cs="Arial" w:eastAsia="Arial" w:hAnsi="Arial"/>
          <w:b w:val="false"/>
          <w:bCs w:val="false"/>
          <w:i w:val="false"/>
          <w:iCs w:val="false"/>
          <w:color w:val="444444"/>
          <w:sz w:val="22"/>
          <w:szCs w:val="22"/>
        </w:rPr>
        <w:t xml:space="preserve"/>
      </w:r>
    </w:p>
    <w:p>
      <w:pPr>
        <w:pBdr>
          <w:bottom w:val="single" w:color="DDDDDD" w:sz="2" w:space="1"/>
        </w:pBdr>
        <w:spacing w:after="160" w:before="160"/>
      </w:pPr>
      <w:r>
        <w:rPr>
          <w:sz w:val="4"/>
          <w:szCs w:val="4"/>
        </w:rPr>
        <w:t xml:space="preserve"/>
      </w:r>
    </w:p>
    <w:p>
      <w:pPr>
        <w:pStyle w:val="Heading1"/>
        <w:pBdr>
          <w:bottom w:val="single" w:color="1E3A5F" w:sz="6" w:space="1"/>
        </w:pBdr>
        <w:spacing w:after="160" w:before="340"/>
      </w:pPr>
      <w:r>
        <w:rPr>
          <w:rFonts w:ascii="Arial" w:cs="Arial" w:eastAsia="Arial" w:hAnsi="Arial"/>
          <w:b/>
          <w:bCs/>
          <w:color w:val="1E3A5F"/>
          <w:sz w:val="32"/>
          <w:szCs w:val="32"/>
        </w:rPr>
        <w:t xml:space="preserve">Priority Actions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4420"/>
        <w:gridCol w:w="1560"/>
        <w:gridCol w:w="2860"/>
      </w:tblGrid>
      <w:tr>
        <w:tc>
          <w:tcPr>
            <w:tcW w:type="dxa" w:w="52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t>
            </w:r>
          </w:p>
        </w:tc>
        <w:tc>
          <w:tcPr>
            <w:tcW w:type="dxa" w:w="442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Action</w:t>
            </w:r>
          </w:p>
        </w:tc>
        <w:tc>
          <w:tcPr>
            <w:tcW w:type="dxa" w:w="15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Priority</w:t>
            </w:r>
          </w:p>
        </w:tc>
        <w:tc>
          <w:tcPr>
            <w:tcW w:type="dxa" w:w="28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Expected Impact</w:t>
            </w:r>
          </w:p>
        </w:tc>
      </w:tr>
      <w:tr>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1</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Audit fulfilment pipeline — find why only 10.8% orders reach Delivered status</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color w:val="C0392B"/>
                <w:sz w:val="20"/>
                <w:szCs w:val="20"/>
              </w:rPr>
              <w:t xml:space="preserve">Critical</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Recover up to ₹63K revenue</w:t>
            </w:r>
          </w:p>
        </w:tc>
      </w:tr>
      <w:tr>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2</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Investigate 26.5% return rate — product descriptions or quality issue</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bCs/>
                <w:color w:val="C0392B"/>
                <w:sz w:val="20"/>
                <w:szCs w:val="20"/>
              </w:rPr>
              <w:t xml:space="preserve">Critical</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Reduce ₹38K in returns</w:t>
            </w:r>
          </w:p>
        </w:tc>
      </w:tr>
      <w:tr>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3</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Incentivise prepaid payments to reduce 21.2% COD cancellation rate</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color w:val="B7770D"/>
                <w:sz w:val="20"/>
                <w:szCs w:val="20"/>
              </w:rPr>
              <w:t xml:space="preserve">High</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Save ₹8–10K in cancellations</w:t>
            </w:r>
          </w:p>
        </w:tc>
      </w:tr>
      <w:tr>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4</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Grow Clothing category to capitalise on highest AOV (Rs.2,466)</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1A7A4A"/>
                <w:sz w:val="20"/>
                <w:szCs w:val="20"/>
              </w:rPr>
              <w:t xml:space="preserve">Medium</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Revenue per order +35%</w:t>
            </w:r>
          </w:p>
        </w:tc>
      </w:tr>
      <w:tr>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5</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Identify cause of Apr/Nov revenue troughs to stabilise monthly performance</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B7770D"/>
                <w:sz w:val="20"/>
                <w:szCs w:val="20"/>
              </w:rPr>
              <w:t xml:space="preserve">Medium</w:t>
            </w:r>
          </w:p>
        </w:tc>
        <w:tc>
          <w:tcPr>
            <w:tcW w:type="dxa" w:w="234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color w:val="444444"/>
                <w:sz w:val="20"/>
                <w:szCs w:val="20"/>
              </w:rPr>
              <w:t xml:space="preserve">Smoother cash flow planning</w:t>
            </w:r>
          </w:p>
        </w:tc>
      </w:tr>
    </w:tbl>
    <w:p>
      <w:pPr>
        <w:spacing w:after="160" w:before="0"/>
        <w:jc w:val="left"/>
      </w:pPr>
      <w:r>
        <w:rPr>
          <w:rFonts w:ascii="Arial" w:cs="Arial" w:eastAsia="Arial" w:hAnsi="Arial"/>
          <w:b w:val="false"/>
          <w:bCs w:val="false"/>
          <w:i w:val="false"/>
          <w:iCs w:val="false"/>
          <w:color w:val="444444"/>
          <w:sz w:val="22"/>
          <w:szCs w:val="22"/>
        </w:rPr>
        <w:t xml:space="preserve"/>
      </w:r>
    </w:p>
    <w:p>
      <w:pPr>
        <w:spacing w:after="160" w:before="0"/>
        <w:jc w:val="left"/>
      </w:pPr>
      <w:r>
        <w:rPr>
          <w:rFonts w:ascii="Arial" w:cs="Arial" w:eastAsia="Arial" w:hAnsi="Arial"/>
          <w:b w:val="false"/>
          <w:bCs w:val="false"/>
          <w:i w:val="false"/>
          <w:iCs w:val="false"/>
          <w:color w:val="444444"/>
          <w:sz w:val="22"/>
          <w:szCs w:val="22"/>
        </w:rPr>
        <w:t xml:space="preserve"/>
      </w:r>
    </w:p>
    <w:p>
      <w:pPr>
        <w:spacing w:after="160" w:before="0"/>
        <w:jc w:val="left"/>
      </w:pPr>
      <w:r>
        <w:rPr>
          <w:rFonts w:ascii="Arial" w:cs="Arial" w:eastAsia="Arial" w:hAnsi="Arial"/>
          <w:b w:val="false"/>
          <w:bCs w:val="false"/>
          <w:i/>
          <w:iCs/>
          <w:color w:val="888888"/>
          <w:sz w:val="18"/>
          <w:szCs w:val="18"/>
        </w:rPr>
        <w:t xml:space="preserve">This report was prepared using Python (pandas) for data cleaning and analysis. The cleaned dataset is available for further drill-down by region, customer segment, or time period upon request.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40"/>
      <w:outlineLvl w:val="0"/>
    </w:pPr>
    <w:rPr>
      <w:rFonts w:ascii="Arial" w:cs="Arial" w:eastAsia="Arial" w:hAnsi="Arial"/>
      <w:b/>
      <w:bCs/>
      <w:color w:val="1E3A5F"/>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E3A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2026-06-15T05:21:59.832Z</dcterms:created>
  <dcterms:modified xsi:type="dcterms:W3CDTF">2026-06-15T05:21:59.832Z</dcterms:modified>
</cp:coreProperties>
</file>

<file path=docProps/custom.xml><?xml version="1.0" encoding="utf-8"?>
<Properties xmlns="http://schemas.openxmlformats.org/officeDocument/2006/custom-properties" xmlns:vt="http://schemas.openxmlformats.org/officeDocument/2006/docPropsVTypes"/>
</file>