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Calibri" w:hAnsi="Calibri"/>
          <w:b/>
          <w:i w:val="0"/>
          <w:color w:val="0B2545"/>
          <w:sz w:val="46"/>
        </w:rPr>
        <w:t>FINAL REMEDIATION &amp; TEST REPORT</w:t>
      </w:r>
    </w:p>
    <w:p>
      <w:pPr>
        <w:spacing w:before="0" w:after="280" w:line="264" w:lineRule="auto"/>
      </w:pPr>
      <w:r>
        <w:rPr>
          <w:rFonts w:ascii="Calibri" w:hAnsi="Calibri"/>
          <w:b w:val="0"/>
          <w:i w:val="0"/>
          <w:color w:val="5B6573"/>
          <w:sz w:val="26"/>
        </w:rPr>
        <w:t>VoiceVault production deployment, QA remediation, and verification evidence</w:t>
      </w:r>
    </w:p>
    <w:p>
      <w:pPr>
        <w:spacing w:after="40"/>
      </w:pPr>
      <w:r>
        <w:rPr>
          <w:rFonts w:ascii="Calibri" w:hAnsi="Calibri"/>
          <w:b/>
          <w:i w:val="0"/>
          <w:color w:val="0B2545"/>
          <w:sz w:val="21"/>
        </w:rPr>
        <w:t xml:space="preserve">Environment: </w:t>
      </w:r>
      <w:r>
        <w:rPr>
          <w:rFonts w:ascii="Calibri" w:hAnsi="Calibri"/>
          <w:b w:val="0"/>
          <w:i w:val="0"/>
          <w:color w:val="0B2545"/>
          <w:sz w:val="21"/>
        </w:rPr>
        <w:t>Hostinger production / HTTPS</w:t>
      </w:r>
    </w:p>
    <w:p>
      <w:pPr>
        <w:spacing w:after="40"/>
      </w:pPr>
      <w:r>
        <w:rPr>
          <w:rFonts w:ascii="Calibri" w:hAnsi="Calibri"/>
          <w:b/>
          <w:i w:val="0"/>
          <w:color w:val="0B2545"/>
          <w:sz w:val="21"/>
        </w:rPr>
        <w:t xml:space="preserve">Application: </w:t>
      </w:r>
      <w:r>
        <w:rPr>
          <w:rFonts w:ascii="Calibri" w:hAnsi="Calibri"/>
          <w:b w:val="0"/>
          <w:i w:val="0"/>
          <w:color w:val="0B2545"/>
          <w:sz w:val="21"/>
        </w:rPr>
        <w:t>VoiceVault</w:t>
      </w:r>
    </w:p>
    <w:p>
      <w:pPr>
        <w:spacing w:after="40"/>
      </w:pPr>
      <w:r>
        <w:rPr>
          <w:rFonts w:ascii="Calibri" w:hAnsi="Calibri"/>
          <w:b/>
          <w:i w:val="0"/>
          <w:color w:val="0B2545"/>
          <w:sz w:val="21"/>
        </w:rPr>
        <w:t xml:space="preserve">Deployment date: </w:t>
      </w:r>
      <w:r>
        <w:rPr>
          <w:rFonts w:ascii="Calibri" w:hAnsi="Calibri"/>
          <w:b w:val="0"/>
          <w:i w:val="0"/>
          <w:color w:val="0B2545"/>
          <w:sz w:val="21"/>
        </w:rPr>
        <w:t>24 August 2026</w:t>
      </w:r>
    </w:p>
    <w:p>
      <w:pPr>
        <w:spacing w:after="40"/>
      </w:pPr>
      <w:r>
        <w:rPr>
          <w:rFonts w:ascii="Calibri" w:hAnsi="Calibri"/>
          <w:b/>
          <w:i w:val="0"/>
          <w:color w:val="0B2545"/>
          <w:sz w:val="21"/>
        </w:rPr>
        <w:t xml:space="preserve">Release status: </w:t>
      </w:r>
      <w:r>
        <w:rPr>
          <w:rFonts w:ascii="Calibri" w:hAnsi="Calibri"/>
          <w:b w:val="0"/>
          <w:i w:val="0"/>
          <w:color w:val="0B2545"/>
          <w:sz w:val="21"/>
        </w:rPr>
        <w:t>Deployed and verified</w:t>
      </w:r>
    </w:p>
    <w:p>
      <w:pPr>
        <w:spacing w:before="200" w:after="240"/>
        <w:pBdr>
          <w:bottom w:val="single" w:sz="18" w:space="6" w:color="2E74B5"/>
        </w:pBdr>
      </w:pPr>
    </w:p>
    <w:tbl>
      <w:tblPr>
        <w:tblW w:type="dxa" w:w="9360"/>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2F4F7"/>
          </w:tcPr>
          <w:p>
            <w:pPr>
              <w:spacing w:after="0"/>
            </w:pPr>
            <w:r>
              <w:rPr>
                <w:rFonts w:ascii="Calibri" w:hAnsi="Calibri"/>
                <w:b/>
                <w:i w:val="0"/>
                <w:color w:val="1F5E3B"/>
                <w:sz w:val="21"/>
              </w:rPr>
              <w:t xml:space="preserve">Release decision: </w:t>
            </w:r>
            <w:r>
              <w:rPr>
                <w:rFonts w:ascii="Calibri" w:hAnsi="Calibri"/>
                <w:b w:val="0"/>
                <w:i w:val="0"/>
                <w:color w:val="0B2545"/>
                <w:sz w:val="21"/>
              </w:rPr>
              <w:t>The remediation build is live. All containers are healthy, 26 automated Django tests passed in the deployed container, the frontend production build passed, and public HTTPS regression checks returned the expected safe statuses.</w:t>
            </w:r>
          </w:p>
        </w:tc>
      </w:tr>
    </w:tbl>
    <w:p>
      <w:pPr>
        <w:spacing w:after="20"/>
      </w:pPr>
    </w:p>
    <w:p>
      <w:pPr>
        <w:spacing w:before="320" w:after="160"/>
      </w:pPr>
      <w:r>
        <w:rPr>
          <w:rFonts w:ascii="Calibri" w:hAnsi="Calibri"/>
          <w:b/>
          <w:i w:val="0"/>
          <w:color w:val="2E74B5"/>
          <w:sz w:val="32"/>
        </w:rPr>
        <w:t>1. Scope and evidence</w:t>
      </w:r>
    </w:p>
    <w:p>
      <w:pPr>
        <w:spacing w:before="0" w:after="120" w:line="264" w:lineRule="auto"/>
      </w:pPr>
      <w:r>
        <w:rPr>
          <w:rFonts w:ascii="Calibri" w:hAnsi="Calibri"/>
          <w:b w:val="0"/>
          <w:i w:val="0"/>
          <w:color w:val="0B2545"/>
          <w:sz w:val="22"/>
        </w:rPr>
        <w:t>This report records the remediation work completed after the independent QA review. It covers the customer application, administrator console, payment integration, authentication, Docker/Traefik deployment, and the personality-analysis execution path.</w:t>
      </w:r>
    </w:p>
    <w:tbl>
      <w:tblPr>
        <w:tblStyle w:val="TableGrid"/>
        <w:tblW w:type="dxa" w:w="9360"/>
        <w:tblLayout w:type="fixed"/>
        <w:tblLook w:firstColumn="1" w:firstRow="1" w:lastColumn="0" w:lastRow="0" w:noHBand="0" w:noVBand="1" w:val="04A0"/>
      </w:tblPr>
      <w:tblGrid>
        <w:gridCol w:w="3120"/>
        <w:gridCol w:w="3120"/>
        <w:gridCol w:w="3120"/>
      </w:tblGrid>
      <w:tr>
        <w:tc>
          <w:tcPr>
            <w:tcW w:type="dxa" w:w="2232"/>
            <w:vAlign w:val="center"/>
            <w:tcMar>
              <w:top w:w="80" w:type="dxa"/>
              <w:start w:w="120" w:type="dxa"/>
              <w:bottom w:w="80" w:type="dxa"/>
              <w:end w:w="120" w:type="dxa"/>
            </w:tcMar>
            <w:shd w:fill="E8EEF5"/>
          </w:tcPr>
          <w:p>
            <w:pPr>
              <w:jc w:val="center"/>
            </w:pPr>
            <w:r>
              <w:rPr>
                <w:rFonts w:ascii="Calibri" w:hAnsi="Calibri"/>
                <w:b/>
                <w:i w:val="0"/>
                <w:color w:val="0B2545"/>
                <w:sz w:val="19"/>
              </w:rPr>
              <w:t>Evidence source</w:t>
            </w:r>
          </w:p>
        </w:tc>
        <w:tc>
          <w:tcPr>
            <w:tcW w:type="dxa" w:w="5544"/>
            <w:vAlign w:val="center"/>
            <w:tcMar>
              <w:top w:w="80" w:type="dxa"/>
              <w:start w:w="120" w:type="dxa"/>
              <w:bottom w:w="80" w:type="dxa"/>
              <w:end w:w="120" w:type="dxa"/>
            </w:tcMar>
            <w:shd w:fill="E8EEF5"/>
          </w:tcPr>
          <w:p>
            <w:pPr>
              <w:jc w:val="center"/>
            </w:pPr>
            <w:r>
              <w:rPr>
                <w:rFonts w:ascii="Calibri" w:hAnsi="Calibri"/>
                <w:b/>
                <w:i w:val="0"/>
                <w:color w:val="0B2545"/>
                <w:sz w:val="19"/>
              </w:rPr>
              <w:t>What was verified</w:t>
            </w:r>
          </w:p>
        </w:tc>
        <w:tc>
          <w:tcPr>
            <w:tcW w:type="dxa" w:w="1584"/>
            <w:vAlign w:val="center"/>
            <w:tcMar>
              <w:top w:w="80" w:type="dxa"/>
              <w:start w:w="120" w:type="dxa"/>
              <w:bottom w:w="80" w:type="dxa"/>
              <w:end w:w="120" w:type="dxa"/>
            </w:tcMar>
            <w:shd w:fill="E8EEF5"/>
          </w:tcPr>
          <w:p>
            <w:pPr>
              <w:jc w:val="center"/>
            </w:pPr>
            <w:r>
              <w:rPr>
                <w:rFonts w:ascii="Calibri" w:hAnsi="Calibri"/>
                <w:b/>
                <w:i w:val="0"/>
                <w:color w:val="0B2545"/>
                <w:sz w:val="19"/>
              </w:rPr>
              <w:t>Result</w:t>
            </w:r>
          </w:p>
        </w:tc>
      </w:tr>
      <w:tr>
        <w:tc>
          <w:tcPr>
            <w:tcW w:type="dxa" w:w="3120"/>
          </w:tcPr>
          <w:p>
            <w:r>
              <w:rPr>
                <w:rFonts w:ascii="Calibri" w:hAnsi="Calibri"/>
                <w:b w:val="0"/>
                <w:i w:val="0"/>
                <w:color w:val="0B2545"/>
                <w:sz w:val="19"/>
              </w:rPr>
              <w:t>Deployed Docker stack</w:t>
            </w:r>
          </w:p>
        </w:tc>
        <w:tc>
          <w:tcPr>
            <w:tcW w:type="dxa" w:w="3120"/>
          </w:tcPr>
          <w:p>
            <w:r>
              <w:rPr>
                <w:rFonts w:ascii="Calibri" w:hAnsi="Calibri"/>
                <w:b w:val="0"/>
                <w:i w:val="0"/>
                <w:color w:val="0B2545"/>
                <w:sz w:val="19"/>
              </w:rPr>
              <w:t>Web, PostgreSQL, Redis, Celery worker, and Celery beat</w:t>
            </w:r>
          </w:p>
        </w:tc>
        <w:tc>
          <w:tcPr>
            <w:tcW w:type="dxa" w:w="3120"/>
          </w:tcPr>
          <w:p>
            <w:r>
              <w:rPr>
                <w:rFonts w:ascii="Calibri" w:hAnsi="Calibri"/>
                <w:b w:val="0"/>
                <w:i w:val="0"/>
                <w:color w:val="0B2545"/>
                <w:sz w:val="19"/>
              </w:rPr>
              <w:t>HEALTHY</w:t>
            </w:r>
          </w:p>
        </w:tc>
      </w:tr>
      <w:tr>
        <w:tc>
          <w:tcPr>
            <w:tcW w:type="dxa" w:w="3120"/>
          </w:tcPr>
          <w:p>
            <w:r>
              <w:rPr>
                <w:rFonts w:ascii="Calibri" w:hAnsi="Calibri"/>
                <w:b w:val="0"/>
                <w:i w:val="0"/>
                <w:color w:val="0B2545"/>
                <w:sz w:val="19"/>
              </w:rPr>
              <w:t>Deployed Django suite</w:t>
            </w:r>
          </w:p>
        </w:tc>
        <w:tc>
          <w:tcPr>
            <w:tcW w:type="dxa" w:w="3120"/>
          </w:tcPr>
          <w:p>
            <w:r>
              <w:rPr>
                <w:rFonts w:ascii="Calibri" w:hAnsi="Calibri"/>
                <w:b w:val="0"/>
                <w:i w:val="0"/>
                <w:color w:val="0B2545"/>
                <w:sz w:val="19"/>
              </w:rPr>
              <w:t>Regression suite executed inside production image</w:t>
            </w:r>
          </w:p>
        </w:tc>
        <w:tc>
          <w:tcPr>
            <w:tcW w:type="dxa" w:w="3120"/>
          </w:tcPr>
          <w:p>
            <w:r>
              <w:rPr>
                <w:rFonts w:ascii="Calibri" w:hAnsi="Calibri"/>
                <w:b w:val="0"/>
                <w:i w:val="0"/>
                <w:color w:val="0B2545"/>
                <w:sz w:val="19"/>
              </w:rPr>
              <w:t>PASS — 26 / 26</w:t>
            </w:r>
          </w:p>
        </w:tc>
      </w:tr>
      <w:tr>
        <w:tc>
          <w:tcPr>
            <w:tcW w:type="dxa" w:w="3120"/>
          </w:tcPr>
          <w:p>
            <w:r>
              <w:rPr>
                <w:rFonts w:ascii="Calibri" w:hAnsi="Calibri"/>
                <w:b w:val="0"/>
                <w:i w:val="0"/>
                <w:color w:val="0B2545"/>
                <w:sz w:val="19"/>
              </w:rPr>
              <w:t>Frontend production build</w:t>
            </w:r>
          </w:p>
        </w:tc>
        <w:tc>
          <w:tcPr>
            <w:tcW w:type="dxa" w:w="3120"/>
          </w:tcPr>
          <w:p>
            <w:r>
              <w:rPr>
                <w:rFonts w:ascii="Calibri" w:hAnsi="Calibri"/>
                <w:b w:val="0"/>
                <w:i w:val="0"/>
                <w:color w:val="0B2545"/>
                <w:sz w:val="19"/>
              </w:rPr>
              <w:t>Type checking and 28 route generation</w:t>
            </w:r>
          </w:p>
        </w:tc>
        <w:tc>
          <w:tcPr>
            <w:tcW w:type="dxa" w:w="3120"/>
          </w:tcPr>
          <w:p>
            <w:r>
              <w:rPr>
                <w:rFonts w:ascii="Calibri" w:hAnsi="Calibri"/>
                <w:b w:val="0"/>
                <w:i w:val="0"/>
                <w:color w:val="0B2545"/>
                <w:sz w:val="19"/>
              </w:rPr>
              <w:t>PASS</w:t>
            </w:r>
          </w:p>
        </w:tc>
      </w:tr>
      <w:tr>
        <w:tc>
          <w:tcPr>
            <w:tcW w:type="dxa" w:w="3120"/>
          </w:tcPr>
          <w:p>
            <w:r>
              <w:rPr>
                <w:rFonts w:ascii="Calibri" w:hAnsi="Calibri"/>
                <w:b w:val="0"/>
                <w:i w:val="0"/>
                <w:color w:val="0B2545"/>
                <w:sz w:val="19"/>
              </w:rPr>
              <w:t>Public HTTPS APIs</w:t>
            </w:r>
          </w:p>
        </w:tc>
        <w:tc>
          <w:tcPr>
            <w:tcW w:type="dxa" w:w="3120"/>
          </w:tcPr>
          <w:p>
            <w:r>
              <w:rPr>
                <w:rFonts w:ascii="Calibri" w:hAnsi="Calibri"/>
                <w:b w:val="0"/>
                <w:i w:val="0"/>
                <w:color w:val="0B2545"/>
                <w:sz w:val="19"/>
              </w:rPr>
              <w:t>Health, packages, admin safeguards, questions, checkout, signup</w:t>
            </w:r>
          </w:p>
        </w:tc>
        <w:tc>
          <w:tcPr>
            <w:tcW w:type="dxa" w:w="3120"/>
          </w:tcPr>
          <w:p>
            <w:r>
              <w:rPr>
                <w:rFonts w:ascii="Calibri" w:hAnsi="Calibri"/>
                <w:b w:val="0"/>
                <w:i w:val="0"/>
                <w:color w:val="0B2545"/>
                <w:sz w:val="19"/>
              </w:rPr>
              <w:t>PASS</w:t>
            </w:r>
          </w:p>
        </w:tc>
      </w:tr>
      <w:tr>
        <w:tc>
          <w:tcPr>
            <w:tcW w:type="dxa" w:w="3120"/>
          </w:tcPr>
          <w:p>
            <w:r>
              <w:rPr>
                <w:rFonts w:ascii="Calibri" w:hAnsi="Calibri"/>
                <w:b w:val="0"/>
                <w:i w:val="0"/>
                <w:color w:val="0B2545"/>
                <w:sz w:val="19"/>
              </w:rPr>
              <w:t>Stripe test delivery</w:t>
            </w:r>
          </w:p>
        </w:tc>
        <w:tc>
          <w:tcPr>
            <w:tcW w:type="dxa" w:w="3120"/>
          </w:tcPr>
          <w:p>
            <w:r>
              <w:rPr>
                <w:rFonts w:ascii="Calibri" w:hAnsi="Calibri"/>
                <w:b w:val="0"/>
                <w:i w:val="0"/>
                <w:color w:val="0B2545"/>
                <w:sz w:val="19"/>
              </w:rPr>
              <w:t>Persistent signed webhook reached the app</w:t>
            </w:r>
          </w:p>
        </w:tc>
        <w:tc>
          <w:tcPr>
            <w:tcW w:type="dxa" w:w="3120"/>
          </w:tcPr>
          <w:p>
            <w:r>
              <w:rPr>
                <w:rFonts w:ascii="Calibri" w:hAnsi="Calibri"/>
                <w:b w:val="0"/>
                <w:i w:val="0"/>
                <w:color w:val="0B2545"/>
                <w:sz w:val="19"/>
              </w:rPr>
              <w:t>PASS</w:t>
            </w:r>
          </w:p>
        </w:tc>
      </w:tr>
    </w:tbl>
    <w:p>
      <w:pPr>
        <w:spacing w:after="20"/>
      </w:pPr>
    </w:p>
    <w:p>
      <w:pPr>
        <w:spacing w:before="320" w:after="160"/>
      </w:pPr>
      <w:r>
        <w:rPr>
          <w:rFonts w:ascii="Calibri" w:hAnsi="Calibri"/>
          <w:b/>
          <w:i w:val="0"/>
          <w:color w:val="2E74B5"/>
          <w:sz w:val="32"/>
        </w:rPr>
        <w:t>2. Fixes applied</w:t>
      </w:r>
    </w:p>
    <w:p>
      <w:pPr>
        <w:spacing w:before="240" w:after="120"/>
      </w:pPr>
      <w:r>
        <w:rPr>
          <w:rFonts w:ascii="Calibri" w:hAnsi="Calibri"/>
          <w:b/>
          <w:i w:val="0"/>
          <w:color w:val="2E74B5"/>
          <w:sz w:val="26"/>
        </w:rPr>
        <w:t>Administrator console and data integrity</w:t>
      </w:r>
    </w:p>
    <w:p>
      <w:pPr>
        <w:pStyle w:val="ListBullet"/>
        <w:keepNext w:val="0"/>
        <w:spacing w:after="60" w:line="264" w:lineRule="auto"/>
      </w:pPr>
      <w:r>
        <w:rPr>
          <w:rFonts w:ascii="Calibri" w:hAnsi="Calibri"/>
          <w:b w:val="0"/>
          <w:i w:val="0"/>
          <w:color w:val="0B2545"/>
          <w:sz w:val="20"/>
        </w:rPr>
        <w:t>Added a persistent Admin Console shell with clear links to Overview, Users, Questions, Processing, Payments, and Logs, plus a return link to the user dashboard.</w:t>
      </w:r>
    </w:p>
    <w:p>
      <w:pPr>
        <w:pStyle w:val="ListBullet"/>
        <w:keepNext w:val="0"/>
        <w:spacing w:after="60" w:line="264" w:lineRule="auto"/>
      </w:pPr>
      <w:r>
        <w:rPr>
          <w:rFonts w:ascii="Calibri" w:hAnsi="Calibri"/>
          <w:b w:val="0"/>
          <w:i w:val="0"/>
          <w:color w:val="0B2545"/>
          <w:sz w:val="20"/>
        </w:rPr>
        <w:t>Preserved the full requested deep link through authentication; for example, /admin/payments now returns there after login instead of losing the destination.</w:t>
      </w:r>
    </w:p>
    <w:p>
      <w:pPr>
        <w:pStyle w:val="ListBullet"/>
        <w:keepNext w:val="0"/>
        <w:spacing w:after="60" w:line="264" w:lineRule="auto"/>
      </w:pPr>
      <w:r>
        <w:rPr>
          <w:rFonts w:ascii="Calibri" w:hAnsi="Calibri"/>
          <w:b w:val="0"/>
          <w:i w:val="0"/>
          <w:color w:val="0B2545"/>
          <w:sz w:val="20"/>
        </w:rPr>
        <w:t>Added pagination and filter validation so malformed values return a client error instead of producing a server error.</w:t>
      </w:r>
    </w:p>
    <w:p>
      <w:pPr>
        <w:pStyle w:val="ListBullet"/>
        <w:keepNext w:val="0"/>
        <w:spacing w:after="60" w:line="264" w:lineRule="auto"/>
      </w:pPr>
      <w:r>
        <w:rPr>
          <w:rFonts w:ascii="Calibri" w:hAnsi="Calibri"/>
          <w:b w:val="0"/>
          <w:i w:val="0"/>
          <w:color w:val="0B2545"/>
          <w:sz w:val="20"/>
        </w:rPr>
        <w:t>Prevented an administrator from deleting their own account, with a 409 Conflict response.</w:t>
      </w:r>
    </w:p>
    <w:p>
      <w:pPr>
        <w:pStyle w:val="ListBullet"/>
        <w:keepNext w:val="0"/>
        <w:spacing w:after="60" w:line="264" w:lineRule="auto"/>
      </w:pPr>
      <w:r>
        <w:rPr>
          <w:rFonts w:ascii="Calibri" w:hAnsi="Calibri"/>
          <w:b w:val="0"/>
          <w:i w:val="0"/>
          <w:color w:val="0B2545"/>
          <w:sz w:val="20"/>
        </w:rPr>
        <w:t>Hardened administrator user updates, including strict booleans and entitlement validation, transactional updates, and audit entries.</w:t>
      </w:r>
    </w:p>
    <w:p>
      <w:pPr>
        <w:pStyle w:val="ListBullet"/>
        <w:keepNext w:val="0"/>
        <w:spacing w:after="60" w:line="264" w:lineRule="auto"/>
      </w:pPr>
      <w:r>
        <w:rPr>
          <w:rFonts w:ascii="Calibri" w:hAnsi="Calibri"/>
          <w:b w:val="0"/>
          <w:i w:val="0"/>
          <w:color w:val="0B2545"/>
          <w:sz w:val="20"/>
        </w:rPr>
        <w:t>Made recording-question reorder and bulk operations atomic; missing, duplicated, stale, or conflicting identifiers are rejected without partial writes.</w:t>
      </w:r>
    </w:p>
    <w:p>
      <w:pPr>
        <w:pStyle w:val="ListBullet"/>
        <w:keepNext w:val="0"/>
        <w:spacing w:after="60" w:line="264" w:lineRule="auto"/>
      </w:pPr>
      <w:r>
        <w:rPr>
          <w:rFonts w:ascii="Calibri" w:hAnsi="Calibri"/>
          <w:b w:val="0"/>
          <w:i w:val="0"/>
          <w:color w:val="0B2545"/>
          <w:sz w:val="20"/>
        </w:rPr>
        <w:t>Added audit logging for question create, update, delete, reorder, seed, and bulk actions.</w:t>
      </w:r>
    </w:p>
    <w:p>
      <w:pPr>
        <w:pStyle w:val="ListBullet"/>
        <w:keepNext w:val="0"/>
        <w:spacing w:after="60" w:line="264" w:lineRule="auto"/>
      </w:pPr>
      <w:r>
        <w:rPr>
          <w:rFonts w:ascii="Calibri" w:hAnsi="Calibri"/>
          <w:b w:val="0"/>
          <w:i w:val="0"/>
          <w:color w:val="0B2545"/>
          <w:sz w:val="20"/>
        </w:rPr>
        <w:t>Added accessible names to icon-only controls and made action/error feedback visible rather than silently treating failures as empty data.</w:t>
      </w:r>
    </w:p>
    <w:p>
      <w:pPr>
        <w:spacing w:before="240" w:after="120"/>
      </w:pPr>
      <w:r>
        <w:rPr>
          <w:rFonts w:ascii="Calibri" w:hAnsi="Calibri"/>
          <w:b/>
          <w:i w:val="0"/>
          <w:color w:val="2E74B5"/>
          <w:sz w:val="26"/>
        </w:rPr>
        <w:t>Authentication, profile, and processing</w:t>
      </w:r>
    </w:p>
    <w:p>
      <w:pPr>
        <w:pStyle w:val="ListBullet"/>
        <w:keepNext w:val="0"/>
        <w:spacing w:after="60" w:line="264" w:lineRule="auto"/>
      </w:pPr>
      <w:r>
        <w:rPr>
          <w:rFonts w:ascii="Calibri" w:hAnsi="Calibri"/>
          <w:b w:val="0"/>
          <w:i w:val="0"/>
          <w:color w:val="0B2545"/>
          <w:sz w:val="20"/>
        </w:rPr>
        <w:t>Resolved the OpenAI/httpx compatibility mismatch that could cause personality analysis to fail at runtime by pinning a compatible httpx version.</w:t>
      </w:r>
    </w:p>
    <w:p>
      <w:pPr>
        <w:pStyle w:val="ListBullet"/>
        <w:keepNext w:val="0"/>
        <w:spacing w:after="60" w:line="264" w:lineRule="auto"/>
      </w:pPr>
      <w:r>
        <w:rPr>
          <w:rFonts w:ascii="Calibri" w:hAnsi="Calibri"/>
          <w:b w:val="0"/>
          <w:i w:val="0"/>
          <w:color w:val="0B2545"/>
          <w:sz w:val="20"/>
        </w:rPr>
        <w:t>Restored phone-number persistence: signup now stores the optional field that the schema already exposes.</w:t>
      </w:r>
    </w:p>
    <w:p>
      <w:pPr>
        <w:pStyle w:val="ListBullet"/>
        <w:keepNext w:val="0"/>
        <w:spacing w:after="60" w:line="264" w:lineRule="auto"/>
      </w:pPr>
      <w:r>
        <w:rPr>
          <w:rFonts w:ascii="Calibri" w:hAnsi="Calibri"/>
          <w:b w:val="0"/>
          <w:i w:val="0"/>
          <w:color w:val="0B2545"/>
          <w:sz w:val="20"/>
        </w:rPr>
        <w:t>Added server-side email, name, phone-length, and password-length validation; malformed signup data returns 400 before any account is created.</w:t>
      </w:r>
    </w:p>
    <w:p>
      <w:pPr>
        <w:pStyle w:val="ListBullet"/>
        <w:keepNext w:val="0"/>
        <w:spacing w:after="60" w:line="264" w:lineRule="auto"/>
      </w:pPr>
      <w:r>
        <w:rPr>
          <w:rFonts w:ascii="Calibri" w:hAnsi="Calibri"/>
          <w:b w:val="0"/>
          <w:i w:val="0"/>
          <w:color w:val="0B2545"/>
          <w:sz w:val="20"/>
        </w:rPr>
        <w:t>Prevented profile PATCH from changing an account email or paid entitlements without the appropriate protected flow.</w:t>
      </w:r>
    </w:p>
    <w:p>
      <w:pPr>
        <w:pStyle w:val="ListBullet"/>
        <w:keepNext w:val="0"/>
        <w:spacing w:after="60" w:line="264" w:lineRule="auto"/>
      </w:pPr>
      <w:r>
        <w:rPr>
          <w:rFonts w:ascii="Calibri" w:hAnsi="Calibri"/>
          <w:b w:val="0"/>
          <w:i w:val="0"/>
          <w:color w:val="0B2545"/>
          <w:sz w:val="20"/>
        </w:rPr>
        <w:t>Added token regression coverage for successful login/refresh and rejection of access or expired tokens when a refresh token is required.</w:t>
      </w:r>
    </w:p>
    <w:p>
      <w:pPr>
        <w:spacing w:before="240" w:after="120"/>
      </w:pPr>
      <w:r>
        <w:rPr>
          <w:rFonts w:ascii="Calibri" w:hAnsi="Calibri"/>
          <w:b/>
          <w:i w:val="0"/>
          <w:color w:val="2E74B5"/>
          <w:sz w:val="26"/>
        </w:rPr>
        <w:t>Payments, Stripe, and deployment</w:t>
      </w:r>
    </w:p>
    <w:p>
      <w:pPr>
        <w:pStyle w:val="ListBullet"/>
        <w:keepNext w:val="0"/>
        <w:spacing w:after="60" w:line="264" w:lineRule="auto"/>
      </w:pPr>
      <w:r>
        <w:rPr>
          <w:rFonts w:ascii="Calibri" w:hAnsi="Calibri"/>
          <w:b w:val="0"/>
          <w:i w:val="0"/>
          <w:color w:val="0B2545"/>
          <w:sz w:val="20"/>
        </w:rPr>
        <w:t>Rejected unsupported package tiers with a clear 400 response rather than allowing a generic payment-service failure.</w:t>
      </w:r>
    </w:p>
    <w:p>
      <w:pPr>
        <w:pStyle w:val="ListBullet"/>
        <w:keepNext w:val="0"/>
        <w:spacing w:after="60" w:line="264" w:lineRule="auto"/>
      </w:pPr>
      <w:r>
        <w:rPr>
          <w:rFonts w:ascii="Calibri" w:hAnsi="Calibri"/>
          <w:b w:val="0"/>
          <w:i w:val="0"/>
          <w:color w:val="0B2545"/>
          <w:sz w:val="20"/>
        </w:rPr>
        <w:t>Added an administrator refund action with Stripe refund handling, payment-state updates, entitlement revocation when appropriate, and audit logging.</w:t>
      </w:r>
    </w:p>
    <w:p>
      <w:pPr>
        <w:pStyle w:val="ListBullet"/>
        <w:keepNext w:val="0"/>
        <w:spacing w:after="60" w:line="264" w:lineRule="auto"/>
      </w:pPr>
      <w:r>
        <w:rPr>
          <w:rFonts w:ascii="Calibri" w:hAnsi="Calibri"/>
          <w:b w:val="0"/>
          <w:i w:val="0"/>
          <w:color w:val="0B2545"/>
          <w:sz w:val="20"/>
        </w:rPr>
        <w:t>Created and configured a persistent Stripe test-mode webhook for checkout completion and payment-intent events; it no longer depends on a running local Stripe CLI listener.</w:t>
      </w:r>
    </w:p>
    <w:p>
      <w:pPr>
        <w:pStyle w:val="ListBullet"/>
        <w:keepNext w:val="0"/>
        <w:spacing w:after="60" w:line="264" w:lineRule="auto"/>
      </w:pPr>
      <w:r>
        <w:rPr>
          <w:rFonts w:ascii="Calibri" w:hAnsi="Calibri"/>
          <w:b w:val="0"/>
          <w:i w:val="0"/>
          <w:color w:val="0B2545"/>
          <w:sz w:val="20"/>
        </w:rPr>
        <w:t>Aligned the displayed and checkout price to USD $149.99. The API is now the source for package display, and the checkout uses Stripe inline price data in test mode.</w:t>
      </w:r>
    </w:p>
    <w:p>
      <w:pPr>
        <w:pStyle w:val="ListBullet"/>
        <w:keepNext w:val="0"/>
        <w:spacing w:after="60" w:line="264" w:lineRule="auto"/>
      </w:pPr>
      <w:r>
        <w:rPr>
          <w:rFonts w:ascii="Calibri" w:hAnsi="Calibri"/>
          <w:b w:val="0"/>
          <w:i w:val="0"/>
          <w:color w:val="0B2545"/>
          <w:sz w:val="20"/>
        </w:rPr>
        <w:t>Updated Compose secret interpolation and Traefik-ready base labels so production deployment now uses docker compose up -d --build --force-recreate without overlay files or long inline environment commands.</w:t>
      </w:r>
    </w:p>
    <w:p>
      <w:pPr>
        <w:pStyle w:val="ListBullet"/>
        <w:keepNext w:val="0"/>
        <w:spacing w:after="60" w:line="264" w:lineRule="auto"/>
      </w:pPr>
      <w:r>
        <w:rPr>
          <w:rFonts w:ascii="Calibri" w:hAnsi="Calibri"/>
          <w:b w:val="0"/>
          <w:i w:val="0"/>
          <w:color w:val="0B2545"/>
          <w:sz w:val="20"/>
        </w:rPr>
        <w:t>Corrected image-time static-file collection so it completes using build-only settings; runtime secrets remain supplied by Compose.</w:t>
      </w:r>
    </w:p>
    <w:p>
      <w:r>
        <w:br w:type="page"/>
      </w:r>
    </w:p>
    <w:p>
      <w:pPr>
        <w:spacing w:before="320" w:after="160"/>
      </w:pPr>
      <w:r>
        <w:rPr>
          <w:rFonts w:ascii="Calibri" w:hAnsi="Calibri"/>
          <w:b/>
          <w:i w:val="0"/>
          <w:color w:val="2E74B5"/>
          <w:sz w:val="32"/>
        </w:rPr>
        <w:t>3. Final test results</w:t>
      </w:r>
    </w:p>
    <w:p>
      <w:pPr>
        <w:spacing w:before="0" w:after="120" w:line="264" w:lineRule="auto"/>
      </w:pPr>
      <w:r>
        <w:rPr>
          <w:rFonts w:ascii="Calibri" w:hAnsi="Calibri"/>
          <w:b w:val="0"/>
          <w:i w:val="0"/>
          <w:color w:val="0B2545"/>
          <w:sz w:val="22"/>
        </w:rPr>
        <w:t>All values below were checked after the final production deployment on 24 August 2026.</w:t>
      </w:r>
    </w:p>
    <w:tbl>
      <w:tblPr>
        <w:tblStyle w:val="TableGrid"/>
        <w:tblW w:type="dxa" w:w="9360"/>
        <w:tblLayout w:type="fixed"/>
        <w:tblLook w:firstColumn="1" w:firstRow="1" w:lastColumn="0" w:lastRow="0" w:noHBand="0" w:noVBand="1" w:val="04A0"/>
      </w:tblPr>
      <w:tblGrid>
        <w:gridCol w:w="3120"/>
        <w:gridCol w:w="3120"/>
        <w:gridCol w:w="3120"/>
      </w:tblGrid>
      <w:tr>
        <w:tc>
          <w:tcPr>
            <w:tcW w:type="dxa" w:w="1036"/>
            <w:vAlign w:val="center"/>
            <w:tcMar>
              <w:top w:w="80" w:type="dxa"/>
              <w:start w:w="120" w:type="dxa"/>
              <w:bottom w:w="80" w:type="dxa"/>
              <w:end w:w="120" w:type="dxa"/>
            </w:tcMar>
            <w:shd w:fill="E8EEF5"/>
          </w:tcPr>
          <w:p>
            <w:pPr>
              <w:jc w:val="center"/>
            </w:pPr>
            <w:r>
              <w:rPr>
                <w:rFonts w:ascii="Calibri" w:hAnsi="Calibri"/>
                <w:b/>
                <w:i w:val="0"/>
                <w:color w:val="0B2545"/>
                <w:sz w:val="19"/>
              </w:rPr>
              <w:t>Status</w:t>
            </w:r>
          </w:p>
        </w:tc>
        <w:tc>
          <w:tcPr>
            <w:tcW w:type="dxa" w:w="2908"/>
            <w:vAlign w:val="center"/>
            <w:tcMar>
              <w:top w:w="80" w:type="dxa"/>
              <w:start w:w="120" w:type="dxa"/>
              <w:bottom w:w="80" w:type="dxa"/>
              <w:end w:w="120" w:type="dxa"/>
            </w:tcMar>
            <w:shd w:fill="E8EEF5"/>
          </w:tcPr>
          <w:p>
            <w:pPr>
              <w:jc w:val="center"/>
            </w:pPr>
            <w:r>
              <w:rPr>
                <w:rFonts w:ascii="Calibri" w:hAnsi="Calibri"/>
                <w:b/>
                <w:i w:val="0"/>
                <w:color w:val="0B2545"/>
                <w:sz w:val="19"/>
              </w:rPr>
              <w:t>Check</w:t>
            </w:r>
          </w:p>
        </w:tc>
        <w:tc>
          <w:tcPr>
            <w:tcW w:type="dxa" w:w="5414"/>
            <w:vAlign w:val="center"/>
            <w:tcMar>
              <w:top w:w="80" w:type="dxa"/>
              <w:start w:w="120" w:type="dxa"/>
              <w:bottom w:w="80" w:type="dxa"/>
              <w:end w:w="120" w:type="dxa"/>
            </w:tcMar>
            <w:shd w:fill="E8EEF5"/>
          </w:tcPr>
          <w:p>
            <w:pPr>
              <w:jc w:val="center"/>
            </w:pPr>
            <w:r>
              <w:rPr>
                <w:rFonts w:ascii="Calibri" w:hAnsi="Calibri"/>
                <w:b/>
                <w:i w:val="0"/>
                <w:color w:val="0B2545"/>
                <w:sz w:val="19"/>
              </w:rPr>
              <w:t>Observed result</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Container health</w:t>
            </w:r>
          </w:p>
        </w:tc>
        <w:tc>
          <w:tcPr>
            <w:tcW w:type="dxa" w:w="3120"/>
          </w:tcPr>
          <w:p>
            <w:r>
              <w:rPr>
                <w:rFonts w:ascii="Calibri" w:hAnsi="Calibri"/>
                <w:b w:val="0"/>
                <w:i w:val="0"/>
                <w:color w:val="0B2545"/>
                <w:sz w:val="19"/>
              </w:rPr>
              <w:t>web, PostgreSQL, Redis, Celery worker, and Celery beat running; web/postgres/redis healthy</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Django regression suite</w:t>
            </w:r>
          </w:p>
        </w:tc>
        <w:tc>
          <w:tcPr>
            <w:tcW w:type="dxa" w:w="3120"/>
          </w:tcPr>
          <w:p>
            <w:r>
              <w:rPr>
                <w:rFonts w:ascii="Calibri" w:hAnsi="Calibri"/>
                <w:b w:val="0"/>
                <w:i w:val="0"/>
                <w:color w:val="0B2545"/>
                <w:sz w:val="19"/>
              </w:rPr>
              <w:t>26 tests executed in the deployed container; 26 passed; no system-check issues</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Migration consistency</w:t>
            </w:r>
          </w:p>
        </w:tc>
        <w:tc>
          <w:tcPr>
            <w:tcW w:type="dxa" w:w="3120"/>
          </w:tcPr>
          <w:p>
            <w:r>
              <w:rPr>
                <w:rFonts w:ascii="Calibri" w:hAnsi="Calibri"/>
                <w:b w:val="0"/>
                <w:i w:val="0"/>
                <w:color w:val="0B2545"/>
                <w:sz w:val="19"/>
              </w:rPr>
              <w:t>makemigrations --check --dry-run completed with no pending model migration</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HTTPS health endpoint</w:t>
            </w:r>
          </w:p>
        </w:tc>
        <w:tc>
          <w:tcPr>
            <w:tcW w:type="dxa" w:w="3120"/>
          </w:tcPr>
          <w:p>
            <w:r>
              <w:rPr>
                <w:rFonts w:ascii="Calibri" w:hAnsi="Calibri"/>
                <w:b w:val="0"/>
                <w:i w:val="0"/>
                <w:color w:val="0B2545"/>
                <w:sz w:val="19"/>
              </w:rPr>
              <w:t>Returned healthy service response with database connected</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Package endpoint</w:t>
            </w:r>
          </w:p>
        </w:tc>
        <w:tc>
          <w:tcPr>
            <w:tcW w:type="dxa" w:w="3120"/>
          </w:tcPr>
          <w:p>
            <w:r>
              <w:rPr>
                <w:rFonts w:ascii="Calibri" w:hAnsi="Calibri"/>
                <w:b w:val="0"/>
                <w:i w:val="0"/>
                <w:color w:val="0B2545"/>
                <w:sz w:val="19"/>
              </w:rPr>
              <w:t>Returned Premium at $149.99, currency USD</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Admin permissions</w:t>
            </w:r>
          </w:p>
        </w:tc>
        <w:tc>
          <w:tcPr>
            <w:tcW w:type="dxa" w:w="3120"/>
          </w:tcPr>
          <w:p>
            <w:r>
              <w:rPr>
                <w:rFonts w:ascii="Calibri" w:hAnsi="Calibri"/>
                <w:b w:val="0"/>
                <w:i w:val="0"/>
                <w:color w:val="0B2545"/>
                <w:sz w:val="19"/>
              </w:rPr>
              <w:t>Authenticated admin profile endpoint returned 200</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Malformed admin pagination</w:t>
            </w:r>
          </w:p>
        </w:tc>
        <w:tc>
          <w:tcPr>
            <w:tcW w:type="dxa" w:w="3120"/>
          </w:tcPr>
          <w:p>
            <w:r>
              <w:rPr>
                <w:rFonts w:ascii="Calibri" w:hAnsi="Calibri"/>
                <w:b w:val="0"/>
                <w:i w:val="0"/>
                <w:color w:val="0B2545"/>
                <w:sz w:val="19"/>
              </w:rPr>
              <w:t>Returned 400 rather than a 500</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Admin self-delete protection</w:t>
            </w:r>
          </w:p>
        </w:tc>
        <w:tc>
          <w:tcPr>
            <w:tcW w:type="dxa" w:w="3120"/>
          </w:tcPr>
          <w:p>
            <w:r>
              <w:rPr>
                <w:rFonts w:ascii="Calibri" w:hAnsi="Calibri"/>
                <w:b w:val="0"/>
                <w:i w:val="0"/>
                <w:color w:val="0B2545"/>
                <w:sz w:val="19"/>
              </w:rPr>
              <w:t>Returned 409 Conflict</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Invalid admin update</w:t>
            </w:r>
          </w:p>
        </w:tc>
        <w:tc>
          <w:tcPr>
            <w:tcW w:type="dxa" w:w="3120"/>
          </w:tcPr>
          <w:p>
            <w:r>
              <w:rPr>
                <w:rFonts w:ascii="Calibri" w:hAnsi="Calibri"/>
                <w:b w:val="0"/>
                <w:i w:val="0"/>
                <w:color w:val="0B2545"/>
                <w:sz w:val="19"/>
              </w:rPr>
              <w:t>Returned 400</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Missing question reorder item</w:t>
            </w:r>
          </w:p>
        </w:tc>
        <w:tc>
          <w:tcPr>
            <w:tcW w:type="dxa" w:w="3120"/>
          </w:tcPr>
          <w:p>
            <w:r>
              <w:rPr>
                <w:rFonts w:ascii="Calibri" w:hAnsi="Calibri"/>
                <w:b w:val="0"/>
                <w:i w:val="0"/>
                <w:color w:val="0B2545"/>
                <w:sz w:val="19"/>
              </w:rPr>
              <w:t>Returned 404; invalid batch is rejected</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Invalid checkout package</w:t>
            </w:r>
          </w:p>
        </w:tc>
        <w:tc>
          <w:tcPr>
            <w:tcW w:type="dxa" w:w="3120"/>
          </w:tcPr>
          <w:p>
            <w:r>
              <w:rPr>
                <w:rFonts w:ascii="Calibri" w:hAnsi="Calibri"/>
                <w:b w:val="0"/>
                <w:i w:val="0"/>
                <w:color w:val="0B2545"/>
                <w:sz w:val="19"/>
              </w:rPr>
              <w:t>Returned 400</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Malformed signup email</w:t>
            </w:r>
          </w:p>
        </w:tc>
        <w:tc>
          <w:tcPr>
            <w:tcW w:type="dxa" w:w="3120"/>
          </w:tcPr>
          <w:p>
            <w:r>
              <w:rPr>
                <w:rFonts w:ascii="Calibri" w:hAnsi="Calibri"/>
                <w:b w:val="0"/>
                <w:i w:val="0"/>
                <w:color w:val="0B2545"/>
                <w:sz w:val="19"/>
              </w:rPr>
              <w:t>Returned 400</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Stripe webhook runtime</w:t>
            </w:r>
          </w:p>
        </w:tc>
        <w:tc>
          <w:tcPr>
            <w:tcW w:type="dxa" w:w="3120"/>
          </w:tcPr>
          <w:p>
            <w:r>
              <w:rPr>
                <w:rFonts w:ascii="Calibri" w:hAnsi="Calibri"/>
                <w:b w:val="0"/>
                <w:i w:val="0"/>
                <w:color w:val="0B2545"/>
                <w:sz w:val="19"/>
              </w:rPr>
              <w:t>Test mode enabled; signing secret configured; signed fixture delivered</w:t>
            </w:r>
          </w:p>
        </w:tc>
      </w:tr>
      <w:tr>
        <w:tc>
          <w:tcPr>
            <w:tcW w:type="dxa" w:w="3120"/>
          </w:tcPr>
          <w:p>
            <w:r>
              <w:rPr>
                <w:rFonts w:ascii="Calibri" w:hAnsi="Calibri"/>
                <w:b/>
                <w:i w:val="0"/>
                <w:color w:val="1F5E3B"/>
                <w:sz w:val="19"/>
              </w:rPr>
              <w:t>PASS</w:t>
            </w:r>
          </w:p>
        </w:tc>
        <w:tc>
          <w:tcPr>
            <w:tcW w:type="dxa" w:w="3120"/>
          </w:tcPr>
          <w:p>
            <w:r>
              <w:rPr>
                <w:rFonts w:ascii="Calibri" w:hAnsi="Calibri"/>
                <w:b w:val="0"/>
                <w:i w:val="0"/>
                <w:color w:val="0B2545"/>
                <w:sz w:val="19"/>
              </w:rPr>
              <w:t>Personality dependency runtime</w:t>
            </w:r>
          </w:p>
        </w:tc>
        <w:tc>
          <w:tcPr>
            <w:tcW w:type="dxa" w:w="3120"/>
          </w:tcPr>
          <w:p>
            <w:r>
              <w:rPr>
                <w:rFonts w:ascii="Calibri" w:hAnsi="Calibri"/>
                <w:b w:val="0"/>
                <w:i w:val="0"/>
                <w:color w:val="0B2545"/>
                <w:sz w:val="19"/>
              </w:rPr>
              <w:t>httpx 0.27.2 loaded with the pinned OpenAI dependency</w:t>
            </w:r>
          </w:p>
        </w:tc>
      </w:tr>
    </w:tbl>
    <w:p>
      <w:pPr>
        <w:spacing w:after="20"/>
      </w:pPr>
    </w:p>
    <w:p>
      <w:pPr>
        <w:spacing w:before="320" w:after="160"/>
      </w:pPr>
      <w:r>
        <w:rPr>
          <w:rFonts w:ascii="Calibri" w:hAnsi="Calibri"/>
          <w:b/>
          <w:i w:val="0"/>
          <w:color w:val="2E74B5"/>
          <w:sz w:val="32"/>
        </w:rPr>
        <w:t>4. Deployment procedure</w:t>
      </w:r>
    </w:p>
    <w:p>
      <w:pPr>
        <w:spacing w:before="0" w:after="60" w:line="264" w:lineRule="auto"/>
      </w:pPr>
      <w:r>
        <w:rPr>
          <w:rFonts w:ascii="Calibri" w:hAnsi="Calibri"/>
          <w:b w:val="0"/>
          <w:i w:val="0"/>
          <w:color w:val="0B2545"/>
          <w:sz w:val="22"/>
        </w:rPr>
        <w:t>For the Hostinger server, the deployment command is now:</w:t>
      </w:r>
    </w:p>
    <w:p>
      <w:pPr>
        <w:spacing w:after="160"/>
      </w:pPr>
      <w:r>
        <w:rPr>
          <w:rFonts w:ascii="Calibri" w:hAnsi="Calibri"/>
          <w:b/>
          <w:i w:val="0"/>
          <w:color w:val="1F4D78"/>
          <w:sz w:val="21"/>
        </w:rPr>
        <w:t>docker compose up -d --build --force-recreate</w:t>
      </w:r>
    </w:p>
    <w:p>
      <w:pPr>
        <w:spacing w:before="0" w:after="120" w:line="264" w:lineRule="auto"/>
      </w:pPr>
      <w:r>
        <w:rPr>
          <w:rFonts w:ascii="Calibri" w:hAnsi="Calibri"/>
          <w:b w:val="0"/>
          <w:i w:val="0"/>
          <w:color w:val="5B6573"/>
          <w:sz w:val="21"/>
        </w:rPr>
        <w:t>The server .env contains the production host, Traefik rule, certificate resolver, public URLs, allowed origins, email settings, and test Stripe settings. Do not place secrets directly in the shell command.</w:t>
      </w:r>
    </w:p>
    <w:p>
      <w:pPr>
        <w:spacing w:before="320" w:after="160"/>
      </w:pPr>
      <w:r>
        <w:rPr>
          <w:rFonts w:ascii="Calibri" w:hAnsi="Calibri"/>
          <w:b/>
          <w:i w:val="0"/>
          <w:color w:val="2E74B5"/>
          <w:sz w:val="32"/>
        </w:rPr>
        <w:t>5. Remaining operational notes</w:t>
      </w:r>
    </w:p>
    <w:tbl>
      <w:tblPr>
        <w:tblStyle w:val="TableGrid"/>
        <w:tblW w:type="dxa" w:w="9360"/>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jc w:val="center"/>
            </w:pPr>
            <w:r>
              <w:rPr>
                <w:rFonts w:ascii="Calibri" w:hAnsi="Calibri"/>
                <w:b/>
                <w:i w:val="0"/>
                <w:color w:val="0B2545"/>
                <w:sz w:val="19"/>
              </w:rPr>
              <w:t>Item</w:t>
            </w:r>
          </w:p>
        </w:tc>
        <w:tc>
          <w:tcPr>
            <w:tcW w:type="dxa" w:w="1944"/>
            <w:vAlign w:val="center"/>
            <w:tcMar>
              <w:top w:w="80" w:type="dxa"/>
              <w:start w:w="120" w:type="dxa"/>
              <w:bottom w:w="80" w:type="dxa"/>
              <w:end w:w="120" w:type="dxa"/>
            </w:tcMar>
            <w:shd w:fill="E8EEF5"/>
          </w:tcPr>
          <w:p>
            <w:pPr>
              <w:jc w:val="center"/>
            </w:pPr>
            <w:r>
              <w:rPr>
                <w:rFonts w:ascii="Calibri" w:hAnsi="Calibri"/>
                <w:b/>
                <w:i w:val="0"/>
                <w:color w:val="0B2545"/>
                <w:sz w:val="19"/>
              </w:rPr>
              <w:t>Status</w:t>
            </w:r>
          </w:p>
        </w:tc>
        <w:tc>
          <w:tcPr>
            <w:tcW w:type="dxa" w:w="5328"/>
            <w:vAlign w:val="center"/>
            <w:tcMar>
              <w:top w:w="80" w:type="dxa"/>
              <w:start w:w="120" w:type="dxa"/>
              <w:bottom w:w="80" w:type="dxa"/>
              <w:end w:w="120" w:type="dxa"/>
            </w:tcMar>
            <w:shd w:fill="E8EEF5"/>
          </w:tcPr>
          <w:p>
            <w:pPr>
              <w:jc w:val="center"/>
            </w:pPr>
            <w:r>
              <w:rPr>
                <w:rFonts w:ascii="Calibri" w:hAnsi="Calibri"/>
                <w:b/>
                <w:i w:val="0"/>
                <w:color w:val="0B2545"/>
                <w:sz w:val="19"/>
              </w:rPr>
              <w:t>Recommendation</w:t>
            </w:r>
          </w:p>
        </w:tc>
      </w:tr>
      <w:tr>
        <w:tc>
          <w:tcPr>
            <w:tcW w:type="dxa" w:w="3120"/>
          </w:tcPr>
          <w:p>
            <w:r>
              <w:rPr>
                <w:rFonts w:ascii="Calibri" w:hAnsi="Calibri"/>
                <w:b w:val="0"/>
                <w:i w:val="0"/>
                <w:color w:val="0B2545"/>
                <w:sz w:val="19"/>
              </w:rPr>
              <w:t>Stripe live mode</w:t>
            </w:r>
          </w:p>
        </w:tc>
        <w:tc>
          <w:tcPr>
            <w:tcW w:type="dxa" w:w="3120"/>
          </w:tcPr>
          <w:p>
            <w:r>
              <w:rPr>
                <w:rFonts w:ascii="Calibri" w:hAnsi="Calibri"/>
                <w:b w:val="0"/>
                <w:i w:val="0"/>
                <w:color w:val="0B2545"/>
                <w:sz w:val="19"/>
              </w:rPr>
              <w:t>TEST MODE</w:t>
            </w:r>
          </w:p>
        </w:tc>
        <w:tc>
          <w:tcPr>
            <w:tcW w:type="dxa" w:w="3120"/>
          </w:tcPr>
          <w:p>
            <w:r>
              <w:rPr>
                <w:rFonts w:ascii="Calibri" w:hAnsi="Calibri"/>
                <w:b w:val="0"/>
                <w:i w:val="0"/>
                <w:color w:val="0B2545"/>
                <w:sz w:val="19"/>
              </w:rPr>
              <w:t>Keep test keys until you are ready to accept real payments. Before launch, create live prices/keys and a separate live webhook endpoint.</w:t>
            </w:r>
          </w:p>
        </w:tc>
      </w:tr>
      <w:tr>
        <w:tc>
          <w:tcPr>
            <w:tcW w:type="dxa" w:w="3120"/>
          </w:tcPr>
          <w:p>
            <w:r>
              <w:rPr>
                <w:rFonts w:ascii="Calibri" w:hAnsi="Calibri"/>
                <w:b w:val="0"/>
                <w:i w:val="0"/>
                <w:color w:val="0B2545"/>
                <w:sz w:val="19"/>
              </w:rPr>
              <w:t>Refund execution</w:t>
            </w:r>
          </w:p>
        </w:tc>
        <w:tc>
          <w:tcPr>
            <w:tcW w:type="dxa" w:w="3120"/>
          </w:tcPr>
          <w:p>
            <w:r>
              <w:rPr>
                <w:rFonts w:ascii="Calibri" w:hAnsi="Calibri"/>
                <w:b w:val="0"/>
                <w:i w:val="0"/>
                <w:color w:val="0B2545"/>
                <w:sz w:val="19"/>
              </w:rPr>
              <w:t>NOT EXECUTED</w:t>
            </w:r>
          </w:p>
        </w:tc>
        <w:tc>
          <w:tcPr>
            <w:tcW w:type="dxa" w:w="3120"/>
          </w:tcPr>
          <w:p>
            <w:r>
              <w:rPr>
                <w:rFonts w:ascii="Calibri" w:hAnsi="Calibri"/>
                <w:b w:val="0"/>
                <w:i w:val="0"/>
                <w:color w:val="0B2545"/>
                <w:sz w:val="19"/>
              </w:rPr>
              <w:t>The refund workflow is covered by unit tests. Do not issue a real refund solely for QA unless there is an appropriate test payment to reverse.</w:t>
            </w:r>
          </w:p>
        </w:tc>
      </w:tr>
      <w:tr>
        <w:tc>
          <w:tcPr>
            <w:tcW w:type="dxa" w:w="3120"/>
          </w:tcPr>
          <w:p>
            <w:r>
              <w:rPr>
                <w:rFonts w:ascii="Calibri" w:hAnsi="Calibri"/>
                <w:b w:val="0"/>
                <w:i w:val="0"/>
                <w:color w:val="0B2545"/>
                <w:sz w:val="19"/>
              </w:rPr>
              <w:t>Manual QA workbook</w:t>
            </w:r>
          </w:p>
        </w:tc>
        <w:tc>
          <w:tcPr>
            <w:tcW w:type="dxa" w:w="3120"/>
          </w:tcPr>
          <w:p>
            <w:r>
              <w:rPr>
                <w:rFonts w:ascii="Calibri" w:hAnsi="Calibri"/>
                <w:b w:val="0"/>
                <w:i w:val="0"/>
                <w:color w:val="0B2545"/>
                <w:sz w:val="19"/>
              </w:rPr>
              <w:t>SOURCE UNAVAILABLE</w:t>
            </w:r>
          </w:p>
        </w:tc>
        <w:tc>
          <w:tcPr>
            <w:tcW w:type="dxa" w:w="3120"/>
          </w:tcPr>
          <w:p>
            <w:r>
              <w:rPr>
                <w:rFonts w:ascii="Calibri" w:hAnsi="Calibri"/>
                <w:b w:val="0"/>
                <w:i w:val="0"/>
                <w:color w:val="0B2545"/>
                <w:sz w:val="19"/>
              </w:rPr>
              <w:t>The temporary WhatsApp copy was removed by macOS. Reattach it if you want the original workbook’s formulas and case statuses reconciled.</w:t>
            </w:r>
          </w:p>
        </w:tc>
      </w:tr>
      <w:tr>
        <w:tc>
          <w:tcPr>
            <w:tcW w:type="dxa" w:w="3120"/>
          </w:tcPr>
          <w:p>
            <w:r>
              <w:rPr>
                <w:rFonts w:ascii="Calibri" w:hAnsi="Calibri"/>
                <w:b w:val="0"/>
                <w:i w:val="0"/>
                <w:color w:val="0B2545"/>
                <w:sz w:val="19"/>
              </w:rPr>
              <w:t>Source control</w:t>
            </w:r>
          </w:p>
        </w:tc>
        <w:tc>
          <w:tcPr>
            <w:tcW w:type="dxa" w:w="3120"/>
          </w:tcPr>
          <w:p>
            <w:r>
              <w:rPr>
                <w:rFonts w:ascii="Calibri" w:hAnsi="Calibri"/>
                <w:b w:val="0"/>
                <w:i w:val="0"/>
                <w:color w:val="0B2545"/>
                <w:sz w:val="19"/>
              </w:rPr>
              <w:t>LOCAL COMMITS</w:t>
            </w:r>
          </w:p>
        </w:tc>
        <w:tc>
          <w:tcPr>
            <w:tcW w:type="dxa" w:w="3120"/>
          </w:tcPr>
          <w:p>
            <w:r>
              <w:rPr>
                <w:rFonts w:ascii="Calibri" w:hAnsi="Calibri"/>
                <w:b w:val="0"/>
                <w:i w:val="0"/>
                <w:color w:val="0B2545"/>
                <w:sz w:val="19"/>
              </w:rPr>
              <w:t>Push the local remediation commits to the shared Git remote when repository access/approval is available, so future server rebuilds can use git pull safely.</w:t>
            </w:r>
          </w:p>
        </w:tc>
      </w:tr>
    </w:tbl>
    <w:p>
      <w:pPr>
        <w:spacing w:after="20"/>
      </w:pPr>
    </w:p>
    <w:p>
      <w:pPr>
        <w:spacing w:before="320" w:after="160"/>
      </w:pPr>
      <w:r>
        <w:rPr>
          <w:rFonts w:ascii="Calibri" w:hAnsi="Calibri"/>
          <w:b/>
          <w:i w:val="0"/>
          <w:color w:val="2E74B5"/>
          <w:sz w:val="32"/>
        </w:rPr>
        <w:t>6. Acceptance conclusion</w:t>
      </w:r>
    </w:p>
    <w:p>
      <w:pPr>
        <w:spacing w:before="0" w:after="120" w:line="264" w:lineRule="auto"/>
      </w:pPr>
      <w:r>
        <w:rPr>
          <w:rFonts w:ascii="Calibri" w:hAnsi="Calibri"/>
          <w:b w:val="0"/>
          <w:i w:val="0"/>
          <w:color w:val="0B2545"/>
          <w:sz w:val="22"/>
        </w:rPr>
        <w:t>The reported implementation defects that were reproducible in the application have been remediated and re-tested. The production environment is serving the final build over HTTPS, the administrator console is navigable, the payment webhook is persistent in Stripe test mode, and the final automated and live regression checks passed.</w:t>
      </w:r>
    </w:p>
    <w:tbl>
      <w:tblPr>
        <w:tblW w:type="dxa" w:w="9360"/>
        <w:tblLayout w:type="fixed"/>
        <w:tblLook w:firstColumn="1" w:firstRow="1" w:lastColumn="0" w:lastRow="0" w:noHBand="0" w:noVBand="1" w:val="04A0"/>
      </w:tblPr>
      <w:tblGrid>
        <w:gridCol w:w="9360"/>
      </w:tblGrid>
      <w:tr>
        <w:tc>
          <w:tcPr>
            <w:tcW w:type="dxa" w:w="9360"/>
            <w:vAlign w:val="center"/>
            <w:tcMar>
              <w:top w:w="80" w:type="dxa"/>
              <w:start w:w="120" w:type="dxa"/>
              <w:bottom w:w="80" w:type="dxa"/>
              <w:end w:w="120" w:type="dxa"/>
            </w:tcMar>
            <w:shd w:fill="F2F4F7"/>
          </w:tcPr>
          <w:p>
            <w:pPr>
              <w:spacing w:after="0"/>
            </w:pPr>
            <w:r>
              <w:rPr>
                <w:rFonts w:ascii="Calibri" w:hAnsi="Calibri"/>
                <w:b/>
                <w:i w:val="0"/>
                <w:color w:val="7A5A00"/>
                <w:sz w:val="21"/>
              </w:rPr>
              <w:t xml:space="preserve">Next recommended action: </w:t>
            </w:r>
            <w:r>
              <w:rPr>
                <w:rFonts w:ascii="Calibri" w:hAnsi="Calibri"/>
                <w:b w:val="0"/>
                <w:i w:val="0"/>
                <w:color w:val="0B2545"/>
                <w:sz w:val="21"/>
              </w:rPr>
              <w:t>Log in with an email listed in ADMIN_EMAILS, open Admin Console from the sidebar, and perform a business-owner review of the updated navigation and payment/refund workflow using test data.</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573"/>
        <w:sz w:val="17"/>
      </w:rPr>
      <w:t>Confidential deployment evidence | 24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5DFEA"/>
      </w:pBdr>
    </w:pPr>
    <w:r>
      <w:rPr>
        <w:rFonts w:ascii="Calibri" w:hAnsi="Calibri"/>
        <w:b/>
        <w:i w:val="0"/>
        <w:color w:val="5B6573"/>
        <w:sz w:val="17"/>
      </w:rPr>
      <w:t>VOICEVAULT | FINAL REMEDIATION &amp; TEST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