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A334D7">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A334D7">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A334D7">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A334D7">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A334D7">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A334D7">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A334D7">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A334D7">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A334D7">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A334D7">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A334D7">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A334D7">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A334D7">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A334D7">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569A1BED" w:rsidR="00A334D7" w:rsidRDefault="00A334D7" w:rsidP="00A334D7">
      <w:pPr>
        <w:pStyle w:val="BodyText"/>
      </w:pPr>
      <w:r>
        <w:rPr>
          <w:noProof/>
        </w:rPr>
        <w:drawing>
          <wp:inline distT="0" distB="0" distL="0" distR="0" wp14:anchorId="1DE4507A" wp14:editId="31ABA870">
            <wp:extent cx="5941695" cy="44627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462780"/>
                    </a:xfrm>
                    <a:prstGeom prst="rect">
                      <a:avLst/>
                    </a:prstGeom>
                  </pic:spPr>
                </pic:pic>
              </a:graphicData>
            </a:graphic>
          </wp:inline>
        </w:drawing>
      </w:r>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lastRenderedPageBreak/>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It includes street, city, region, country, and postal code. Changes to addresses are ove</w:t>
      </w:r>
      <w:bookmarkStart w:id="26" w:name="_GoBack"/>
      <w:bookmarkEnd w:id="26"/>
      <w:r w:rsidRPr="00A334D7">
        <w:t xml:space="preser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lastRenderedPageBreak/>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lastRenderedPageBreak/>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27AE937D" w:rsidR="005108D5" w:rsidRPr="005108D5" w:rsidRDefault="005108D5" w:rsidP="005108D5">
      <w:pPr>
        <w:pStyle w:val="Heading1"/>
        <w:ind w:left="431" w:hanging="431"/>
      </w:pPr>
      <w:bookmarkStart w:id="27" w:name="_Toc202208832"/>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7DE8B" w14:textId="77777777" w:rsidR="00EF22F1" w:rsidRDefault="00EF22F1" w:rsidP="00500742">
      <w:pPr>
        <w:spacing w:line="240" w:lineRule="auto"/>
      </w:pPr>
      <w:r>
        <w:separator/>
      </w:r>
    </w:p>
  </w:endnote>
  <w:endnote w:type="continuationSeparator" w:id="0">
    <w:p w14:paraId="01733AE0" w14:textId="77777777" w:rsidR="00EF22F1" w:rsidRDefault="00EF22F1"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210C845" w:rsidR="00A334D7" w:rsidRPr="00851FAD" w:rsidRDefault="00A334D7"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F42AD2">
      <w:rPr>
        <w:rStyle w:val="PageNumber"/>
        <w:rFonts w:eastAsia="MS Gothic"/>
        <w:noProof/>
        <w:sz w:val="18"/>
        <w:szCs w:val="18"/>
      </w:rPr>
      <w:t>13</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A334D7" w14:paraId="75EEBB7A" w14:textId="77777777" w:rsidTr="003A31D5">
      <w:tc>
        <w:tcPr>
          <w:tcW w:w="8472" w:type="dxa"/>
        </w:tcPr>
        <w:p w14:paraId="0DCC6942" w14:textId="49A2C001" w:rsidR="00A334D7" w:rsidRDefault="00A334D7" w:rsidP="003A31D5">
          <w:pPr>
            <w:pStyle w:val="Footer"/>
          </w:pPr>
          <w:fldSimple w:instr=" DOCPROPERTY  Classification  \* MERGEFORMAT ">
            <w:r>
              <w:t>CONFIDENTIAL</w:t>
            </w:r>
          </w:fldSimple>
          <w:r>
            <w:tab/>
          </w:r>
        </w:p>
      </w:tc>
    </w:tr>
  </w:tbl>
  <w:p w14:paraId="629B217E" w14:textId="77777777" w:rsidR="00A334D7" w:rsidRPr="00205D53" w:rsidRDefault="00A334D7"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A334D7" w14:paraId="3EB886D1" w14:textId="77777777" w:rsidTr="003A31D5">
      <w:tc>
        <w:tcPr>
          <w:tcW w:w="1526" w:type="dxa"/>
          <w:vAlign w:val="center"/>
          <w:hideMark/>
        </w:tcPr>
        <w:p w14:paraId="3FD0571A" w14:textId="77777777" w:rsidR="00A334D7" w:rsidRDefault="00A334D7" w:rsidP="003A31D5">
          <w:pPr>
            <w:pStyle w:val="Footer"/>
            <w:rPr>
              <w:b/>
            </w:rPr>
          </w:pPr>
          <w:r>
            <w:rPr>
              <w:b/>
            </w:rPr>
            <w:t>Legal Notice:</w:t>
          </w:r>
        </w:p>
      </w:tc>
      <w:tc>
        <w:tcPr>
          <w:tcW w:w="7613" w:type="dxa"/>
          <w:vAlign w:val="center"/>
          <w:hideMark/>
        </w:tcPr>
        <w:p w14:paraId="36AA4F7F" w14:textId="77777777" w:rsidR="00A334D7" w:rsidRDefault="00A334D7" w:rsidP="003A31D5">
          <w:pPr>
            <w:pStyle w:val="Footer"/>
          </w:pPr>
          <w:r>
            <w:t>This document contains privileged and/or confidential information and may not be disclosed, distributed or reproduced without the prior written permission of EPAM®.</w:t>
          </w:r>
        </w:p>
      </w:tc>
    </w:tr>
    <w:tr w:rsidR="00A334D7" w14:paraId="7947E9D3" w14:textId="77777777" w:rsidTr="003A31D5">
      <w:tc>
        <w:tcPr>
          <w:tcW w:w="9139" w:type="dxa"/>
          <w:gridSpan w:val="2"/>
          <w:hideMark/>
        </w:tcPr>
        <w:p w14:paraId="4818C4EF" w14:textId="7C26B22E" w:rsidR="00A334D7" w:rsidRDefault="00A334D7" w:rsidP="003A31D5">
          <w:pPr>
            <w:pStyle w:val="Footer"/>
          </w:pPr>
          <w:fldSimple w:instr=" DOCPROPERTY  Classification  \* MERGEFORMAT ">
            <w:r>
              <w:t>CONFIDENTIAL</w:t>
            </w:r>
          </w:fldSimple>
        </w:p>
      </w:tc>
    </w:tr>
  </w:tbl>
  <w:p w14:paraId="56E23E29" w14:textId="77777777" w:rsidR="00A334D7" w:rsidRDefault="00A334D7"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E2A62" w14:textId="77777777" w:rsidR="00EF22F1" w:rsidRDefault="00EF22F1" w:rsidP="00500742">
      <w:pPr>
        <w:spacing w:line="240" w:lineRule="auto"/>
      </w:pPr>
      <w:r>
        <w:separator/>
      </w:r>
    </w:p>
  </w:footnote>
  <w:footnote w:type="continuationSeparator" w:id="0">
    <w:p w14:paraId="0ECC12DE" w14:textId="77777777" w:rsidR="00EF22F1" w:rsidRDefault="00EF22F1"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A334D7" w14:paraId="7DBDC9F3" w14:textId="77777777" w:rsidTr="003A31D5">
      <w:tc>
        <w:tcPr>
          <w:tcW w:w="8121" w:type="dxa"/>
          <w:vAlign w:val="center"/>
          <w:hideMark/>
        </w:tcPr>
        <w:p w14:paraId="703F688A" w14:textId="2BC4AD91" w:rsidR="00A334D7" w:rsidRDefault="00A334D7"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A334D7" w:rsidRDefault="00A334D7" w:rsidP="003A31D5">
          <w:pPr>
            <w:pStyle w:val="Header"/>
          </w:pPr>
        </w:p>
      </w:tc>
    </w:tr>
    <w:tr w:rsidR="00A334D7" w14:paraId="7634FCD1" w14:textId="77777777" w:rsidTr="003A31D5">
      <w:trPr>
        <w:trHeight w:val="340"/>
      </w:trPr>
      <w:tc>
        <w:tcPr>
          <w:tcW w:w="8121" w:type="dxa"/>
          <w:vAlign w:val="center"/>
          <w:hideMark/>
        </w:tcPr>
        <w:p w14:paraId="74F97D7D" w14:textId="543EBFF4" w:rsidR="00A334D7" w:rsidRDefault="00A334D7" w:rsidP="003A31D5">
          <w:pPr>
            <w:pStyle w:val="Header"/>
            <w:tabs>
              <w:tab w:val="clear" w:pos="0"/>
            </w:tabs>
          </w:pPr>
          <w:r>
            <w:t>Business Template</w:t>
          </w:r>
        </w:p>
      </w:tc>
      <w:tc>
        <w:tcPr>
          <w:tcW w:w="1377" w:type="dxa"/>
          <w:vAlign w:val="center"/>
          <w:hideMark/>
        </w:tcPr>
        <w:p w14:paraId="22501B53" w14:textId="77777777" w:rsidR="00A334D7" w:rsidRDefault="00A334D7"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34D7" w:rsidRPr="002A572B" w:rsidRDefault="00A334D7"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D6F34"/>
    <w:multiLevelType w:val="multilevel"/>
    <w:tmpl w:val="1436B0F0"/>
    <w:numStyleLink w:val="NumberList"/>
  </w:abstractNum>
  <w:abstractNum w:abstractNumId="2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8"/>
  </w:num>
  <w:num w:numId="6">
    <w:abstractNumId w:val="6"/>
  </w:num>
  <w:num w:numId="7">
    <w:abstractNumId w:val="25"/>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6"/>
  </w:num>
  <w:num w:numId="16">
    <w:abstractNumId w:val="13"/>
  </w:num>
  <w:num w:numId="17">
    <w:abstractNumId w:val="13"/>
    <w:lvlOverride w:ilvl="0">
      <w:startOverride w:val="1"/>
    </w:lvlOverride>
  </w:num>
  <w:num w:numId="18">
    <w:abstractNumId w:val="9"/>
  </w:num>
  <w:num w:numId="19">
    <w:abstractNumId w:val="7"/>
  </w:num>
  <w:num w:numId="20">
    <w:abstractNumId w:val="7"/>
  </w:num>
  <w:num w:numId="21">
    <w:abstractNumId w:val="15"/>
  </w:num>
  <w:num w:numId="22">
    <w:abstractNumId w:val="22"/>
  </w:num>
  <w:num w:numId="23">
    <w:abstractNumId w:val="19"/>
  </w:num>
  <w:num w:numId="24">
    <w:abstractNumId w:val="0"/>
  </w:num>
  <w:num w:numId="25">
    <w:abstractNumId w:val="24"/>
  </w:num>
  <w:num w:numId="26">
    <w:abstractNumId w:val="2"/>
  </w:num>
  <w:num w:numId="27">
    <w:abstractNumId w:val="17"/>
  </w:num>
  <w:num w:numId="28">
    <w:abstractNumId w:val="10"/>
  </w:num>
  <w:num w:numId="29">
    <w:abstractNumId w:val="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74B0B"/>
    <w:rsid w:val="007C4361"/>
    <w:rsid w:val="00876D86"/>
    <w:rsid w:val="008A4532"/>
    <w:rsid w:val="008D0346"/>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EA94E0-15D8-48C6-852D-6DA5EED6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13</Pages>
  <Words>2806</Words>
  <Characters>17596</Characters>
  <Application>Microsoft Office Word</Application>
  <DocSecurity>0</DocSecurity>
  <Lines>1173</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44</cp:revision>
  <dcterms:created xsi:type="dcterms:W3CDTF">2019-09-01T10:25:00Z</dcterms:created>
  <dcterms:modified xsi:type="dcterms:W3CDTF">2025-06-30T18:07:00Z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