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146B" w14:textId="77777777" w:rsidR="00502D5D" w:rsidRDefault="00502D5D" w:rsidP="00502D5D"/>
    <w:p w14:paraId="0D5FB983" w14:textId="6C826903" w:rsidR="00502D5D" w:rsidRDefault="00502D5D" w:rsidP="00502D5D">
      <w:r>
        <w:t xml:space="preserve">All data taken from </w:t>
      </w:r>
      <w:r w:rsidRPr="00502D5D">
        <w:t>1980 to 2020.</w:t>
      </w:r>
    </w:p>
    <w:p w14:paraId="38217E8E" w14:textId="793F52FD" w:rsidR="00502D5D" w:rsidRDefault="00502D5D" w:rsidP="00502D5D">
      <w:pPr>
        <w:pStyle w:val="ListParagraph"/>
        <w:numPr>
          <w:ilvl w:val="0"/>
          <w:numId w:val="1"/>
        </w:numPr>
      </w:pPr>
      <w:r>
        <w:t>WRDS account for pulling financial data:</w:t>
      </w:r>
    </w:p>
    <w:p w14:paraId="6ABE0D22" w14:textId="77777777" w:rsidR="00502D5D" w:rsidRDefault="00502D5D"/>
    <w:p w14:paraId="4C86ADCB" w14:textId="77777777" w:rsidR="00502D5D" w:rsidRDefault="00502D5D" w:rsidP="00502D5D">
      <w:proofErr w:type="spellStart"/>
      <w:r>
        <w:t>acc_name</w:t>
      </w:r>
      <w:proofErr w:type="spellEnd"/>
      <w:r>
        <w:t xml:space="preserve">: </w:t>
      </w:r>
      <w:proofErr w:type="spellStart"/>
      <w:r>
        <w:t>sir_johnny</w:t>
      </w:r>
      <w:proofErr w:type="spellEnd"/>
    </w:p>
    <w:p w14:paraId="6FA92231" w14:textId="7FB50DF3" w:rsidR="00502D5D" w:rsidRDefault="00502D5D" w:rsidP="00502D5D">
      <w:r>
        <w:t>pass: :57</w:t>
      </w:r>
      <w:proofErr w:type="gramStart"/>
      <w:r>
        <w:t>GvS:w</w:t>
      </w:r>
      <w:proofErr w:type="gramEnd"/>
      <w:r>
        <w:t>3!hP8i4</w:t>
      </w:r>
      <w:r>
        <w:t>\</w:t>
      </w:r>
    </w:p>
    <w:p w14:paraId="740ABD60" w14:textId="77777777" w:rsidR="00502D5D" w:rsidRDefault="00502D5D" w:rsidP="00502D5D"/>
    <w:p w14:paraId="12500592" w14:textId="67763201" w:rsidR="00502D5D" w:rsidRDefault="00502D5D" w:rsidP="00502D5D">
      <w:pPr>
        <w:pStyle w:val="ListParagraph"/>
        <w:numPr>
          <w:ilvl w:val="0"/>
          <w:numId w:val="1"/>
        </w:numPr>
      </w:pPr>
      <w:r>
        <w:t xml:space="preserve">M&amp;A Deal Data taken from </w:t>
      </w:r>
      <w:r w:rsidRPr="00502D5D">
        <w:t>Eikon Refinitiv Deal Scanner (formerly known as Thomson SDC)</w:t>
      </w:r>
    </w:p>
    <w:p w14:paraId="4DACFC15" w14:textId="77777777" w:rsidR="00502D5D" w:rsidRDefault="00502D5D" w:rsidP="00502D5D"/>
    <w:p w14:paraId="08EAF225" w14:textId="43CAABC4" w:rsidR="00502D5D" w:rsidRDefault="00502D5D" w:rsidP="00502D5D">
      <w:r>
        <w:t xml:space="preserve">Same login as WRDS. </w:t>
      </w:r>
    </w:p>
    <w:p w14:paraId="2B5A6544" w14:textId="77777777" w:rsidR="00502D5D" w:rsidRDefault="00502D5D" w:rsidP="00502D5D"/>
    <w:p w14:paraId="1A1620E2" w14:textId="77777777" w:rsidR="00502D5D" w:rsidRDefault="00502D5D" w:rsidP="00502D5D">
      <w:r>
        <w:t>1. Publicly traded acquiring firms:</w:t>
      </w:r>
    </w:p>
    <w:p w14:paraId="5DF84B34" w14:textId="77777777" w:rsidR="00502D5D" w:rsidRDefault="00502D5D" w:rsidP="00502D5D">
      <w:r>
        <w:t xml:space="preserve">   - The paper requires that the acquiring firm is publicly traded because various control variables and dependent variables require the availability of stock price </w:t>
      </w:r>
      <w:proofErr w:type="gramStart"/>
      <w:r>
        <w:t>information .</w:t>
      </w:r>
      <w:proofErr w:type="gramEnd"/>
    </w:p>
    <w:p w14:paraId="1969E036" w14:textId="77777777" w:rsidR="00502D5D" w:rsidRDefault="00502D5D" w:rsidP="00502D5D"/>
    <w:p w14:paraId="0DCB34B0" w14:textId="77777777" w:rsidR="00502D5D" w:rsidRDefault="00502D5D" w:rsidP="00502D5D">
      <w:r>
        <w:t>2. Deal value:</w:t>
      </w:r>
    </w:p>
    <w:p w14:paraId="47B0F8D6" w14:textId="77777777" w:rsidR="00502D5D" w:rsidRDefault="00502D5D" w:rsidP="00502D5D">
      <w:r>
        <w:t xml:space="preserve">   - The paper requires that the deal value is more than 100 million US dollars. This criterion is used to ensure that the sample includes only significant M&amp;A </w:t>
      </w:r>
      <w:proofErr w:type="gramStart"/>
      <w:r>
        <w:t>deals .</w:t>
      </w:r>
      <w:proofErr w:type="gramEnd"/>
    </w:p>
    <w:p w14:paraId="6B470CB8" w14:textId="77777777" w:rsidR="00502D5D" w:rsidRDefault="00502D5D" w:rsidP="00502D5D"/>
    <w:p w14:paraId="1FBFED06" w14:textId="77777777" w:rsidR="00502D5D" w:rsidRDefault="00502D5D" w:rsidP="00502D5D">
      <w:r>
        <w:t>3. Stake of the bidding:</w:t>
      </w:r>
    </w:p>
    <w:p w14:paraId="20F4D486" w14:textId="77777777" w:rsidR="00502D5D" w:rsidRDefault="00502D5D" w:rsidP="00502D5D">
      <w:r>
        <w:t xml:space="preserve">   - The paper requires that the stake of the bidding is less than 25% before the takeover event and the stake sought to be more than 50%. This criterion is used to ensure that the acquiring firm has a controlling stake in the target </w:t>
      </w:r>
      <w:proofErr w:type="gramStart"/>
      <w:r>
        <w:t>firm .</w:t>
      </w:r>
      <w:proofErr w:type="gramEnd"/>
    </w:p>
    <w:p w14:paraId="6B89EE3F" w14:textId="77777777" w:rsidR="00502D5D" w:rsidRDefault="00502D5D" w:rsidP="00502D5D"/>
    <w:p w14:paraId="2585D15D" w14:textId="77777777" w:rsidR="00502D5D" w:rsidRDefault="00502D5D" w:rsidP="00502D5D">
      <w:r>
        <w:t>4. Completed or withdrawn deals:</w:t>
      </w:r>
    </w:p>
    <w:p w14:paraId="19BD949C" w14:textId="77777777" w:rsidR="00502D5D" w:rsidRDefault="00502D5D" w:rsidP="00502D5D">
      <w:r>
        <w:t xml:space="preserve">   - The paper includes only completed or withdrawn deals in the dataset. Pending deals are omitted from the </w:t>
      </w:r>
      <w:proofErr w:type="gramStart"/>
      <w:r>
        <w:t>dataset .</w:t>
      </w:r>
      <w:proofErr w:type="gramEnd"/>
    </w:p>
    <w:p w14:paraId="18FAE483" w14:textId="77777777" w:rsidR="00502D5D" w:rsidRDefault="00502D5D" w:rsidP="00502D5D"/>
    <w:p w14:paraId="6C1D4623" w14:textId="77777777" w:rsidR="00502D5D" w:rsidRDefault="00502D5D" w:rsidP="00502D5D">
      <w:r>
        <w:t>5. Estimation window:</w:t>
      </w:r>
    </w:p>
    <w:p w14:paraId="3A1890AB" w14:textId="77777777" w:rsidR="00502D5D" w:rsidRDefault="00502D5D" w:rsidP="00502D5D">
      <w:r>
        <w:t xml:space="preserve">   - The paper requires that firms do not announce new M&amp;A transactions during the estimation window of three years after a completed or withdrawn transaction. This criterion is used to prevent measurement errors that are caused by subsequent takeover </w:t>
      </w:r>
      <w:proofErr w:type="gramStart"/>
      <w:r>
        <w:t>events .</w:t>
      </w:r>
      <w:proofErr w:type="gramEnd"/>
    </w:p>
    <w:p w14:paraId="5B72D5F3" w14:textId="77777777" w:rsidR="00502D5D" w:rsidRDefault="00502D5D" w:rsidP="00502D5D"/>
    <w:p w14:paraId="7F1C39F3" w14:textId="5F869F58" w:rsidR="00502D5D" w:rsidRDefault="00502D5D" w:rsidP="00502D5D">
      <w:r>
        <w:t xml:space="preserve">These restrictions are essential for ensuring that the sample includes only significant M&amp;A </w:t>
      </w:r>
      <w:proofErr w:type="gramStart"/>
      <w:r>
        <w:t>deals</w:t>
      </w:r>
      <w:proofErr w:type="gramEnd"/>
      <w:r>
        <w:t xml:space="preserve"> and that the analysis is conducted on completed or withdrawn deals</w:t>
      </w:r>
    </w:p>
    <w:p w14:paraId="2AB1753A" w14:textId="77777777" w:rsidR="00502D5D" w:rsidRDefault="00502D5D" w:rsidP="00502D5D"/>
    <w:p w14:paraId="733874BC" w14:textId="0EF01CAF" w:rsidR="00502D5D" w:rsidRDefault="00502D5D" w:rsidP="00502D5D">
      <w:pPr>
        <w:pStyle w:val="ListParagraph"/>
        <w:numPr>
          <w:ilvl w:val="0"/>
          <w:numId w:val="1"/>
        </w:numPr>
      </w:pPr>
      <w:r>
        <w:t xml:space="preserve">Patent Data: </w:t>
      </w:r>
    </w:p>
    <w:p w14:paraId="3D48202F" w14:textId="77777777" w:rsidR="00502D5D" w:rsidRDefault="00502D5D" w:rsidP="00502D5D">
      <w:r>
        <w:t xml:space="preserve">The paper uses patent data from a pre-constructed dataset by </w:t>
      </w:r>
      <w:proofErr w:type="spellStart"/>
      <w:r>
        <w:t>Seru</w:t>
      </w:r>
      <w:proofErr w:type="spellEnd"/>
      <w:r>
        <w:t>, Kogan, and Papanikolaou (2017), which is extended to 2020. The following restrictions are applied to the patent data:</w:t>
      </w:r>
    </w:p>
    <w:p w14:paraId="13077D0D" w14:textId="77777777" w:rsidR="00502D5D" w:rsidRDefault="00502D5D" w:rsidP="00502D5D"/>
    <w:p w14:paraId="21550443" w14:textId="77777777" w:rsidR="00502D5D" w:rsidRDefault="00502D5D" w:rsidP="00502D5D">
      <w:r>
        <w:t>1. Matching of firm identifiers:</w:t>
      </w:r>
    </w:p>
    <w:p w14:paraId="55913C14" w14:textId="77777777" w:rsidR="00502D5D" w:rsidRDefault="00502D5D" w:rsidP="00502D5D">
      <w:r>
        <w:t xml:space="preserve">   - The patent data is matched with the financial firm data from Compustat using the PERMNO identifier. This matching ensures that the patent data is accurately linked to the acquiring and target firms in the financial </w:t>
      </w:r>
      <w:proofErr w:type="gramStart"/>
      <w:r>
        <w:t>dataset .</w:t>
      </w:r>
      <w:proofErr w:type="gramEnd"/>
    </w:p>
    <w:p w14:paraId="3FBABEE1" w14:textId="77777777" w:rsidR="00502D5D" w:rsidRDefault="00502D5D" w:rsidP="00502D5D"/>
    <w:p w14:paraId="7A39A1FD" w14:textId="77777777" w:rsidR="00502D5D" w:rsidRDefault="00502D5D" w:rsidP="00502D5D">
      <w:r>
        <w:t>2. Exclusion of firms without patent applications:</w:t>
      </w:r>
    </w:p>
    <w:p w14:paraId="10086877" w14:textId="77777777" w:rsidR="00502D5D" w:rsidRDefault="00502D5D" w:rsidP="00502D5D">
      <w:r>
        <w:t xml:space="preserve">   - The paper includes only firms that apply for at least one patent post-acquisition. This criterion is used to ensure that the sample includes only firms that use patents to protect their innovation </w:t>
      </w:r>
      <w:proofErr w:type="gramStart"/>
      <w:r>
        <w:t>activities .</w:t>
      </w:r>
      <w:proofErr w:type="gramEnd"/>
    </w:p>
    <w:p w14:paraId="2D9C52F5" w14:textId="77777777" w:rsidR="00502D5D" w:rsidRDefault="00502D5D" w:rsidP="00502D5D"/>
    <w:p w14:paraId="61273D8B" w14:textId="77777777" w:rsidR="00502D5D" w:rsidRDefault="00502D5D" w:rsidP="00502D5D">
      <w:r>
        <w:t>3. Use of patent activity and forward citations as a proxy for innovation:</w:t>
      </w:r>
    </w:p>
    <w:p w14:paraId="3970F4B5" w14:textId="77777777" w:rsidR="00502D5D" w:rsidRDefault="00502D5D" w:rsidP="00502D5D">
      <w:r>
        <w:t xml:space="preserve">   - The paper uses a firm's patent activity and forward citations as a proxy for the firm's innovation activities. However, the paper acknowledges that these measures do not fully capture the full extent of a firm's innovation activities because not all firms choose to patent their innovations and not all innovations can be protected by </w:t>
      </w:r>
      <w:proofErr w:type="gramStart"/>
      <w:r>
        <w:t>patents .</w:t>
      </w:r>
      <w:proofErr w:type="gramEnd"/>
    </w:p>
    <w:p w14:paraId="3D689D38" w14:textId="77777777" w:rsidR="00502D5D" w:rsidRDefault="00502D5D" w:rsidP="00502D5D"/>
    <w:p w14:paraId="07E386BF" w14:textId="71644289" w:rsidR="00502D5D" w:rsidRDefault="00502D5D" w:rsidP="00502D5D">
      <w:r>
        <w:t>These restrictions and data processing techniques are essential for ensuring the quality, reliability, and relevance of the patent data used in the analysis of the impact of M&amp;A events on innovation and performance outcomes.</w:t>
      </w:r>
    </w:p>
    <w:sectPr w:rsidR="00502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79"/>
    <w:multiLevelType w:val="hybridMultilevel"/>
    <w:tmpl w:val="0A244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086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5D"/>
    <w:rsid w:val="00502D5D"/>
    <w:rsid w:val="00B368A0"/>
    <w:rsid w:val="00E87C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74328FC"/>
  <w15:chartTrackingRefBased/>
  <w15:docId w15:val="{CFD5F7B5-2A93-2A46-95AF-DB361C8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02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D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D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D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D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5D"/>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02D5D"/>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02D5D"/>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02D5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02D5D"/>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02D5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02D5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02D5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02D5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02D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D5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02D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D5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02D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2D5D"/>
    <w:rPr>
      <w:i/>
      <w:iCs/>
      <w:color w:val="404040" w:themeColor="text1" w:themeTint="BF"/>
      <w:lang w:val="en-US"/>
    </w:rPr>
  </w:style>
  <w:style w:type="paragraph" w:styleId="ListParagraph">
    <w:name w:val="List Paragraph"/>
    <w:basedOn w:val="Normal"/>
    <w:uiPriority w:val="34"/>
    <w:qFormat/>
    <w:rsid w:val="00502D5D"/>
    <w:pPr>
      <w:ind w:left="720"/>
      <w:contextualSpacing/>
    </w:pPr>
  </w:style>
  <w:style w:type="character" w:styleId="IntenseEmphasis">
    <w:name w:val="Intense Emphasis"/>
    <w:basedOn w:val="DefaultParagraphFont"/>
    <w:uiPriority w:val="21"/>
    <w:qFormat/>
    <w:rsid w:val="00502D5D"/>
    <w:rPr>
      <w:i/>
      <w:iCs/>
      <w:color w:val="0F4761" w:themeColor="accent1" w:themeShade="BF"/>
    </w:rPr>
  </w:style>
  <w:style w:type="paragraph" w:styleId="IntenseQuote">
    <w:name w:val="Intense Quote"/>
    <w:basedOn w:val="Normal"/>
    <w:next w:val="Normal"/>
    <w:link w:val="IntenseQuoteChar"/>
    <w:uiPriority w:val="30"/>
    <w:qFormat/>
    <w:rsid w:val="00502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D5D"/>
    <w:rPr>
      <w:i/>
      <w:iCs/>
      <w:color w:val="0F4761" w:themeColor="accent1" w:themeShade="BF"/>
      <w:lang w:val="en-US"/>
    </w:rPr>
  </w:style>
  <w:style w:type="character" w:styleId="IntenseReference">
    <w:name w:val="Intense Reference"/>
    <w:basedOn w:val="DefaultParagraphFont"/>
    <w:uiPriority w:val="32"/>
    <w:qFormat/>
    <w:rsid w:val="00502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Saif</dc:creator>
  <cp:keywords/>
  <dc:description/>
  <cp:lastModifiedBy>Hamza Saif</cp:lastModifiedBy>
  <cp:revision>1</cp:revision>
  <dcterms:created xsi:type="dcterms:W3CDTF">2024-01-07T11:07:00Z</dcterms:created>
  <dcterms:modified xsi:type="dcterms:W3CDTF">2024-01-07T11:13:00Z</dcterms:modified>
</cp:coreProperties>
</file>