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LEGAL</w:t>
      </w:r>
      <w:r>
        <w:t xml:space="preserve"> </w:t>
      </w:r>
      <w:r>
        <w:t xml:space="preserve">REVIEW</w:t>
      </w:r>
      <w:r>
        <w:t xml:space="preserve"> </w:t>
      </w:r>
      <w:r>
        <w:t xml:space="preserve">REPORT</w:t>
      </w:r>
    </w:p>
    <w:p>
      <w:pPr>
        <w:pStyle w:val="Author"/>
      </w:pPr>
      <w:r>
        <w:t xml:space="preserve">Progetto</w:t>
      </w:r>
      <w:r>
        <w:t xml:space="preserve"> </w:t>
      </w:r>
      <w:r>
        <w:t xml:space="preserve">Immigrati</w:t>
      </w:r>
      <w:r>
        <w:t xml:space="preserve"> </w:t>
      </w:r>
      <w:r>
        <w:t xml:space="preserve">Imprenditori</w:t>
      </w:r>
      <w:r>
        <w:t xml:space="preserve"> </w:t>
      </w:r>
      <w:r>
        <w:t xml:space="preserve">—</w:t>
      </w:r>
      <w:r>
        <w:t xml:space="preserve"> </w:t>
      </w:r>
      <w:r>
        <w:t xml:space="preserve">Revisione</w:t>
      </w:r>
      <w:r>
        <w:t xml:space="preserve"> </w:t>
      </w:r>
      <w:r>
        <w:t xml:space="preserve">giuridico-redazionale</w:t>
      </w:r>
      <w:r>
        <w:t xml:space="preserve"> </w:t>
      </w:r>
      <w:r>
        <w:t xml:space="preserve">coordinata</w:t>
      </w:r>
      <w:r>
        <w:t xml:space="preserve"> </w:t>
      </w:r>
      <w:r>
        <w:t xml:space="preserve">di</w:t>
      </w:r>
      <w:r>
        <w:t xml:space="preserve"> </w:t>
      </w:r>
      <w:r>
        <w:t xml:space="preserve">Privacy</w:t>
      </w:r>
      <w:r>
        <w:t xml:space="preserve"> </w:t>
      </w:r>
      <w:r>
        <w:t xml:space="preserve">Policy,</w:t>
      </w:r>
      <w:r>
        <w:t xml:space="preserve"> </w:t>
      </w:r>
      <w:r>
        <w:t xml:space="preserve">Cookie</w:t>
      </w:r>
      <w:r>
        <w:t xml:space="preserve"> </w:t>
      </w:r>
      <w:r>
        <w:t xml:space="preserve">Policy,</w:t>
      </w:r>
      <w:r>
        <w:t xml:space="preserve"> </w:t>
      </w:r>
      <w:r>
        <w:t xml:space="preserve">Termini</w:t>
      </w:r>
      <w:r>
        <w:t xml:space="preserve"> </w:t>
      </w:r>
      <w:r>
        <w:t xml:space="preserve">d’Uso,</w:t>
      </w:r>
      <w:r>
        <w:t xml:space="preserve"> </w:t>
      </w:r>
      <w:r>
        <w:t xml:space="preserve">Informativa/Disclaimer</w:t>
      </w:r>
      <w:r>
        <w:t xml:space="preserve"> </w:t>
      </w:r>
      <w:r>
        <w:t xml:space="preserve">su</w:t>
      </w:r>
      <w:r>
        <w:t xml:space="preserve"> </w:t>
      </w:r>
      <w:r>
        <w:t xml:space="preserve">dati</w:t>
      </w:r>
      <w:r>
        <w:t xml:space="preserve"> </w:t>
      </w:r>
      <w:r>
        <w:t xml:space="preserve">e</w:t>
      </w:r>
      <w:r>
        <w:t xml:space="preserve"> </w:t>
      </w:r>
      <w:r>
        <w:t xml:space="preserve">fonti</w:t>
      </w:r>
      <w:r>
        <w:t xml:space="preserve"> </w:t>
      </w:r>
      <w:r>
        <w:t xml:space="preserve">esterne</w:t>
      </w:r>
    </w:p>
    <w:p>
      <w:pPr>
        <w:pStyle w:val="Date"/>
      </w:pPr>
      <w:r>
        <w:t xml:space="preserve">Aggiornato</w:t>
      </w:r>
      <w:r>
        <w:t xml:space="preserve"> </w:t>
      </w:r>
      <w:r>
        <w:t xml:space="preserve">—</w:t>
      </w:r>
      <w:r>
        <w:t xml:space="preserve"> </w:t>
      </w:r>
      <w:r>
        <w:t xml:space="preserve">11</w:t>
      </w:r>
      <w:r>
        <w:t xml:space="preserve"> </w:t>
      </w:r>
      <w:r>
        <w:t xml:space="preserve">agosto</w:t>
      </w:r>
      <w:r>
        <w:t xml:space="preserve"> </w:t>
      </w:r>
      <w:r>
        <w:t xml:space="preserve">2026</w:t>
      </w:r>
      <w:r>
        <w:t xml:space="preserve"> </w:t>
      </w:r>
      <w:r>
        <w:t xml:space="preserve">(seconda</w:t>
      </w:r>
      <w:r>
        <w:t xml:space="preserve"> </w:t>
      </w:r>
      <w:r>
        <w:t xml:space="preserve">revisione,</w:t>
      </w:r>
      <w:r>
        <w:t xml:space="preserve"> </w:t>
      </w:r>
      <w:r>
        <w:t xml:space="preserve">decisioni</w:t>
      </w:r>
      <w:r>
        <w:t xml:space="preserve"> </w:t>
      </w:r>
      <w:r>
        <w:t xml:space="preserve">definitive</w:t>
      </w:r>
      <w:r>
        <w:t xml:space="preserve"> </w:t>
      </w:r>
      <w:r>
        <w:t xml:space="preserve">recepite)</w:t>
      </w:r>
    </w:p>
    <w:p>
      <w:pPr>
        <w:pStyle w:val="FirstParagraph"/>
      </w:pPr>
      <w:r>
        <w:rPr>
          <w:bCs/>
          <w:b/>
        </w:rPr>
        <w:t xml:space="preserve">Titolare del trattamento / Gestore della piattaforma:</w:t>
      </w:r>
      <w:r>
        <w:t xml:space="preserve"> </w:t>
      </w:r>
      <w:r>
        <w:t xml:space="preserve">Associazione degli Imprenditori e Liberi Professionisti Extracomunitari in Lombardia, in forma abbreviata</w:t>
      </w:r>
      <w:r>
        <w:t xml:space="preserve"> </w:t>
      </w:r>
      <w:r>
        <w:rPr>
          <w:bCs/>
          <w:b/>
        </w:rPr>
        <w:t xml:space="preserve">AIPEL</w:t>
      </w:r>
      <w:r>
        <w:t xml:space="preserve">, forma giuridica: Associazione, con sede in Viale Molise n. 54, Milano, Codice Fiscale 97342380157, Partita IVA 04222160964. Contatto privacy e contatto generale coincidenti: info@immigratiimprenditori.it.</w:t>
      </w:r>
    </w:p>
    <w:p>
      <w:pPr>
        <w:pStyle w:val="BodyText"/>
      </w:pPr>
      <w:r>
        <w:t xml:space="preserve">Non risulta designato, allo stato, un Responsabile della Protezione dei Dati (DPO). Non viene indicato alcun DPO nei documenti in assenza di una designazione formale: la designazione del DPO è obbligatoria solo nei casi previsti dall’art. 37 GDPR (tra gli altri: trattamenti su larga scala che richiedono monitoraggio regolare e sistematico degli interessati, o trattamento su larga scala di categorie particolari di dati), condizioni che non risultano, sulla base di quanto descritto, ricorrere per AIPEL. Analogamente, non sono stati aggiunti PEC o nominativo del rappresentante legale ai fini identificativi del Titolare, non risultando un obbligo concreto che li renda necessari in aggiunta ai dati già forniti; se AIPEL individuasse una ragione specifica per includerli, potranno essere aggiunti in un secondo momento.</w:t>
      </w:r>
    </w:p>
    <w:p>
      <w:r>
        <w:pict>
          <v:rect style="width:0;height:1.5pt" o:hralign="center" o:hrstd="t" o:hr="t"/>
        </w:pict>
      </w:r>
    </w:p>
    <w:bookmarkStart w:id="20" w:name="X6bd5535d54ac8e3027d83600d373d624af62306"/>
    <w:p>
      <w:pPr>
        <w:pStyle w:val="Heading2"/>
      </w:pPr>
      <w:r>
        <w:t xml:space="preserve">0. Stato del pacchetto dopo questo aggiornamento</w:t>
      </w:r>
    </w:p>
    <w:p>
      <w:pPr>
        <w:pStyle w:val="FirstParagraph"/>
      </w:pPr>
      <w:r>
        <w:t xml:space="preserve">Con questa revisione finale mirata, il Titolare ha chiuso anche gli ultimi punti che richiedevano una sua decisione: legge applicabile e foro competente, correzione del principio di cancellazione dell’account (che ora preserva esplicitamente le entità autonome della rete), modello di accettazione dei Termini in fase di registrazione, e conferma della licenza UGC.</w:t>
      </w:r>
      <w:r>
        <w:t xml:space="preserve"> </w:t>
      </w:r>
      <w:r>
        <w:rPr>
          <w:bCs/>
          <w:b/>
        </w:rPr>
        <w:t xml:space="preserve">Non risultano più decisioni del Titolare aperte</w:t>
      </w:r>
      <w:r>
        <w:t xml:space="preserve"> </w:t>
      </w:r>
      <w:r>
        <w:t xml:space="preserve">(si veda la sezione finale</w:t>
      </w:r>
      <w:r>
        <w:t xml:space="preserve"> </w:t>
      </w:r>
      <w:r>
        <w:t xml:space="preserve">“</w:t>
      </w:r>
      <w:r>
        <w:t xml:space="preserve">Decisioni del Titolare ancora aperte</w:t>
      </w:r>
      <w:r>
        <w:t xml:space="preserve">”</w:t>
      </w:r>
      <w:r>
        <w:t xml:space="preserve">).</w:t>
      </w:r>
    </w:p>
    <w:p>
      <w:pPr>
        <w:pStyle w:val="BodyText"/>
      </w:pPr>
      <w:r>
        <w:t xml:space="preserve">Restano da chiudere solo: (A) alcune verifiche tecniche/contrattuali su Vercel e Supabase e sul runtime della piattaforma; (B) un numero limitato di task tecnici di implementazione, il cui principio giuridico è già stato deciso. Questi punti non richiedono ulteriori decisioni di policy, ma lavoro tecnico/organizzativo successivo, riassunto nella sezione finale di questo rapporto.</w:t>
      </w:r>
    </w:p>
    <w:p>
      <w:pPr>
        <w:pStyle w:val="BodyText"/>
      </w:pPr>
      <w:r>
        <w:rPr>
          <w:bCs/>
          <w:b/>
        </w:rPr>
        <w:t xml:space="preserve">Questa revisione non costituisce un parere legale definitivo né una dichiarazione di conformità assoluta.</w:t>
      </w:r>
    </w:p>
    <w:p>
      <w:r>
        <w:pict>
          <v:rect style="width:0;height:1.5pt" o:hralign="center" o:hrstd="t" o:hr="t"/>
        </w:pict>
      </w:r>
    </w:p>
    <w:bookmarkEnd w:id="20"/>
    <w:bookmarkStart w:id="21" w:name="esito-generale"/>
    <w:p>
      <w:pPr>
        <w:pStyle w:val="Heading2"/>
      </w:pPr>
      <w:r>
        <w:t xml:space="preserve">1. Esito generale</w:t>
      </w:r>
    </w:p>
    <w:p>
      <w:pPr>
        <w:pStyle w:val="FirstParagraph"/>
      </w:pPr>
      <w:r>
        <w:t xml:space="preserve">Con questo terzo giro di revisione, il Titolare ha chiuso tutte le decisioni di policy originariamente aperte, incluse legge applicabile/foro competente e il modello di accettazione dei Termini in fase di registrazione. È stata inoltre corretta un’imprecisione rilevante nel modello di cancellazione dell’account: la cancellazione dell’account di una persona</w:t>
      </w:r>
      <w:r>
        <w:t xml:space="preserve"> </w:t>
      </w:r>
      <w:r>
        <w:rPr>
          <w:bCs/>
          <w:b/>
        </w:rPr>
        <w:t xml:space="preserve">non</w:t>
      </w:r>
      <w:r>
        <w:t xml:space="preserve"> </w:t>
      </w:r>
      <w:r>
        <w:t xml:space="preserve">comporta più, nel testo, l’automatica cancellazione di imprese, organizzazioni o altre entità autonome della rete che quella persona amministrava.</w:t>
      </w:r>
    </w:p>
    <w:p>
      <w:pPr>
        <w:pStyle w:val="BodyText"/>
      </w:pPr>
      <w:r>
        <w:t xml:space="preserve">I quattro documenti sono ora coerenti tra loro e con le decisioni ricevute.</w:t>
      </w:r>
      <w:r>
        <w:t xml:space="preserve"> </w:t>
      </w:r>
      <w:r>
        <w:rPr>
          <w:bCs/>
          <w:b/>
        </w:rPr>
        <w:t xml:space="preserve">Restano da chiudere solo verifiche tecniche/contrattuali e task tecnici di implementazione</w:t>
      </w:r>
      <w:r>
        <w:t xml:space="preserve"> </w:t>
      </w:r>
      <w:r>
        <w:t xml:space="preserve">(si veda la sezione finale), nessuno dei quali richiede un’ulteriore decisione di policy da parte del Titolare.</w:t>
      </w:r>
    </w:p>
    <w:bookmarkEnd w:id="21"/>
    <w:bookmarkStart w:id="22" w:name="X3f6c015653dd269179b2cde88148932f2ab8bf9"/>
    <w:p>
      <w:pPr>
        <w:pStyle w:val="Heading2"/>
      </w:pPr>
      <w:r>
        <w:t xml:space="preserve">2. Problemi critici (bloccanti prima della pubblicazione)</w:t>
      </w:r>
    </w:p>
    <w:p>
      <w:pPr>
        <w:pStyle w:val="FirstParagraph"/>
      </w:pPr>
      <w:r>
        <w:t xml:space="preserve">Non risultano problemi critici che richiedano ancora una decisione di policy del Titolare. Restano bloccanti solo elementi tecnici/organizzativi, distinti da vere e proprie decisioni:</w:t>
      </w:r>
    </w:p>
    <w:p>
      <w:pPr>
        <w:numPr>
          <w:ilvl w:val="0"/>
          <w:numId w:val="1001"/>
        </w:numPr>
        <w:pStyle w:val="Compact"/>
      </w:pPr>
      <w:r>
        <w:rPr>
          <w:bCs/>
          <w:b/>
        </w:rPr>
        <w:t xml:space="preserve">Verifiche contrattuali/tecniche su Vercel e Supabase non completate</w:t>
      </w:r>
      <w:r>
        <w:t xml:space="preserve">: localizzazione dei trattamenti, subprocessor, eventuali trasferimenti extra-SEE e relativa base giuridica del trasferimento, esistenza e termini di un DPA con ciascun fornitore in qualità di responsabile del trattamento, ruolo privacy, configurazione runtime effettiva dei cookie/sessione, e durata del ciclo di rotazione dei backup. Necessarie per completare in modo verificabile la sezione fornitori della Privacy Policy e per confermare in via definitiva la valutazione sul cookie banner.</w:t>
      </w:r>
    </w:p>
    <w:p>
      <w:pPr>
        <w:numPr>
          <w:ilvl w:val="0"/>
          <w:numId w:val="1001"/>
        </w:numPr>
        <w:pStyle w:val="Compact"/>
      </w:pPr>
      <w:r>
        <w:rPr>
          <w:bCs/>
          <w:b/>
        </w:rPr>
        <w:t xml:space="preserve">Cancellazione self-service dell’account non ancora implementata tecnicamente</w:t>
      </w:r>
      <w:r>
        <w:t xml:space="preserve">, insieme alla procedura di riattribuzione della gestione di imprese/organizzazioni rimaste senza gestori. I documenti descrivono il modello operativo e giuridico adottato, ma tali funzioni non sono ancora disponibili. Fino alla loro implementazione, le richieste di chiusura account restano gestite manualmente.</w:t>
      </w:r>
    </w:p>
    <w:p>
      <w:pPr>
        <w:numPr>
          <w:ilvl w:val="0"/>
          <w:numId w:val="1001"/>
        </w:numPr>
        <w:pStyle w:val="Compact"/>
      </w:pPr>
      <w:r>
        <w:rPr>
          <w:bCs/>
          <w:b/>
        </w:rPr>
        <w:t xml:space="preserve">Registrazione dell’accettazione dei Termini con versione e timestamp non ancora implementata.</w:t>
      </w:r>
      <w:r>
        <w:t xml:space="preserve"> </w:t>
      </w:r>
      <w:r>
        <w:t xml:space="preserve">Il modello giuridico (checkbox obbligatoria di accettazione dei Termini, distinta da qualunque</w:t>
      </w:r>
      <w:r>
        <w:t xml:space="preserve"> </w:t>
      </w:r>
      <w:r>
        <w:t xml:space="preserve">“</w:t>
      </w:r>
      <w:r>
        <w:t xml:space="preserve">consenso</w:t>
      </w:r>
      <w:r>
        <w:t xml:space="preserve">”</w:t>
      </w:r>
      <w:r>
        <w:t xml:space="preserve"> </w:t>
      </w:r>
      <w:r>
        <w:t xml:space="preserve">alla Privacy Policy) è stato deciso e recepito nei Termini d’Uso; l’implementazione tecnica in fase di registrazione resta da realizzare.</w:t>
      </w:r>
    </w:p>
    <w:p>
      <w:pPr>
        <w:pStyle w:val="FirstParagraph"/>
      </w:pPr>
      <w:r>
        <w:t xml:space="preserve">Questi tre punti sono classificati come</w:t>
      </w:r>
      <w:r>
        <w:t xml:space="preserve"> </w:t>
      </w:r>
      <w:r>
        <w:rPr>
          <w:bCs/>
          <w:b/>
        </w:rPr>
        <w:t xml:space="preserve">VERIFICA TECNICA/CONTRATTUALE</w:t>
      </w:r>
      <w:r>
        <w:t xml:space="preserve"> </w:t>
      </w:r>
      <w:r>
        <w:t xml:space="preserve">o</w:t>
      </w:r>
      <w:r>
        <w:t xml:space="preserve"> </w:t>
      </w:r>
      <w:r>
        <w:rPr>
          <w:bCs/>
          <w:b/>
        </w:rPr>
        <w:t xml:space="preserve">TASK TECNICO</w:t>
      </w:r>
      <w:r>
        <w:t xml:space="preserve"> </w:t>
      </w:r>
      <w:r>
        <w:t xml:space="preserve">(si veda la sezione finale) e non più come decisioni del Titolare.</w:t>
      </w:r>
    </w:p>
    <w:bookmarkEnd w:id="22"/>
    <w:bookmarkStart w:id="23" w:name="X7cb32451287edea7593913310d34cf47ecb96ae"/>
    <w:p>
      <w:pPr>
        <w:pStyle w:val="Heading2"/>
      </w:pPr>
      <w:r>
        <w:t xml:space="preserve">3. Decisioni chiuse in questo aggiornamento e nei precedenti</w:t>
      </w:r>
    </w:p>
    <w:p>
      <w:pPr>
        <w:numPr>
          <w:ilvl w:val="0"/>
          <w:numId w:val="1002"/>
        </w:numPr>
        <w:pStyle w:val="Compact"/>
      </w:pPr>
      <w:r>
        <w:rPr>
          <w:bCs/>
          <w:b/>
        </w:rPr>
        <w:t xml:space="preserve">Identificazione di AIPEL</w:t>
      </w:r>
      <w:r>
        <w:t xml:space="preserve">: denominazione completa, sigla, sede, C.F. e P.IVA recepiti in tutti i documenti. Forma giuridica: Associazione.</w:t>
      </w:r>
    </w:p>
    <w:p>
      <w:pPr>
        <w:numPr>
          <w:ilvl w:val="0"/>
          <w:numId w:val="1002"/>
        </w:numPr>
        <w:pStyle w:val="Compact"/>
      </w:pPr>
      <w:r>
        <w:rPr>
          <w:bCs/>
          <w:b/>
        </w:rPr>
        <w:t xml:space="preserve">Contatto privacy</w:t>
      </w:r>
      <w:r>
        <w:t xml:space="preserve">: confermato l’utilizzo di info@immigratiimprenditori.it sia come contatto generale sia come contatto privacy.</w:t>
      </w:r>
    </w:p>
    <w:p>
      <w:pPr>
        <w:numPr>
          <w:ilvl w:val="0"/>
          <w:numId w:val="1002"/>
        </w:numPr>
        <w:pStyle w:val="Compact"/>
      </w:pPr>
      <w:r>
        <w:rPr>
          <w:bCs/>
          <w:b/>
        </w:rPr>
        <w:t xml:space="preserve">Età minima</w:t>
      </w:r>
      <w:r>
        <w:t xml:space="preserve">: confermata a 18 anni compiuti.</w:t>
      </w:r>
    </w:p>
    <w:p>
      <w:pPr>
        <w:numPr>
          <w:ilvl w:val="0"/>
          <w:numId w:val="1002"/>
        </w:numPr>
        <w:pStyle w:val="Compact"/>
      </w:pPr>
      <w:r>
        <w:rPr>
          <w:bCs/>
          <w:b/>
        </w:rPr>
        <w:t xml:space="preserve">Basi giuridiche</w:t>
      </w:r>
      <w:r>
        <w:t xml:space="preserve">: confermata e dettagliata la struttura già proposta (si veda §8).</w:t>
      </w:r>
    </w:p>
    <w:p>
      <w:pPr>
        <w:numPr>
          <w:ilvl w:val="0"/>
          <w:numId w:val="1002"/>
        </w:numPr>
        <w:pStyle w:val="Compact"/>
      </w:pPr>
      <w:r>
        <w:rPr>
          <w:bCs/>
          <w:b/>
        </w:rPr>
        <w:t xml:space="preserve">Principio di retention</w:t>
      </w:r>
      <w:r>
        <w:t xml:space="preserve">: adottato un criterio per categoria/finalità anziché una durata unica arbitraria (si veda §14).</w:t>
      </w:r>
    </w:p>
    <w:p>
      <w:pPr>
        <w:numPr>
          <w:ilvl w:val="0"/>
          <w:numId w:val="1002"/>
        </w:numPr>
        <w:pStyle w:val="Compact"/>
      </w:pPr>
      <w:r>
        <w:rPr>
          <w:bCs/>
          <w:b/>
        </w:rPr>
        <w:t xml:space="preserve">Modello di cancellazione account</w:t>
      </w:r>
      <w:r>
        <w:t xml:space="preserve">: adottata l’architettura a due livelli — rimozione operativa/di visibilità personale + eventuale archivio separato, non pubblico, minimizzato — con la correzione, introdotta in questo aggiornamento, che</w:t>
      </w:r>
      <w:r>
        <w:t xml:space="preserve"> </w:t>
      </w:r>
      <w:r>
        <w:rPr>
          <w:bCs/>
          <w:b/>
        </w:rPr>
        <w:t xml:space="preserve">le entità autonome della rete (imprese, organizzazioni, opportunità, eventi, contenuti) non vengono cancellate automaticamente insieme all’account della persona che le gestiva</w:t>
      </w:r>
      <w:r>
        <w:t xml:space="preserve"> </w:t>
      </w:r>
      <w:r>
        <w:t xml:space="preserve">(si veda §15).</w:t>
      </w:r>
    </w:p>
    <w:p>
      <w:pPr>
        <w:numPr>
          <w:ilvl w:val="0"/>
          <w:numId w:val="1002"/>
        </w:numPr>
        <w:pStyle w:val="Compact"/>
      </w:pPr>
      <w:r>
        <w:rPr>
          <w:bCs/>
          <w:b/>
        </w:rPr>
        <w:t xml:space="preserve">Legge applicabile</w:t>
      </w:r>
      <w:r>
        <w:t xml:space="preserve">: legge italiana.</w:t>
      </w:r>
      <w:r>
        <w:t xml:space="preserve"> </w:t>
      </w:r>
      <w:r>
        <w:rPr>
          <w:bCs/>
          <w:b/>
        </w:rPr>
        <w:t xml:space="preserve">Chiuso.</w:t>
      </w:r>
    </w:p>
    <w:p>
      <w:pPr>
        <w:numPr>
          <w:ilvl w:val="0"/>
          <w:numId w:val="1002"/>
        </w:numPr>
        <w:pStyle w:val="Compact"/>
      </w:pPr>
      <w:r>
        <w:rPr>
          <w:bCs/>
          <w:b/>
        </w:rPr>
        <w:t xml:space="preserve">Foro competente</w:t>
      </w:r>
      <w:r>
        <w:t xml:space="preserve">: foro del consumatore quando inderogabile; altrimenti Foro di Milano in via esclusiva.</w:t>
      </w:r>
      <w:r>
        <w:t xml:space="preserve"> </w:t>
      </w:r>
      <w:r>
        <w:rPr>
          <w:bCs/>
          <w:b/>
        </w:rPr>
        <w:t xml:space="preserve">Chiuso</w:t>
      </w:r>
      <w:r>
        <w:t xml:space="preserve"> </w:t>
      </w:r>
      <w:r>
        <w:t xml:space="preserve">(si veda §18).</w:t>
      </w:r>
    </w:p>
    <w:p>
      <w:pPr>
        <w:numPr>
          <w:ilvl w:val="0"/>
          <w:numId w:val="1002"/>
        </w:numPr>
        <w:pStyle w:val="Compact"/>
      </w:pPr>
      <w:r>
        <w:rPr>
          <w:bCs/>
          <w:b/>
        </w:rPr>
        <w:t xml:space="preserve">Licenza UGC</w:t>
      </w:r>
      <w:r>
        <w:t xml:space="preserve">: confermata la licenza non esclusiva, gratuita, mondiale e revocabile (si veda §17).</w:t>
      </w:r>
    </w:p>
    <w:p>
      <w:pPr>
        <w:numPr>
          <w:ilvl w:val="0"/>
          <w:numId w:val="1002"/>
        </w:numPr>
        <w:pStyle w:val="Compact"/>
      </w:pPr>
      <w:r>
        <w:rPr>
          <w:bCs/>
          <w:b/>
        </w:rPr>
        <w:t xml:space="preserve">Modello di accettazione dei Termini in fase di registrazione (signup)</w:t>
      </w:r>
      <w:r>
        <w:t xml:space="preserve">: checkbox obbligatoria di accettazione dei Termini, distinta da qualunque consenso alla Privacy Policy, con link a entrambi i documenti.</w:t>
      </w:r>
      <w:r>
        <w:t xml:space="preserve"> </w:t>
      </w:r>
      <w:r>
        <w:rPr>
          <w:bCs/>
          <w:b/>
        </w:rPr>
        <w:t xml:space="preserve">Chiuso nel principio</w:t>
      </w:r>
      <w:r>
        <w:t xml:space="preserve">; l’implementazione tecnica (registrazione di versione e timestamp) è un task tecnico (si veda §19-bis).</w:t>
      </w:r>
    </w:p>
    <w:p>
      <w:pPr>
        <w:numPr>
          <w:ilvl w:val="0"/>
          <w:numId w:val="1002"/>
        </w:numPr>
        <w:pStyle w:val="Compact"/>
      </w:pPr>
      <w:r>
        <w:rPr>
          <w:bCs/>
          <w:b/>
        </w:rPr>
        <w:t xml:space="preserve">Cookie Case A</w:t>
      </w:r>
      <w:r>
        <w:t xml:space="preserve">: confermato, nessuna modifica di policy.</w:t>
      </w:r>
    </w:p>
    <w:bookmarkEnd w:id="23"/>
    <w:bookmarkStart w:id="24" w:name="Xae3693ad9d3c98ef625adbef34b86b1efb0cc91"/>
    <w:p>
      <w:pPr>
        <w:pStyle w:val="Heading2"/>
      </w:pPr>
      <w:r>
        <w:t xml:space="preserve">4. Problemi importanti (non bloccanti ma da risolvere a breve)</w:t>
      </w:r>
    </w:p>
    <w:p>
      <w:pPr>
        <w:numPr>
          <w:ilvl w:val="0"/>
          <w:numId w:val="1003"/>
        </w:numPr>
        <w:pStyle w:val="Compact"/>
      </w:pPr>
      <w:r>
        <w:t xml:space="preserve">Procedura di segnalazione/contestazione (notice-and-takedown) nei Termini d’Uso — canale già indicato (info@immigratiimprenditori.it), ma senza tempi di riscontro dichiarati.</w:t>
      </w:r>
    </w:p>
    <w:p>
      <w:pPr>
        <w:numPr>
          <w:ilvl w:val="0"/>
          <w:numId w:val="1003"/>
        </w:numPr>
        <w:pStyle w:val="Compact"/>
      </w:pPr>
      <w:r>
        <w:t xml:space="preserve">Indirizzo o procedura editoriale dedicata per le segnalazioni su dati e fonti esterne — allo stato si utilizza lo stesso contatto generale.</w:t>
      </w:r>
    </w:p>
    <w:p>
      <w:pPr>
        <w:numPr>
          <w:ilvl w:val="0"/>
          <w:numId w:val="1003"/>
        </w:numPr>
        <w:pStyle w:val="Compact"/>
      </w:pPr>
      <w:r>
        <w:t xml:space="preserve">Stato operativo del registro di licenze/provenance dei dati esterni, e riconciliazione dell’elenco delle fonti</w:t>
      </w:r>
      <w:r>
        <w:t xml:space="preserve"> </w:t>
      </w:r>
      <w:r>
        <w:t xml:space="preserve">“</w:t>
      </w:r>
      <w:r>
        <w:t xml:space="preserve">previste dal programma dati</w:t>
      </w:r>
      <w:r>
        <w:t xml:space="preserve">”</w:t>
      </w:r>
      <w:r>
        <w:t xml:space="preserve"> </w:t>
      </w:r>
      <w:r>
        <w:t xml:space="preserve">con quelle effettivamente integrate.</w:t>
      </w:r>
    </w:p>
    <w:p>
      <w:pPr>
        <w:numPr>
          <w:ilvl w:val="0"/>
          <w:numId w:val="1003"/>
        </w:numPr>
        <w:pStyle w:val="Compact"/>
      </w:pPr>
      <w:r>
        <w:t xml:space="preserve">Retention schedule interna per categoria di dati (account, profilo, contenuti, log, contestazioni) — il principio giuridico è stato fissato in questa revisione, ma la sua traduzione in tempistiche operative interne resta uno strumento organizzativo da definire (si veda §14).</w:t>
      </w:r>
    </w:p>
    <w:bookmarkEnd w:id="24"/>
    <w:bookmarkStart w:id="25" w:name="problemi-minori-migliorie"/>
    <w:p>
      <w:pPr>
        <w:pStyle w:val="Heading2"/>
      </w:pPr>
      <w:r>
        <w:t xml:space="preserve">5. Problemi minori (migliorie)</w:t>
      </w:r>
    </w:p>
    <w:p>
      <w:pPr>
        <w:numPr>
          <w:ilvl w:val="0"/>
          <w:numId w:val="1004"/>
        </w:numPr>
        <w:pStyle w:val="Compact"/>
      </w:pPr>
      <w:r>
        <w:t xml:space="preserve">Terminologia uniformata tra i quattro documenti, incluso il nuovo lessico su cancellazione dell’account, archivio separato e distinzione dal diritto ex art. 17 GDPR.</w:t>
      </w:r>
    </w:p>
    <w:p>
      <w:pPr>
        <w:numPr>
          <w:ilvl w:val="0"/>
          <w:numId w:val="1004"/>
        </w:numPr>
        <w:pStyle w:val="Compact"/>
      </w:pPr>
      <w:r>
        <w:t xml:space="preserve">Rimandi incrociati aggiornati ovunque compaia la nuova disciplina su retention e cancellazione.</w:t>
      </w:r>
    </w:p>
    <w:bookmarkEnd w:id="25"/>
    <w:bookmarkStart w:id="26" w:name="X2e378b5b3509539a307f789a5b3ca43cca7664d"/>
    <w:p>
      <w:pPr>
        <w:pStyle w:val="Heading2"/>
      </w:pPr>
      <w:r>
        <w:t xml:space="preserve">6. Incoerenze trovate tra i quattro documenti</w:t>
      </w:r>
    </w:p>
    <w:p>
      <w:pPr>
        <w:pStyle w:val="FirstParagraph"/>
      </w:pPr>
      <w:r>
        <w:t xml:space="preserve">Nessuna nuova incoerenza rilevata in questo aggiornamento: le decisioni ricevute sono state applicate in modo identico in Privacy Policy, Termini d’Uso e, dove pertinente, Cookie Policy e Informativa su dati e fonti esterne. Si segnala solo un punto di attenzione redazionale: la Privacy Policy e i Termini d’Uso devono continuare a usare la stessa formula per descrivere il doppio binario</w:t>
      </w:r>
      <w:r>
        <w:t xml:space="preserve"> </w:t>
      </w:r>
      <w:r>
        <w:t xml:space="preserve">“</w:t>
      </w:r>
      <w:r>
        <w:t xml:space="preserve">cancellazione account</w:t>
      </w:r>
      <w:r>
        <w:t xml:space="preserve">”</w:t>
      </w:r>
      <w:r>
        <w:t xml:space="preserve"> </w:t>
      </w:r>
      <w:r>
        <w:t xml:space="preserve">/</w:t>
      </w:r>
      <w:r>
        <w:t xml:space="preserve"> </w:t>
      </w:r>
      <w:r>
        <w:t xml:space="preserve">“</w:t>
      </w:r>
      <w:r>
        <w:t xml:space="preserve">diritto alla cancellazione ex art. 17 GDPR</w:t>
      </w:r>
      <w:r>
        <w:t xml:space="preserve">”</w:t>
      </w:r>
      <w:r>
        <w:t xml:space="preserve"> </w:t>
      </w:r>
      <w:r>
        <w:t xml:space="preserve">(si veda §8 del presente rapporto e il testo comune adottato in entrambi i documenti), per evitare che un utente li legga come sinonimi.</w:t>
      </w:r>
    </w:p>
    <w:bookmarkEnd w:id="26"/>
    <w:bookmarkStart w:id="27" w:name="informazioni-mancanti-elenco-sintetico"/>
    <w:p>
      <w:pPr>
        <w:pStyle w:val="Heading2"/>
      </w:pPr>
      <w:r>
        <w:t xml:space="preserve">7. Informazioni mancanti (elenco sintetico)</w:t>
      </w:r>
    </w:p>
    <w:p>
      <w:pPr>
        <w:pStyle w:val="FirstParagraph"/>
      </w:pPr>
      <w:r>
        <w:t xml:space="preserve">Legge applicabile/foro; dettagli contrattuali Vercel/Supabase (subprocessor, localizzazione, DPA, eventuali trasferimenti extra-SEE); data di disponibilità tecnica della cancellazione self-service; eventuale indirizzo dedicato per segnalazioni su fonti esterne; stato del registro licenze/provenance. Vedi Decision Table per il dettaglio completo con relativa classificazione.</w:t>
      </w:r>
    </w:p>
    <w:bookmarkEnd w:id="27"/>
    <w:bookmarkStart w:id="28" w:name="basi-giuridiche-adottate"/>
    <w:p>
      <w:pPr>
        <w:pStyle w:val="Heading2"/>
      </w:pPr>
      <w:r>
        <w:t xml:space="preserve">8. Basi giuridiche adottate</w:t>
      </w:r>
    </w:p>
    <w:p>
      <w:pPr>
        <w:pStyle w:val="FirstParagraph"/>
      </w:pPr>
      <w:r>
        <w:t xml:space="preserve">Confermata e dettagliata la struttura già individuata nella revisione precedente. Questa è la base giuridica che compare nella Privacy Policy pubblicata (§5).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Trattamento</w:t>
            </w:r>
          </w:p>
        </w:tc>
        <w:tc>
          <w:tcPr/>
          <w:p>
            <w:pPr>
              <w:pStyle w:val="Compact"/>
              <w:jc w:val="left"/>
            </w:pPr>
            <w:r>
              <w:t xml:space="preserve">Base giuridica adottata</w:t>
            </w:r>
          </w:p>
        </w:tc>
        <w:tc>
          <w:tcPr/>
          <w:p>
            <w:pPr>
              <w:pStyle w:val="Compact"/>
              <w:jc w:val="left"/>
            </w:pPr>
            <w:r>
              <w:t xml:space="preserve">Motivazione</w:t>
            </w:r>
          </w:p>
        </w:tc>
      </w:tr>
      <w:tr>
        <w:tc>
          <w:tcPr/>
          <w:p>
            <w:pPr>
              <w:pStyle w:val="Compact"/>
              <w:jc w:val="left"/>
            </w:pPr>
            <w:r>
              <w:t xml:space="preserve">Creazione e gestione account/sessione</w:t>
            </w:r>
          </w:p>
        </w:tc>
        <w:tc>
          <w:tcPr/>
          <w:p>
            <w:pPr>
              <w:pStyle w:val="Compact"/>
              <w:jc w:val="left"/>
            </w:pPr>
            <w:r>
              <w:t xml:space="preserve">Esecuzione di un contratto (art. 6.1.b GDPR)</w:t>
            </w:r>
          </w:p>
        </w:tc>
        <w:tc>
          <w:tcPr/>
          <w:p>
            <w:pPr>
              <w:pStyle w:val="Compact"/>
              <w:jc w:val="left"/>
            </w:pPr>
            <w:r>
              <w:t xml:space="preserve">L’account è lo strumento contrattuale con cui l’utente accede al servizio.</w:t>
            </w:r>
          </w:p>
        </w:tc>
      </w:tr>
      <w:tr>
        <w:tc>
          <w:tcPr/>
          <w:p>
            <w:pPr>
              <w:pStyle w:val="Compact"/>
              <w:jc w:val="left"/>
            </w:pPr>
            <w:r>
              <w:t xml:space="preserve">Pubblicazione del profilo su richiesta/iniziativa dell’utente</w:t>
            </w:r>
          </w:p>
        </w:tc>
        <w:tc>
          <w:tcPr/>
          <w:p>
            <w:pPr>
              <w:pStyle w:val="Compact"/>
              <w:jc w:val="left"/>
            </w:pPr>
            <w:r>
              <w:t xml:space="preserve">Esecuzione di un contratto (art. 6.1.b)</w:t>
            </w:r>
          </w:p>
        </w:tc>
        <w:tc>
          <w:tcPr/>
          <w:p>
            <w:pPr>
              <w:pStyle w:val="Compact"/>
              <w:jc w:val="left"/>
            </w:pPr>
            <w:r>
              <w:t xml:space="preserve">La pubblicazione è un atto volontario dell’utente nell’ambito della prestazione stessa del servizio.</w:t>
            </w:r>
          </w:p>
        </w:tc>
      </w:tr>
      <w:tr>
        <w:tc>
          <w:tcPr/>
          <w:p>
            <w:pPr>
              <w:pStyle w:val="Compact"/>
              <w:jc w:val="left"/>
            </w:pPr>
            <w:r>
              <w:t xml:space="preserve">Gestione di imprese/organizzazioni collegate</w:t>
            </w:r>
          </w:p>
        </w:tc>
        <w:tc>
          <w:tcPr/>
          <w:p>
            <w:pPr>
              <w:pStyle w:val="Compact"/>
              <w:jc w:val="left"/>
            </w:pPr>
            <w:r>
              <w:t xml:space="preserve">Esecuzione di un contratto (art. 6.1.b); per i controlli di autorizzazione/anti-abuso, legittimo interesse (art. 6.1.f) quando appropriato</w:t>
            </w:r>
          </w:p>
        </w:tc>
        <w:tc>
          <w:tcPr/>
          <w:p>
            <w:pPr>
              <w:pStyle w:val="Compact"/>
              <w:jc w:val="left"/>
            </w:pPr>
            <w:r>
              <w:t xml:space="preserve">Necessario per erogare correttamente le funzionalità multi-soggetto della piattaforma.</w:t>
            </w:r>
          </w:p>
        </w:tc>
      </w:tr>
      <w:tr>
        <w:tc>
          <w:tcPr/>
          <w:p>
            <w:pPr>
              <w:pStyle w:val="Compact"/>
              <w:jc w:val="left"/>
            </w:pPr>
            <w:r>
              <w:t xml:space="preserve">Recapiti professionali volontariamente messi a disposizione della rete</w:t>
            </w:r>
          </w:p>
        </w:tc>
        <w:tc>
          <w:tcPr/>
          <w:p>
            <w:pPr>
              <w:pStyle w:val="Compact"/>
              <w:jc w:val="left"/>
            </w:pPr>
            <w:r>
              <w:t xml:space="preserve">Esecuzione di un contratto/scelta funzionale dell’utente (art. 6.1.b)</w:t>
            </w:r>
          </w:p>
        </w:tc>
        <w:tc>
          <w:tcPr/>
          <w:p>
            <w:pPr>
              <w:pStyle w:val="Compact"/>
              <w:jc w:val="left"/>
            </w:pPr>
            <w:r>
              <w:t xml:space="preserve">Funzione contrattuale attivabile e disattivabile dall’utente.</w:t>
            </w:r>
          </w:p>
        </w:tc>
      </w:tr>
      <w:tr>
        <w:tc>
          <w:tcPr/>
          <w:p>
            <w:pPr>
              <w:pStyle w:val="Compact"/>
              <w:jc w:val="left"/>
            </w:pPr>
            <w:r>
              <w:t xml:space="preserve">Sicurezza, log tecnici, prevenzione abusi</w:t>
            </w:r>
          </w:p>
        </w:tc>
        <w:tc>
          <w:tcPr/>
          <w:p>
            <w:pPr>
              <w:pStyle w:val="Compact"/>
              <w:jc w:val="left"/>
            </w:pPr>
            <w:r>
              <w:t xml:space="preserve">Legittimo interesse del Titolare (art. 6.1.f)</w:t>
            </w:r>
          </w:p>
        </w:tc>
        <w:tc>
          <w:tcPr/>
          <w:p>
            <w:pPr>
              <w:pStyle w:val="Compact"/>
              <w:jc w:val="left"/>
            </w:pPr>
            <w:r>
              <w:t xml:space="preserve">Finalità di sicurezza informatica necessaria a tutti gli utenti, non riconducibile al singolo contratto.</w:t>
            </w:r>
          </w:p>
        </w:tc>
      </w:tr>
      <w:tr>
        <w:tc>
          <w:tcPr/>
          <w:p>
            <w:pPr>
              <w:pStyle w:val="Compact"/>
              <w:jc w:val="left"/>
            </w:pPr>
            <w:r>
              <w:t xml:space="preserve">Adempimenti normativi</w:t>
            </w:r>
          </w:p>
        </w:tc>
        <w:tc>
          <w:tcPr/>
          <w:p>
            <w:pPr>
              <w:pStyle w:val="Compact"/>
              <w:jc w:val="left"/>
            </w:pPr>
            <w:r>
              <w:t xml:space="preserve">Obbligo legale (art. 6.1.c)</w:t>
            </w:r>
          </w:p>
        </w:tc>
        <w:tc>
          <w:tcPr/>
          <w:p>
            <w:pPr>
              <w:pStyle w:val="Compact"/>
              <w:jc w:val="left"/>
            </w:pPr>
            <w:r>
              <w:t xml:space="preserve">Necessario indipendentemente dal contratto.</w:t>
            </w:r>
          </w:p>
        </w:tc>
      </w:tr>
      <w:tr>
        <w:tc>
          <w:tcPr/>
          <w:p>
            <w:pPr>
              <w:pStyle w:val="Compact"/>
              <w:jc w:val="left"/>
            </w:pPr>
            <w:r>
              <w:t xml:space="preserve">Tutela e difesa dei diritti (incluse le eventuali contestazioni, anche successive alla cancellazione dell’account)</w:t>
            </w:r>
          </w:p>
        </w:tc>
        <w:tc>
          <w:tcPr/>
          <w:p>
            <w:pPr>
              <w:pStyle w:val="Compact"/>
              <w:jc w:val="left"/>
            </w:pPr>
            <w:r>
              <w:t xml:space="preserve">Legittimo interesse del Titolare (art. 6.1.f), quando applicabile</w:t>
            </w:r>
          </w:p>
        </w:tc>
        <w:tc>
          <w:tcPr/>
          <w:p>
            <w:pPr>
              <w:pStyle w:val="Compact"/>
              <w:jc w:val="left"/>
            </w:pPr>
            <w:r>
              <w:t xml:space="preserve">Consente la conservazione minimizzata dei soli dati necessari a tale scopo, coerentemente con il modello di cancellazione adottato (§15).</w:t>
            </w:r>
          </w:p>
        </w:tc>
      </w:tr>
      <w:tr>
        <w:tc>
          <w:tcPr/>
          <w:p>
            <w:pPr>
              <w:pStyle w:val="Compact"/>
              <w:jc w:val="left"/>
            </w:pPr>
            <w:r>
              <w:t xml:space="preserve">Cookie strettamente tecnici (sessione, impresa selezionata)</w:t>
            </w:r>
          </w:p>
        </w:tc>
        <w:tc>
          <w:tcPr/>
          <w:p>
            <w:pPr>
              <w:pStyle w:val="Compact"/>
              <w:jc w:val="left"/>
            </w:pPr>
            <w:r>
              <w:t xml:space="preserve">Disciplina applicabile ai cookie tecnici — esenzione dal consenso preventivo quando ricorrono i relativi presupposti (art. 122 Codice Privacy)</w:t>
            </w:r>
          </w:p>
        </w:tc>
        <w:tc>
          <w:tcPr/>
          <w:p>
            <w:pPr>
              <w:pStyle w:val="Compact"/>
              <w:jc w:val="left"/>
            </w:pPr>
            <w:r>
              <w:t xml:space="preserve">Confermata dalla natura tecnica dei meccanismi rilevati dall’audit.</w:t>
            </w:r>
          </w:p>
        </w:tc>
      </w:tr>
      <w:tr>
        <w:tc>
          <w:tcPr/>
          <w:p>
            <w:pPr>
              <w:pStyle w:val="Compact"/>
              <w:jc w:val="left"/>
            </w:pPr>
            <w:r>
              <w:t xml:space="preserve">Eventuali comunicazioni non essenziali (es. newsletter)</w:t>
            </w:r>
          </w:p>
        </w:tc>
        <w:tc>
          <w:tcPr/>
          <w:p>
            <w:pPr>
              <w:pStyle w:val="Compact"/>
              <w:jc w:val="left"/>
            </w:pPr>
            <w:r>
              <w:t xml:space="preserve">Non applicabile allo stato attuale — funzione non presente; se introdotta richiederà consenso specifico (art. 6.1.a)</w:t>
            </w:r>
          </w:p>
        </w:tc>
        <w:tc>
          <w:tcPr/>
          <w:p>
            <w:pPr>
              <w:pStyle w:val="Compact"/>
              <w:jc w:val="left"/>
            </w:pPr>
            <w:r>
              <w:t xml:space="preserve">La bozza non deve descrivere funzioni inesistenti.</w:t>
            </w:r>
          </w:p>
        </w:tc>
      </w:tr>
    </w:tbl>
    <w:p>
      <w:pPr>
        <w:pStyle w:val="BodyText"/>
      </w:pPr>
      <w:r>
        <w:t xml:space="preserve">Il consenso non è utilizzato come base giuridica universale.</w:t>
      </w:r>
    </w:p>
    <w:bookmarkEnd w:id="28"/>
    <w:bookmarkStart w:id="29" w:name="Xe26bbdc9970240f932311bc7722ed147c6682e3"/>
    <w:p>
      <w:pPr>
        <w:pStyle w:val="Heading2"/>
      </w:pPr>
      <w:r>
        <w:t xml:space="preserve">9. Valutazione del modello recapiti (pubblico / registrati / privato)</w:t>
      </w:r>
    </w:p>
    <w:p>
      <w:pPr>
        <w:pStyle w:val="FirstParagraph"/>
      </w:pPr>
      <w:r>
        <w:t xml:space="preserve">Confermata la valutazione della revisione precedente: il modello a tre livelli è coerente con il principio di minimizzazione (art. 5.1.c GDPR). Resta un presidio essenziale che l’utente possa modificare o revocare in ogni momento la condivisione dei recapiti con gli utenti registrati.</w:t>
      </w:r>
    </w:p>
    <w:bookmarkEnd w:id="29"/>
    <w:bookmarkStart w:id="30" w:name="valutazione-pubblicazione-profili"/>
    <w:p>
      <w:pPr>
        <w:pStyle w:val="Heading2"/>
      </w:pPr>
      <w:r>
        <w:t xml:space="preserve">10. Valutazione pubblicazione profili</w:t>
      </w:r>
    </w:p>
    <w:p>
      <w:pPr>
        <w:pStyle w:val="FirstParagraph"/>
      </w:pPr>
      <w:r>
        <w:t xml:space="preserve">Confermata la valutazione della revisione precedente, con i tre presidi già individuati (controllo granulare dell’utente, trasparenza preventiva su cosa diventa visibile, possibilità di rendere non pubblico un contenuto in un secondo momento).</w:t>
      </w:r>
    </w:p>
    <w:bookmarkEnd w:id="30"/>
    <w:bookmarkStart w:id="31" w:name="valutazione-cookie-case-a"/>
    <w:p>
      <w:pPr>
        <w:pStyle w:val="Heading2"/>
      </w:pPr>
      <w:r>
        <w:t xml:space="preserve">11. Valutazione Cookie — Case A</w:t>
      </w:r>
    </w:p>
    <w:p>
      <w:pPr>
        <w:pStyle w:val="FirstParagraph"/>
      </w:pPr>
      <w:r>
        <w:t xml:space="preserve">Confermato lo stato tecnico verificato in precedenza: nessun analytics, nessun advertising, nessun tracker di profilazione, nessun marketing cookie; presenti solo meccanismi tecnici necessari al funzionamento (sessione di autenticazione, cookie</w:t>
      </w:r>
      <w:r>
        <w:t xml:space="preserve"> </w:t>
      </w:r>
      <w:r>
        <w:rPr>
          <w:rStyle w:val="VerbatimChar"/>
        </w:rPr>
        <w:t xml:space="preserve">ii_selected_business_id</w:t>
      </w:r>
      <w:r>
        <w:t xml:space="preserve">). Non sono emerse ragioni giuridiche per modificare questa valutazione.</w:t>
      </w:r>
    </w:p>
    <w:bookmarkEnd w:id="31"/>
    <w:bookmarkStart w:id="32" w:name="cookie-banner-necessario-sìno-e-perché"/>
    <w:p>
      <w:pPr>
        <w:pStyle w:val="Heading2"/>
      </w:pPr>
      <w:r>
        <w:t xml:space="preserve">12. Cookie banner: necessario? SÌ/NO e perché</w:t>
      </w:r>
    </w:p>
    <w:p>
      <w:pPr>
        <w:pStyle w:val="FirstParagraph"/>
      </w:pPr>
      <w:r>
        <w:rPr>
          <w:bCs/>
          <w:b/>
        </w:rPr>
        <w:t xml:space="preserve">NO, confermato.</w:t>
      </w:r>
      <w:r>
        <w:t xml:space="preserve"> </w:t>
      </w:r>
      <w:r>
        <w:t xml:space="preserve">Nessun elemento nell’aggiornamento ricevuto incide su questa valutazione. Resta fermo l’obbligo informativo, assolto dalla Cookie Policy, e la necessità di rivalutare la scelta a ogni introduzione di nuovi strumenti non strettamente tecnici.</w:t>
      </w:r>
    </w:p>
    <w:bookmarkEnd w:id="32"/>
    <w:bookmarkStart w:id="33" w:name="vercelsupabase-verifiche-necessarie"/>
    <w:p>
      <w:pPr>
        <w:pStyle w:val="Heading2"/>
      </w:pPr>
      <w:r>
        <w:t xml:space="preserve">13. Vercel/Supabase: verifiche necessarie</w:t>
      </w:r>
    </w:p>
    <w:p>
      <w:pPr>
        <w:pStyle w:val="FirstParagraph"/>
      </w:pPr>
      <w:r>
        <w:t xml:space="preserve">Confermate come ancora aperte: localizzazione dei data center; elenco dei subprocessor; eventuali trasferimenti extra-SEE e relativa base giuridica (Clausole Contrattuali Standard o altra garanzia ex Capo V GDPR); esistenza e termini di un DPA con entrambi i fornitori; retention/backup lato fornitore per dati infrastrutturali. Questi elementi restano contrassegnati come</w:t>
      </w:r>
      <w:r>
        <w:t xml:space="preserve"> </w:t>
      </w:r>
      <w:r>
        <w:rPr>
          <w:bCs/>
          <w:b/>
        </w:rPr>
        <w:t xml:space="preserve">[VERIFICA TECNICA RICHIESTA]</w:t>
      </w:r>
      <w:r>
        <w:t xml:space="preserve"> </w:t>
      </w:r>
      <w:r>
        <w:t xml:space="preserve">nei documenti.</w:t>
      </w:r>
    </w:p>
    <w:bookmarkEnd w:id="33"/>
    <w:bookmarkStart w:id="34" w:name="retention-principio-adottato"/>
    <w:p>
      <w:pPr>
        <w:pStyle w:val="Heading2"/>
      </w:pPr>
      <w:r>
        <w:t xml:space="preserve">14. Retention — principio adottato</w:t>
      </w:r>
    </w:p>
    <w:p>
      <w:pPr>
        <w:pStyle w:val="FirstParagraph"/>
      </w:pPr>
      <w:r>
        <w:t xml:space="preserve">Non è stata adottata una durata universale e arbitraria. Il principio recepito nella Privacy Policy (§10) è il seguente:</w:t>
      </w:r>
      <w:r>
        <w:t xml:space="preserve"> </w:t>
      </w:r>
      <w:r>
        <w:rPr>
          <w:bCs/>
          <w:b/>
        </w:rPr>
        <w:t xml:space="preserve">ogni categoria di dati è conservata per il periodo necessario alla finalità per cui è trattata</w:t>
      </w:r>
      <w:r>
        <w:t xml:space="preserve">; quando una norma impone uno specifico termine di conservazione, si applica quel termine; in assenza di un termine legale specifico, la conservazione è limitata al periodo normalmente necessario, proporzionato e giustificabile rispetto alla finalità; al termine della necessità, i dati sono cancellati definitivamente o resi anonimi in modo effettivamente irreversibile.</w:t>
      </w:r>
    </w:p>
    <w:p>
      <w:pPr>
        <w:pStyle w:val="BodyText"/>
      </w:pPr>
      <w:r>
        <w:rPr>
          <w:bCs/>
          <w:b/>
        </w:rPr>
        <w:t xml:space="preserve">Proposta operativa per rendere questo principio più determinabile ai fini dell’art. 13 GDPR</w:t>
      </w:r>
      <w:r>
        <w:t xml:space="preserve">, senza inventare obblighi normativi non esistenti: si raccomanda che AIPEL adotti internamente (non necessariamente nel testo pubblico) una retention schedule che indichi, per ciascuna categoria di dati (account attivo, dati del profilo, contenuti pubblicati, log tecnici, dati contenuti nell’eventuale archivio separato ex §15), la logica con cui viene determinato il periodo di conservazione. Questo strumento organizzativo non richiede necessariamente termini numerici fissi nella Privacy Policy pubblica, ma rafforza la capacità di AIPEL di rispondere in modo puntuale a un’eventuale richiesta di accesso o a un controllo dell’autorità.</w:t>
      </w:r>
    </w:p>
    <w:bookmarkEnd w:id="34"/>
    <w:bookmarkStart w:id="35" w:name="Xb861d6ea5908031228654585f558c521e71b7b9"/>
    <w:p>
      <w:pPr>
        <w:pStyle w:val="Heading2"/>
      </w:pPr>
      <w:r>
        <w:t xml:space="preserve">15. Cancellazione account — modello adottato (corretto in questo aggiornamento)</w:t>
      </w:r>
    </w:p>
    <w:p>
      <w:pPr>
        <w:pStyle w:val="FirstParagraph"/>
      </w:pPr>
      <w:r>
        <w:rPr>
          <w:bCs/>
          <w:b/>
        </w:rPr>
        <w:t xml:space="preserve">Architettura funzionale e giuridica adottata:</w:t>
      </w:r>
    </w:p>
    <w:p>
      <w:pPr>
        <w:numPr>
          <w:ilvl w:val="0"/>
          <w:numId w:val="1005"/>
        </w:numPr>
        <w:pStyle w:val="Compact"/>
      </w:pPr>
      <w:r>
        <w:t xml:space="preserve">L’utente potrà richiedere, direttamente dalla propria area riservata, la cancellazione del proprio account.</w:t>
      </w:r>
      <w:r>
        <w:t xml:space="preserve"> </w:t>
      </w:r>
      <w:r>
        <w:rPr>
          <w:bCs/>
          <w:b/>
        </w:rPr>
        <w:t xml:space="preserve">Questa funzione tecnica non è ancora implementata</w:t>
      </w:r>
      <w:r>
        <w:t xml:space="preserve">: fino alla sua disponibilità, la richiesta va gestita manualmente tramite il contatto privacy (info@immigratiimprenditori.it). Il termine di evasione non è promesso come cifra fissa nel testo pubblico finché il processo non è implementato e verificato: sarà comunicato al momento della richiesta e resta comunque distinto dal termine previsto dall’art. 12, par. 3, GDPR per le richieste formulate ai sensi del diritto alla cancellazione (si veda il punto 4 di questa sezione).</w:t>
      </w:r>
    </w:p>
    <w:p>
      <w:pPr>
        <w:numPr>
          <w:ilvl w:val="0"/>
          <w:numId w:val="1005"/>
        </w:numPr>
        <w:pStyle w:val="Compact"/>
      </w:pPr>
      <w:r>
        <w:t xml:space="preserve">Alla cancellazione: (A) cessano l’autenticazione, l’accesso all’area riservata, i ruoli e le autorizzazioni personali dell’utente, nonché i collegamenti di gestione attribuiti a quell’account in quanto dipendenti dalla sua identità; (B) i dati personali per cui non sussiste più una ragione di conservazione sono eliminati dai sistemi operativi; (C) i soli dati per cui esiste ancora una concreta ragione di conservazione (obblighi di legge, contestazioni, sicurezza, prevenzione/accertamento di abusi, tutela o difesa di diritti, prova delle operazioni quando necessaria) possono essere mantenuti in un</w:t>
      </w:r>
      <w:r>
        <w:t xml:space="preserve"> </w:t>
      </w:r>
      <w:r>
        <w:rPr>
          <w:bCs/>
          <w:b/>
        </w:rPr>
        <w:t xml:space="preserve">archivio separato, non pubblico, ad accesso fortemente limitato</w:t>
      </w:r>
      <w:r>
        <w:t xml:space="preserve">, applicando il principio di minimizzazione: non viene conservata automaticamente una copia integrale del profilo o dell’account.</w:t>
      </w:r>
    </w:p>
    <w:p>
      <w:pPr>
        <w:numPr>
          <w:ilvl w:val="0"/>
          <w:numId w:val="1005"/>
        </w:numPr>
        <w:pStyle w:val="Compact"/>
      </w:pPr>
      <w:r>
        <w:rPr>
          <w:bCs/>
          <w:b/>
        </w:rPr>
        <w:t xml:space="preserve">Correzione introdotta in questo aggiornamento — entità autonome della rete.</w:t>
      </w:r>
      <w:r>
        <w:t xml:space="preserve"> </w:t>
      </w:r>
      <w:r>
        <w:t xml:space="preserve">La cancellazione dell’account di una persona</w:t>
      </w:r>
      <w:r>
        <w:t xml:space="preserve"> </w:t>
      </w:r>
      <w:r>
        <w:rPr>
          <w:bCs/>
          <w:b/>
        </w:rPr>
        <w:t xml:space="preserve">non comporta l’automatica cancellazione di imprese, organizzazioni, opportunità, eventi, contenuti o altre entità autonome della piattaforma</w:t>
      </w:r>
      <w:r>
        <w:t xml:space="preserve"> </w:t>
      </w:r>
      <w:r>
        <w:t xml:space="preserve">per il solo fatto che quell’utente le amministrava o gestiva. Persona/account, impresa, organizzazione e altre entità della rete restano soggetti distinti nell’architettura della piattaforma (account/persona ≠ impresa ≠ organizzazione ≠ altre entità), ciascuno con un proprio ciclo di vita:</w:t>
      </w:r>
    </w:p>
    <w:p>
      <w:pPr>
        <w:numPr>
          <w:ilvl w:val="1"/>
          <w:numId w:val="1006"/>
        </w:numPr>
        <w:pStyle w:val="Compact"/>
      </w:pPr>
      <w:r>
        <w:t xml:space="preserve">alla cancellazione dell’account cessa</w:t>
      </w:r>
      <w:r>
        <w:t xml:space="preserve"> </w:t>
      </w:r>
      <w:r>
        <w:rPr>
          <w:bCs/>
          <w:b/>
        </w:rPr>
        <w:t xml:space="preserve">l’autorità di gestione</w:t>
      </w:r>
      <w:r>
        <w:t xml:space="preserve"> </w:t>
      </w:r>
      <w:r>
        <w:t xml:space="preserve">di quella persona sulle entità collegate, non l’esistenza delle entità stesse;</w:t>
      </w:r>
    </w:p>
    <w:p>
      <w:pPr>
        <w:numPr>
          <w:ilvl w:val="1"/>
          <w:numId w:val="1006"/>
        </w:numPr>
        <w:pStyle w:val="Compact"/>
      </w:pPr>
      <w:r>
        <w:t xml:space="preserve">se un’entità dispone di altri gestori autorizzati, continua a operare normalmente;</w:t>
      </w:r>
    </w:p>
    <w:p>
      <w:pPr>
        <w:numPr>
          <w:ilvl w:val="1"/>
          <w:numId w:val="1006"/>
        </w:numPr>
        <w:pStyle w:val="Compact"/>
      </w:pPr>
      <w:r>
        <w:t xml:space="preserve">se l’account cancellato era l’unico gestore, l’entità può comunque permanere sulla piattaforma secondo il proprio stato, in attesa che la gestione sia attribuita a un altro soggetto tramite una procedura di riattribuzione che la piattaforma dovrà mettere a disposizione</w:t>
      </w:r>
      <w:r>
        <w:t xml:space="preserve"> </w:t>
      </w:r>
      <w:r>
        <w:rPr>
          <w:bCs/>
          <w:b/>
        </w:rPr>
        <w:t xml:space="preserve">[TASK TECNICO — procedura di riattribuzione della gestione non ancora implementata; il relativo requisito applicativo va precisato in sede di specifica tecnica]</w:t>
      </w:r>
      <w:r>
        <w:t xml:space="preserve">;</w:t>
      </w:r>
    </w:p>
    <w:p>
      <w:pPr>
        <w:numPr>
          <w:ilvl w:val="1"/>
          <w:numId w:val="1006"/>
        </w:numPr>
        <w:pStyle w:val="Compact"/>
      </w:pPr>
      <w:r>
        <w:t xml:space="preserve">i contenuti pubblicati dall’utente non seguono una regola unica e automatica: il loro trattamento dipende dalla natura del contenuto, dalla titolarità, dal rapporto con eventuali entità autonome collegate e dagli obblighi applicabili</w:t>
      </w:r>
      <w:r>
        <w:t xml:space="preserve"> </w:t>
      </w:r>
      <w:r>
        <w:rPr>
          <w:bCs/>
          <w:b/>
        </w:rPr>
        <w:t xml:space="preserve">[TASK TECNICO — il dettaglio operativo per ciascuna tipologia di contenuto va precisato nel contratto tecnico della funzione di cancellazione]</w:t>
      </w:r>
      <w:r>
        <w:t xml:space="preserve">.</w:t>
      </w:r>
    </w:p>
    <w:p>
      <w:pPr>
        <w:numPr>
          <w:ilvl w:val="0"/>
          <w:numId w:val="1005"/>
        </w:numPr>
        <w:pStyle w:val="Compact"/>
      </w:pPr>
      <w:r>
        <w:t xml:space="preserve">Le copie tecniche di backup possono sopravvivere temporaneamente alla cancellazione secondo il normale ciclo di backup, non costituiscono un archivio operativo, non sono utilizzate per ripristinare volontariamente un account cancellato, restano protette con accesso limitato e vengono eliminate con la normale rotazione. In caso di disaster recovery con ripristino di una copia precedente, le cancellazioni già effettuate devono essere riapplicate ove tecnicamente necessario. Non viene indicata una durata numerica del ciclo di backup perché non ancora verificata tecnicamente</w:t>
      </w:r>
      <w:r>
        <w:t xml:space="preserve"> </w:t>
      </w:r>
      <w:r>
        <w:rPr>
          <w:bCs/>
          <w:b/>
        </w:rPr>
        <w:t xml:space="preserve">[VERIFICA TECNICA RICHIESTA]</w:t>
      </w:r>
      <w:r>
        <w:t xml:space="preserve">.</w:t>
      </w:r>
    </w:p>
    <w:p>
      <w:pPr>
        <w:numPr>
          <w:ilvl w:val="0"/>
          <w:numId w:val="1005"/>
        </w:numPr>
        <w:pStyle w:val="Compact"/>
      </w:pPr>
      <w:r>
        <w:t xml:space="preserve">È mantenuta la distinzione tra</w:t>
      </w:r>
      <w:r>
        <w:t xml:space="preserve"> </w:t>
      </w:r>
      <w:r>
        <w:rPr>
          <w:bCs/>
          <w:b/>
        </w:rPr>
        <w:t xml:space="preserve">cancellazione dell’account</w:t>
      </w:r>
      <w:r>
        <w:t xml:space="preserve"> </w:t>
      </w:r>
      <w:r>
        <w:t xml:space="preserve">(processo operativo sopra descritto, attivato dalla scelta dell’utente, senza un termine tecnico fisso promesso finché non implementato) e</w:t>
      </w:r>
      <w:r>
        <w:t xml:space="preserve"> </w:t>
      </w:r>
      <w:r>
        <w:rPr>
          <w:bCs/>
          <w:b/>
        </w:rPr>
        <w:t xml:space="preserve">diritto alla cancellazione ex art. 17 GDPR</w:t>
      </w:r>
      <w:r>
        <w:t xml:space="preserve"> </w:t>
      </w:r>
      <w:r>
        <w:t xml:space="preserve">(soggetto ai termini di risposta previsti dall’art. 12, par. 3, GDPR — di norma un mese, prorogabile di due mesi in caso di richieste complesse o numerose — e a presupposti ed eccezioni propri, esercitabile anche indipendentemente dalla chiusura dell’account).</w:t>
      </w:r>
    </w:p>
    <w:p>
      <w:pPr>
        <w:pStyle w:val="FirstParagraph"/>
      </w:pPr>
      <w:r>
        <w:rPr>
          <w:bCs/>
          <w:b/>
        </w:rPr>
        <w:t xml:space="preserve">Task tecnici obbligatori prima della pubblicazione definitiva dei testi che presuppongono queste funzioni:</w:t>
      </w:r>
    </w:p>
    <w:p>
      <w:pPr>
        <w:numPr>
          <w:ilvl w:val="0"/>
          <w:numId w:val="1007"/>
        </w:numPr>
        <w:pStyle w:val="Compact"/>
      </w:pPr>
      <w:r>
        <w:t xml:space="preserve">Implementare nell’area riservata la cancellazione self-service dell’account secondo il modello sopra descritto.</w:t>
      </w:r>
    </w:p>
    <w:p>
      <w:pPr>
        <w:numPr>
          <w:ilvl w:val="0"/>
          <w:numId w:val="1007"/>
        </w:numPr>
        <w:pStyle w:val="Compact"/>
      </w:pPr>
      <w:r>
        <w:t xml:space="preserve">Implementare la cessazione delle autorizzazioni/rapporti di gestione dell’account</w:t>
      </w:r>
      <w:r>
        <w:t xml:space="preserve"> </w:t>
      </w:r>
      <w:r>
        <w:rPr>
          <w:bCs/>
          <w:b/>
        </w:rPr>
        <w:t xml:space="preserve">senza cancellare automaticamente</w:t>
      </w:r>
      <w:r>
        <w:t xml:space="preserve"> </w:t>
      </w:r>
      <w:r>
        <w:t xml:space="preserve">le entità autonome collegate (imprese, organizzazioni, opportunità, eventi, contenuti), e predisporre la procedura di riattribuzione della gestione quando un’entità resta priva di gestori.</w:t>
      </w:r>
    </w:p>
    <w:p>
      <w:pPr>
        <w:pStyle w:val="FirstParagraph"/>
      </w:pPr>
      <w:r>
        <w:t xml:space="preserve">Fino all’implementazione, i testi pubblicati restano coerenti con lo stato reale (processo manuale via email per la richiesta dell’utente; nessuna cancellazione automatica delle entità collegate, che è già oggi il comportamento corretto indipendentemente dallo stato di automazione del processo).</w:t>
      </w:r>
    </w:p>
    <w:bookmarkEnd w:id="35"/>
    <w:bookmarkStart w:id="36" w:name="età-minima"/>
    <w:p>
      <w:pPr>
        <w:pStyle w:val="Heading2"/>
      </w:pPr>
      <w:r>
        <w:t xml:space="preserve">16. Età minima</w:t>
      </w:r>
    </w:p>
    <w:p>
      <w:pPr>
        <w:pStyle w:val="FirstParagraph"/>
      </w:pPr>
      <w:r>
        <w:t xml:space="preserve">Confermata: 18 anni compiuti. Nessuna modifica.</w:t>
      </w:r>
    </w:p>
    <w:bookmarkEnd w:id="36"/>
    <w:bookmarkStart w:id="37" w:name="X1953197f0df4d36f798e52527455422fc3d032d"/>
    <w:p>
      <w:pPr>
        <w:pStyle w:val="Heading2"/>
      </w:pPr>
      <w:r>
        <w:t xml:space="preserve">17. Licenza UGC — confermata, con nota sull’ambito</w:t>
      </w:r>
      <w:r>
        <w:t xml:space="preserve"> </w:t>
      </w:r>
      <w:r>
        <w:t xml:space="preserve">“</w:t>
      </w:r>
      <w:r>
        <w:t xml:space="preserve">mondiale</w:t>
      </w:r>
      <w:r>
        <w:t xml:space="preserve">”</w:t>
      </w:r>
    </w:p>
    <w:p>
      <w:pPr>
        <w:pStyle w:val="FirstParagraph"/>
      </w:pPr>
      <w:r>
        <w:t xml:space="preserve">Confermata la licenza non esclusiva, gratuita, mondiale e revocabile adottata nella revisione precedente, limitata alle finalità della piattaforma (memorizzazione, riproduzione tecnica, visualizzazione, distribuzione all’interno della rete, adattamento tecnico ai dispositivi/formati), per la durata e nei limiti delle esigenze della pubblicazione/servizio, fatti salvi eventuali obblighi legali o necessità di tutela dei diritti.</w:t>
      </w:r>
    </w:p>
    <w:p>
      <w:pPr>
        <w:pStyle w:val="BodyText"/>
      </w:pPr>
      <w:r>
        <w:rPr>
          <w:bCs/>
          <w:b/>
        </w:rPr>
        <w:t xml:space="preserve">Sull’aggettivo</w:t>
      </w:r>
      <w:r>
        <w:rPr>
          <w:bCs/>
          <w:b/>
        </w:rPr>
        <w:t xml:space="preserve"> </w:t>
      </w:r>
      <w:r>
        <w:rPr>
          <w:bCs/>
          <w:b/>
        </w:rPr>
        <w:t xml:space="preserve">“</w:t>
      </w:r>
      <w:r>
        <w:rPr>
          <w:bCs/>
          <w:b/>
        </w:rPr>
        <w:t xml:space="preserve">mondiale</w:t>
      </w:r>
      <w:r>
        <w:rPr>
          <w:bCs/>
          <w:b/>
        </w:rPr>
        <w:t xml:space="preserve">”</w:t>
      </w:r>
      <w:r>
        <w:t xml:space="preserve">: è stato mantenuto perché riflette un’esigenza tecnica reale e non un ampliamento sostanziale dei diritti concessi. L’infrastruttura della piattaforma (hosting su Vercel, che opera tramite rete di distribuzione globale/edge, e servizi Supabase) comporta che la memorizzazione, la trasmissione e la visualizzazione tecnica dei contenuti non siano circoscrivibili a un singolo territorio; inoltre la piattaforma è per sua natura pubblicamente esplorabile anche da utenti e mercati internazionali, coerentemente con l’obiettivo dichiarato di favorire relazioni con mercati esteri. L’ambito geografico</w:t>
      </w:r>
      <w:r>
        <w:t xml:space="preserve"> </w:t>
      </w:r>
      <w:r>
        <w:t xml:space="preserve">“</w:t>
      </w:r>
      <w:r>
        <w:t xml:space="preserve">mondiale</w:t>
      </w:r>
      <w:r>
        <w:t xml:space="preserve">”</w:t>
      </w:r>
      <w:r>
        <w:t xml:space="preserve"> </w:t>
      </w:r>
      <w:r>
        <w:t xml:space="preserve">descrive quindi il perimetro tecnico e funzionale minimo necessario per erogare il servizio come concepito, e non attribuisce ad AIPEL alcun diritto di sfruttamento commerciale del contenuto al di fuori della piattaforma.</w:t>
      </w:r>
    </w:p>
    <w:bookmarkEnd w:id="37"/>
    <w:bookmarkStart w:id="38" w:name="X3b0e259dea79009ab7bc457a805b569c80c0681"/>
    <w:p>
      <w:pPr>
        <w:pStyle w:val="Heading2"/>
      </w:pPr>
      <w:r>
        <w:t xml:space="preserve">18. Legge applicabile / foro — decisione definitiva, CHIUSA</w:t>
      </w:r>
    </w:p>
    <w:p>
      <w:pPr>
        <w:pStyle w:val="FirstParagraph"/>
      </w:pPr>
      <w:r>
        <w:rPr>
          <w:bCs/>
          <w:b/>
        </w:rPr>
        <w:t xml:space="preserve">Legge applicabile: legge italiana.</w:t>
      </w:r>
      <w:r>
        <w:t xml:space="preserve"> </w:t>
      </w:r>
      <w:r>
        <w:rPr>
          <w:bCs/>
          <w:b/>
        </w:rPr>
        <w:t xml:space="preserve">Foro competente</w:t>
      </w:r>
      <w:r>
        <w:t xml:space="preserve">: (a) se l’utente agisce in qualità di consumatore, resta fermo il foro previsto dalle norme inderogabili a tutela del consumatore (di norma il luogo di residenza o domicilio del consumatore); (b) negli altri casi, e in particolare nei rapporti con professionisti, imprenditori, imprese, enti e organizzazioni che utilizzano la piattaforma nell’ambito della propria attività professionale o imprenditoriale, è competente in via esclusiva il</w:t>
      </w:r>
      <w:r>
        <w:t xml:space="preserve"> </w:t>
      </w:r>
      <w:r>
        <w:rPr>
          <w:bCs/>
          <w:b/>
        </w:rPr>
        <w:t xml:space="preserve">Foro di Milano</w:t>
      </w:r>
      <w:r>
        <w:t xml:space="preserve">, salvo diversa disposizione inderogabile di legge. La clausola non pretende di derogare al foro inderogabile del consumatore, in coerenza con la disciplina del Codice del Consumo. Recepita nei Termini d’Uso (§19).</w:t>
      </w:r>
    </w:p>
    <w:bookmarkEnd w:id="38"/>
    <w:bookmarkStart w:id="39" w:name="open-data-provenance-licenze"/>
    <w:p>
      <w:pPr>
        <w:pStyle w:val="Heading2"/>
      </w:pPr>
      <w:r>
        <w:t xml:space="preserve">19. Open data / provenance / licenze</w:t>
      </w:r>
    </w:p>
    <w:p>
      <w:pPr>
        <w:pStyle w:val="FirstParagraph"/>
      </w:pPr>
      <w:r>
        <w:t xml:space="preserve">Nessuna modifica rispetto alla revisione precedente: resta la regola operativa</w:t>
      </w:r>
      <w:r>
        <w:t xml:space="preserve"> </w:t>
      </w:r>
      <w:r>
        <w:t xml:space="preserve">“</w:t>
      </w:r>
      <w:r>
        <w:t xml:space="preserve">prima si verifica la licenza, poi si importa</w:t>
      </w:r>
      <w:r>
        <w:t xml:space="preserve">”</w:t>
      </w:r>
      <w:r>
        <w:t xml:space="preserve"> </w:t>
      </w:r>
      <w:r>
        <w:t xml:space="preserve">e resta da verificare lo stato operativo del registro interno di licenze/provenance.</w:t>
      </w:r>
    </w:p>
    <w:bookmarkEnd w:id="39"/>
    <w:bookmarkStart w:id="40" w:name="X34e57ac1d157b9e6558f2e15dfd829695afd30f"/>
    <w:p>
      <w:pPr>
        <w:pStyle w:val="Heading2"/>
      </w:pPr>
      <w:r>
        <w:t xml:space="preserve">19-bis. Accettazione dei Termini in fase di registrazione (signup) — decisione chiusa nel principio, task tecnico per l’implementazione</w:t>
      </w:r>
    </w:p>
    <w:p>
      <w:pPr>
        <w:pStyle w:val="FirstParagraph"/>
      </w:pPr>
      <w:r>
        <w:rPr>
          <w:bCs/>
          <w:b/>
        </w:rPr>
        <w:t xml:space="preserve">Decisione adottata</w:t>
      </w:r>
      <w:r>
        <w:t xml:space="preserve">: durante la registrazione, l’utente deve accettare espressamente i Termini d’Uso tramite una casella di spunta obbligatoria dedicata, distinta da qualunque riferimento alla Privacy Policy. La UI deve presentare un link ai Termini d’Uso e un link alla Privacy Policy. La casella non deve essere formulata come</w:t>
      </w:r>
      <w:r>
        <w:t xml:space="preserve"> </w:t>
      </w:r>
      <w:r>
        <w:t xml:space="preserve">“</w:t>
      </w:r>
      <w:r>
        <w:t xml:space="preserve">Acconsento alla Privacy Policy</w:t>
      </w:r>
      <w:r>
        <w:t xml:space="preserve">”</w:t>
      </w:r>
      <w:r>
        <w:t xml:space="preserve">, perché la Privacy Policy è un’informativa resa all’interessato ai sensi degli artt. 13-14 GDPR e non un atto di consenso generale al trattamento; presentarla come oggetto di un consenso da spuntare rischierebbe di generare confusione sulla base giuridica dei trattamenti (si veda §8, dove si esclude il consenso come base universale). Questo principio è stato recepito nei Termini d’Uso (§3).</w:t>
      </w:r>
    </w:p>
    <w:p>
      <w:pPr>
        <w:pStyle w:val="BodyText"/>
      </w:pPr>
      <w:r>
        <w:rPr>
          <w:bCs/>
          <w:b/>
        </w:rPr>
        <w:t xml:space="preserve">Task tecnico</w:t>
      </w:r>
      <w:r>
        <w:t xml:space="preserve">: implementare in fase di registrazione la casella di accettazione obbligatoria dei Termini, i link a Termini e Privacy Policy, e la registrazione della versione dei Termini accettata e della data/ora dell’accettazione, in modo da poter dimostrare l’avvenuta accettazione in caso di necessità.</w:t>
      </w:r>
    </w:p>
    <w:bookmarkEnd w:id="40"/>
    <w:bookmarkStart w:id="41" w:name="eventuali-problemi-gdpreprivacy-residui"/>
    <w:p>
      <w:pPr>
        <w:pStyle w:val="Heading2"/>
      </w:pPr>
      <w:r>
        <w:t xml:space="preserve">20. Eventuali problemi GDPR/ePrivacy residui</w:t>
      </w:r>
    </w:p>
    <w:p>
      <w:pPr>
        <w:numPr>
          <w:ilvl w:val="0"/>
          <w:numId w:val="1008"/>
        </w:numPr>
        <w:pStyle w:val="Compact"/>
      </w:pPr>
      <w:r>
        <w:t xml:space="preserve">Il completamento dei dati del Titolare è stato chiuso.</w:t>
      </w:r>
    </w:p>
    <w:p>
      <w:pPr>
        <w:numPr>
          <w:ilvl w:val="0"/>
          <w:numId w:val="1008"/>
        </w:numPr>
        <w:pStyle w:val="Compact"/>
      </w:pPr>
      <w:r>
        <w:t xml:space="preserve">La retention è ora ancorata a un principio conforme all’art. 5.1.e GDPR; resta consigliabile (non obbligatoria nel testo pubblico) una retention schedule interna più dettagliata (§14).</w:t>
      </w:r>
    </w:p>
    <w:p>
      <w:pPr>
        <w:numPr>
          <w:ilvl w:val="0"/>
          <w:numId w:val="1008"/>
        </w:numPr>
        <w:pStyle w:val="Compact"/>
      </w:pPr>
      <w:r>
        <w:t xml:space="preserve">Il modello di cancellazione dell’account rispetta il principio di minimizzazione (art. 5.1.c), distingue correttamente dal diritto ex art. 17 GDPR, e ora preserva esplicitamente le entità autonome della rete dalla cancellazione automatica (§15). I punti aperti sono solo l’implementazione tecnica delle relative funzioni.</w:t>
      </w:r>
    </w:p>
    <w:p>
      <w:pPr>
        <w:numPr>
          <w:ilvl w:val="0"/>
          <w:numId w:val="1008"/>
        </w:numPr>
        <w:pStyle w:val="Compact"/>
      </w:pPr>
      <w:r>
        <w:t xml:space="preserve">Il cookie banner assente resta corretto sulla base dell’audit tecnico confermato (Case A), subordinatamente alla verifica tecnica finale del runtime; qualunque introduzione futura di analytics/marketing renderebbe necessario un CMP conforme.</w:t>
      </w:r>
    </w:p>
    <w:p>
      <w:pPr>
        <w:numPr>
          <w:ilvl w:val="0"/>
          <w:numId w:val="1008"/>
        </w:numPr>
        <w:pStyle w:val="Compact"/>
      </w:pPr>
      <w:r>
        <w:t xml:space="preserve">La distinzione tra email di autenticazione ed email professionale di contatto è stata mantenuta e ribadita in tutti i punti rilevanti della Privacy Policy e dei Termini d’Uso.</w:t>
      </w:r>
    </w:p>
    <w:p>
      <w:pPr>
        <w:numPr>
          <w:ilvl w:val="0"/>
          <w:numId w:val="1008"/>
        </w:numPr>
        <w:pStyle w:val="Compact"/>
      </w:pPr>
      <w:r>
        <w:t xml:space="preserve">Non risultano, allo stato descritto, trattamenti che richiedano una valutazione d’impatto (DPIA) ai sensi dell’art. 35 GDPR.</w:t>
      </w:r>
    </w:p>
    <w:p>
      <w:pPr>
        <w:numPr>
          <w:ilvl w:val="0"/>
          <w:numId w:val="1008"/>
        </w:numPr>
        <w:pStyle w:val="Compact"/>
      </w:pPr>
      <w:r>
        <w:t xml:space="preserve">Non risulta un obbligo di designazione di un DPO (si veda la nota introduttiva a questo rapporto).</w:t>
      </w:r>
    </w:p>
    <w:bookmarkEnd w:id="41"/>
    <w:bookmarkStart w:id="42" w:name="X48693d66a31f16c34887b6ce5a3636fbf0f649f"/>
    <w:p>
      <w:pPr>
        <w:pStyle w:val="Heading2"/>
      </w:pPr>
      <w:r>
        <w:t xml:space="preserve">21. Altri obblighi digital-platform concretamente rilevanti</w:t>
      </w:r>
    </w:p>
    <w:p>
      <w:pPr>
        <w:pStyle w:val="FirstParagraph"/>
      </w:pPr>
      <w:r>
        <w:t xml:space="preserve">Confermato quanto già rilevato: non risultano obblighi specifici da Digital Services Act (DSA) come</w:t>
      </w:r>
      <w:r>
        <w:t xml:space="preserve"> </w:t>
      </w:r>
      <w:r>
        <w:t xml:space="preserve">“</w:t>
      </w:r>
      <w:r>
        <w:t xml:space="preserve">very large online platform</w:t>
      </w:r>
      <w:r>
        <w:t xml:space="preserve">”</w:t>
      </w:r>
      <w:r>
        <w:t xml:space="preserve">; restano rilevanti in via generale gli obblighi minimi di trasparenza su contenuti e moderazione già recepiti nei Termini d’Uso. Nessun elemento nuovo emerso in questo aggiornamento.</w:t>
      </w:r>
    </w:p>
    <w:bookmarkEnd w:id="42"/>
    <w:bookmarkStart w:id="43" w:name="Xb15c9c45a9f23e671e3bb540ceb9de9e6ac68c8"/>
    <w:p>
      <w:pPr>
        <w:pStyle w:val="Heading2"/>
      </w:pPr>
      <w:r>
        <w:t xml:space="preserve">22. Verifica di coerenza terminologica tra i cinque documenti</w:t>
      </w:r>
    </w:p>
    <w:p>
      <w:pPr>
        <w:pStyle w:val="FirstParagraph"/>
      </w:pPr>
      <w:r>
        <w:t xml:space="preserve">Effettuata una verifica incrociata sui punti seguenti, con esito positivo:</w:t>
      </w:r>
    </w:p>
    <w:p>
      <w:pPr>
        <w:numPr>
          <w:ilvl w:val="0"/>
          <w:numId w:val="1009"/>
        </w:numPr>
        <w:pStyle w:val="Compact"/>
      </w:pPr>
      <w:r>
        <w:t xml:space="preserve">terminologia su Titolare, sede, C.F., P.IVA e contatto privacy uniforme in tutti i documenti;</w:t>
      </w:r>
    </w:p>
    <w:p>
      <w:pPr>
        <w:numPr>
          <w:ilvl w:val="0"/>
          <w:numId w:val="1009"/>
        </w:numPr>
        <w:pStyle w:val="Compact"/>
      </w:pPr>
      <w:r>
        <w:t xml:space="preserve">distinzione email di autenticazione/email professionale mantenuta ovunque compare;</w:t>
      </w:r>
    </w:p>
    <w:p>
      <w:pPr>
        <w:numPr>
          <w:ilvl w:val="0"/>
          <w:numId w:val="1009"/>
        </w:numPr>
        <w:pStyle w:val="Compact"/>
      </w:pPr>
      <w:r>
        <w:t xml:space="preserve">modello di cancellazione account (rimozione operativa + archivio separato minimizzato + preservazione delle entità autonome) descritto in modo identico in Privacy Policy (§11) e Termini d’Uso (§15), con rimando reciproco;</w:t>
      </w:r>
    </w:p>
    <w:p>
      <w:pPr>
        <w:numPr>
          <w:ilvl w:val="0"/>
          <w:numId w:val="1009"/>
        </w:numPr>
        <w:pStyle w:val="Compact"/>
      </w:pPr>
      <w:r>
        <w:t xml:space="preserve">distinzione tra cancellazione dell’account e diritto ex art. 17 GDPR presente e formulata in modo coerente in entrambi i documenti;</w:t>
      </w:r>
    </w:p>
    <w:p>
      <w:pPr>
        <w:numPr>
          <w:ilvl w:val="0"/>
          <w:numId w:val="1009"/>
        </w:numPr>
        <w:pStyle w:val="Compact"/>
      </w:pPr>
      <w:r>
        <w:t xml:space="preserve">Cookie Policy verificata per assicurare che descriva solo servizi realmente rilevati (nessun servizio ipotetico), coerentemente con la Privacy Policy (§9) e i Termini d’Uso (§18);</w:t>
      </w:r>
    </w:p>
    <w:p>
      <w:pPr>
        <w:numPr>
          <w:ilvl w:val="0"/>
          <w:numId w:val="1009"/>
        </w:numPr>
        <w:pStyle w:val="Compact"/>
      </w:pPr>
      <w:r>
        <w:t xml:space="preserve">nessun testo afferma che la cancellazione self-service dell’account sia già disponibile.</w:t>
      </w:r>
    </w:p>
    <w:p>
      <w:r>
        <w:pict>
          <v:rect style="width:0;height:1.5pt" o:hralign="center" o:hrstd="t" o:hr="t"/>
        </w:pict>
      </w:r>
    </w:p>
    <w:bookmarkEnd w:id="43"/>
    <w:bookmarkStart w:id="48" w:name="controllo-finale"/>
    <w:p>
      <w:pPr>
        <w:pStyle w:val="Heading2"/>
      </w:pPr>
      <w:r>
        <w:t xml:space="preserve">CONTROLLO FINALE</w:t>
      </w:r>
    </w:p>
    <w:bookmarkStart w:id="44" w:name="a.-decisioni-del-titolare-ancora-aperte"/>
    <w:p>
      <w:pPr>
        <w:pStyle w:val="Heading3"/>
      </w:pPr>
      <w:r>
        <w:t xml:space="preserve">A. Decisioni del Titolare ancora aperte</w:t>
      </w:r>
    </w:p>
    <w:p>
      <w:pPr>
        <w:pStyle w:val="FirstParagraph"/>
      </w:pPr>
      <w:r>
        <w:rPr>
          <w:bCs/>
          <w:b/>
        </w:rPr>
        <w:t xml:space="preserve">DECISIONI DEL TITOLARE ANCORA APERTE: NESSUNA.</w:t>
      </w:r>
    </w:p>
    <w:p>
      <w:pPr>
        <w:pStyle w:val="BodyText"/>
      </w:pPr>
      <w:r>
        <w:t xml:space="preserve">Tutte le decisioni di policy originariamente individuate (identificazione di AIPEL, contatto privacy, età minima, basi giuridiche, principio di retention, modello di cancellazione account con preservazione delle entità autonome, legge applicabile e foro, licenza UGC, modello di accettazione dei Termini in fase di registrazione, valutazione Cookie Case A) sono state prese e recepite nei documenti.</w:t>
      </w:r>
    </w:p>
    <w:bookmarkEnd w:id="44"/>
    <w:bookmarkStart w:id="45" w:name="X8e722172f5c1cd9cf18ef48b6cf2321698143bb"/>
    <w:p>
      <w:pPr>
        <w:pStyle w:val="Heading3"/>
      </w:pPr>
      <w:r>
        <w:t xml:space="preserve">B. Verifiche tecniche/contrattuali ancora aperte</w:t>
      </w:r>
    </w:p>
    <w:p>
      <w:pPr>
        <w:numPr>
          <w:ilvl w:val="0"/>
          <w:numId w:val="1010"/>
        </w:numPr>
        <w:pStyle w:val="Compact"/>
      </w:pPr>
      <w:r>
        <w:t xml:space="preserve">Vercel: localizzazione dei trattamenti, subprocessor, eventuali trasferimenti extra-SEE e relativa base giuridica, esistenza e termini di un DPA.</w:t>
      </w:r>
    </w:p>
    <w:p>
      <w:pPr>
        <w:numPr>
          <w:ilvl w:val="0"/>
          <w:numId w:val="1010"/>
        </w:numPr>
        <w:pStyle w:val="Compact"/>
      </w:pPr>
      <w:r>
        <w:t xml:space="preserve">Supabase: medesime verifiche di cui sopra, incluso il ruolo privacy.</w:t>
      </w:r>
    </w:p>
    <w:p>
      <w:pPr>
        <w:numPr>
          <w:ilvl w:val="0"/>
          <w:numId w:val="1010"/>
        </w:numPr>
        <w:pStyle w:val="Compact"/>
      </w:pPr>
      <w:r>
        <w:t xml:space="preserve">Configurazione runtime effettiva dei cookie/sessione (nomi, durata, attributi), a conferma della valutazione Case A e dell’assenza di obbligo di banner.</w:t>
      </w:r>
    </w:p>
    <w:p>
      <w:pPr>
        <w:numPr>
          <w:ilvl w:val="0"/>
          <w:numId w:val="1010"/>
        </w:numPr>
        <w:pStyle w:val="Compact"/>
      </w:pPr>
      <w:r>
        <w:t xml:space="preserve">Durata del ciclo di rotazione dei backup dei fornitori infrastrutturali.</w:t>
      </w:r>
    </w:p>
    <w:p>
      <w:pPr>
        <w:numPr>
          <w:ilvl w:val="0"/>
          <w:numId w:val="1010"/>
        </w:numPr>
        <w:pStyle w:val="Compact"/>
      </w:pPr>
      <w:r>
        <w:t xml:space="preserve">Stato operativo del registro interno di licenze/provenance dei dati esterni e riconciliazione dell’elenco delle fonti effettivamente integrate (Informativa dati e fonti esterne).</w:t>
      </w:r>
    </w:p>
    <w:bookmarkEnd w:id="45"/>
    <w:bookmarkStart w:id="46" w:name="X449042085b8d2eb4660c5b30a0f0939d8475be2"/>
    <w:p>
      <w:pPr>
        <w:pStyle w:val="Heading3"/>
      </w:pPr>
      <w:r>
        <w:t xml:space="preserve">C. Task tecnici prima della pubblicazione definitiva dei testi che li presuppongono</w:t>
      </w:r>
    </w:p>
    <w:p>
      <w:pPr>
        <w:numPr>
          <w:ilvl w:val="0"/>
          <w:numId w:val="1011"/>
        </w:numPr>
        <w:pStyle w:val="Compact"/>
      </w:pPr>
      <w:r>
        <w:t xml:space="preserve">Implementare la cancellazione self-service dell’account, con: rimozione dei dati personali operativi; cessazione delle autorizzazioni e dei rapporti di gestione dell’account; eventuale archivio legale separato e minimizzato; gestione corretta delle entità autonome (nessuna cancellazione automatica di imprese, organizzazioni, opportunità, eventi o contenuti collegati); retention conforme al principio adottato (§14).</w:t>
      </w:r>
    </w:p>
    <w:p>
      <w:pPr>
        <w:numPr>
          <w:ilvl w:val="0"/>
          <w:numId w:val="1011"/>
        </w:numPr>
        <w:pStyle w:val="Compact"/>
      </w:pPr>
      <w:r>
        <w:t xml:space="preserve">Implementare la procedura di riattribuzione della gestione per le entità autonome rimaste prive di gestori a seguito della cancellazione dell’unico account gestore.</w:t>
      </w:r>
    </w:p>
    <w:p>
      <w:pPr>
        <w:numPr>
          <w:ilvl w:val="0"/>
          <w:numId w:val="1011"/>
        </w:numPr>
        <w:pStyle w:val="Compact"/>
      </w:pPr>
      <w:r>
        <w:t xml:space="preserve">Implementare in fase di registrazione la casella di accettazione obbligatoria dei Termini d’Uso (distinta da un consenso alla Privacy Policy), i link a Termini e Privacy Policy, e la registrazione di versione e data/ora dell’accettazione.</w:t>
      </w:r>
    </w:p>
    <w:p>
      <w:pPr>
        <w:numPr>
          <w:ilvl w:val="0"/>
          <w:numId w:val="1011"/>
        </w:numPr>
        <w:pStyle w:val="Compact"/>
      </w:pPr>
      <w:r>
        <w:t xml:space="preserve">Predisporre, come strumento organizzativo interno, una retention schedule dettagliata per categoria di dati, coerente con il principio adottato al § 14 (non blocca la pubblicazione del testo pubblico, ma è raccomandata).</w:t>
      </w:r>
    </w:p>
    <w:bookmarkEnd w:id="46"/>
    <w:bookmarkStart w:id="47" w:name="Xf865831afded41120d625dadd75fd511a712fd9"/>
    <w:p>
      <w:pPr>
        <w:pStyle w:val="Heading3"/>
      </w:pPr>
      <w:r>
        <w:t xml:space="preserve">D. Documenti pronti / non pronti per la pubblicazione</w:t>
      </w:r>
    </w:p>
    <w:p>
      <w:pPr>
        <w:pStyle w:val="FirstParagraph"/>
      </w:pPr>
      <w:r>
        <w:t xml:space="preserve">Nessuno dei quattro documenti deve essere considerato</w:t>
      </w:r>
      <w:r>
        <w:t xml:space="preserve"> </w:t>
      </w:r>
      <w:r>
        <w:t xml:space="preserve">“</w:t>
      </w:r>
      <w:r>
        <w:t xml:space="preserve">legalmente conforme</w:t>
      </w:r>
      <w:r>
        <w:t xml:space="preserve">”</w:t>
      </w:r>
      <w:r>
        <w:t xml:space="preserve"> </w:t>
      </w:r>
      <w:r>
        <w:t xml:space="preserve">in senso assoluto: questa revisione non sostituisce un parere legale definitivo. Fermo restando questo limite:</w:t>
      </w:r>
    </w:p>
    <w:p>
      <w:pPr>
        <w:numPr>
          <w:ilvl w:val="0"/>
          <w:numId w:val="1012"/>
        </w:numPr>
        <w:pStyle w:val="Compact"/>
      </w:pPr>
      <w:r>
        <w:rPr>
          <w:bCs/>
          <w:b/>
        </w:rPr>
        <w:t xml:space="preserve">Privacy Policy</w:t>
      </w:r>
      <w:r>
        <w:t xml:space="preserve">: testualmente completa e coerente con le decisioni prese.</w:t>
      </w:r>
      <w:r>
        <w:t xml:space="preserve"> </w:t>
      </w:r>
      <w:r>
        <w:rPr>
          <w:bCs/>
          <w:b/>
        </w:rPr>
        <w:t xml:space="preserve">Non ancora pronta per la pubblicazione operativa</w:t>
      </w:r>
      <w:r>
        <w:t xml:space="preserve"> </w:t>
      </w:r>
      <w:r>
        <w:t xml:space="preserve">finché non sono chiuse le verifiche tecniche su Vercel/Supabase (sezione B) e non sono chiariti i tempi tecnici reali per la richiesta manuale di cancellazione account, da comunicare comunque in modo coerente con quanto scritto.</w:t>
      </w:r>
    </w:p>
    <w:p>
      <w:pPr>
        <w:numPr>
          <w:ilvl w:val="0"/>
          <w:numId w:val="1012"/>
        </w:numPr>
        <w:pStyle w:val="Compact"/>
      </w:pPr>
      <w:r>
        <w:rPr>
          <w:bCs/>
          <w:b/>
        </w:rPr>
        <w:t xml:space="preserve">Cookie Policy</w:t>
      </w:r>
      <w:r>
        <w:t xml:space="preserve">: testualmente completa.</w:t>
      </w:r>
      <w:r>
        <w:t xml:space="preserve"> </w:t>
      </w:r>
      <w:r>
        <w:rPr>
          <w:bCs/>
          <w:b/>
        </w:rPr>
        <w:t xml:space="preserve">Pubblicabile subordinatamente</w:t>
      </w:r>
      <w:r>
        <w:t xml:space="preserve"> </w:t>
      </w:r>
      <w:r>
        <w:t xml:space="preserve">alla verifica tecnica finale del runtime cookie/sessione (sezione B), che conferma la classificazione Case A.</w:t>
      </w:r>
    </w:p>
    <w:p>
      <w:pPr>
        <w:numPr>
          <w:ilvl w:val="0"/>
          <w:numId w:val="1012"/>
        </w:numPr>
        <w:pStyle w:val="Compact"/>
      </w:pPr>
      <w:r>
        <w:rPr>
          <w:bCs/>
          <w:b/>
        </w:rPr>
        <w:t xml:space="preserve">Termini d’Uso</w:t>
      </w:r>
      <w:r>
        <w:t xml:space="preserve">: testualmente completi, incluse legge applicabile/foro e modello di accettazione in fase di registrazione.</w:t>
      </w:r>
      <w:r>
        <w:t xml:space="preserve"> </w:t>
      </w:r>
      <w:r>
        <w:rPr>
          <w:bCs/>
          <w:b/>
        </w:rPr>
        <w:t xml:space="preserve">Non ancora pronti per la pubblicazione operativa</w:t>
      </w:r>
      <w:r>
        <w:t xml:space="preserve"> </w:t>
      </w:r>
      <w:r>
        <w:t xml:space="preserve">finché la UI di registrazione non riflette il modello di accettazione descritto (task C.3) e finché il processo di cancellazione account non riflette la preservazione delle entità autonome (task C.1-C.2) nel comportamento reale della piattaforma.</w:t>
      </w:r>
    </w:p>
    <w:p>
      <w:pPr>
        <w:numPr>
          <w:ilvl w:val="0"/>
          <w:numId w:val="1012"/>
        </w:numPr>
        <w:pStyle w:val="Compact"/>
      </w:pPr>
      <w:r>
        <w:rPr>
          <w:bCs/>
          <w:b/>
        </w:rPr>
        <w:t xml:space="preserve">Informativa/Disclaimer dati e fonti esterne</w:t>
      </w:r>
      <w:r>
        <w:t xml:space="preserve">: testualmente completa.</w:t>
      </w:r>
      <w:r>
        <w:t xml:space="preserve"> </w:t>
      </w:r>
      <w:r>
        <w:rPr>
          <w:bCs/>
          <w:b/>
        </w:rPr>
        <w:t xml:space="preserve">Pubblicabile subordinatamente</w:t>
      </w:r>
      <w:r>
        <w:t xml:space="preserve"> </w:t>
      </w:r>
      <w:r>
        <w:t xml:space="preserve">alla riconciliazione dell’elenco delle fonti attive e alla conferma dello stato del registro di licenze/provenance (sezione B).</w:t>
      </w:r>
    </w:p>
    <w:p>
      <w:pPr>
        <w:pStyle w:val="FirstParagraph"/>
      </w:pPr>
      <w:r>
        <w:t xml:space="preserve">In sintesi:</w:t>
      </w:r>
      <w:r>
        <w:t xml:space="preserve"> </w:t>
      </w:r>
      <w:r>
        <w:rPr>
          <w:bCs/>
          <w:b/>
        </w:rPr>
        <w:t xml:space="preserve">il pacchetto testuale è ora completo e coerente</w:t>
      </w:r>
      <w:r>
        <w:t xml:space="preserve">; la pubblicazione operativa resta condizionata alla chiusura delle verifiche tecniche elencate in B e all’implementazione dei task tecnici elencati in C, in modo che il comportamento reale della piattaforma corrisponda a quanto descritto nei testi.</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REVIEW REPORT</dc:title>
  <dc:creator>Progetto Immigrati Imprenditori — Revisione giuridico-redazionale coordinata di Privacy Policy, Cookie Policy, Termini d’Uso, Informativa/Disclaimer su dati e fonti esterne</dc:creator>
  <cp:keywords/>
  <dcterms:created xsi:type="dcterms:W3CDTF">2026-08-11T18:32:03Z</dcterms:created>
  <dcterms:modified xsi:type="dcterms:W3CDTF">2026-08-11T18:32:03Z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Aggiornato — 11 agosto 2026 (seconda revisione, decisioni definitive recepite)</vt:lpwstr>
  </property>
</Properties>
</file>