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Informativa</w:t>
      </w:r>
      <w:r>
        <w:t xml:space="preserve"> </w:t>
      </w:r>
      <w:r>
        <w:t xml:space="preserve">sul</w:t>
      </w:r>
      <w:r>
        <w:t xml:space="preserve"> </w:t>
      </w:r>
      <w:r>
        <w:t xml:space="preserve">trattamento</w:t>
      </w:r>
      <w:r>
        <w:t xml:space="preserve"> </w:t>
      </w:r>
      <w:r>
        <w:t xml:space="preserve">dei</w:t>
      </w:r>
      <w:r>
        <w:t xml:space="preserve"> </w:t>
      </w:r>
      <w:r>
        <w:t xml:space="preserve">dati</w:t>
      </w:r>
      <w:r>
        <w:t xml:space="preserve"> </w:t>
      </w:r>
      <w:r>
        <w:t xml:space="preserve">personali</w:t>
      </w:r>
      <w:r>
        <w:t xml:space="preserve"> </w:t>
      </w:r>
      <w:r>
        <w:t xml:space="preserve">—</w:t>
      </w:r>
      <w:r>
        <w:t xml:space="preserve"> </w:t>
      </w:r>
      <w:r>
        <w:t xml:space="preserve">Immigrati</w:t>
      </w:r>
      <w:r>
        <w:t xml:space="preserve"> </w:t>
      </w:r>
      <w:r>
        <w:t xml:space="preserve">Imprenditori</w:t>
      </w:r>
    </w:p>
    <w:p>
      <w:pPr>
        <w:pStyle w:val="Author"/>
      </w:pPr>
      <w:r>
        <w:t xml:space="preserve">Revisione</w:t>
      </w:r>
      <w:r>
        <w:t xml:space="preserve"> </w:t>
      </w:r>
      <w:r>
        <w:t xml:space="preserve">Claude</w:t>
      </w:r>
      <w:r>
        <w:t xml:space="preserve"> </w:t>
      </w:r>
      <w:r>
        <w:t xml:space="preserve">—</w:t>
      </w:r>
      <w:r>
        <w:t xml:space="preserve"> </w:t>
      </w:r>
      <w:r>
        <w:t xml:space="preserve">versione</w:t>
      </w:r>
      <w:r>
        <w:t xml:space="preserve"> </w:t>
      </w:r>
      <w:r>
        <w:t xml:space="preserve">aggiornata</w:t>
      </w:r>
      <w:r>
        <w:t xml:space="preserve"> </w:t>
      </w:r>
      <w:r>
        <w:t xml:space="preserve">con</w:t>
      </w:r>
      <w:r>
        <w:t xml:space="preserve"> </w:t>
      </w:r>
      <w:r>
        <w:t xml:space="preserve">le</w:t>
      </w:r>
      <w:r>
        <w:t xml:space="preserve"> </w:t>
      </w:r>
      <w:r>
        <w:t xml:space="preserve">decisioni</w:t>
      </w:r>
      <w:r>
        <w:t xml:space="preserve"> </w:t>
      </w:r>
      <w:r>
        <w:t xml:space="preserve">definitive</w:t>
      </w:r>
      <w:r>
        <w:t xml:space="preserve"> </w:t>
      </w:r>
      <w:r>
        <w:t xml:space="preserve">del</w:t>
      </w:r>
      <w:r>
        <w:t xml:space="preserve"> </w:t>
      </w:r>
      <w:r>
        <w:t xml:space="preserve">Titolare</w:t>
      </w:r>
    </w:p>
    <w:p>
      <w:pPr>
        <w:pStyle w:val="Date"/>
      </w:pPr>
      <w:r>
        <w:t xml:space="preserve">Versione:</w:t>
      </w:r>
      <w:r>
        <w:t xml:space="preserve"> </w:t>
      </w:r>
      <w:r>
        <w:t xml:space="preserve">bozza</w:t>
      </w:r>
      <w:r>
        <w:t xml:space="preserve"> </w:t>
      </w:r>
      <w:r>
        <w:t xml:space="preserve">revisionata,</w:t>
      </w:r>
      <w:r>
        <w:t xml:space="preserve"> </w:t>
      </w:r>
      <w:r>
        <w:t xml:space="preserve">11</w:t>
      </w:r>
      <w:r>
        <w:t xml:space="preserve"> </w:t>
      </w:r>
      <w:r>
        <w:t xml:space="preserve">agosto</w:t>
      </w:r>
      <w:r>
        <w:t xml:space="preserve"> </w:t>
      </w:r>
      <w:r>
        <w:t xml:space="preserve">2026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DOCUMENTO DA VERIFICARE PRIMA DELLA PUBBLICAZIONE.</w:t>
      </w:r>
      <w:r>
        <w:t xml:space="preserve"> </w:t>
      </w:r>
      <w:r>
        <w:t xml:space="preserve">Non risultano più decisioni del Titolare aperte in questo documento. Le parti indicate come [VERIFICA TECNICA RICHIESTA] richiedono un dato tecnico o contrattuale da confermare, e le parti indicate come [TASK TECNICO] segnalano funzionalità da implementare prima che il testo sia pienamente operativo; si veda il Legal Review Report per l’elenco completo.</w:t>
      </w:r>
    </w:p>
    <w:p>
      <w:r>
        <w:pict>
          <v:rect style="width:0;height:1.5pt" o:hralign="center" o:hrstd="t" o:hr="t"/>
        </w:pict>
      </w:r>
    </w:p>
    <w:bookmarkStart w:id="20" w:name="titolare-del-trattamento"/>
    <w:p>
      <w:pPr>
        <w:pStyle w:val="Heading1"/>
      </w:pPr>
      <w:r>
        <w:t xml:space="preserve">1. Titolare del trattamento</w:t>
      </w:r>
    </w:p>
    <w:p>
      <w:pPr>
        <w:pStyle w:val="FirstParagraph"/>
      </w:pPr>
      <w:r>
        <w:t xml:space="preserve">Il Titolare del trattamento è</w:t>
      </w:r>
      <w:r>
        <w:t xml:space="preserve"> </w:t>
      </w:r>
      <w:r>
        <w:rPr>
          <w:bCs/>
          <w:b/>
        </w:rPr>
        <w:t xml:space="preserve">Associazione degli Imprenditori e Liberi Professionisti Extracomunitari in Lombardia</w:t>
      </w:r>
      <w:r>
        <w:t xml:space="preserve">, in forma abbreviata</w:t>
      </w:r>
      <w:r>
        <w:t xml:space="preserve"> </w:t>
      </w:r>
      <w:r>
        <w:rPr>
          <w:bCs/>
          <w:b/>
        </w:rPr>
        <w:t xml:space="preserve">AIPEL</w:t>
      </w:r>
      <w:r>
        <w:t xml:space="preserve">, Associazione con sede in Viale Molise n. 54, 20137 Milano (MI), Codice Fiscale 97342380157, Partita IVA 04222160964.</w:t>
      </w:r>
    </w:p>
    <w:p>
      <w:pPr>
        <w:pStyle w:val="BodyText"/>
      </w:pPr>
      <w:r>
        <w:t xml:space="preserve">Contatto per l’esercizio dei diritti privacy e per ogni comunicazione relativa alla protezione dei dati personali: info@immigratiimprenditori.it. Lo stesso indirizzo è utilizzato anche come contatto generale della piattaforma.</w:t>
      </w:r>
    </w:p>
    <w:bookmarkEnd w:id="20"/>
    <w:bookmarkStart w:id="21" w:name="la-piattaforma-e-le-persone-interessate"/>
    <w:p>
      <w:pPr>
        <w:pStyle w:val="Heading1"/>
      </w:pPr>
      <w:r>
        <w:t xml:space="preserve">2. La piattaforma e le persone interessate</w:t>
      </w:r>
    </w:p>
    <w:p>
      <w:pPr>
        <w:pStyle w:val="FirstParagraph"/>
      </w:pPr>
      <w:r>
        <w:t xml:space="preserve">Immigrati Imprenditori è una rete economica e professionale esplorabile pubblicamente, gestita da AIPEL. Permette a persone, professionisti, imprese e organizzazioni di presentarsi, pubblicare informazioni professionali e creare relazioni professionali e imprenditoriali.</w:t>
      </w:r>
    </w:p>
    <w:p>
      <w:pPr>
        <w:pStyle w:val="BodyText"/>
      </w:pPr>
      <w:r>
        <w:t xml:space="preserve">La presente informativa riguarda: visitatori del sito pubblico, utenti registrati, persone con profilo, professionisti, soggetti collegati o abilitati a gestire imprese, referenti di organizzazioni, redattori e amministratori della piattaforma.</w:t>
      </w:r>
    </w:p>
    <w:bookmarkEnd w:id="21"/>
    <w:bookmarkStart w:id="22" w:name="dati-trattati"/>
    <w:p>
      <w:pPr>
        <w:pStyle w:val="Heading1"/>
      </w:pPr>
      <w:r>
        <w:t xml:space="preserve">3. Dati trattati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Credenziali e account</w:t>
      </w:r>
      <w:r>
        <w:t xml:space="preserve">: indirizzo email utilizzato per l’autenticazione, identificativi tecnici, stato dell’account e dati necessari alla gestione della sessione. La password è gestita dal servizio di autenticazione (Supabase Auth) e non è pubblicata né visibile ad AIPEL in chiaro.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Profilo personale</w:t>
      </w:r>
      <w:r>
        <w:t xml:space="preserve">: nome visualizzato, indirizzo pubblico del profilo (slug), biografia, territorio, Paese, sito web, avatar ove previsto, stato di visibilità e altri dati professionali che l’utente sceglie di inserire.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Recapiti professionali facoltativi</w:t>
      </w:r>
      <w:r>
        <w:t xml:space="preserve">: telefono professionale e, ove previsto dal modello applicativo, email professionale/di contatto distinta dall’email di autenticazione. Sono condivisi con la rete solo su scelta dell’utente e sono consultabili dagli utenti registrati secondo le impostazioni disponibili sulla piattaforma.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Dati relativi a imprese, attività professionali, organizzazioni, opportunità, collaborazioni, servizi, eventi e contenuti</w:t>
      </w:r>
      <w:r>
        <w:t xml:space="preserve"> </w:t>
      </w:r>
      <w:r>
        <w:t xml:space="preserve">che l’utente inserisce o gestisce nell’ambito dei propri ruoli e autorizzazioni.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Dati tecnici generati dal sistema</w:t>
      </w:r>
      <w:r>
        <w:t xml:space="preserve">: identificativi, timestamp, stati di pubblicazione, ruoli e autorizzazioni, relazioni di gestione tra utenti ed entità, e altri dati necessari al funzionamento e alla sicurezza della piattaforma.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Dati tecnici di navigazione e log</w:t>
      </w:r>
      <w:r>
        <w:t xml:space="preserve"> </w:t>
      </w:r>
      <w:r>
        <w:t xml:space="preserve">trattati dai fornitori infrastrutturali (Vercel, Supabase) nella misura necessaria all’erogazione e alla sicurezza del servizio.</w:t>
      </w:r>
    </w:p>
    <w:bookmarkEnd w:id="22"/>
    <w:bookmarkStart w:id="23" w:name="Xbc6dbbd1a4ebd15b05b785bca9b18dc9929b95f"/>
    <w:p>
      <w:pPr>
        <w:pStyle w:val="Heading1"/>
      </w:pPr>
      <w:r>
        <w:t xml:space="preserve">4. Dati pubblici, dati della rete e dati privati</w:t>
      </w:r>
    </w:p>
    <w:p>
      <w:pPr>
        <w:pStyle w:val="FirstParagraph"/>
      </w:pPr>
      <w:r>
        <w:t xml:space="preserve">La piattaforma adotta tre livelli funzionali di visibilità. Questa distinzione è un principio cardine di tutta l’informativa ed è coerente con le altre policy della piattaforma (Cookie Policy, Termini d’Uso, Informativa su dati e fonti esterne):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Pubblico (Internet)</w:t>
      </w:r>
      <w:r>
        <w:t xml:space="preserve">: le informazioni destinate alla presentazione nella rete — ad esempio nome, avatar, bio, territorio, competenze, categorie professionali, attività, imprese e organizzazioni pubbliche collegate, servizi, opportunità, collaborazioni, contenuti, sito web professionale — quando il profilo o il relativo contenuto è reso pubblico dall’utente o dal soggetto che lo gestisce. Questi dati possono essere consultati senza autenticazione e possono essere indicizzati dai motori di ricerca (si veda il § 6).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Utenti registrati</w:t>
      </w:r>
      <w:r>
        <w:t xml:space="preserve">: i recapiti professionali che l’interessato sceglie di condividere con la rete (es. telefono professionale, email professionale/di contatto quando prevista) sono visibili solo a chi dispone di un account registrato, secondo il modello di visibilità implementato dalla piattaforma.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Privato</w:t>
      </w:r>
      <w:r>
        <w:t xml:space="preserve">: email utilizzata per l’autenticazione, credenziali, identificativi tecnici, ruoli, autorizzazioni, dati amministrativi e ogni altra informazione non destinata alla rete restano riservati e non sono mai resi pubblici né condivisi con gli utenti registrati.</w:t>
      </w:r>
    </w:p>
    <w:p>
      <w:pPr>
        <w:pStyle w:val="FirstParagraph"/>
      </w:pPr>
      <w:r>
        <w:rPr>
          <w:bCs/>
          <w:b/>
        </w:rPr>
        <w:t xml:space="preserve">Principio fondamentale</w:t>
      </w:r>
      <w:r>
        <w:t xml:space="preserve">: l’email di autenticazione non coincide con l’email professionale di contatto. L’email utilizzata per accedere alla piattaforma non viene mai trasformata automaticamente in un recapito professionale pubblico o condiviso con la rete.</w:t>
      </w:r>
    </w:p>
    <w:p>
      <w:pPr>
        <w:pStyle w:val="BodyText"/>
      </w:pPr>
      <w:r>
        <w:t xml:space="preserve">La pubblicazione di dati professionali su iniziativa dell’utente non è un effetto collaterale indesiderato: è la funzione stessa della piattaforma, che esiste per permettere a persone, professionisti, imprese e organizzazioni di farsi trovare e di entrare in contatto. Resta comunque garantito che: (a) l’utente sceglie attivamente cosa rendere pubblico e cosa condividere solo con gli utenti registrati; (b) tali scelte sono modificabili in ogni momento tramite le funzioni disponibili nell’area riservata; (c) nulla di ciò che l’utente inserisce diventa pubblico senza una sua azione in tal senso.</w:t>
      </w:r>
    </w:p>
    <w:bookmarkEnd w:id="23"/>
    <w:bookmarkStart w:id="24" w:name="X4def4aadb4a0f7db18eebdf6a4c276b6f60eac1"/>
    <w:p>
      <w:pPr>
        <w:pStyle w:val="Heading1"/>
      </w:pPr>
      <w:r>
        <w:t xml:space="preserve">5. Perché trattiamo i dati e basi giuridiche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Finalità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giuridica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Creare e gestire l’account e la sessione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Esecuzione di un contratto (art. 6, par. 1, lett. b, GDPR)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Consentire la creazione, l’aggiornamento e la pubblicazione del profilo su iniziativa dell’utente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Esecuzione di un contratto (art. 6, par. 1, lett. b, GDPR)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Permettere la presentazione e la gestione di imprese, attività professionali e organizzazioni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Esecuzione di un contratto (art. 6, par. 1, lett. b) e, per i controlli di autorizzazione, legittimo interesse del Titolare (art. 6, par. 1, lett. f) a garantire un uso corretto delle funzioni multi-soggetto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Consentire pubblicazione e consultazione di opportunità, collaborazioni, servizi, eventi e contenuti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Esecuzione di un contratto (art. 6, par. 1, lett. b, GDPR)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Favorire la scoperta reciproca e il contatto professionale tra soggetti della rete, tramite recapiti volontariamente condivisi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Esecuzione di un contratto/scelta funzionale dell’utente (art. 6, par. 1, lett. b, GDPR)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Gestire autorizzazioni, moderazione, sicurezza, integrità e funzionamento tecnico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Legittimo interesse del Titolare (art. 6, par. 1, lett. f, GDPR) a garantire la sicurezza e il corretto funzionamento del servizio per tutti gli utenti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Adempiere a obblighi di legge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Obbligo legale (art. 6, par. 1, lett. c, GDPR)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Tutelare e difendere i propri diritti, anche in relazione a dati mantenuti in forma minimizzata dopo la cancellazione di un account (si veda il § 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Legittimo interesse del Titolare (art. 6, par. 1, lett. f, GDPR), quando applicabile</w:t>
            </w:r>
          </w:p>
        </w:tc>
      </w:tr>
    </w:tbl>
    <w:p>
      <w:pPr>
        <w:pStyle w:val="BodyText"/>
      </w:pPr>
      <w:r>
        <w:t xml:space="preserve">Il consenso non è utilizzato come base giuridica generale per le finalità sopra descritte, in quanto non necessario. È riservato a eventuali funzionalità non essenziali che dovessero essere introdotte in futuro (ad esempio comunicazioni promozionali non legate al servizio), e in tal caso sarà richiesto in modo specifico e separato prima dell’attivazione.</w:t>
      </w:r>
    </w:p>
    <w:bookmarkEnd w:id="24"/>
    <w:bookmarkStart w:id="25" w:name="profilo-pubblico-e-indicizzazione"/>
    <w:p>
      <w:pPr>
        <w:pStyle w:val="Heading1"/>
      </w:pPr>
      <w:r>
        <w:t xml:space="preserve">6. Profilo pubblico e indicizzazione</w:t>
      </w:r>
    </w:p>
    <w:p>
      <w:pPr>
        <w:pStyle w:val="FirstParagraph"/>
      </w:pPr>
      <w:r>
        <w:t xml:space="preserve">Quando l’utente rende pubblico il proprio profilo o pubblica informazioni destinate alla rete, tali informazioni possono essere accessibili senza autenticazione e, ove tecnicamente indicizzabili, possono essere rilevate dai motori di ricerca. I recapiti classificati come riservati agli utenti registrati non sono inclusi nelle superfici pubbliche e non sono pertanto indicizzabili.</w:t>
      </w:r>
    </w:p>
    <w:bookmarkEnd w:id="25"/>
    <w:bookmarkStart w:id="26" w:name="contenuti-inseriti-dagli-utenti"/>
    <w:p>
      <w:pPr>
        <w:pStyle w:val="Heading1"/>
      </w:pPr>
      <w:r>
        <w:t xml:space="preserve">7. Contenuti inseriti dagli utenti</w:t>
      </w:r>
    </w:p>
    <w:p>
      <w:pPr>
        <w:pStyle w:val="FirstParagraph"/>
      </w:pPr>
      <w:r>
        <w:t xml:space="preserve">Bio, descrizioni e altri campi liberi possono contenere informazioni inserite direttamente dall’utente. L’utente deve evitare di pubblicare dati personali di terzi senza averne titolo e deve utilizzare i campi della piattaforma in modo coerente con la loro finalità professionale. La licenza concessa ad AIPEL sui contenuti pubblicati dall’utente è descritta nei Termini d’Uso (§7) ed è limitata a quanto necessario per il funzionamento della piattaforma; l’utente mantiene la titolarità dei propri contenuti.</w:t>
      </w:r>
    </w:p>
    <w:bookmarkEnd w:id="26"/>
    <w:bookmarkStart w:id="27" w:name="fornitori-tecnici"/>
    <w:p>
      <w:pPr>
        <w:pStyle w:val="Heading1"/>
      </w:pPr>
      <w:r>
        <w:t xml:space="preserve">8. Fornitori tecnici</w:t>
      </w:r>
    </w:p>
    <w:p>
      <w:pPr>
        <w:pStyle w:val="FirstParagraph"/>
      </w:pPr>
      <w:r>
        <w:t xml:space="preserve">La piattaforma utilizza</w:t>
      </w:r>
      <w:r>
        <w:t xml:space="preserve"> </w:t>
      </w:r>
      <w:r>
        <w:rPr>
          <w:bCs/>
          <w:b/>
        </w:rPr>
        <w:t xml:space="preserve">Vercel</w:t>
      </w:r>
      <w:r>
        <w:t xml:space="preserve"> </w:t>
      </w:r>
      <w:r>
        <w:t xml:space="preserve">per l’erogazione dell’applicazione web e</w:t>
      </w:r>
      <w:r>
        <w:t xml:space="preserve"> </w:t>
      </w:r>
      <w:r>
        <w:rPr>
          <w:bCs/>
          <w:b/>
        </w:rPr>
        <w:t xml:space="preserve">Supabase</w:t>
      </w:r>
      <w:r>
        <w:t xml:space="preserve"> </w:t>
      </w:r>
      <w:r>
        <w:t xml:space="preserve">per servizi che comprendono autenticazione e database. Tali fornitori possono agire come responsabili del trattamento nella misura in cui trattano dati personali per conto di AIPEL.</w:t>
      </w:r>
    </w:p>
    <w:p>
      <w:pPr>
        <w:pStyle w:val="BodyText"/>
      </w:pPr>
      <w:r>
        <w:t xml:space="preserve">Ruoli contrattuali, localizzazione dei trattamenti, eventuali trasferimenti internazionali di dati verso paesi extra-SEE, l’esistenza e i termini di un Data Processing Agreement (DPA) ed eventuali ulteriori subfornitori/subprocessor [VERIFICA TECNICA RICHIESTA — da verificare sulla documentazione contrattuale vigente con Vercel e Supabase prima della pubblicazione definitiva]. Qualora risultassero trasferimenti verso paesi terzi privi di decisione di adeguatezza, AIPEL adotterà le garanzie previste dal Capo V del GDPR (ad esempio Clausole Contrattuali Standard).</w:t>
      </w:r>
    </w:p>
    <w:p>
      <w:pPr>
        <w:pStyle w:val="BodyText"/>
      </w:pPr>
      <w:r>
        <w:t xml:space="preserve">I fornitori tecnici possono mantenere copie di backup dei dati secondo il proprio normale ciclo tecnico; tali copie non costituiscono un archivio operativo di AIPEL e sono soggette a quanto descritto al § 11.</w:t>
      </w:r>
    </w:p>
    <w:bookmarkEnd w:id="27"/>
    <w:bookmarkStart w:id="28" w:name="cookie-e-tecnologie-analoghe"/>
    <w:p>
      <w:pPr>
        <w:pStyle w:val="Heading1"/>
      </w:pPr>
      <w:r>
        <w:t xml:space="preserve">9. Cookie e tecnologie analoghe</w:t>
      </w:r>
    </w:p>
    <w:p>
      <w:pPr>
        <w:pStyle w:val="FirstParagraph"/>
      </w:pPr>
      <w:r>
        <w:t xml:space="preserve">L’audit tecnico attuale non ha rilevato strumenti di analytics, pixel pubblicitari o sistemi di profilazione. Sono utilizzati unicamente meccanismi tecnici necessari alla sessione di autenticazione e alla gestione dell’impresa selezionata nell’area riservata. Per i dettagli si rinvia alla Cookie Policy, che descrive in modo puntuale ogni meccanismo tecnico rilevato.</w:t>
      </w:r>
    </w:p>
    <w:bookmarkEnd w:id="28"/>
    <w:bookmarkStart w:id="29" w:name="conservazione-dei-dati-retention"/>
    <w:p>
      <w:pPr>
        <w:pStyle w:val="Heading1"/>
      </w:pPr>
      <w:r>
        <w:t xml:space="preserve">10. Conservazione dei dati (retention)</w:t>
      </w:r>
    </w:p>
    <w:p>
      <w:pPr>
        <w:pStyle w:val="FirstParagraph"/>
      </w:pPr>
      <w:r>
        <w:t xml:space="preserve">AIPEL non adotta una durata di conservazione unica e arbitraria per tutti i dati. Il principio applicato è il seguente:</w:t>
      </w:r>
    </w:p>
    <w:p>
      <w:pPr>
        <w:numPr>
          <w:ilvl w:val="0"/>
          <w:numId w:val="1003"/>
        </w:numPr>
        <w:pStyle w:val="Compact"/>
      </w:pPr>
      <w:r>
        <w:t xml:space="preserve">ogni categoria di dati è conservata per il periodo necessario alla finalità per cui è trattata;</w:t>
      </w:r>
    </w:p>
    <w:p>
      <w:pPr>
        <w:numPr>
          <w:ilvl w:val="0"/>
          <w:numId w:val="1003"/>
        </w:numPr>
        <w:pStyle w:val="Compact"/>
      </w:pPr>
      <w:r>
        <w:t xml:space="preserve">quando una disposizione normativa impone uno specifico periodo di conservazione, si applica il periodo previsto dalla legge;</w:t>
      </w:r>
    </w:p>
    <w:p>
      <w:pPr>
        <w:numPr>
          <w:ilvl w:val="0"/>
          <w:numId w:val="1003"/>
        </w:numPr>
        <w:pStyle w:val="Compact"/>
      </w:pPr>
      <w:r>
        <w:t xml:space="preserve">quando non esiste un termine legale specifico, la conservazione è limitata al periodo normalmente necessario, proporzionato e giustificabile rispetto alla finalità perseguita;</w:t>
      </w:r>
    </w:p>
    <w:p>
      <w:pPr>
        <w:numPr>
          <w:ilvl w:val="0"/>
          <w:numId w:val="1003"/>
        </w:numPr>
        <w:pStyle w:val="Compact"/>
      </w:pPr>
      <w:r>
        <w:t xml:space="preserve">al termine della necessità di conservazione, i dati sono cancellati definitivamente oppure resi anonimi in modo effettivamente irreversibile, quando l’anonimizzazione è appropriata.</w:t>
      </w:r>
    </w:p>
    <w:p>
      <w:pPr>
        <w:pStyle w:val="FirstParagraph"/>
      </w:pPr>
      <w:r>
        <w:t xml:space="preserve">AIPEL mantiene internamente una modalità organizzativa (retention schedule) più dettagliata per categoria di trattamento, che può essere richiesta consultando il contatto privacy di cui al § 1 [VERIFICA TECNICA RICHIESTA — confermare l’effettiva predisposizione della retention schedule interna prima della pubblicazione].</w:t>
      </w:r>
    </w:p>
    <w:bookmarkEnd w:id="29"/>
    <w:bookmarkStart w:id="30" w:name="cancellazione-dellaccount"/>
    <w:p>
      <w:pPr>
        <w:pStyle w:val="Heading1"/>
      </w:pPr>
      <w:r>
        <w:t xml:space="preserve">11. Cancellazione dell’account</w:t>
      </w:r>
    </w:p>
    <w:p>
      <w:pPr>
        <w:pStyle w:val="FirstParagraph"/>
      </w:pPr>
      <w:r>
        <w:t xml:space="preserve">L’utente potrà richiedere, direttamente dalla propria area riservata, la cancellazione del proprio account.</w:t>
      </w:r>
      <w:r>
        <w:t xml:space="preserve"> </w:t>
      </w:r>
      <w:r>
        <w:rPr>
          <w:bCs/>
          <w:b/>
        </w:rPr>
        <w:t xml:space="preserve">Questa funzione tecnica non è ancora disponibile</w:t>
      </w:r>
      <w:r>
        <w:t xml:space="preserve">: fino alla sua implementazione, la richiesta può essere inviata al contatto privacy indicato al § 1. Trattandosi di un processo operativo non ancora automatizzato, il termine di esecuzione effettivo sarà comunicato al momento della richiesta e sarà comunque contenuto entro un tempo ragionevole; questo termine operativo è distinto dai termini previsti dalla normativa per l’esercizio dei diritti dell’interessato ai sensi del GDPR, descritti al § 12.</w:t>
      </w:r>
    </w:p>
    <w:p>
      <w:pPr>
        <w:pStyle w:val="BodyText"/>
      </w:pPr>
      <w:r>
        <w:t xml:space="preserve">Alla cancellazione dell’account: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cessano l’autenticazione, l’accesso all’area riservata, i ruoli e le autorizzazioni personali</w:t>
      </w:r>
      <w:r>
        <w:t xml:space="preserve"> </w:t>
      </w:r>
      <w:r>
        <w:t xml:space="preserve">dell’utente, nonché i collegamenti di gestione attribuiti a quell’account in quanto dipendenti dalla sua identità;</w:t>
      </w:r>
    </w:p>
    <w:p>
      <w:pPr>
        <w:numPr>
          <w:ilvl w:val="0"/>
          <w:numId w:val="1004"/>
        </w:numPr>
        <w:pStyle w:val="Compact"/>
      </w:pPr>
      <w:r>
        <w:t xml:space="preserve">i dati personali dell’utente per cui non sussiste più una ragione di conservazione sono</w:t>
      </w:r>
      <w:r>
        <w:t xml:space="preserve"> </w:t>
      </w:r>
      <w:r>
        <w:rPr>
          <w:bCs/>
          <w:b/>
        </w:rPr>
        <w:t xml:space="preserve">eliminati dai sistemi operativi</w:t>
      </w:r>
      <w:r>
        <w:t xml:space="preserve">;</w:t>
      </w:r>
    </w:p>
    <w:p>
      <w:pPr>
        <w:numPr>
          <w:ilvl w:val="0"/>
          <w:numId w:val="1004"/>
        </w:numPr>
        <w:pStyle w:val="Compact"/>
      </w:pPr>
      <w:r>
        <w:t xml:space="preserve">i soli dati per cui esiste ancora una concreta ragione di conservazione — ad esempio obblighi di legge, contestazioni in corso o prevedibili, esigenze di sicurezza, prevenzione o accertamento di abusi, tutela o difesa di un diritto, prova delle operazioni quando necessaria — possono essere mantenuti in un</w:t>
      </w:r>
      <w:r>
        <w:t xml:space="preserve"> </w:t>
      </w:r>
      <w:r>
        <w:rPr>
          <w:bCs/>
          <w:b/>
        </w:rPr>
        <w:t xml:space="preserve">archivio separato, non pubblico e ad accesso fortemente limitato</w:t>
      </w:r>
      <w:r>
        <w:t xml:space="preserve">, nella misura minima necessaria a tale scopo. AIPEL non conserva automaticamente una copia integrale del profilo o dell’account dopo la cancellazione.</w:t>
      </w:r>
    </w:p>
    <w:p>
      <w:pPr>
        <w:pStyle w:val="FirstParagraph"/>
      </w:pPr>
      <w:r>
        <w:rPr>
          <w:bCs/>
          <w:b/>
        </w:rPr>
        <w:t xml:space="preserve">La cancellazione dell’account di una persona non comporta l’automatica cancellazione di imprese, organizzazioni, opportunità, eventi, contenuti o altre entità autonome della piattaforma per il solo fatto che quell’utente le amministrava o gestiva.</w:t>
      </w:r>
      <w:r>
        <w:t xml:space="preserve"> </w:t>
      </w:r>
      <w:r>
        <w:t xml:space="preserve">Persona/account, impresa, organizzazione e altre entità della rete sono soggetti distinti, ciascuno con un proprio ciclo di vita. Alla cancellazione dell’account cessa l’autorità di gestione di quella persona sulle entità collegate: se un’entità dispone di altri gestori autorizzati, continua a operare normalmente; se l’account cancellato era l’unico gestore, l’entità può comunque permanere sulla piattaforma secondo il proprio stato, in attesa che la gestione sia attribuita a un altro soggetto tramite le procedure che la piattaforma metterà a disposizione a tal fine [TASK TECNICO — la procedura di riattribuzione della gestione non è ancora implementata]. I contenuti pubblicati dall’utente seguono un regime che dipende dalla loro natura, dalla titolarità, dal rapporto con eventuali entità autonome collegate e dagli obblighi applicabili, e non una regola unica e automatica di cancellazione o conservazione.</w:t>
      </w:r>
    </w:p>
    <w:p>
      <w:pPr>
        <w:pStyle w:val="BodyText"/>
      </w:pPr>
      <w:r>
        <w:t xml:space="preserve">Le copie tecniche di backup dei sistemi possono sopravvivere temporaneamente alla cancellazione secondo il normale ciclo tecnico di backup dei fornitori infrastrutturali; tali copie non costituiscono un archivio operativo, non sono utilizzate per ripristinare volontariamente un account cancellato, restano protette con accesso limitato e vengono eliminate attraverso la normale rotazione dei backup [VERIFICA TECNICA RICHIESTA — durata del ciclo di backup non ancora verificata tecnicamente]. In caso di ripristino da backup per finalità di disaster recovery, le cancellazioni già validamente effettuate sono nuovamente applicate ove tecnicamente necessario.</w:t>
      </w:r>
    </w:p>
    <w:p>
      <w:pPr>
        <w:pStyle w:val="BodyText"/>
      </w:pPr>
      <w:r>
        <w:rPr>
          <w:bCs/>
          <w:b/>
        </w:rPr>
        <w:t xml:space="preserve">La cancellazione dell’account non deve essere confusa con il diritto alla cancellazione previsto dall’art. 17 GDPR.</w:t>
      </w:r>
      <w:r>
        <w:t xml:space="preserve"> </w:t>
      </w:r>
      <w:r>
        <w:t xml:space="preserve">La chiusura volontaria dell’account attiva il processo operativo sopra descritto; le richieste che l’interessato intende formulare ai sensi della normativa sulla protezione dei dati personali (accesso, rettifica, cancellazione, limitazione, opposizione, portabilità) restano disciplinate secondo l’art. 17 e le altre disposizioni applicabili, con presupposti ed eccezioni propri, e possono essere esercitate anche indipendentemente dalla chiusura dell’account (si veda il § 12).</w:t>
      </w:r>
    </w:p>
    <w:bookmarkEnd w:id="30"/>
    <w:bookmarkStart w:id="31" w:name="diritti-dellinteressato"/>
    <w:p>
      <w:pPr>
        <w:pStyle w:val="Heading1"/>
      </w:pPr>
      <w:r>
        <w:t xml:space="preserve">12. Diritti dell’interessato</w:t>
      </w:r>
    </w:p>
    <w:p>
      <w:pPr>
        <w:pStyle w:val="FirstParagraph"/>
      </w:pPr>
      <w:r>
        <w:t xml:space="preserve">Nei casi previsti dalla normativa applicabile, l’interessato può esercitare i diritti di accesso, rettifica, cancellazione, limitazione, opposizione e portabilità, nonché revocare un eventuale consenso senza pregiudicare la liceità del trattamento precedente. Le richieste possono essere inviate al contatto privacy indicato al § 1. AIPEL fornisce riscontro senza ingiustificato ritardo e, in ogni caso, entro un mese dal ricevimento della richiesta, termine prorogabile di due mesi ove necessario in considerazione della complessità e del numero delle richieste, con informazione all’interessato entro un mese dal ricevimento della richiesta, come previsto dall’art. 12, par. 3, GDPR. È inoltre possibile proporre reclamo al Garante per la protezione dei dati personali (www.garanteprivacy.it) o all’autorità di controllo competente.</w:t>
      </w:r>
    </w:p>
    <w:bookmarkEnd w:id="31"/>
    <w:bookmarkStart w:id="32" w:name="minori"/>
    <w:p>
      <w:pPr>
        <w:pStyle w:val="Heading1"/>
      </w:pPr>
      <w:r>
        <w:t xml:space="preserve">13. Minori</w:t>
      </w:r>
    </w:p>
    <w:p>
      <w:pPr>
        <w:pStyle w:val="FirstParagraph"/>
      </w:pPr>
      <w:r>
        <w:t xml:space="preserve">L’utilizzo della piattaforma è riservato a utenti che abbiano compiuto</w:t>
      </w:r>
      <w:r>
        <w:t xml:space="preserve"> </w:t>
      </w:r>
      <w:r>
        <w:rPr>
          <w:bCs/>
          <w:b/>
        </w:rPr>
        <w:t xml:space="preserve">18 anni di età</w:t>
      </w:r>
      <w:r>
        <w:t xml:space="preserve">. AIPEL non tratta consapevolmente dati di minorenni. Qualora venisse a conoscenza di un account riconducibile a un minorenne, AIPEL provvede alla disattivazione dell’account e alla cancellazione dei relativi dati, salvo diversi obblighi di legge.</w:t>
      </w:r>
    </w:p>
    <w:bookmarkEnd w:id="32"/>
    <w:bookmarkStart w:id="33" w:name="decisioni-automatizzate-e-profilazione"/>
    <w:p>
      <w:pPr>
        <w:pStyle w:val="Heading1"/>
      </w:pPr>
      <w:r>
        <w:t xml:space="preserve">14. Decisioni automatizzate e profilazione</w:t>
      </w:r>
    </w:p>
    <w:p>
      <w:pPr>
        <w:pStyle w:val="FirstParagraph"/>
      </w:pPr>
      <w:r>
        <w:t xml:space="preserve">L’audit tecnico non ha rilevato sistemi di profilazione comportamentale, pubblicità personalizzata o decisioni automatizzate con effetti giuridici o analogamente significativi sull’interessato ai sensi dell’art. 22 GDPR. Le normali funzioni di ricerca, filtro, autorizzazione e controllo degli accessi non costituiscono sistemi di profilazione commerciale.</w:t>
      </w:r>
    </w:p>
    <w:bookmarkEnd w:id="33"/>
    <w:bookmarkStart w:id="34" w:name="sicurezza"/>
    <w:p>
      <w:pPr>
        <w:pStyle w:val="Heading1"/>
      </w:pPr>
      <w:r>
        <w:t xml:space="preserve">15. Sicurezza</w:t>
      </w:r>
    </w:p>
    <w:p>
      <w:pPr>
        <w:pStyle w:val="FirstParagraph"/>
      </w:pPr>
      <w:r>
        <w:t xml:space="preserve">La piattaforma adotta misure tecniche e organizzative comprendenti la separazione tra aree pubbliche e riservate, l’autenticazione, i controlli di accesso e policy di sicurezza a livello database. Nessuna misura tecnica può tuttavia eliminare ogni rischio connesso alla trasmissione e alla conservazione di informazioni online.</w:t>
      </w:r>
    </w:p>
    <w:bookmarkEnd w:id="34"/>
    <w:bookmarkStart w:id="35" w:name="aggiornamenti"/>
    <w:p>
      <w:pPr>
        <w:pStyle w:val="Heading1"/>
      </w:pPr>
      <w:r>
        <w:t xml:space="preserve">16. Aggiornamenti</w:t>
      </w:r>
    </w:p>
    <w:p>
      <w:pPr>
        <w:pStyle w:val="FirstParagraph"/>
      </w:pPr>
      <w:r>
        <w:t xml:space="preserve">La presente informativa potrà essere aggiornata per riflettere modifiche del servizio, dei fornitori o della normativa applicabile. La versione pubblicata indicherà la data dell’ultimo aggiornamento.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Documento predisposto in fase di revisione. Non risultano decisioni del Titolare ancora aperte. I punti contrassegnati come [VERIFICA TECNICA RICHIESTA] o [TASK TECNICO] devono essere chiusi/implementati prima che la piattaforma operi pienamente secondo quanto descritto; il testo resta comunque coerente con lo stato tecnico attuale.</w:t>
      </w:r>
    </w:p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Informativa sul trattamento dei dati personali — Immigrati Imprenditori</dc:title>
  <dc:creator>Revisione Claude — versione aggiornata con le decisioni definitive del Titolare</dc:creator>
  <cp:keywords/>
  <dcterms:created xsi:type="dcterms:W3CDTF">2026-08-11T18:32:04Z</dcterms:created>
  <dcterms:modified xsi:type="dcterms:W3CDTF">2026-08-11T18:32:04Z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Versione: bozza revisionata, 11 agosto 2026</vt:lpwstr>
  </property>
</Properties>
</file>