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Cookie</w:t>
      </w:r>
      <w:r>
        <w:t xml:space="preserve"> </w:t>
      </w:r>
      <w:r>
        <w:t xml:space="preserve">e</w:t>
      </w:r>
      <w:r>
        <w:t xml:space="preserve"> </w:t>
      </w:r>
      <w:r>
        <w:t xml:space="preserve">tecnologie</w:t>
      </w:r>
      <w:r>
        <w:t xml:space="preserve"> </w:t>
      </w:r>
      <w:r>
        <w:t xml:space="preserve">di</w:t>
      </w:r>
      <w:r>
        <w:t xml:space="preserve"> </w:t>
      </w:r>
      <w:r>
        <w:t xml:space="preserve">memorizzazione</w:t>
      </w:r>
      <w:r>
        <w:t xml:space="preserve"> </w:t>
      </w:r>
      <w:r>
        <w:t xml:space="preserve">—</w:t>
      </w:r>
      <w:r>
        <w:t xml:space="preserve"> </w:t>
      </w:r>
      <w:r>
        <w:t xml:space="preserve">Immigrati</w:t>
      </w:r>
      <w:r>
        <w:t xml:space="preserve"> </w:t>
      </w:r>
      <w:r>
        <w:t xml:space="preserve">Imprenditori</w:t>
      </w:r>
    </w:p>
    <w:p>
      <w:pPr>
        <w:pStyle w:val="Author"/>
      </w:pPr>
      <w:r>
        <w:t xml:space="preserve">Revisione</w:t>
      </w:r>
      <w:r>
        <w:t xml:space="preserve"> </w:t>
      </w:r>
      <w:r>
        <w:t xml:space="preserve">Claude</w:t>
      </w:r>
      <w:r>
        <w:t xml:space="preserve"> </w:t>
      </w:r>
      <w:r>
        <w:t xml:space="preserve">—</w:t>
      </w:r>
      <w:r>
        <w:t xml:space="preserve"> </w:t>
      </w:r>
      <w:r>
        <w:t xml:space="preserve">versione</w:t>
      </w:r>
      <w:r>
        <w:t xml:space="preserve"> </w:t>
      </w:r>
      <w:r>
        <w:t xml:space="preserve">aggiornata</w:t>
      </w:r>
      <w:r>
        <w:t xml:space="preserve"> </w:t>
      </w:r>
      <w:r>
        <w:t xml:space="preserve">con</w:t>
      </w:r>
      <w:r>
        <w:t xml:space="preserve"> </w:t>
      </w:r>
      <w:r>
        <w:t xml:space="preserve">le</w:t>
      </w:r>
      <w:r>
        <w:t xml:space="preserve"> </w:t>
      </w:r>
      <w:r>
        <w:t xml:space="preserve">decisioni</w:t>
      </w:r>
      <w:r>
        <w:t xml:space="preserve"> </w:t>
      </w:r>
      <w:r>
        <w:t xml:space="preserve">definitive</w:t>
      </w:r>
      <w:r>
        <w:t xml:space="preserve"> </w:t>
      </w:r>
      <w:r>
        <w:t xml:space="preserve">del</w:t>
      </w:r>
      <w:r>
        <w:t xml:space="preserve"> </w:t>
      </w:r>
      <w:r>
        <w:t xml:space="preserve">Titolare</w:t>
      </w:r>
    </w:p>
    <w:p>
      <w:pPr>
        <w:pStyle w:val="Date"/>
      </w:pPr>
      <w:r>
        <w:t xml:space="preserve">Versione:</w:t>
      </w:r>
      <w:r>
        <w:t xml:space="preserve"> </w:t>
      </w:r>
      <w:r>
        <w:t xml:space="preserve">bozza</w:t>
      </w:r>
      <w:r>
        <w:t xml:space="preserve"> </w:t>
      </w:r>
      <w:r>
        <w:t xml:space="preserve">revisionata,</w:t>
      </w:r>
      <w:r>
        <w:t xml:space="preserve"> </w:t>
      </w:r>
      <w:r>
        <w:t xml:space="preserve">11</w:t>
      </w:r>
      <w:r>
        <w:t xml:space="preserve"> </w:t>
      </w:r>
      <w:r>
        <w:t xml:space="preserve">agosto</w:t>
      </w:r>
      <w:r>
        <w:t xml:space="preserve"> </w:t>
      </w:r>
      <w:r>
        <w:t xml:space="preserve">2026</w:t>
      </w:r>
    </w:p>
    <w:p>
      <w:r>
        <w:pict>
          <v:rect style="width:0;height:1.5pt" o:hralign="center" o:hrstd="t" o:hr="t"/>
        </w:pict>
      </w:r>
    </w:p>
    <w:p>
      <w:pPr>
        <w:pStyle w:val="FirstParagraph"/>
      </w:pPr>
      <w:r>
        <w:rPr>
          <w:bCs/>
          <w:b/>
        </w:rPr>
        <w:t xml:space="preserve">DOCUMENTO DA VERIFICARE PRIMA DELLA PUBBLICAZIONE.</w:t>
      </w:r>
      <w:r>
        <w:t xml:space="preserve"> </w:t>
      </w:r>
      <w:r>
        <w:t xml:space="preserve">Le parti indicate come [VERIFICA TECNICA RICHIESTA] richiedono una verifica di AIPEL prima della pubblicazione definitiva. Tutti i dati identificativi del Titolare sono stati completati.</w:t>
      </w:r>
    </w:p>
    <w:p>
      <w:r>
        <w:pict>
          <v:rect style="width:0;height:1.5pt" o:hralign="center" o:hrstd="t" o:hr="t"/>
        </w:pict>
      </w:r>
    </w:p>
    <w:bookmarkStart w:id="20" w:name="cosa-utilizza-oggi-il-sito"/>
    <w:p>
      <w:pPr>
        <w:pStyle w:val="Heading1"/>
      </w:pPr>
      <w:r>
        <w:t xml:space="preserve">1. Cosa utilizza oggi il sito</w:t>
      </w:r>
    </w:p>
    <w:p>
      <w:pPr>
        <w:pStyle w:val="FirstParagraph"/>
      </w:pPr>
      <w:r>
        <w:t xml:space="preserve">Sulla base dell’audit tecnico condotto sul codice della piattaforma, il sito rientra attualmente nel</w:t>
      </w:r>
      <w:r>
        <w:t xml:space="preserve"> </w:t>
      </w:r>
      <w:r>
        <w:rPr>
          <w:bCs/>
          <w:b/>
        </w:rPr>
        <w:t xml:space="preserve">Case A</w:t>
      </w:r>
      <w:r>
        <w:t xml:space="preserve">: non sono stati rilevati strumenti di analytics, pixel pubblicitari, piattaforme di gestione del consenso (CMP) o tracker di marketing. Sono presenti soltanto meccanismi tecnici strettamente collegati al funzionamento della piattaforma, descritti nei paragrafi seguenti.</w:t>
      </w:r>
    </w:p>
    <w:bookmarkEnd w:id="20"/>
    <w:bookmarkStart w:id="21" w:name="cookiesessione-di-autenticazione"/>
    <w:p>
      <w:pPr>
        <w:pStyle w:val="Heading1"/>
      </w:pPr>
      <w:r>
        <w:t xml:space="preserve">2. Cookie/sessione di autenticazione</w:t>
      </w:r>
    </w:p>
    <w:p>
      <w:pPr>
        <w:pStyle w:val="FirstParagraph"/>
      </w:pPr>
      <w:r>
        <w:t xml:space="preserve">Supabase Auth, integrato con l’applicazione, utilizza meccanismi di sessione necessari a riconoscere l’utente autenticato e a mantenere l’accesso all’area riservata. Nomi, durata e attributi effettivi dei cookie di autenticazione [VERIFICA TECNICA RICHIESTA — da confermare rispetto alla configurazione runtime e alla documentazione corrente di Supabase prima della pubblicazione definitiva]. Questi cookie sono strettamente necessari all’erogazione del servizio richiesto dall’utente (accesso all’area riservata) e non richiedono consenso preventivo ai sensi dell’art. 122 del Codice in materia di protezione dei dati personali.</w:t>
      </w:r>
    </w:p>
    <w:bookmarkEnd w:id="21"/>
    <w:bookmarkStart w:id="22" w:name="preferenza-impresa-selezionata"/>
    <w:p>
      <w:pPr>
        <w:pStyle w:val="Heading1"/>
      </w:pPr>
      <w:r>
        <w:t xml:space="preserve">3. Preferenza impresa selezionata</w:t>
      </w:r>
    </w:p>
    <w:p>
      <w:pPr>
        <w:pStyle w:val="FirstParagraph"/>
      </w:pPr>
      <w:r>
        <w:t xml:space="preserve">La piattaforma utilizza il cookie</w:t>
      </w:r>
      <w:r>
        <w:t xml:space="preserve"> </w:t>
      </w:r>
      <w:r>
        <w:rPr>
          <w:rStyle w:val="VerbatimChar"/>
        </w:rPr>
        <w:t xml:space="preserve">ii_selected_business_id</w:t>
      </w:r>
      <w:r>
        <w:t xml:space="preserve"> </w:t>
      </w:r>
      <w:r>
        <w:t xml:space="preserve">per ricordare l’impresa selezionata dall’utente nell’area riservata. L’audit tecnico lo ha classificato come cookie funzionale/tecnico, di tipo HttpOnly, con durata tecnica indicata di 90 giorni. Anche questo cookie è strettamente necessario al funzionamento della funzione per cui è utilizzato e non richiede consenso preventivo.</w:t>
      </w:r>
    </w:p>
    <w:bookmarkEnd w:id="22"/>
    <w:bookmarkStart w:id="23" w:name="cosa-non-è-stato-rilevato"/>
    <w:p>
      <w:pPr>
        <w:pStyle w:val="Heading1"/>
      </w:pPr>
      <w:r>
        <w:t xml:space="preserve">4. Cosa non è stato rilevato</w:t>
      </w:r>
    </w:p>
    <w:p>
      <w:pPr>
        <w:pStyle w:val="FirstParagraph"/>
      </w:pPr>
      <w:r>
        <w:t xml:space="preserve">L’audit tecnico non ha rilevato, alla data della presente policy:</w:t>
      </w:r>
    </w:p>
    <w:p>
      <w:pPr>
        <w:numPr>
          <w:ilvl w:val="0"/>
          <w:numId w:val="1001"/>
        </w:numPr>
        <w:pStyle w:val="Compact"/>
      </w:pPr>
      <w:r>
        <w:t xml:space="preserve">Google Analytics o Google Tag Manager;</w:t>
      </w:r>
    </w:p>
    <w:p>
      <w:pPr>
        <w:numPr>
          <w:ilvl w:val="0"/>
          <w:numId w:val="1001"/>
        </w:numPr>
        <w:pStyle w:val="Compact"/>
      </w:pPr>
      <w:r>
        <w:t xml:space="preserve">Meta/Facebook Pixel;</w:t>
      </w:r>
    </w:p>
    <w:p>
      <w:pPr>
        <w:numPr>
          <w:ilvl w:val="0"/>
          <w:numId w:val="1001"/>
        </w:numPr>
        <w:pStyle w:val="Compact"/>
      </w:pPr>
      <w:r>
        <w:t xml:space="preserve">LinkedIn Insight Tag;</w:t>
      </w:r>
    </w:p>
    <w:p>
      <w:pPr>
        <w:numPr>
          <w:ilvl w:val="0"/>
          <w:numId w:val="1001"/>
        </w:numPr>
        <w:pStyle w:val="Compact"/>
      </w:pPr>
      <w:r>
        <w:t xml:space="preserve">Hotjar, Microsoft Clarity, PostHog o Plausible;</w:t>
      </w:r>
    </w:p>
    <w:p>
      <w:pPr>
        <w:numPr>
          <w:ilvl w:val="0"/>
          <w:numId w:val="1001"/>
        </w:numPr>
        <w:pStyle w:val="Compact"/>
      </w:pPr>
      <w:r>
        <w:t xml:space="preserve">Vercel Analytics o Speed Insights integrati nel codice applicativo;</w:t>
      </w:r>
    </w:p>
    <w:p>
      <w:pPr>
        <w:numPr>
          <w:ilvl w:val="0"/>
          <w:numId w:val="1001"/>
        </w:numPr>
        <w:pStyle w:val="Compact"/>
      </w:pPr>
      <w:r>
        <w:t xml:space="preserve">cookie di marketing o di profilazione;</w:t>
      </w:r>
    </w:p>
    <w:p>
      <w:pPr>
        <w:numPr>
          <w:ilvl w:val="0"/>
          <w:numId w:val="1001"/>
        </w:numPr>
        <w:pStyle w:val="Compact"/>
      </w:pPr>
      <w:r>
        <w:t xml:space="preserve">piattaforme di gestione del consenso (CMP).</w:t>
      </w:r>
    </w:p>
    <w:bookmarkEnd w:id="23"/>
    <w:bookmarkStart w:id="24" w:name="consenso-e-banner-cookie"/>
    <w:p>
      <w:pPr>
        <w:pStyle w:val="Heading1"/>
      </w:pPr>
      <w:r>
        <w:t xml:space="preserve">5. Consenso e banner cookie</w:t>
      </w:r>
    </w:p>
    <w:p>
      <w:pPr>
        <w:pStyle w:val="FirstParagraph"/>
      </w:pPr>
      <w:r>
        <w:t xml:space="preserve">Alla data della presente policy, l’audit tecnico non ha rilevato tecnologie non necessarie che richiedano un meccanismo di consenso preventivo. Per questo motivo la piattaforma non mostra un banner di consenso cookie meramente formale, in coerenza con l’esenzione prevista per i cookie tecnici/strettamente necessari. Resta fermo l’obbligo di informativa, assolto tramite la presente Cookie Policy. Qualora venissero introdotti in futuro strumenti non necessari, la piattaforma introdurrà un banner di consenso conforme prima della loro attivazione (si veda il § 8).</w:t>
      </w:r>
    </w:p>
    <w:p>
      <w:pPr>
        <w:pStyle w:val="BodyText"/>
      </w:pPr>
      <w:r>
        <w:t xml:space="preserve">La classificazione giuridica dei singoli meccanismi tecnici sopra descritti [VERIFICA TECNICA RICHIESTA — da confermare rispetto alla configurazione runtime effettiva prima della pubblicazione definitiva].</w:t>
      </w:r>
    </w:p>
    <w:bookmarkEnd w:id="24"/>
    <w:bookmarkStart w:id="25" w:name="servizi-infrastrutturali"/>
    <w:p>
      <w:pPr>
        <w:pStyle w:val="Heading1"/>
      </w:pPr>
      <w:r>
        <w:t xml:space="preserve">6. Servizi infrastrutturali</w:t>
      </w:r>
    </w:p>
    <w:p>
      <w:pPr>
        <w:pStyle w:val="FirstParagraph"/>
      </w:pPr>
      <w:r>
        <w:t xml:space="preserve">Il sito è erogato tramite</w:t>
      </w:r>
      <w:r>
        <w:t xml:space="preserve"> </w:t>
      </w:r>
      <w:r>
        <w:rPr>
          <w:bCs/>
          <w:b/>
        </w:rPr>
        <w:t xml:space="preserve">Vercel</w:t>
      </w:r>
      <w:r>
        <w:t xml:space="preserve"> </w:t>
      </w:r>
      <w:r>
        <w:t xml:space="preserve">e utilizza</w:t>
      </w:r>
      <w:r>
        <w:t xml:space="preserve"> </w:t>
      </w:r>
      <w:r>
        <w:rPr>
          <w:bCs/>
          <w:b/>
        </w:rPr>
        <w:t xml:space="preserve">Supabase</w:t>
      </w:r>
      <w:r>
        <w:t xml:space="preserve">. Tali fornitori possono trattare dati tecnici nell’ambito dell’erogazione, della sicurezza e della gestione dei propri servizi. La presente Cookie Policy descrive le tecnologie di memorizzazione rilevate nell’applicazione lato utente; gli aspetti contrattuali e i trattamenti infrastrutturali sono coordinati con la Privacy Policy, cui si rinvia per la sezione dedicata ai fornitori tecnici.</w:t>
      </w:r>
    </w:p>
    <w:bookmarkEnd w:id="25"/>
    <w:bookmarkStart w:id="26" w:name="local-storage-e-altre-tecnologie"/>
    <w:p>
      <w:pPr>
        <w:pStyle w:val="Heading1"/>
      </w:pPr>
      <w:r>
        <w:t xml:space="preserve">7. Local storage e altre tecnologie</w:t>
      </w:r>
    </w:p>
    <w:p>
      <w:pPr>
        <w:pStyle w:val="FirstParagraph"/>
      </w:pPr>
      <w:r>
        <w:t xml:space="preserve">L’audit tecnico non ha rilevato un utilizzo applicativo rilevante di localStorage, sessionStorage, IndexedDB o tecnologie analoghe per finalità di analytics, marketing o profilazione. L’eventuale futura introduzione di tali tecnologie per queste finalità dovrà essere rivalutata e, se del caso, resa oggetto di consenso prima del rilascio.</w:t>
      </w:r>
    </w:p>
    <w:bookmarkEnd w:id="26"/>
    <w:bookmarkStart w:id="27" w:name="futuri-analytics-o-servizi-di-terzi"/>
    <w:p>
      <w:pPr>
        <w:pStyle w:val="Heading1"/>
      </w:pPr>
      <w:r>
        <w:t xml:space="preserve">8. Futuri analytics o servizi di terzi</w:t>
      </w:r>
    </w:p>
    <w:p>
      <w:pPr>
        <w:pStyle w:val="FirstParagraph"/>
      </w:pPr>
      <w:r>
        <w:t xml:space="preserve">Se in futuro verranno introdotti analytics non necessari, strumenti pubblicitari, social embed o altri servizi che richiedano consenso, la piattaforma aggiornerà la presente policy e introdurrà un banner di consenso conforme, impedendo l’attivazione di tali strumenti fino alla scelta dell’utente.</w:t>
      </w:r>
    </w:p>
    <w:bookmarkEnd w:id="27"/>
    <w:bookmarkStart w:id="28" w:name="Xad53c700572685b394be56916a6efea92dc345f"/>
    <w:p>
      <w:pPr>
        <w:pStyle w:val="Heading1"/>
      </w:pPr>
      <w:r>
        <w:t xml:space="preserve">9. Gestione e cancellazione dei cookie da parte dell’utente</w:t>
      </w:r>
    </w:p>
    <w:p>
      <w:pPr>
        <w:pStyle w:val="FirstParagraph"/>
      </w:pPr>
      <w:r>
        <w:t xml:space="preserve">L’utente può gestire o cancellare i cookie tramite le impostazioni del proprio browser. La rimozione dei cookie tecnici di sessione può comportare la disconnessione dall’area riservata o impedire il corretto funzionamento di alcune funzioni riservate (ad esempio la memorizzazione dell’impresa selezionata).</w:t>
      </w:r>
    </w:p>
    <w:bookmarkEnd w:id="28"/>
    <w:bookmarkStart w:id="29" w:name="titolare-e-contatti"/>
    <w:p>
      <w:pPr>
        <w:pStyle w:val="Heading1"/>
      </w:pPr>
      <w:r>
        <w:t xml:space="preserve">10. Titolare e contatti</w:t>
      </w:r>
    </w:p>
    <w:p>
      <w:pPr>
        <w:pStyle w:val="FirstParagraph"/>
      </w:pPr>
      <w:r>
        <w:t xml:space="preserve">Titolare:</w:t>
      </w:r>
      <w:r>
        <w:t xml:space="preserve"> </w:t>
      </w:r>
      <w:r>
        <w:rPr>
          <w:bCs/>
          <w:b/>
        </w:rPr>
        <w:t xml:space="preserve">Associazione degli Imprenditori e Liberi Professionisti Extracomunitari in Lombardia</w:t>
      </w:r>
      <w:r>
        <w:t xml:space="preserve"> </w:t>
      </w:r>
      <w:r>
        <w:t xml:space="preserve">(AIPEL), Associazione con sede in Viale Molise n. 54, 20137 Milano (MI), Codice Fiscale 97342380157, Partita IVA 04222160964. Contatto privacy/cookie: info@immigratiimprenditori.it.</w:t>
      </w:r>
    </w:p>
    <w:bookmarkEnd w:id="29"/>
    <w:bookmarkStart w:id="30" w:name="aggiornamenti"/>
    <w:p>
      <w:pPr>
        <w:pStyle w:val="Heading1"/>
      </w:pPr>
      <w:r>
        <w:t xml:space="preserve">11. Aggiornamenti</w:t>
      </w:r>
    </w:p>
    <w:p>
      <w:pPr>
        <w:pStyle w:val="FirstParagraph"/>
      </w:pPr>
      <w:r>
        <w:t xml:space="preserve">La presente Cookie Policy deve essere riesaminata ogni volta che vengono introdotti nuovi strumenti di analytics, pubblicità, embed, CMP o tecnologie di memorizzazione lato utente, in modo da riflettere sempre lo stato attuale del sito.</w:t>
      </w:r>
    </w:p>
    <w:p>
      <w:r>
        <w:pict>
          <v:rect style="width:0;height:1.5pt" o:hralign="center" o:hrstd="t" o:hr="t"/>
        </w:pict>
      </w:r>
    </w:p>
    <w:p>
      <w:pPr>
        <w:pStyle w:val="FirstParagraph"/>
      </w:pPr>
      <w:r>
        <w:rPr>
          <w:iCs/>
          <w:i/>
        </w:rPr>
        <w:t xml:space="preserve">Documento predisposto in fase di revisione. I punti contrassegnati come [VERIFICA TECNICA RICHIESTA] devono essere chiusi prima della pubblicazione della presente policy.</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Cookie e tecnologie di memorizzazione — Immigrati Imprenditori</dc:title>
  <dc:creator>Revisione Claude — versione aggiornata con le decisioni definitive del Titolare</dc:creator>
  <cp:keywords/>
  <dcterms:created xsi:type="dcterms:W3CDTF">2026-08-11T18:32:04Z</dcterms:created>
  <dcterms:modified xsi:type="dcterms:W3CDTF">2026-08-11T18:32:04Z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Versione: bozza revisionata, 11 agosto 2026</vt:lpwstr>
  </property>
</Properties>
</file>