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Condizioni</w:t>
      </w:r>
      <w:r>
        <w:t xml:space="preserve"> </w:t>
      </w:r>
      <w:r>
        <w:t xml:space="preserve">di</w:t>
      </w:r>
      <w:r>
        <w:t xml:space="preserve"> </w:t>
      </w:r>
      <w:r>
        <w:t xml:space="preserve">utilizzo</w:t>
      </w:r>
      <w:r>
        <w:t xml:space="preserve"> </w:t>
      </w:r>
      <w:r>
        <w:t xml:space="preserve">della</w:t>
      </w:r>
      <w:r>
        <w:t xml:space="preserve"> </w:t>
      </w:r>
      <w:r>
        <w:t xml:space="preserve">piattaforma</w:t>
      </w:r>
      <w:r>
        <w:t xml:space="preserve"> </w:t>
      </w:r>
      <w:r>
        <w:t xml:space="preserve">Immigrati</w:t>
      </w:r>
      <w:r>
        <w:t xml:space="preserve"> </w:t>
      </w:r>
      <w:r>
        <w:t xml:space="preserve">Imprenditori</w:t>
      </w:r>
    </w:p>
    <w:p>
      <w:pPr>
        <w:pStyle w:val="Author"/>
      </w:pPr>
      <w:r>
        <w:t xml:space="preserve">Revisione</w:t>
      </w:r>
      <w:r>
        <w:t xml:space="preserve"> </w:t>
      </w:r>
      <w:r>
        <w:t xml:space="preserve">Claude</w:t>
      </w:r>
      <w:r>
        <w:t xml:space="preserve"> </w:t>
      </w:r>
      <w:r>
        <w:t xml:space="preserve">—</w:t>
      </w:r>
      <w:r>
        <w:t xml:space="preserve"> </w:t>
      </w:r>
      <w:r>
        <w:t xml:space="preserve">versione</w:t>
      </w:r>
      <w:r>
        <w:t xml:space="preserve"> </w:t>
      </w:r>
      <w:r>
        <w:t xml:space="preserve">aggiornata</w:t>
      </w:r>
      <w:r>
        <w:t xml:space="preserve"> </w:t>
      </w:r>
      <w:r>
        <w:t xml:space="preserve">con</w:t>
      </w:r>
      <w:r>
        <w:t xml:space="preserve"> </w:t>
      </w:r>
      <w:r>
        <w:t xml:space="preserve">le</w:t>
      </w:r>
      <w:r>
        <w:t xml:space="preserve"> </w:t>
      </w:r>
      <w:r>
        <w:t xml:space="preserve">decisioni</w:t>
      </w:r>
      <w:r>
        <w:t xml:space="preserve"> </w:t>
      </w:r>
      <w:r>
        <w:t xml:space="preserve">definitive</w:t>
      </w:r>
      <w:r>
        <w:t xml:space="preserve"> </w:t>
      </w:r>
      <w:r>
        <w:t xml:space="preserve">del</w:t>
      </w:r>
      <w:r>
        <w:t xml:space="preserve"> </w:t>
      </w:r>
      <w:r>
        <w:t xml:space="preserve">Titolare</w:t>
      </w:r>
    </w:p>
    <w:p>
      <w:pPr>
        <w:pStyle w:val="Date"/>
      </w:pPr>
      <w:r>
        <w:t xml:space="preserve">Versione:</w:t>
      </w:r>
      <w:r>
        <w:t xml:space="preserve"> </w:t>
      </w:r>
      <w:r>
        <w:t xml:space="preserve">bozza</w:t>
      </w:r>
      <w:r>
        <w:t xml:space="preserve"> </w:t>
      </w:r>
      <w:r>
        <w:t xml:space="preserve">revisionata,</w:t>
      </w:r>
      <w:r>
        <w:t xml:space="preserve"> </w:t>
      </w:r>
      <w:r>
        <w:t xml:space="preserve">11</w:t>
      </w:r>
      <w:r>
        <w:t xml:space="preserve"> </w:t>
      </w:r>
      <w:r>
        <w:t xml:space="preserve">agosto</w:t>
      </w:r>
      <w:r>
        <w:t xml:space="preserve"> </w:t>
      </w:r>
      <w:r>
        <w:t xml:space="preserve">2026</w:t>
      </w:r>
    </w:p>
    <w:p>
      <w:r>
        <w:pict>
          <v:rect style="width:0;height:1.5pt" o:hralign="center" o:hrstd="t" o:hr="t"/>
        </w:pict>
      </w:r>
    </w:p>
    <w:p>
      <w:pPr>
        <w:pStyle w:val="FirstParagraph"/>
      </w:pPr>
      <w:r>
        <w:rPr>
          <w:bCs/>
          <w:b/>
        </w:rPr>
        <w:t xml:space="preserve">DOCUMENTO DA VERIFICARE PRIMA DELLA PUBBLICAZIONE.</w:t>
      </w:r>
      <w:r>
        <w:t xml:space="preserve"> </w:t>
      </w:r>
      <w:r>
        <w:t xml:space="preserve">Non risultano più decisioni del Titolare aperte in questo documento. Le parti indicate come [TASK TECNICO] segnalano funzionalità da implementare prima che il testo possa considerarsi pienamente operativo; si veda il Legal Review Report per l’elenco completo.</w:t>
      </w:r>
    </w:p>
    <w:p>
      <w:r>
        <w:pict>
          <v:rect style="width:0;height:1.5pt" o:hralign="center" o:hrstd="t" o:hr="t"/>
        </w:pict>
      </w:r>
    </w:p>
    <w:bookmarkStart w:id="20" w:name="oggetto"/>
    <w:p>
      <w:pPr>
        <w:pStyle w:val="Heading1"/>
      </w:pPr>
      <w:r>
        <w:t xml:space="preserve">1. Oggetto</w:t>
      </w:r>
    </w:p>
    <w:p>
      <w:pPr>
        <w:pStyle w:val="FirstParagraph"/>
      </w:pPr>
      <w:r>
        <w:t xml:space="preserve">I presenti Termini disciplinano l’utilizzo di</w:t>
      </w:r>
      <w:r>
        <w:t xml:space="preserve"> </w:t>
      </w:r>
      <w:r>
        <w:rPr>
          <w:bCs/>
          <w:b/>
        </w:rPr>
        <w:t xml:space="preserve">Immigrati Imprenditori</w:t>
      </w:r>
      <w:r>
        <w:t xml:space="preserve">, accessibile tramite www.immigratiimprenditori.it, rete economica e professionale che permette di scoprire persone, imprese, professionisti, organizzazioni, opportunità, collaborazioni, servizi, eventi, mercati e contenuti, e di partecipare alla rete tramite un account.</w:t>
      </w:r>
    </w:p>
    <w:bookmarkEnd w:id="20"/>
    <w:bookmarkStart w:id="21" w:name="gestore-della-piattaforma"/>
    <w:p>
      <w:pPr>
        <w:pStyle w:val="Heading1"/>
      </w:pPr>
      <w:r>
        <w:t xml:space="preserve">2. Gestore della piattaforma</w:t>
      </w:r>
    </w:p>
    <w:p>
      <w:pPr>
        <w:pStyle w:val="FirstParagraph"/>
      </w:pPr>
      <w:r>
        <w:t xml:space="preserve">Gestore/Titolare:</w:t>
      </w:r>
      <w:r>
        <w:t xml:space="preserve"> </w:t>
      </w:r>
      <w:r>
        <w:rPr>
          <w:bCs/>
          <w:b/>
        </w:rPr>
        <w:t xml:space="preserve">Associazione degli Imprenditori e Liberi Professionisti Extracomunitari in Lombardia</w:t>
      </w:r>
      <w:r>
        <w:t xml:space="preserve">, in forma abbreviata</w:t>
      </w:r>
      <w:r>
        <w:t xml:space="preserve"> </w:t>
      </w:r>
      <w:r>
        <w:rPr>
          <w:bCs/>
          <w:b/>
        </w:rPr>
        <w:t xml:space="preserve">AIPEL</w:t>
      </w:r>
      <w:r>
        <w:t xml:space="preserve">, Associazione con sede in Viale Molise n. 54, 20137 Milano (MI), Codice Fiscale 97342380157, Partita IVA 04222160964. Contatto: info@immigratiimprenditori.it.</w:t>
      </w:r>
    </w:p>
    <w:bookmarkEnd w:id="21"/>
    <w:bookmarkStart w:id="22" w:name="accesso-pubblico-e-account"/>
    <w:p>
      <w:pPr>
        <w:pStyle w:val="Heading1"/>
      </w:pPr>
      <w:r>
        <w:t xml:space="preserve">3. Accesso pubblico e account</w:t>
      </w:r>
    </w:p>
    <w:p>
      <w:pPr>
        <w:pStyle w:val="FirstParagraph"/>
      </w:pPr>
      <w:r>
        <w:t xml:space="preserve">Una parte della piattaforma è consultabile senza registrazione. La registrazione consente di partecipare alla rete, gestire il proprio profilo e le entità per cui si dispone delle necessarie autorizzazioni, pubblicare secondo le funzioni disponibili e accedere ai recapiti professionali che altri utenti hanno scelto di condividere con gli utenti registrati.</w:t>
      </w:r>
    </w:p>
    <w:p>
      <w:pPr>
        <w:pStyle w:val="BodyText"/>
      </w:pPr>
      <w:r>
        <w:t xml:space="preserve">L’utente è responsabile della riservatezza delle proprie credenziali e delle attività svolte attraverso il proprio account. L’utente deve informare tempestivamente AIPEL in caso di uso non autorizzato dell’account o di sospetta violazione della sicurezza.</w:t>
      </w:r>
    </w:p>
    <w:p>
      <w:pPr>
        <w:pStyle w:val="BodyText"/>
      </w:pPr>
      <w:r>
        <w:t xml:space="preserve">Al momento della registrazione, l’utente accetta espressamente i presenti Termini d’Uso, tramite un’apposita casella di spunta obbligatoria, e prende visione della Privacy Policy, il cui link è reso disponibile in fase di registrazione insieme al link ai presenti Termini. L’accettazione della Privacy Policy non è richiesta come consenso: la Privacy Policy è un’informativa resa all’interessato ai sensi degli artt. 13-14 GDPR, non un atto di consenso generale al trattamento. [TASK TECNICO — implementare in fase di registrazione la casella di accettazione obbligatoria dei Termini, i link a Termini e Privacy Policy, e la registrazione della versione dei Termini accettata e della data/ora dell’accettazione; si veda il Legal Review Report.]</w:t>
      </w:r>
    </w:p>
    <w:bookmarkEnd w:id="22"/>
    <w:bookmarkStart w:id="23" w:name="profilo-e-visibilità"/>
    <w:p>
      <w:pPr>
        <w:pStyle w:val="Heading1"/>
      </w:pPr>
      <w:r>
        <w:t xml:space="preserve">4. Profilo e visibilità</w:t>
      </w:r>
    </w:p>
    <w:p>
      <w:pPr>
        <w:pStyle w:val="FirstParagraph"/>
      </w:pPr>
      <w:r>
        <w:t xml:space="preserve">Il profilo è uno strumento di presenza professionale. L’utente decide, attraverso le funzioni disponibili, se rendere pubbliche le informazioni destinate alla presentazione nella rete e quali recapiti professionali facoltativi condividere con gli utenti registrati. L’email usata per l’autenticazione non è mai automaticamente un recapito professionale né viene resa pubblica o condivisa con la rete.</w:t>
      </w:r>
    </w:p>
    <w:bookmarkEnd w:id="23"/>
    <w:bookmarkStart w:id="24" w:name="recapiti-e-contatti"/>
    <w:p>
      <w:pPr>
        <w:pStyle w:val="Heading1"/>
      </w:pPr>
      <w:r>
        <w:t xml:space="preserve">5. Recapiti e contatti</w:t>
      </w:r>
    </w:p>
    <w:p>
      <w:pPr>
        <w:pStyle w:val="FirstParagraph"/>
      </w:pPr>
      <w:r>
        <w:t xml:space="preserve">I recapiti professionali condivisi hanno lo scopo di favorire contatti, relazioni e opportunità professionali o imprenditoriali. Chi consulta tali recapiti deve utilizzarli in modo pertinente e lecito, senza spam, molestie, raccolta massiva, rivendita di dati o utilizzi incompatibili con la finalità della rete. È in particolare vietato l’utilizzo di strumenti automatizzati per raccogliere massivamente i recapiti disponibili sulla piattaforma.</w:t>
      </w:r>
    </w:p>
    <w:bookmarkEnd w:id="24"/>
    <w:bookmarkStart w:id="25" w:name="imprese-organizzazioni-e-altri-soggetti"/>
    <w:p>
      <w:pPr>
        <w:pStyle w:val="Heading1"/>
      </w:pPr>
      <w:r>
        <w:t xml:space="preserve">6. Imprese, organizzazioni e altri soggetti</w:t>
      </w:r>
    </w:p>
    <w:p>
      <w:pPr>
        <w:pStyle w:val="FirstParagraph"/>
      </w:pPr>
      <w:r>
        <w:t xml:space="preserve">L’utente può operare su dati di imprese, organizzazioni o altri soggetti solo quando dispone del titolo, del ruolo o dell’autorizzazione necessari. Il semplice collegamento a un soggetto non attribuisce automaticamente poteri di gestione o di rappresentanza. AIPEL può richiedere in qualsiasi momento la prova del titolo o dell’autorizzazione dichiarati.</w:t>
      </w:r>
    </w:p>
    <w:bookmarkEnd w:id="25"/>
    <w:bookmarkStart w:id="26" w:name="Xbea0167b0c4fb08029a4da6c10c5c6dcc2d7a1a"/>
    <w:p>
      <w:pPr>
        <w:pStyle w:val="Heading1"/>
      </w:pPr>
      <w:r>
        <w:t xml:space="preserve">7. Contenuti degli utenti e licenza concessa alla piattaforma</w:t>
      </w:r>
    </w:p>
    <w:p>
      <w:pPr>
        <w:pStyle w:val="FirstParagraph"/>
      </w:pPr>
      <w:r>
        <w:t xml:space="preserve">L’utente è responsabile dei testi, immagini, informazioni, link e altri contenuti che inserisce o pubblica (</w:t>
      </w:r>
      <w:r>
        <w:t xml:space="preserve">“</w:t>
      </w:r>
      <w:r>
        <w:t xml:space="preserve">Contenuti</w:t>
      </w:r>
      <w:r>
        <w:t xml:space="preserve">”</w:t>
      </w:r>
      <w:r>
        <w:t xml:space="preserve">). Deve assicurarsi di avere il diritto di utilizzarli e di non violare diritti di terzi, riservatezza, proprietà intellettuale o norme applicabili.</w:t>
      </w:r>
    </w:p>
    <w:p>
      <w:pPr>
        <w:pStyle w:val="BodyText"/>
      </w:pPr>
      <w:r>
        <w:t xml:space="preserve">L’utente mantiene la piena titolarità dei propri Contenuti. Pubblicando un Contenuto sulla piattaforma, l’utente concede ad AIPEL una licenza non esclusiva, gratuita, valida a livello mondiale e revocabile con la rimozione del Contenuto o la cancellazione dell’account (salvo quanto già diffuso a terzi o necessario per finalità di sicurezza o per la gestione di contestazioni), limitata a quanto necessario per:</w:t>
      </w:r>
    </w:p>
    <w:p>
      <w:pPr>
        <w:numPr>
          <w:ilvl w:val="0"/>
          <w:numId w:val="1001"/>
        </w:numPr>
        <w:pStyle w:val="Compact"/>
      </w:pPr>
      <w:r>
        <w:t xml:space="preserve">memorizzare e riprodurre tecnicamente il Contenuto;</w:t>
      </w:r>
    </w:p>
    <w:p>
      <w:pPr>
        <w:numPr>
          <w:ilvl w:val="0"/>
          <w:numId w:val="1001"/>
        </w:numPr>
        <w:pStyle w:val="Compact"/>
      </w:pPr>
      <w:r>
        <w:t xml:space="preserve">visualizzarlo sulla piattaforma;</w:t>
      </w:r>
    </w:p>
    <w:p>
      <w:pPr>
        <w:numPr>
          <w:ilvl w:val="0"/>
          <w:numId w:val="1001"/>
        </w:numPr>
        <w:pStyle w:val="Compact"/>
      </w:pPr>
      <w:r>
        <w:t xml:space="preserve">distribuirlo attraverso le pagine della piattaforma coerentemente con le impostazioni di visibilità scelte dall’utente;</w:t>
      </w:r>
    </w:p>
    <w:p>
      <w:pPr>
        <w:numPr>
          <w:ilvl w:val="0"/>
          <w:numId w:val="1001"/>
        </w:numPr>
        <w:pStyle w:val="Compact"/>
      </w:pPr>
      <w:r>
        <w:t xml:space="preserve">adattarlo tecnicamente ai diversi dispositivi e formati;</w:t>
      </w:r>
    </w:p>
    <w:p>
      <w:pPr>
        <w:numPr>
          <w:ilvl w:val="0"/>
          <w:numId w:val="1001"/>
        </w:numPr>
        <w:pStyle w:val="Compact"/>
      </w:pPr>
      <w:r>
        <w:t xml:space="preserve">promuoverlo all’interno della piattaforma/rete, quando coerente con la pubblicazione scelta dall’utente.</w:t>
      </w:r>
    </w:p>
    <w:p>
      <w:pPr>
        <w:pStyle w:val="FirstParagraph"/>
      </w:pPr>
      <w:r>
        <w:t xml:space="preserve">Questa licenza non attribuisce ad AIPEL alcun diritto di utilizzo commerciale del Contenuto al di fuori della piattaforma, né alcuna licenza esclusiva, irrevocabile o perpetua.</w:t>
      </w:r>
    </w:p>
    <w:bookmarkEnd w:id="26"/>
    <w:bookmarkStart w:id="27" w:name="contenuti-vietati"/>
    <w:p>
      <w:pPr>
        <w:pStyle w:val="Heading1"/>
      </w:pPr>
      <w:r>
        <w:t xml:space="preserve">8. Contenuti vietati</w:t>
      </w:r>
    </w:p>
    <w:p>
      <w:pPr>
        <w:pStyle w:val="FirstParagraph"/>
      </w:pPr>
      <w:r>
        <w:t xml:space="preserve">Non è consentito pubblicare o diffondere sulla piattaforma:</w:t>
      </w:r>
    </w:p>
    <w:p>
      <w:pPr>
        <w:numPr>
          <w:ilvl w:val="0"/>
          <w:numId w:val="1002"/>
        </w:numPr>
        <w:pStyle w:val="Compact"/>
      </w:pPr>
      <w:r>
        <w:t xml:space="preserve">contenuti illeciti, fraudolenti o ingannevoli;</w:t>
      </w:r>
    </w:p>
    <w:p>
      <w:pPr>
        <w:numPr>
          <w:ilvl w:val="0"/>
          <w:numId w:val="1002"/>
        </w:numPr>
        <w:pStyle w:val="Compact"/>
      </w:pPr>
      <w:r>
        <w:t xml:space="preserve">contenuti che violano diritti di terzi;</w:t>
      </w:r>
    </w:p>
    <w:p>
      <w:pPr>
        <w:numPr>
          <w:ilvl w:val="0"/>
          <w:numId w:val="1002"/>
        </w:numPr>
        <w:pStyle w:val="Compact"/>
      </w:pPr>
      <w:r>
        <w:t xml:space="preserve">molestie, minacce, discriminazioni o incitamento all’odio;</w:t>
      </w:r>
    </w:p>
    <w:p>
      <w:pPr>
        <w:numPr>
          <w:ilvl w:val="0"/>
          <w:numId w:val="1002"/>
        </w:numPr>
        <w:pStyle w:val="Compact"/>
      </w:pPr>
      <w:r>
        <w:t xml:space="preserve">spam, raccolta massiva di recapiti o comunicazioni commerciali non richieste;</w:t>
      </w:r>
    </w:p>
    <w:p>
      <w:pPr>
        <w:numPr>
          <w:ilvl w:val="0"/>
          <w:numId w:val="1002"/>
        </w:numPr>
        <w:pStyle w:val="Compact"/>
      </w:pPr>
      <w:r>
        <w:t xml:space="preserve">malware, tentativi di accesso abusivo o interferenze con la sicurezza della piattaforma;</w:t>
      </w:r>
    </w:p>
    <w:p>
      <w:pPr>
        <w:numPr>
          <w:ilvl w:val="0"/>
          <w:numId w:val="1002"/>
        </w:numPr>
        <w:pStyle w:val="Compact"/>
      </w:pPr>
      <w:r>
        <w:t xml:space="preserve">pubblicazione non autorizzata di dati personali di terzi;</w:t>
      </w:r>
    </w:p>
    <w:p>
      <w:pPr>
        <w:numPr>
          <w:ilvl w:val="0"/>
          <w:numId w:val="1002"/>
        </w:numPr>
        <w:pStyle w:val="Compact"/>
      </w:pPr>
      <w:r>
        <w:t xml:space="preserve">false qualifiche, false rappresentanze o informazioni consapevolmente ingannevoli su persone, imprese, organizzazioni, opportunità o servizi.</w:t>
      </w:r>
    </w:p>
    <w:bookmarkEnd w:id="27"/>
    <w:bookmarkStart w:id="28" w:name="moderazione-segnalazioni-e-pubblicazione"/>
    <w:p>
      <w:pPr>
        <w:pStyle w:val="Heading1"/>
      </w:pPr>
      <w:r>
        <w:t xml:space="preserve">9. Moderazione, segnalazioni e pubblicazione</w:t>
      </w:r>
    </w:p>
    <w:p>
      <w:pPr>
        <w:pStyle w:val="FirstParagraph"/>
      </w:pPr>
      <w:r>
        <w:t xml:space="preserve">La piattaforma può prevedere stati di bozza, pubblicazione, ritiro e funzioni di redazione o amministrazione. AIPEL può intervenire sui contenuti quando necessario per motivi di sicurezza, integrità della rete, violazione dei presenti Termini, obblighi di legge o tutela di terzi.</w:t>
      </w:r>
    </w:p>
    <w:p>
      <w:pPr>
        <w:pStyle w:val="BodyText"/>
      </w:pPr>
      <w:r>
        <w:t xml:space="preserve">Qualunque utente può segnalare un contenuto ritenuto in violazione dei presenti Termini scrivendo a info@immigratiimprenditori.it. AIPEL esamina le segnalazioni e, ove fondate, può rimuovere o limitare la visibilità del contenuto segnalato, dandone conto all’utente autore quando possibile. Un canale o modulo di segnalazione dedicato, con tempi di riscontro dichiarati, potrà essere introdotto in un secondo momento come miglioria operativa non bloccante.</w:t>
      </w:r>
    </w:p>
    <w:bookmarkEnd w:id="28"/>
    <w:bookmarkStart w:id="29" w:name="opportunità-collaborazioni-e-servizi"/>
    <w:p>
      <w:pPr>
        <w:pStyle w:val="Heading1"/>
      </w:pPr>
      <w:r>
        <w:t xml:space="preserve">10. Opportunità, collaborazioni e servizi</w:t>
      </w:r>
    </w:p>
    <w:p>
      <w:pPr>
        <w:pStyle w:val="FirstParagraph"/>
      </w:pPr>
      <w:r>
        <w:t xml:space="preserve">La piattaforma facilita l’incontro tra soggetti ma non garantisce l’esito di opportunità, collaborazioni, rapporti professionali, finanziamenti, assunzioni, vendite o altre relazioni economiche. Gli utenti devono svolgere le verifiche necessarie prima di assumere impegni. AIPEL non agisce come agenzia per il lavoro, intermediario finanziario, garante delle transazioni, consulente professionale, organizzatore degli eventi pubblicati da terzi, né come garante dell’affidabilità degli utenti o dell’esito di bandi e incentivi.</w:t>
      </w:r>
    </w:p>
    <w:bookmarkEnd w:id="29"/>
    <w:bookmarkStart w:id="30" w:name="X0e3f8e914f1293a11502fc57179c0271183eb18"/>
    <w:p>
      <w:pPr>
        <w:pStyle w:val="Heading1"/>
      </w:pPr>
      <w:r>
        <w:t xml:space="preserve">11. Eventi, organizzazioni e informazioni di terzi</w:t>
      </w:r>
    </w:p>
    <w:p>
      <w:pPr>
        <w:pStyle w:val="FirstParagraph"/>
      </w:pPr>
      <w:r>
        <w:t xml:space="preserve">Informazioni pubblicate da utenti o provenienti da fonti esterne possono cambiare. Per scadenze, requisiti, condizioni di partecipazione, bandi, eventi e atti ufficiali occorre verificare la fonte originaria quando indicata.</w:t>
      </w:r>
    </w:p>
    <w:bookmarkEnd w:id="30"/>
    <w:bookmarkStart w:id="31" w:name="dati-e-fonti-esterne"/>
    <w:p>
      <w:pPr>
        <w:pStyle w:val="Heading1"/>
      </w:pPr>
      <w:r>
        <w:t xml:space="preserve">12. Dati e fonti esterne</w:t>
      </w:r>
    </w:p>
    <w:p>
      <w:pPr>
        <w:pStyle w:val="FirstParagraph"/>
      </w:pPr>
      <w:r>
        <w:t xml:space="preserve">La piattaforma può pubblicare o rielaborare dati aggregati, indicatori, open data, opportunità e altre informazioni provenienti da fonti pubbliche o istituzionali. Si applica in aggiunta ai presenti Termini l’Informativa/Disclaimer su dati e fonti esterne, che disciplina in dettaglio provenienza, attribuzione, licenze e limiti di affidabilità di tali informazioni.</w:t>
      </w:r>
    </w:p>
    <w:bookmarkEnd w:id="31"/>
    <w:bookmarkStart w:id="32" w:name="X0d6796bafa54ee0f310e733b5f998ebbaec7892"/>
    <w:p>
      <w:pPr>
        <w:pStyle w:val="Heading1"/>
      </w:pPr>
      <w:r>
        <w:t xml:space="preserve">13. Proprietà intellettuale della piattaforma</w:t>
      </w:r>
    </w:p>
    <w:p>
      <w:pPr>
        <w:pStyle w:val="FirstParagraph"/>
      </w:pPr>
      <w:r>
        <w:t xml:space="preserve">Software, struttura, grafica, marchi, testi editoriali originali e altri elementi della piattaforma sono protetti secondo la normativa applicabile, fatti salvi i diritti dell’utente sui propri Contenuti e i diritti di terzi sui materiali da essi forniti.</w:t>
      </w:r>
    </w:p>
    <w:bookmarkEnd w:id="32"/>
    <w:bookmarkStart w:id="33" w:name="disponibilità-e-modifiche-del-servizio"/>
    <w:p>
      <w:pPr>
        <w:pStyle w:val="Heading1"/>
      </w:pPr>
      <w:r>
        <w:t xml:space="preserve">14. Disponibilità e modifiche del servizio</w:t>
      </w:r>
    </w:p>
    <w:p>
      <w:pPr>
        <w:pStyle w:val="FirstParagraph"/>
      </w:pPr>
      <w:r>
        <w:t xml:space="preserve">AIPEL può effettuare manutenzione, aggiornare funzioni o modificare l’organizzazione del servizio. Non è garantita la disponibilità ininterrotta della piattaforma.</w:t>
      </w:r>
    </w:p>
    <w:bookmarkEnd w:id="33"/>
    <w:bookmarkStart w:id="34" w:name="chiusura-dellaccount"/>
    <w:p>
      <w:pPr>
        <w:pStyle w:val="Heading1"/>
      </w:pPr>
      <w:r>
        <w:t xml:space="preserve">15. Chiusura dell’account</w:t>
      </w:r>
    </w:p>
    <w:p>
      <w:pPr>
        <w:pStyle w:val="FirstParagraph"/>
      </w:pPr>
      <w:r>
        <w:t xml:space="preserve">L’utente potrà richiedere, direttamente dalla propria area riservata, la cancellazione del proprio account.</w:t>
      </w:r>
      <w:r>
        <w:t xml:space="preserve"> </w:t>
      </w:r>
      <w:r>
        <w:rPr>
          <w:bCs/>
          <w:b/>
        </w:rPr>
        <w:t xml:space="preserve">Questa funzione tecnica non è ancora disponibile</w:t>
      </w:r>
      <w:r>
        <w:t xml:space="preserve">: fino alla sua implementazione, l’utente può richiedere la chiusura dell’account scrivendo a info@immigratiimprenditori.it. Trattandosi di un processo operativo non ancora automatizzato, AIPEL non promette in questa sede un termine tecnico specifico per l’esecuzione della chiusura; il termine effettivo sarà comunicato al momento della richiesta e sarà comunque contenuto entro un tempo ragionevole. Questo termine operativo è distinto dai termini previsti dalla normativa per l’esercizio dei diritti dell’interessato ai sensi del GDPR, descritti nella Privacy Policy (§12).</w:t>
      </w:r>
    </w:p>
    <w:p>
      <w:pPr>
        <w:pStyle w:val="BodyText"/>
      </w:pPr>
      <w:r>
        <w:t xml:space="preserve">Alla cancellazione dell’account: cessano l’autenticazione, l’accesso all’area riservata, i ruoli e le autorizzazioni personali dell’utente, nonché i collegamenti di gestione attribuiti a quell’account in quanto dipendenti dalla sua identità; i dati personali dell’utente per cui non sussiste più una ragione di conservazione sono eliminati dai sistemi operativi; i soli dati per cui esiste ancora una concreta ragione di conservazione (obblighi di legge, contestazioni, sicurezza, prevenzione o accertamento di abusi, tutela o difesa di diritti, prova delle operazioni quando necessaria) possono essere mantenuti in un archivio separato, non pubblico e ad accesso limitato, nella misura minima necessaria.</w:t>
      </w:r>
    </w:p>
    <w:p>
      <w:pPr>
        <w:pStyle w:val="BodyText"/>
      </w:pPr>
      <w:r>
        <w:rPr>
          <w:bCs/>
          <w:b/>
        </w:rPr>
        <w:t xml:space="preserve">La cancellazione dell’account di una persona non comporta l’automatica cancellazione di imprese, organizzazioni, opportunità, eventi, contenuti o altre entità autonome della piattaforma per il solo fatto che quell’utente le amministrava o gestiva.</w:t>
      </w:r>
      <w:r>
        <w:t xml:space="preserve"> </w:t>
      </w:r>
      <w:r>
        <w:t xml:space="preserve">Tali entità hanno un proprio ciclo di vita, indipendente da quello del singolo account: alla cancellazione dell’account cessa l’autorità di gestione di quella persona su tali entità, che possono proseguire normalmente se dispongono di altri gestori autorizzati. Se l’account cancellato era l’unico gestore, l’entità può comunque rimanere sulla piattaforma secondo il proprio stato, in attesa che la gestione venga attribuita a un altro soggetto tramite le procedure che la piattaforma metterà a disposizione a tal fine [TASK TECNICO — la procedura di riattribuzione della gestione a un altro soggetto non è ancora implementata; si veda il Legal Review Report]. I contenuti pubblicati dall’utente seguono un regime che dipende dalla loro natura, dalla titolarità, dal rapporto con eventuali entità autonome collegate e dagli obblighi applicabili, e non una regola unica di cancellazione o conservazione automatica.</w:t>
      </w:r>
    </w:p>
    <w:p>
      <w:pPr>
        <w:pStyle w:val="BodyText"/>
      </w:pPr>
      <w:r>
        <w:t xml:space="preserve">I dettagli di questo processo, inclusa la distinzione rispetto al diritto alla cancellazione previsto dalla normativa sulla protezione dei dati personali, sono descritti nella Privacy Policy (§11).</w:t>
      </w:r>
    </w:p>
    <w:p>
      <w:pPr>
        <w:pStyle w:val="BodyText"/>
      </w:pPr>
      <w:r>
        <w:t xml:space="preserve">AIPEL può inoltre limitare o sospendere l’accesso in caso di violazione dei presenti Termini, rischi per la sicurezza o obblighi di legge.</w:t>
      </w:r>
    </w:p>
    <w:bookmarkEnd w:id="34"/>
    <w:bookmarkStart w:id="35" w:name="età-minima"/>
    <w:p>
      <w:pPr>
        <w:pStyle w:val="Heading1"/>
      </w:pPr>
      <w:r>
        <w:t xml:space="preserve">16. Età minima</w:t>
      </w:r>
    </w:p>
    <w:p>
      <w:pPr>
        <w:pStyle w:val="FirstParagraph"/>
      </w:pPr>
      <w:r>
        <w:t xml:space="preserve">L’utilizzo della piattaforma è consentito esclusivamente a utenti che abbiano</w:t>
      </w:r>
      <w:r>
        <w:t xml:space="preserve"> </w:t>
      </w:r>
      <w:r>
        <w:rPr>
          <w:bCs/>
          <w:b/>
        </w:rPr>
        <w:t xml:space="preserve">compiuto 18 anni</w:t>
      </w:r>
      <w:r>
        <w:t xml:space="preserve">. Registrandosi, l’utente dichiara di essere maggiorenne. AIPEL può sospendere o chiudere un account qualora accerti che appartiene a un utente minorenne.</w:t>
      </w:r>
    </w:p>
    <w:bookmarkEnd w:id="35"/>
    <w:bookmarkStart w:id="36" w:name="limitazione-di-responsabilità"/>
    <w:p>
      <w:pPr>
        <w:pStyle w:val="Heading1"/>
      </w:pPr>
      <w:r>
        <w:t xml:space="preserve">17. Limitazione di responsabilità</w:t>
      </w:r>
    </w:p>
    <w:p>
      <w:pPr>
        <w:pStyle w:val="FirstParagraph"/>
      </w:pPr>
      <w:r>
        <w:t xml:space="preserve">Nei limiti consentiti dalla legge applicabile, AIPEL svolge una funzione di facilitazione e informazione e non assume il ruolo delle parti nelle relazioni che esse decidono di instaurare tramite la piattaforma. Restano ferme le responsabilità che non possono essere escluse o limitate per legge, incluse quelle previste a tutela dei consumatori quando applicabili.</w:t>
      </w:r>
    </w:p>
    <w:bookmarkEnd w:id="36"/>
    <w:bookmarkStart w:id="37" w:name="privacy-e-cookie"/>
    <w:p>
      <w:pPr>
        <w:pStyle w:val="Heading1"/>
      </w:pPr>
      <w:r>
        <w:t xml:space="preserve">18. Privacy e cookie</w:t>
      </w:r>
    </w:p>
    <w:p>
      <w:pPr>
        <w:pStyle w:val="FirstParagraph"/>
      </w:pPr>
      <w:r>
        <w:t xml:space="preserve">Il trattamento dei dati personali è descritto nella Privacy Policy. L’uso di cookie e tecnologie analoghe è descritto nella Cookie Policy. Entrambi i documenti sono parte integrante delle presenti condizioni d’uso.</w:t>
      </w:r>
    </w:p>
    <w:bookmarkEnd w:id="37"/>
    <w:bookmarkStart w:id="38" w:name="legge-applicabile-e-controversie"/>
    <w:p>
      <w:pPr>
        <w:pStyle w:val="Heading1"/>
      </w:pPr>
      <w:r>
        <w:t xml:space="preserve">19. Legge applicabile e controversie</w:t>
      </w:r>
    </w:p>
    <w:p>
      <w:pPr>
        <w:pStyle w:val="FirstParagraph"/>
      </w:pPr>
      <w:r>
        <w:t xml:space="preserve">I presenti Termini sono disciplinati dalla</w:t>
      </w:r>
      <w:r>
        <w:t xml:space="preserve"> </w:t>
      </w:r>
      <w:r>
        <w:rPr>
          <w:bCs/>
          <w:b/>
        </w:rPr>
        <w:t xml:space="preserve">legge italiana</w:t>
      </w:r>
      <w:r>
        <w:t xml:space="preserve">.</w:t>
      </w:r>
    </w:p>
    <w:p>
      <w:pPr>
        <w:pStyle w:val="BodyText"/>
      </w:pPr>
      <w:r>
        <w:t xml:space="preserve">Per le controversie relative ai presenti Termini: (a) se l’utente agisce in qualità di consumatore ai sensi del Codice del Consumo, resta fermo il foro previsto dalle norme inderogabili poste a tutela del consumatore (di norma il luogo di residenza o domicilio del consumatore); (b) negli altri casi — in particolare nei rapporti con utenti che agiscono come professionisti, imprenditori, imprese, enti o organizzazioni nell’ambito della propria attività professionale o imprenditoriale — è competente in via esclusiva il</w:t>
      </w:r>
      <w:r>
        <w:t xml:space="preserve"> </w:t>
      </w:r>
      <w:r>
        <w:rPr>
          <w:bCs/>
          <w:b/>
        </w:rPr>
        <w:t xml:space="preserve">Foro di Milano</w:t>
      </w:r>
      <w:r>
        <w:t xml:space="preserve">, salvo diversa disposizione inderogabile di legge.</w:t>
      </w:r>
    </w:p>
    <w:bookmarkEnd w:id="38"/>
    <w:bookmarkStart w:id="39" w:name="modifiche-dei-termini"/>
    <w:p>
      <w:pPr>
        <w:pStyle w:val="Heading1"/>
      </w:pPr>
      <w:r>
        <w:t xml:space="preserve">20. Modifiche dei Termini</w:t>
      </w:r>
    </w:p>
    <w:p>
      <w:pPr>
        <w:pStyle w:val="FirstParagraph"/>
      </w:pPr>
      <w:r>
        <w:t xml:space="preserve">I presenti Termini possono essere aggiornati per riflettere modifiche della piattaforma, della normativa o delle modalità operative. La versione pubblicata indicherà la data di aggiornamento e, quando necessario, le modifiche rilevanti saranno comunicate agli utenti.</w:t>
      </w:r>
    </w:p>
    <w:p>
      <w:r>
        <w:pict>
          <v:rect style="width:0;height:1.5pt" o:hralign="center" o:hrstd="t" o:hr="t"/>
        </w:pict>
      </w:r>
    </w:p>
    <w:p>
      <w:pPr>
        <w:pStyle w:val="FirstParagraph"/>
      </w:pPr>
      <w:r>
        <w:rPr>
          <w:iCs/>
          <w:i/>
        </w:rPr>
        <w:t xml:space="preserve">Documento predisposto in fase di revisione. Non risultano decisioni del Titolare ancora aperte. I punti contrassegnati come [TASK TECNICO] devono essere implementati prima che la piattaforma operi pienamente secondo quanto descritto; il testo resta comunque coerente con lo stato tecnico attuale.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Condizioni di utilizzo della piattaforma Immigrati Imprenditori</dc:title>
  <dc:creator>Revisione Claude — versione aggiornata con le decisioni definitive del Titolare</dc:creator>
  <cp:keywords/>
  <dcterms:created xsi:type="dcterms:W3CDTF">2026-08-11T18:32:04Z</dcterms:created>
  <dcterms:modified xsi:type="dcterms:W3CDTF">2026-08-11T18:32:04Z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Versione: bozza revisionata, 11 agosto 2026</vt:lpwstr>
  </property>
</Properties>
</file>