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Osservatorio,</w:t>
      </w:r>
      <w:r>
        <w:t xml:space="preserve"> </w:t>
      </w:r>
      <w:r>
        <w:t xml:space="preserve">open</w:t>
      </w:r>
      <w:r>
        <w:t xml:space="preserve"> </w:t>
      </w:r>
      <w:r>
        <w:t xml:space="preserve">data,</w:t>
      </w:r>
      <w:r>
        <w:t xml:space="preserve"> </w:t>
      </w:r>
      <w:r>
        <w:t xml:space="preserve">opportunità</w:t>
      </w:r>
      <w:r>
        <w:t xml:space="preserve"> </w:t>
      </w:r>
      <w:r>
        <w:t xml:space="preserve">e</w:t>
      </w:r>
      <w:r>
        <w:t xml:space="preserve"> </w:t>
      </w:r>
      <w:r>
        <w:t xml:space="preserve">contenuti</w:t>
      </w:r>
      <w:r>
        <w:t xml:space="preserve"> </w:t>
      </w:r>
      <w:r>
        <w:t xml:space="preserve">da</w:t>
      </w:r>
      <w:r>
        <w:t xml:space="preserve"> </w:t>
      </w:r>
      <w:r>
        <w:t xml:space="preserve">fonti</w:t>
      </w:r>
      <w:r>
        <w:t xml:space="preserve"> </w:t>
      </w:r>
      <w:r>
        <w:t xml:space="preserve">terze</w:t>
      </w:r>
      <w:r>
        <w:t xml:space="preserve"> </w:t>
      </w:r>
      <w:r>
        <w:t xml:space="preserve">—</w:t>
      </w:r>
      <w:r>
        <w:t xml:space="preserve"> </w:t>
      </w:r>
      <w:r>
        <w:t xml:space="preserve">Immigrati</w:t>
      </w:r>
      <w:r>
        <w:t xml:space="preserve"> </w:t>
      </w:r>
      <w:r>
        <w:t xml:space="preserve">Imprenditori</w:t>
      </w:r>
    </w:p>
    <w:p>
      <w:pPr>
        <w:pStyle w:val="Author"/>
      </w:pPr>
      <w:r>
        <w:t xml:space="preserve">Revisione</w:t>
      </w:r>
      <w:r>
        <w:t xml:space="preserve"> </w:t>
      </w:r>
      <w:r>
        <w:t xml:space="preserve">Claude</w:t>
      </w:r>
      <w:r>
        <w:t xml:space="preserve"> </w:t>
      </w:r>
      <w:r>
        <w:t xml:space="preserve">—</w:t>
      </w:r>
      <w:r>
        <w:t xml:space="preserve"> </w:t>
      </w:r>
      <w:r>
        <w:t xml:space="preserve">versione</w:t>
      </w:r>
      <w:r>
        <w:t xml:space="preserve"> </w:t>
      </w:r>
      <w:r>
        <w:t xml:space="preserve">aggiornata</w:t>
      </w:r>
      <w:r>
        <w:t xml:space="preserve"> </w:t>
      </w:r>
      <w:r>
        <w:t xml:space="preserve">con</w:t>
      </w:r>
      <w:r>
        <w:t xml:space="preserve"> </w:t>
      </w:r>
      <w:r>
        <w:t xml:space="preserve">le</w:t>
      </w:r>
      <w:r>
        <w:t xml:space="preserve"> </w:t>
      </w:r>
      <w:r>
        <w:t xml:space="preserve">decisioni</w:t>
      </w:r>
      <w:r>
        <w:t xml:space="preserve"> </w:t>
      </w:r>
      <w:r>
        <w:t xml:space="preserve">definitive</w:t>
      </w:r>
      <w:r>
        <w:t xml:space="preserve"> </w:t>
      </w:r>
      <w:r>
        <w:t xml:space="preserve">del</w:t>
      </w:r>
      <w:r>
        <w:t xml:space="preserve"> </w:t>
      </w:r>
      <w:r>
        <w:t xml:space="preserve">Titolare</w:t>
      </w:r>
    </w:p>
    <w:p>
      <w:pPr>
        <w:pStyle w:val="Date"/>
      </w:pPr>
      <w:r>
        <w:t xml:space="preserve">Versione:</w:t>
      </w:r>
      <w:r>
        <w:t xml:space="preserve"> </w:t>
      </w:r>
      <w:r>
        <w:t xml:space="preserve">bozza</w:t>
      </w:r>
      <w:r>
        <w:t xml:space="preserve"> </w:t>
      </w:r>
      <w:r>
        <w:t xml:space="preserve">revisionata,</w:t>
      </w:r>
      <w:r>
        <w:t xml:space="preserve"> </w:t>
      </w:r>
      <w:r>
        <w:t xml:space="preserve">11</w:t>
      </w:r>
      <w:r>
        <w:t xml:space="preserve"> </w:t>
      </w:r>
      <w:r>
        <w:t xml:space="preserve">agosto</w:t>
      </w:r>
      <w:r>
        <w:t xml:space="preserve"> </w:t>
      </w:r>
      <w:r>
        <w:t xml:space="preserve">2026</w:t>
      </w:r>
    </w:p>
    <w:p>
      <w:r>
        <w:pict>
          <v:rect style="width:0;height:1.5pt" o:hralign="center" o:hrstd="t" o:hr="t"/>
        </w:pict>
      </w:r>
    </w:p>
    <w:p>
      <w:pPr>
        <w:pStyle w:val="FirstParagraph"/>
      </w:pPr>
      <w:r>
        <w:rPr>
          <w:bCs/>
          <w:b/>
        </w:rPr>
        <w:t xml:space="preserve">DOCUMENTO DA VERIFICARE PRIMA DELLA PUBBLICAZIONE.</w:t>
      </w:r>
      <w:r>
        <w:t xml:space="preserve"> </w:t>
      </w:r>
      <w:r>
        <w:t xml:space="preserve">Non risultano più decisioni del Titolare aperte in questo documento. Le parti indicate come [VERIFICA TECNICA RICHIESTA] richiedono un dato o una verifica interna da confermare prima della pubblicazione definitiva.</w:t>
      </w:r>
    </w:p>
    <w:p>
      <w:r>
        <w:pict>
          <v:rect style="width:0;height:1.5pt" o:hralign="center" o:hrstd="t" o:hr="t"/>
        </w:pict>
      </w:r>
    </w:p>
    <w:bookmarkStart w:id="20" w:name="finalità"/>
    <w:p>
      <w:pPr>
        <w:pStyle w:val="Heading1"/>
      </w:pPr>
      <w:r>
        <w:t xml:space="preserve">1. Finalità</w:t>
      </w:r>
    </w:p>
    <w:p>
      <w:pPr>
        <w:pStyle w:val="FirstParagraph"/>
      </w:pPr>
      <w:r>
        <w:t xml:space="preserve">Immigrati Imprenditori, gestita da AIPEL (Associazione degli Imprenditori e Liberi Professionisti Extracomunitari in Lombardia), può utilizzare dati e informazioni provenienti da fonti pubbliche, istituzionali o comunque legittimamente riutilizzabili per arricchire l’Osservatorio e altri domini informativi della piattaforma.</w:t>
      </w:r>
    </w:p>
    <w:bookmarkEnd w:id="20"/>
    <w:bookmarkStart w:id="21" w:name="principio-di-provenienza"/>
    <w:p>
      <w:pPr>
        <w:pStyle w:val="Heading1"/>
      </w:pPr>
      <w:r>
        <w:t xml:space="preserve">2. Principio di provenienza</w:t>
      </w:r>
    </w:p>
    <w:p>
      <w:pPr>
        <w:pStyle w:val="FirstParagraph"/>
      </w:pPr>
      <w:r>
        <w:t xml:space="preserve">Quando un’informazione deriva da una fonte esterna, la piattaforma ne conserva e, quando opportuno, ne mostra la provenienza.</w:t>
      </w:r>
      <w:r>
        <w:t xml:space="preserve"> </w:t>
      </w:r>
      <w:r>
        <w:rPr>
          <w:bCs/>
          <w:b/>
        </w:rPr>
        <w:t xml:space="preserve">La fonte originaria resta sempre il riferimento definitivo</w:t>
      </w:r>
      <w:r>
        <w:t xml:space="preserve"> </w:t>
      </w:r>
      <w:r>
        <w:t xml:space="preserve">per il dato, il documento o l’atto ufficiale: qualunque rielaborazione della piattaforma è un valore aggiunto informativo, non un sostituto della fonte.</w:t>
      </w:r>
    </w:p>
    <w:bookmarkEnd w:id="21"/>
    <w:bookmarkStart w:id="22" w:name="tipi-di-informazioni"/>
    <w:p>
      <w:pPr>
        <w:pStyle w:val="Heading1"/>
      </w:pPr>
      <w:r>
        <w:t xml:space="preserve">3. Tipi di informazioni</w:t>
      </w:r>
    </w:p>
    <w:p>
      <w:pPr>
        <w:numPr>
          <w:ilvl w:val="0"/>
          <w:numId w:val="1001"/>
        </w:numPr>
        <w:pStyle w:val="Compact"/>
      </w:pPr>
      <w:r>
        <w:t xml:space="preserve">dati statistici aggregati e indicatori;</w:t>
      </w:r>
    </w:p>
    <w:p>
      <w:pPr>
        <w:numPr>
          <w:ilvl w:val="0"/>
          <w:numId w:val="1001"/>
        </w:numPr>
        <w:pStyle w:val="Compact"/>
      </w:pPr>
      <w:r>
        <w:t xml:space="preserve">open data e dataset pubblici;</w:t>
      </w:r>
    </w:p>
    <w:p>
      <w:pPr>
        <w:numPr>
          <w:ilvl w:val="0"/>
          <w:numId w:val="1001"/>
        </w:numPr>
        <w:pStyle w:val="Compact"/>
      </w:pPr>
      <w:r>
        <w:t xml:space="preserve">informazioni su incentivi, bandi e opportunità;</w:t>
      </w:r>
    </w:p>
    <w:p>
      <w:pPr>
        <w:numPr>
          <w:ilvl w:val="0"/>
          <w:numId w:val="1001"/>
        </w:numPr>
        <w:pStyle w:val="Compact"/>
      </w:pPr>
      <w:r>
        <w:t xml:space="preserve">informazioni su mercati e contesti economici;</w:t>
      </w:r>
    </w:p>
    <w:p>
      <w:pPr>
        <w:numPr>
          <w:ilvl w:val="0"/>
          <w:numId w:val="1001"/>
        </w:numPr>
        <w:pStyle w:val="Compact"/>
      </w:pPr>
      <w:r>
        <w:t xml:space="preserve">informazioni culturali, eventi e contenuti selezionati da fonti compatibili;</w:t>
      </w:r>
    </w:p>
    <w:p>
      <w:pPr>
        <w:numPr>
          <w:ilvl w:val="0"/>
          <w:numId w:val="1001"/>
        </w:numPr>
        <w:pStyle w:val="Compact"/>
      </w:pPr>
      <w:r>
        <w:t xml:space="preserve">metadati necessari a documentare fonte, data di acquisizione, licenza e aggiornamento.</w:t>
      </w:r>
    </w:p>
    <w:bookmarkEnd w:id="22"/>
    <w:bookmarkStart w:id="23" w:name="fonti-previste-dal-programma-dati"/>
    <w:p>
      <w:pPr>
        <w:pStyle w:val="Heading1"/>
      </w:pPr>
      <w:r>
        <w:t xml:space="preserve">4. Fonti previste dal programma dati</w:t>
      </w:r>
    </w:p>
    <w:p>
      <w:pPr>
        <w:pStyle w:val="FirstParagraph"/>
      </w:pPr>
      <w:r>
        <w:t xml:space="preserve">Il programma di acquisizione esterna ha individuato, tra le fonti prioritarie o potenziali: ISTAT, Eurostat, Unioncamere/Movimprese, Incentivi.gov, World Bank, OECD, Regione Lombardia, fonti ufficiali dell’Unione europea e fonti pubbliche relative a cultura ed eventi. L’inclusione in questo elenco non significa che ogni fonte sia già integrata o utilizzata: l’elenco effettivamente attivo in un dato momento [VERIFICA TECNICA RICHIESTA — da riconciliare con lo stato di implementazione corrente].</w:t>
      </w:r>
    </w:p>
    <w:bookmarkEnd w:id="23"/>
    <w:bookmarkStart w:id="24" w:name="cosa-non-viene-fatto"/>
    <w:p>
      <w:pPr>
        <w:pStyle w:val="Heading1"/>
      </w:pPr>
      <w:r>
        <w:t xml:space="preserve">5. Cosa non viene fatto</w:t>
      </w:r>
    </w:p>
    <w:p>
      <w:pPr>
        <w:numPr>
          <w:ilvl w:val="0"/>
          <w:numId w:val="1002"/>
        </w:numPr>
        <w:pStyle w:val="Compact"/>
      </w:pPr>
      <w:r>
        <w:t xml:space="preserve">non vengono creati profili personali o anagrafiche di imprese tramite scraping indiscriminato del web;</w:t>
      </w:r>
    </w:p>
    <w:p>
      <w:pPr>
        <w:numPr>
          <w:ilvl w:val="0"/>
          <w:numId w:val="1002"/>
        </w:numPr>
        <w:pStyle w:val="Compact"/>
      </w:pPr>
      <w:r>
        <w:t xml:space="preserve">non vengono importati microdati personali per popolare automaticamente profili della rete;</w:t>
      </w:r>
    </w:p>
    <w:p>
      <w:pPr>
        <w:numPr>
          <w:ilvl w:val="0"/>
          <w:numId w:val="1002"/>
        </w:numPr>
        <w:pStyle w:val="Compact"/>
      </w:pPr>
      <w:r>
        <w:t xml:space="preserve">la stampa e gli articoli giornalistici non sono trattati come fonte primaria di indicatori quando esiste una fonte statistica o istituzionale originaria (si veda il § 12);</w:t>
      </w:r>
    </w:p>
    <w:p>
      <w:pPr>
        <w:numPr>
          <w:ilvl w:val="0"/>
          <w:numId w:val="1002"/>
        </w:numPr>
        <w:pStyle w:val="Compact"/>
      </w:pPr>
      <w:r>
        <w:t xml:space="preserve">non viene presentata come ufficiale un’elaborazione della piattaforma che non lo sia.</w:t>
      </w:r>
    </w:p>
    <w:bookmarkEnd w:id="24"/>
    <w:bookmarkStart w:id="25" w:name="regola-operativa-di-acquisizione"/>
    <w:p>
      <w:pPr>
        <w:pStyle w:val="Heading1"/>
      </w:pPr>
      <w:r>
        <w:t xml:space="preserve">6. Regola operativa di acquisizione</w:t>
      </w:r>
    </w:p>
    <w:p>
      <w:pPr>
        <w:pStyle w:val="FirstParagraph"/>
      </w:pPr>
      <w:r>
        <w:rPr>
          <w:bCs/>
          <w:b/>
        </w:rPr>
        <w:t xml:space="preserve">Prima si verifica che il dato possa essere legittimamente utilizzato, poi lo si importa.</w:t>
      </w:r>
      <w:r>
        <w:t xml:space="preserve"> </w:t>
      </w:r>
      <w:r>
        <w:t xml:space="preserve">Nessuna acquisizione di dati o contenuti esterni avviene sulla base del solo fatto che il presente documento esiste: la presente informativa descrive come la piattaforma tratta i dati esterni una volta acquisiti legittimamente, e non costituisce di per sé un’autorizzazione ad acquisire dati la cui licenza non lo consenta.</w:t>
      </w:r>
    </w:p>
    <w:bookmarkEnd w:id="25"/>
    <w:bookmarkStart w:id="26" w:name="aggiornamento-e-revisioni"/>
    <w:p>
      <w:pPr>
        <w:pStyle w:val="Heading1"/>
      </w:pPr>
      <w:r>
        <w:t xml:space="preserve">7. Aggiornamento e revisioni</w:t>
      </w:r>
    </w:p>
    <w:p>
      <w:pPr>
        <w:pStyle w:val="FirstParagraph"/>
      </w:pPr>
      <w:r>
        <w:t xml:space="preserve">Dati statistici e open data possono essere corretti, revisionati o aggiornati dalla fonte originaria. La piattaforma riporta, quando disponibili, la data di riferimento, la data di acquisizione e altre informazioni di provenienza, per consentire di interpretare correttamente il dato e di distinguere una versione aggiornata da una precedente.</w:t>
      </w:r>
    </w:p>
    <w:bookmarkEnd w:id="26"/>
    <w:bookmarkStart w:id="27" w:name="definizioni-e-comparabilità"/>
    <w:p>
      <w:pPr>
        <w:pStyle w:val="Heading1"/>
      </w:pPr>
      <w:r>
        <w:t xml:space="preserve">8. Definizioni e comparabilità</w:t>
      </w:r>
    </w:p>
    <w:p>
      <w:pPr>
        <w:pStyle w:val="FirstParagraph"/>
      </w:pPr>
      <w:r>
        <w:t xml:space="preserve">Indicatori provenienti da fonti diverse possono utilizzare definizioni, popolazioni, periodi, territori o metodologie differenti. Ad esempio, una definizione camerale di impresa a titolarità straniera non deve essere automaticamente considerata equivalente a una classificazione basata su cittadinanza, luogo di nascita o altri criteri statistici. Le definizioni della fonte originaria sono preservate e rese comprensibili all’utente, anche quando la piattaforma le presenta in forma sintetica.</w:t>
      </w:r>
    </w:p>
    <w:bookmarkEnd w:id="27"/>
    <w:bookmarkStart w:id="28" w:name="elaborazioni-della-piattaforma"/>
    <w:p>
      <w:pPr>
        <w:pStyle w:val="Heading1"/>
      </w:pPr>
      <w:r>
        <w:t xml:space="preserve">9. Elaborazioni della piattaforma</w:t>
      </w:r>
    </w:p>
    <w:p>
      <w:pPr>
        <w:pStyle w:val="FirstParagraph"/>
      </w:pPr>
      <w:r>
        <w:t xml:space="preserve">Quando la piattaforma calcola, aggrega, normalizza o presenta un dato derivato, distingue chiaramente l’elaborazione propria dal valore pubblicato dalla fonte originaria e documenta, in misura adeguata, il metodo utilizzato. In caso di errore nell’elaborazione della piattaforma, si applica quanto previsto al § 15.</w:t>
      </w:r>
    </w:p>
    <w:bookmarkEnd w:id="28"/>
    <w:bookmarkStart w:id="29" w:name="bandi-incentivi-e-opportunità"/>
    <w:p>
      <w:pPr>
        <w:pStyle w:val="Heading1"/>
      </w:pPr>
      <w:r>
        <w:t xml:space="preserve">10. Bandi, incentivi e opportunità</w:t>
      </w:r>
    </w:p>
    <w:p>
      <w:pPr>
        <w:pStyle w:val="FirstParagraph"/>
      </w:pPr>
      <w:r>
        <w:t xml:space="preserve">Le schede relative a bandi, incentivi e opportunità hanno finalità informativa. Requisiti, importi, scadenze, procedure e condizioni possono essere modificati dall’ente responsabile in qualsiasi momento.</w:t>
      </w:r>
      <w:r>
        <w:t xml:space="preserve"> </w:t>
      </w:r>
      <w:r>
        <w:rPr>
          <w:bCs/>
          <w:b/>
        </w:rPr>
        <w:t xml:space="preserve">Prima di presentare una domanda o di assumere decisioni economiche, l’utente deve sempre consultare il bando, l’atto o la pagina ufficiale indicata come fonte.</w:t>
      </w:r>
      <w:r>
        <w:t xml:space="preserve"> </w:t>
      </w:r>
      <w:r>
        <w:t xml:space="preserve">La piattaforma non garantisce l’esito di alcuna domanda o partecipazione (si veda anche l’art. 10 dei Termini d’Uso).</w:t>
      </w:r>
    </w:p>
    <w:bookmarkEnd w:id="29"/>
    <w:bookmarkStart w:id="30" w:name="eventi-e-informazioni-culturali"/>
    <w:p>
      <w:pPr>
        <w:pStyle w:val="Heading1"/>
      </w:pPr>
      <w:r>
        <w:t xml:space="preserve">11. Eventi e informazioni culturali</w:t>
      </w:r>
    </w:p>
    <w:p>
      <w:pPr>
        <w:pStyle w:val="FirstParagraph"/>
      </w:pPr>
      <w:r>
        <w:t xml:space="preserve">Informazioni su eventi e iniziative culturali provenienti da fonti esterne possono subire variazioni, rinvii o cancellazioni. Quando disponibile, la pagina o il soggetto organizzatore originario costituisce il riferimento per le informazioni operative (orari, luoghi, modalità di partecipazione).</w:t>
      </w:r>
    </w:p>
    <w:bookmarkEnd w:id="30"/>
    <w:bookmarkStart w:id="31" w:name="fonti-giornalistiche-e-secondarie"/>
    <w:p>
      <w:pPr>
        <w:pStyle w:val="Heading1"/>
      </w:pPr>
      <w:r>
        <w:t xml:space="preserve">12. Fonti giornalistiche e secondarie</w:t>
      </w:r>
    </w:p>
    <w:p>
      <w:pPr>
        <w:pStyle w:val="FirstParagraph"/>
      </w:pPr>
      <w:r>
        <w:t xml:space="preserve">La piattaforma può fare riferimento, a fini editoriali e nei limiti consentiti dalla normativa applicabile in materia di proprietà intellettuale, a giornali, radio, report, articoli, ricerche private o comunicati.</w:t>
      </w:r>
      <w:r>
        <w:t xml:space="preserve"> </w:t>
      </w:r>
      <w:r>
        <w:rPr>
          <w:bCs/>
          <w:b/>
        </w:rPr>
        <w:t xml:space="preserve">Quando una fonte giornalistica cita ISTAT, Unioncamere, Eurostat o un’altra fonte istituzionale originaria, la piattaforma preferisce e cita la fonte originaria</w:t>
      </w:r>
      <w:r>
        <w:t xml:space="preserve">, anziché la fonte giornalistica che la riporta. Le fonti giornalistiche possono essere utilizzate editorialmente (ad esempio per commentare o contestualizzare un dato), ma non sono trattate come un dataset da riprodurre sistematicamente.</w:t>
      </w:r>
    </w:p>
    <w:bookmarkEnd w:id="31"/>
    <w:bookmarkStart w:id="32" w:name="licenze-e-riuso"/>
    <w:p>
      <w:pPr>
        <w:pStyle w:val="Heading1"/>
      </w:pPr>
      <w:r>
        <w:t xml:space="preserve">13. Licenze e riuso</w:t>
      </w:r>
    </w:p>
    <w:p>
      <w:pPr>
        <w:pStyle w:val="FirstParagraph"/>
      </w:pPr>
      <w:r>
        <w:t xml:space="preserve">Ogni dataset o contenuto esterno è utilizzato nel rispetto della licenza, delle condizioni di riuso e degli obblighi di attribuzione applicabili alla specifica fonte. La piattaforma mantiene un registro interno di licenze e provenienza per i dataset acquisiti [VERIFICA TECNICA RICHIESTA — confermare l’esistenza e lo stato operativo del registro di licenze/provenance prima di pubblicare la presente informativa in questa forma; in assenza di un registro effettivamente in uso, questa affermazione va riformulata in termini di impegno futuro anziché di prassi già in atto].</w:t>
      </w:r>
    </w:p>
    <w:bookmarkEnd w:id="32"/>
    <w:bookmarkStart w:id="33" w:name="dati-personali-nelle-fonti-esterne"/>
    <w:p>
      <w:pPr>
        <w:pStyle w:val="Heading1"/>
      </w:pPr>
      <w:r>
        <w:t xml:space="preserve">14. Dati personali nelle fonti esterne</w:t>
      </w:r>
    </w:p>
    <w:p>
      <w:pPr>
        <w:pStyle w:val="FirstParagraph"/>
      </w:pPr>
      <w:r>
        <w:t xml:space="preserve">Il programma dati esterni è orientato principalmente a dati aggregati, open data, informazioni su opportunità, mercati e contenuti, e non a dati personali. Qualora una fonte esterna legittimamente utilizzabile contenga incidentalmente dati personali (ad esempio il nominativo di un referente in un bando pubblico), tali dati sono trattati nel rispetto della Privacy Policy e limitatamente a quanto necessario per la finalità informativa perseguita. Il programma dati esterni non è utilizzato per creare automaticamente profili personali della rete attraverso raccolta indiscriminata di dati nominativi disponibili online.</w:t>
      </w:r>
    </w:p>
    <w:bookmarkEnd w:id="33"/>
    <w:bookmarkStart w:id="34" w:name="accuratezza"/>
    <w:p>
      <w:pPr>
        <w:pStyle w:val="Heading1"/>
      </w:pPr>
      <w:r>
        <w:t xml:space="preserve">15. Accuratezza</w:t>
      </w:r>
    </w:p>
    <w:p>
      <w:pPr>
        <w:pStyle w:val="FirstParagraph"/>
      </w:pPr>
      <w:r>
        <w:t xml:space="preserve">La piattaforma mira a riportare fedelmente le informazioni acquisite e a indicarne la provenienza, ma non può garantire che ogni fonte esterna sia priva di errori, completa o aggiornata in tempo reale.</w:t>
      </w:r>
      <w:r>
        <w:t xml:space="preserve"> </w:t>
      </w:r>
      <w:r>
        <w:rPr>
          <w:bCs/>
          <w:b/>
        </w:rPr>
        <w:t xml:space="preserve">In caso di contrasto tra un’informazione pubblicata dalla piattaforma e la fonte ufficiale originaria, prevale sempre quest’ultima.</w:t>
      </w:r>
    </w:p>
    <w:bookmarkEnd w:id="34"/>
    <w:bookmarkStart w:id="35" w:name="segnalazioni"/>
    <w:p>
      <w:pPr>
        <w:pStyle w:val="Heading1"/>
      </w:pPr>
      <w:r>
        <w:t xml:space="preserve">16. Segnalazioni</w:t>
      </w:r>
    </w:p>
    <w:p>
      <w:pPr>
        <w:pStyle w:val="FirstParagraph"/>
      </w:pPr>
      <w:r>
        <w:t xml:space="preserve">Errori, attribuzioni non corrette o altre richieste relative a una fonte o a un dato pubblicato possono essere segnalati a info@immigratiimprenditori.it. Un indirizzo dedicato distinto (ad es. dati@immigratiimprenditori.it) e una procedura editoriale interna potranno essere introdotti in un secondo momento come miglioria operativa non bloccante.</w:t>
      </w:r>
    </w:p>
    <w:bookmarkEnd w:id="35"/>
    <w:bookmarkStart w:id="36" w:name="X524ff564def1448e6b6d2ef211551d1d84d2179"/>
    <w:p>
      <w:pPr>
        <w:pStyle w:val="Heading1"/>
      </w:pPr>
      <w:r>
        <w:t xml:space="preserve">17. Coordinamento con Privacy Policy e Termini d’Uso</w:t>
      </w:r>
    </w:p>
    <w:p>
      <w:pPr>
        <w:pStyle w:val="FirstParagraph"/>
      </w:pPr>
      <w:r>
        <w:t xml:space="preserve">Quando un’informazione esterna contiene dati personali, si applicano anche la Privacy Policy e le regole della piattaforma sulla pubblicazione dei contenuti. L’utilizzo della piattaforma resta in ogni caso soggetto ai Termini d’Uso, che disciplinano tra l’altro la responsabilità per l’uso delle informazioni pubblicate (art. 11-12 dei Termini).</w:t>
      </w:r>
    </w:p>
    <w:bookmarkEnd w:id="36"/>
    <w:bookmarkStart w:id="37" w:name="aggiornamenti"/>
    <w:p>
      <w:pPr>
        <w:pStyle w:val="Heading1"/>
      </w:pPr>
      <w:r>
        <w:t xml:space="preserve">18. Aggiornamenti</w:t>
      </w:r>
    </w:p>
    <w:p>
      <w:pPr>
        <w:pStyle w:val="FirstParagraph"/>
      </w:pPr>
      <w:r>
        <w:t xml:space="preserve">La presente informativa deve essere aggiornata insieme al registro delle fonti e al processo di acquisizione dei dati (ingestion) ogni volta che vengono introdotte nuove categorie di dati, nuove licenze o nuove modalità di elaborazione.</w:t>
      </w:r>
    </w:p>
    <w:p>
      <w:r>
        <w:pict>
          <v:rect style="width:0;height:1.5pt" o:hralign="center" o:hrstd="t" o:hr="t"/>
        </w:pict>
      </w:r>
    </w:p>
    <w:p>
      <w:pPr>
        <w:pStyle w:val="FirstParagraph"/>
      </w:pPr>
      <w:r>
        <w:rPr>
          <w:iCs/>
          <w:i/>
        </w:rPr>
        <w:t xml:space="preserve">Documento predisposto in fase di revisione. Non risultano decisioni del Titolare ancora aperte. I punti contrassegnati come [VERIFICA TECNICA RICHIESTA] devono essere chiusi prima della pubblicazione della presente informativa.</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Osservatorio, open data, opportunità e contenuti da fonti terze — Immigrati Imprenditori</dc:title>
  <dc:creator>Revisione Claude — versione aggiornata con le decisioni definitive del Titolare</dc:creator>
  <cp:keywords/>
  <dcterms:created xsi:type="dcterms:W3CDTF">2026-08-11T18:32:04Z</dcterms:created>
  <dcterms:modified xsi:type="dcterms:W3CDTF">2026-08-11T18:32:04Z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Versione: bozza revisionata, 11 agosto 2026</vt:lpwstr>
  </property>
</Properties>
</file>