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Decision</w:t>
      </w:r>
      <w:r>
        <w:t xml:space="preserve"> </w:t>
      </w:r>
      <w:r>
        <w:t xml:space="preserve">Table</w:t>
      </w:r>
      <w:r>
        <w:t xml:space="preserve"> </w:t>
      </w:r>
      <w:r>
        <w:t xml:space="preserve">e</w:t>
      </w:r>
      <w:r>
        <w:t xml:space="preserve"> </w:t>
      </w:r>
      <w:r>
        <w:t xml:space="preserve">Change</w:t>
      </w:r>
      <w:r>
        <w:t xml:space="preserve"> </w:t>
      </w:r>
      <w:r>
        <w:t xml:space="preserve">Log</w:t>
      </w:r>
      <w:r>
        <w:t xml:space="preserve"> </w:t>
      </w:r>
      <w:r>
        <w:t xml:space="preserve">—</w:t>
      </w:r>
      <w:r>
        <w:t xml:space="preserve"> </w:t>
      </w:r>
      <w:r>
        <w:t xml:space="preserve">Progetto</w:t>
      </w:r>
      <w:r>
        <w:t xml:space="preserve"> </w:t>
      </w:r>
      <w:r>
        <w:t xml:space="preserve">Immigrati</w:t>
      </w:r>
      <w:r>
        <w:t xml:space="preserve"> </w:t>
      </w:r>
      <w:r>
        <w:t xml:space="preserve">Imprenditori</w:t>
      </w:r>
    </w:p>
    <w:p>
      <w:pPr>
        <w:pStyle w:val="Author"/>
      </w:pPr>
      <w:r>
        <w:t xml:space="preserve">Allegato</w:t>
      </w:r>
      <w:r>
        <w:t xml:space="preserve"> </w:t>
      </w:r>
      <w:r>
        <w:t xml:space="preserve">al</w:t>
      </w:r>
      <w:r>
        <w:t xml:space="preserve"> </w:t>
      </w:r>
      <w:r>
        <w:t xml:space="preserve">Legal</w:t>
      </w:r>
      <w:r>
        <w:t xml:space="preserve"> </w:t>
      </w:r>
      <w:r>
        <w:t xml:space="preserve">Review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Aggiornato</w:t>
      </w:r>
      <w:r>
        <w:t xml:space="preserve"> </w:t>
      </w:r>
      <w:r>
        <w:t xml:space="preserve">11</w:t>
      </w:r>
      <w:r>
        <w:t xml:space="preserve"> </w:t>
      </w:r>
      <w:r>
        <w:t xml:space="preserve">agosto</w:t>
      </w:r>
      <w:r>
        <w:t xml:space="preserve"> </w:t>
      </w:r>
      <w:r>
        <w:t xml:space="preserve">2026</w:t>
      </w:r>
      <w:r>
        <w:t xml:space="preserve"> </w:t>
      </w:r>
      <w:r>
        <w:t xml:space="preserve">(terza</w:t>
      </w:r>
      <w:r>
        <w:t xml:space="preserve"> </w:t>
      </w:r>
      <w:r>
        <w:t xml:space="preserve">revisione,</w:t>
      </w:r>
      <w:r>
        <w:t xml:space="preserve"> </w:t>
      </w:r>
      <w:r>
        <w:t xml:space="preserve">chiusura</w:t>
      </w:r>
      <w:r>
        <w:t xml:space="preserve"> </w:t>
      </w:r>
      <w:r>
        <w:t xml:space="preserve">finale)</w:t>
      </w:r>
    </w:p>
    <w:bookmarkStart w:id="20" w:name="decision-table"/>
    <w:p>
      <w:pPr>
        <w:pStyle w:val="Heading1"/>
      </w:pPr>
      <w:r>
        <w:t xml:space="preserve">Decision Table</w:t>
      </w:r>
    </w:p>
    <w:p>
      <w:pPr>
        <w:pStyle w:val="FirstParagraph"/>
      </w:pPr>
      <w:r>
        <w:t xml:space="preserve">Classificazione usata nella colonna</w:t>
      </w:r>
      <w:r>
        <w:t xml:space="preserve"> </w:t>
      </w:r>
      <w:r>
        <w:t xml:space="preserve">“</w:t>
      </w:r>
      <w:r>
        <w:t xml:space="preserve">Stato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CHIUSO</w:t>
      </w:r>
      <w:r>
        <w:t xml:space="preserve"> </w:t>
      </w:r>
      <w:r>
        <w:t xml:space="preserve">(decisione presa e recepita nei documenti) ·</w:t>
      </w:r>
      <w:r>
        <w:t xml:space="preserve"> </w:t>
      </w:r>
      <w:r>
        <w:rPr>
          <w:bCs/>
          <w:b/>
        </w:rPr>
        <w:t xml:space="preserve">VERIFICA TECNICA/CONTRATTUALE</w:t>
      </w:r>
      <w:r>
        <w:t xml:space="preserve"> </w:t>
      </w:r>
      <w:r>
        <w:t xml:space="preserve">(serve un dato o una verifica non giuridica, non una scelta di policy) ·</w:t>
      </w:r>
      <w:r>
        <w:t xml:space="preserve"> </w:t>
      </w:r>
      <w:r>
        <w:rPr>
          <w:bCs/>
          <w:b/>
        </w:rPr>
        <w:t xml:space="preserve">TASK TECNICO</w:t>
      </w:r>
      <w:r>
        <w:t xml:space="preserve"> </w:t>
      </w:r>
      <w:r>
        <w:t xml:space="preserve">(principio già deciso, resta da implementare).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Raccomandazione / 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interessato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Identità legale di AIPEL (denominazione, sigla, sede, C.F., P.IVA, forma giuridica)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Associazione degli Imprenditori e Liberi Professionisti Extracomunitari in Lombardia (AIPEL), Associazione, Viale Molise n. 54, Milano, C.F. 97342380157, P.IVA 04222160964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Identificazione completa del Titolare richiesta da artt. 13-14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Cookie Policy, Termini d’Uso, Informativa dati e fonti esterne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Contatto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info@immigratiimprenditori.it, senza casella dedicata separata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Scelta legittima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Cookie Policy, 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Età minima di utilizzo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anni compiuti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Esclude l’applicabilità dell’art. 8 GDPR sul consenso dei minori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 giuridiche per ciascun trattamento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Struttura confermata e dettagliata — Legal Review Report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 uso del consenso come base universale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 di conservazione (retention)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Conservazione per categoria/finalità; termine legale se esiste, altrimenti periodo proporzionato; cancellazione o anonimizzazione irreversibile al 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promesse di termini rigidi non fondati su un obbligo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di cancellazione dell’account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  <w:r>
              <w:t xml:space="preserve"> </w:t>
            </w:r>
            <w:r>
              <w:t xml:space="preserve">(principio, corretto in questo aggiornamento)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Cancellazione operativa (cessazione autenticazione/ruoli/autorizzazioni + eliminazione dati non più necessari) + eventuale archivio separato minimizzato;</w:t>
            </w:r>
            <w:r>
              <w:t xml:space="preserve"> </w:t>
            </w:r>
            <w:r>
              <w:rPr>
                <w:bCs/>
                <w:b/>
              </w:rPr>
              <w:t xml:space="preserve">le entità autonome della rete (imprese, organizzazioni, opportunità, eventi, contenuti) NON vengono cancellate automaticamente</w:t>
            </w:r>
            <w:r>
              <w:t xml:space="preserve">; distinzione esplicita dal diritto ex art. 17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Corregge un’imprecisione rilevante: account/persona ≠ impresa ≠ organizzazione ≠ altre entità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Termine per l’evasione della richiesta manuale di chiusura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  <w:r>
              <w:t xml:space="preserve"> </w:t>
            </w:r>
            <w:r>
              <w:t xml:space="preserve">(principio)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 termine tecnico fisso promesso finché il processo non è implementato; comunicato al momento della richiesta; distinto dal termine GDPR ex art. 12.3 per le richieste ex 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di trasformare un termine giuridico (diritti GDPR) in una promessa tecnica non ancora verificabile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tecnici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  <w:r>
              <w:t xml:space="preserve"> </w:t>
            </w:r>
            <w:r>
              <w:t xml:space="preserve">(principio)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copie di backup non sono un archivio operativo, non sono usate per ripristinare account cancellati, restano protette e sono eliminate con la normale rotazione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Coerenza tra ciclo tecnico di backup e diritti dell’interessato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Legge applicabile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Legge italiana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 definitiva del Titolare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Foro competente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Foro del consumatore quando inderogabile; altrimenti Foro di Milano in via esclusiva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Rispetta la disciplina consumeristica inderogabile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Licenza UGC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esclusiva, gratuita, mondiale (giustificata da esigenze tecniche infrastrutturali — Legal Review Report §17), revocabile, limitata alle finalità della piattaforma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Bilancia le esigenze della piattaforma con la titolarità dell’utente sui propri contenuti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di accettazione dei Termini in fase di registrazione (signup)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  <w:r>
              <w:t xml:space="preserve"> </w:t>
            </w:r>
            <w:r>
              <w:t xml:space="preserve">(principio) / vedi riga 15 per l’implementazione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obbligatoria di accettazione dei Termini, distinta da un consenso alla Privacy Policy; link a entrambi i 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Privacy Policy è un’informativa, non un consenso; evita di usare il consenso come base giuridica impropria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</w:t>
            </w:r>
            <w:r>
              <w:t xml:space="preserve"> </w:t>
            </w:r>
            <w:r>
              <w:t xml:space="preserve">(confermato, Case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necessario allo stato attuale — solo cookie tecnici rilevati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ragione giuridica per modificare la valutazione precedente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Verifiche contrattuali/tecniche su Vercel e Supabase (localizzazione, subprocessor, trasferimenti extra-SEE, DPA, ruolo privacy)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 TECNICA/CONTRATTUALE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Consultare la documentazione contrattuale corrente di entrambi i fornitori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Necessario per completare in modo veritiero la sezione fornitori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Cookie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Implementazione self-service della cancellazione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Implementare nell’area riservata la cancellazione secondo il modello approvato (riga 6), con gestione corretta delle entità autonome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principio è deciso; la funzione tecnica non esiste ancora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 di riattribuzione della gestione di un’entità rimasta priva di gestori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implementare come parte del task di cancellazione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Necessaria per non lasciare imprese/organizzazioni orfane dopo la cancellazione dell’unico gestore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Implementazione della casella di accettazione Termini con versione e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implementare in fase di registrazione secondo il modello deciso (riga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Consente di dimostrare l’avvenuta accettazione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Termini 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Durata del ciclo di rotazione dei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 TECNICA/CONTRATTUALE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Confermare tecnicamente presso i fornitori infrastrutturali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di indicare un dato tecnico non verificato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Configurazione runtime effettiva dei cookie/sessione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 TECNICA/CONTRATTUALE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Confermare nomi, durata e attributi rispetto al codice effettivamente in produzione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Conferma finale della classificazione Case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operativo del registro licenze/provenance dei dati esterni ed elenco fonti effettivamente integrate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 TECNICA/CONTRATTUALE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Confermare se già in uso; in caso contrario riformulare come impegno futuro; riconciliare l’elenco fonti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di dichiarare una prassi non ancora effettiva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Informativa dati e fonti esterne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 interna dettagliata per categoria di dati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 TECNICA/CONTRATTUALE</w:t>
            </w:r>
            <w:r>
              <w:t xml:space="preserve"> </w:t>
            </w:r>
            <w:r>
              <w:t xml:space="preserve">(strumento organizzativo, non blocca il testo pubblico)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Predisporre uno schema interno coerente col principio adottato (riga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Rafforza la capacità di rispondere a richieste di accesso/controlli dell’autorità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interno — nessun testo pubblico modificato da questo punto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PEC / rappresentante legale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CHIUSO — non necessario allo stato 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 DPO designato (non risultano i presupposti dell’art. 37 GDPR); PEC e rappresentante legale non aggiunti in assenza di un obbligo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di inventare dati o obblighi non applicabili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Policy, Legal Review Report</w:t>
            </w:r>
          </w:p>
        </w:tc>
      </w:tr>
    </w:tbl>
    <w:bookmarkEnd w:id="20"/>
    <w:bookmarkStart w:id="21" w:name="controllo-finale"/>
    <w:p>
      <w:pPr>
        <w:pStyle w:val="Heading1"/>
      </w:pPr>
      <w:r>
        <w:t xml:space="preserve">CONTROLLO FINALE</w:t>
      </w:r>
    </w:p>
    <w:p>
      <w:pPr>
        <w:pStyle w:val="FirstParagraph"/>
      </w:pPr>
      <w:r>
        <w:rPr>
          <w:bCs/>
          <w:b/>
        </w:rPr>
        <w:t xml:space="preserve">A. Decisioni del Titolare ancora aperte: NESSUNA.</w:t>
      </w:r>
    </w:p>
    <w:p>
      <w:pPr>
        <w:pStyle w:val="BodyText"/>
      </w:pPr>
      <w:r>
        <w:rPr>
          <w:bCs/>
          <w:b/>
        </w:rPr>
        <w:t xml:space="preserve">B. Verifiche tecniche/contrattuali ancora aperte:</w:t>
      </w:r>
    </w:p>
    <w:p>
      <w:pPr>
        <w:numPr>
          <w:ilvl w:val="0"/>
          <w:numId w:val="1001"/>
        </w:numPr>
        <w:pStyle w:val="Compact"/>
      </w:pPr>
      <w:r>
        <w:t xml:space="preserve">Vercel e Supabase: localizzazione, subprocessor, trasferimenti extra-SEE, DPA, ruolo privacy (riga 14).</w:t>
      </w:r>
    </w:p>
    <w:p>
      <w:pPr>
        <w:numPr>
          <w:ilvl w:val="0"/>
          <w:numId w:val="1001"/>
        </w:numPr>
        <w:pStyle w:val="Compact"/>
      </w:pPr>
      <w:r>
        <w:t xml:space="preserve">Durata del ciclo di rotazione dei backup (riga 18).</w:t>
      </w:r>
    </w:p>
    <w:p>
      <w:pPr>
        <w:numPr>
          <w:ilvl w:val="0"/>
          <w:numId w:val="1001"/>
        </w:numPr>
        <w:pStyle w:val="Compact"/>
      </w:pPr>
      <w:r>
        <w:t xml:space="preserve">Configurazione runtime effettiva dei cookie/sessione (riga 19).</w:t>
      </w:r>
    </w:p>
    <w:p>
      <w:pPr>
        <w:numPr>
          <w:ilvl w:val="0"/>
          <w:numId w:val="1001"/>
        </w:numPr>
        <w:pStyle w:val="Compact"/>
      </w:pPr>
      <w:r>
        <w:t xml:space="preserve">Stato del registro licenze/provenance ed elenco fonti attive (riga 20).</w:t>
      </w:r>
    </w:p>
    <w:p>
      <w:pPr>
        <w:numPr>
          <w:ilvl w:val="0"/>
          <w:numId w:val="1001"/>
        </w:numPr>
        <w:pStyle w:val="Compact"/>
      </w:pPr>
      <w:r>
        <w:t xml:space="preserve">Retention schedule interna dettagliata (riga 21 — non bloccante per il testo pubblico).</w:t>
      </w:r>
    </w:p>
    <w:p>
      <w:pPr>
        <w:pStyle w:val="FirstParagraph"/>
      </w:pPr>
      <w:r>
        <w:rPr>
          <w:bCs/>
          <w:b/>
        </w:rPr>
        <w:t xml:space="preserve">C. Task tecnici prima della pubblicazione operativa:</w:t>
      </w:r>
    </w:p>
    <w:p>
      <w:pPr>
        <w:numPr>
          <w:ilvl w:val="0"/>
          <w:numId w:val="1002"/>
        </w:numPr>
        <w:pStyle w:val="Compact"/>
      </w:pPr>
      <w:r>
        <w:t xml:space="preserve">Cancellazione self-service dell’account, con corretta gestione delle entità autonome (righe 15-16).</w:t>
      </w:r>
    </w:p>
    <w:p>
      <w:pPr>
        <w:numPr>
          <w:ilvl w:val="0"/>
          <w:numId w:val="1002"/>
        </w:numPr>
        <w:pStyle w:val="Compact"/>
      </w:pPr>
      <w:r>
        <w:t xml:space="preserve">Procedura di riattribuzione della gestione (riga 16).</w:t>
      </w:r>
    </w:p>
    <w:p>
      <w:pPr>
        <w:numPr>
          <w:ilvl w:val="0"/>
          <w:numId w:val="1002"/>
        </w:numPr>
        <w:pStyle w:val="Compact"/>
      </w:pPr>
      <w:r>
        <w:t xml:space="preserve">Casella di accettazione dei Termini con versione e timestamp in fase di registrazione (riga 17).</w:t>
      </w:r>
    </w:p>
    <w:p>
      <w:pPr>
        <w:pStyle w:val="FirstParagraph"/>
      </w:pPr>
      <w:r>
        <w:rPr>
          <w:bCs/>
          <w:b/>
        </w:rPr>
        <w:t xml:space="preserve">D. Documenti pronti / non pronti per la pubblicazione:</w:t>
      </w:r>
      <w:r>
        <w:t xml:space="preserve"> </w:t>
      </w:r>
      <w:r>
        <w:t xml:space="preserve">si veda la sezione</w:t>
      </w:r>
      <w:r>
        <w:t xml:space="preserve"> </w:t>
      </w:r>
      <w:r>
        <w:t xml:space="preserve">“</w:t>
      </w:r>
      <w:r>
        <w:t xml:space="preserve">Controllo finale</w:t>
      </w:r>
      <w:r>
        <w:t xml:space="preserve">”</w:t>
      </w:r>
      <w:r>
        <w:t xml:space="preserve"> </w:t>
      </w:r>
      <w:r>
        <w:t xml:space="preserve">del Legal Review Report per il dettaglio documento per documento. In sintesi: il pacchetto testuale è completo; la pubblicazione operativa resta condizionata alla chiusura dei punti B e all’implementazione dei task C.</w:t>
      </w:r>
    </w:p>
    <w:bookmarkEnd w:id="21"/>
    <w:bookmarkStart w:id="26" w:name="change-log"/>
    <w:p>
      <w:pPr>
        <w:pStyle w:val="Heading1"/>
      </w:pPr>
      <w:r>
        <w:t xml:space="preserve">Change Log</w:t>
      </w:r>
    </w:p>
    <w:bookmarkStart w:id="22" w:name="documento-1-privacy-policy"/>
    <w:p>
      <w:pPr>
        <w:pStyle w:val="Heading2"/>
      </w:pPr>
      <w:r>
        <w:t xml:space="preserve">Documento 1 — Privacy Policy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Cosa è cambiato in questo aggiornamento</w:t>
      </w:r>
      <w:r>
        <w:t xml:space="preserve">: riscritto il §11 (cancellazione dell’account) per</w:t>
      </w:r>
      <w:r>
        <w:t xml:space="preserve"> </w:t>
      </w:r>
      <w:r>
        <w:rPr>
          <w:bCs/>
          <w:b/>
        </w:rPr>
        <w:t xml:space="preserve">escludere esplicitamente la cancellazione automatica di imprese, organizzazioni e altre entità autonome</w:t>
      </w:r>
      <w:r>
        <w:t xml:space="preserve"> </w:t>
      </w:r>
      <w:r>
        <w:t xml:space="preserve">quando l’account cancellato ne era il gestore, con descrizione della cessazione dell’autorità di gestione e del rinvio alla futura procedura di riattribuzione; introdotta la distinzione tra il termine operativo (non promesso come cifra fissa) per la chiusura manuale dell’account e il termine statutario GDPR per le richieste ex art. 17, ora esplicitato al §12 (un mese, prorogabile di due); aggiunta nota sull’assenza di un DPO designato nell’introduzione del rapporto collegato.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Perché</w:t>
      </w:r>
      <w:r>
        <w:t xml:space="preserve">: correggere un’imprecisione giuridicamente rilevante segnalata dal Titolare e allineare i tempi promessi alla reale disponibilità tecnica dei processi.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Clausole aggiunte</w:t>
      </w:r>
      <w:r>
        <w:t xml:space="preserve">: principio di preservazione delle entità autonome (§11); termine statutario di risposta GDPR (§12).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Clausole eliminate</w:t>
      </w:r>
      <w:r>
        <w:t xml:space="preserve">: rimosso ogni riferimento a un termine tecnico fisso per la chiusura account non ancora implementata; rimossa l’affermazione che la cancellazione dell’account comportasse la cessazione di visibilità di</w:t>
      </w:r>
      <w:r>
        <w:t xml:space="preserve"> </w:t>
      </w:r>
      <w:r>
        <w:t xml:space="preserve">“</w:t>
      </w:r>
      <w:r>
        <w:t xml:space="preserve">imprese/organizzazioni gestite in via esclusiva dall’utente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Punti lasciati intenzionalmente aperti</w:t>
      </w:r>
      <w:r>
        <w:t xml:space="preserve">: verifiche Vercel/Supabase, durata ciclo backup (entrambi ora VERIFICA TECNICA/CONTRATTUALE, non decisioni di policy).</w:t>
      </w:r>
    </w:p>
    <w:bookmarkEnd w:id="22"/>
    <w:bookmarkStart w:id="23" w:name="documento-2-cookie-policy"/>
    <w:p>
      <w:pPr>
        <w:pStyle w:val="Heading2"/>
      </w:pPr>
      <w:r>
        <w:t xml:space="preserve">Documento 2 — Cookie Policy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Cosa è cambiato</w:t>
      </w:r>
      <w:r>
        <w:t xml:space="preserve">: nessuna modifica sostanziale in questo aggiornamento; confermata la valutazione Case A e l’assenza di cookie banner.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Perché</w:t>
      </w:r>
      <w:r>
        <w:t xml:space="preserve">: nessuna nuova informazione tecnica ricevuta che ne richieda la modifica.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Punti lasciati intenzionalmente aperti</w:t>
      </w:r>
      <w:r>
        <w:t xml:space="preserve">: configurazione runtime effettiva dei cookie di sessione.</w:t>
      </w:r>
    </w:p>
    <w:bookmarkEnd w:id="23"/>
    <w:bookmarkStart w:id="24" w:name="documento-3-termini-duso"/>
    <w:p>
      <w:pPr>
        <w:pStyle w:val="Heading2"/>
      </w:pPr>
      <w:r>
        <w:t xml:space="preserve">Documento 3 — Termini d’Uso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Cosa è cambiato</w:t>
      </w:r>
      <w:r>
        <w:t xml:space="preserve">: chiuso il §19 (legge applicabile e foro competente) con la formulazione definitiva a doppio binario consumatore/professionista; riscritto il §15 (</w:t>
      </w:r>
      <w:r>
        <w:t xml:space="preserve">“</w:t>
      </w:r>
      <w:r>
        <w:t xml:space="preserve">Chiusura dell’account</w:t>
      </w:r>
      <w:r>
        <w:t xml:space="preserve">”</w:t>
      </w:r>
      <w:r>
        <w:t xml:space="preserve">) specularmente al nuovo §11 della Privacy Policy, con la stessa correzione sulla preservazione delle entità autonome e sulla distinzione tra termine operativo e termine GDPR; aggiunta al §3 la clausola sull’accettazione obbligatoria dei Termini in fase di registrazione, con l’avvertenza che la Privacy Policy non è oggetto di consenso; risolto in via non bloccante il canale di segnalazione contenuti al §9 (resta il contatto generale, con possibilità di introdurre un canale dedicato come miglioria futura).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Perché</w:t>
      </w:r>
      <w:r>
        <w:t xml:space="preserve">: recepire le decisioni definitive ricevute su legge/foro, signup e correggere il modello di cancellazione account.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Clausole aggiunte</w:t>
      </w:r>
      <w:r>
        <w:t xml:space="preserve">: §19 legge/foro definitivo; clausola di accettazione Termini al §3; principio di preservazione delle entità autonome al §15.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Clausole eliminate</w:t>
      </w:r>
      <w:r>
        <w:t xml:space="preserve">: rimossi tutti i placeholder [DECISIONE DEL TITOLARE RICHIESTA] residui, ora tutti risolti.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Punti lasciati intenzionalmente aperti</w:t>
      </w:r>
      <w:r>
        <w:t xml:space="preserve">: nessuna decisione di policy; restano solo i task tecnici di implementazione (righe 15-17 della Decision Table).</w:t>
      </w:r>
    </w:p>
    <w:bookmarkEnd w:id="24"/>
    <w:bookmarkStart w:id="25" w:name="X9d6d960ed7f2263f38a0107ed6bb120a36cf978"/>
    <w:p>
      <w:pPr>
        <w:pStyle w:val="Heading2"/>
      </w:pPr>
      <w:r>
        <w:t xml:space="preserve">Documento 4 — Informativa/Disclaimer su dati e fonti esterne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Cosa è cambiato</w:t>
      </w:r>
      <w:r>
        <w:t xml:space="preserve">: risolto in via non bloccante il canale di segnalazione su dati/fonti esterne al §16 (resta il contatto generale, con possibilità di introdurre un indirizzo dedicato come miglioria futura); aggiornato il banner introduttivo per riflettere l’assenza di decisioni del Titolare ancora aperte.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Perché</w:t>
      </w:r>
      <w:r>
        <w:t xml:space="preserve">: coerenza con l’impostazione adottata negli altri documenti per i canali di contatto non ancora dedicati.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Clausole aggiunte</w:t>
      </w:r>
      <w:r>
        <w:t xml:space="preserve">: nessuna sostanziale.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Clausole eliminate</w:t>
      </w:r>
      <w:r>
        <w:t xml:space="preserve">: rimosso il placeholder [DECISIONE DEL TITOLARE RICHIESTA] relativo al canale di segnalazione.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Punti lasciati intenzionalmente aperti</w:t>
      </w:r>
      <w:r>
        <w:t xml:space="preserve">: stato operativo del registro di licenze/provenance; elenco delle fonti effettivamente integrate.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Table e Change Log — Progetto Immigrati Imprenditori</dc:title>
  <dc:creator>Allegato al Legal Review Report — Aggiornato 11 agosto 2026 (terza revisione, chiusura finale)</dc:creator>
  <cp:keywords/>
  <dcterms:created xsi:type="dcterms:W3CDTF">2026-08-11T18:32:04Z</dcterms:created>
  <dcterms:modified xsi:type="dcterms:W3CDTF">2026-08-11T18:32:04Z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