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412B" w14:textId="77777777" w:rsidR="00386E90" w:rsidRPr="007B5EBB" w:rsidRDefault="00000000" w:rsidP="00237BB0">
      <w:pPr>
        <w:pStyle w:val="Title"/>
        <w:jc w:val="center"/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</w:rPr>
        <w:t>Heuristic Baseline: Highest Message Count</w:t>
      </w:r>
    </w:p>
    <w:p w14:paraId="0A71506A" w14:textId="7FD03DB3" w:rsidR="00386E90" w:rsidRPr="007B5EBB" w:rsidRDefault="00000000" w:rsidP="007B5EBB">
      <w:pPr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  <w:b/>
          <w:bCs/>
        </w:rPr>
        <w:t>Experiment No</w:t>
      </w:r>
      <w:r w:rsidR="007B5EBB" w:rsidRPr="007B5EBB">
        <w:rPr>
          <w:rFonts w:ascii="Times New Roman" w:hAnsi="Times New Roman" w:cs="Times New Roman"/>
          <w:b/>
          <w:bCs/>
        </w:rPr>
        <w:t>:</w:t>
      </w:r>
      <w:r w:rsidR="007B5EBB" w:rsidRPr="007B5EBB">
        <w:rPr>
          <w:rFonts w:ascii="Times New Roman" w:hAnsi="Times New Roman" w:cs="Times New Roman"/>
        </w:rPr>
        <w:t xml:space="preserve"> </w:t>
      </w:r>
      <w:r w:rsidRPr="007B5EBB">
        <w:rPr>
          <w:rFonts w:ascii="Times New Roman" w:hAnsi="Times New Roman" w:cs="Times New Roman"/>
        </w:rPr>
        <w:t>EXP-01</w:t>
      </w:r>
    </w:p>
    <w:p w14:paraId="2B5A3FA5" w14:textId="725A7903" w:rsidR="00386E90" w:rsidRPr="007B5EBB" w:rsidRDefault="00000000" w:rsidP="007B5EBB">
      <w:pPr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  <w:b/>
          <w:bCs/>
        </w:rPr>
        <w:t>Date</w:t>
      </w:r>
      <w:r w:rsidR="007B5EBB" w:rsidRPr="007B5EBB">
        <w:rPr>
          <w:rFonts w:ascii="Times New Roman" w:hAnsi="Times New Roman" w:cs="Times New Roman"/>
          <w:b/>
          <w:bCs/>
        </w:rPr>
        <w:t>:</w:t>
      </w:r>
      <w:r w:rsidR="007B5EBB" w:rsidRPr="007B5EBB">
        <w:rPr>
          <w:rFonts w:ascii="Times New Roman" w:hAnsi="Times New Roman" w:cs="Times New Roman"/>
        </w:rPr>
        <w:t xml:space="preserve"> </w:t>
      </w:r>
      <w:r w:rsidRPr="007B5EBB">
        <w:rPr>
          <w:rFonts w:ascii="Times New Roman" w:hAnsi="Times New Roman" w:cs="Times New Roman"/>
        </w:rPr>
        <w:t>2026-06-0</w:t>
      </w:r>
      <w:r w:rsidR="001D12CE" w:rsidRPr="007B5EBB">
        <w:rPr>
          <w:rFonts w:ascii="Times New Roman" w:hAnsi="Times New Roman" w:cs="Times New Roman"/>
        </w:rPr>
        <w:t>2</w:t>
      </w:r>
    </w:p>
    <w:p w14:paraId="40485ECE" w14:textId="77777777" w:rsidR="00386E90" w:rsidRPr="007B5EBB" w:rsidRDefault="00000000" w:rsidP="007B5EBB">
      <w:pPr>
        <w:rPr>
          <w:rFonts w:ascii="Times New Roman" w:hAnsi="Times New Roman" w:cs="Times New Roman"/>
          <w:b/>
          <w:bCs/>
        </w:rPr>
      </w:pPr>
      <w:r w:rsidRPr="007B5EBB">
        <w:rPr>
          <w:rFonts w:ascii="Times New Roman" w:hAnsi="Times New Roman" w:cs="Times New Roman"/>
          <w:b/>
          <w:bCs/>
        </w:rPr>
        <w:t>Objective</w:t>
      </w:r>
    </w:p>
    <w:p w14:paraId="3369D1B7" w14:textId="77777777" w:rsidR="00386E90" w:rsidRPr="007B5EBB" w:rsidRDefault="00000000" w:rsidP="001D12CE">
      <w:pPr>
        <w:jc w:val="both"/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</w:rPr>
        <w:t>Test whether the true grooming-related pair can be found by selecting the candidate pair with the highest communication volume.</w:t>
      </w:r>
    </w:p>
    <w:p w14:paraId="5BD78C9F" w14:textId="0DA6772D" w:rsidR="00386E90" w:rsidRPr="007B5EBB" w:rsidRDefault="007B5EBB" w:rsidP="007B5EBB">
      <w:pPr>
        <w:rPr>
          <w:rFonts w:ascii="Times New Roman" w:hAnsi="Times New Roman" w:cs="Times New Roman"/>
          <w:b/>
          <w:bCs/>
        </w:rPr>
      </w:pPr>
      <w:r w:rsidRPr="007B5EBB">
        <w:rPr>
          <w:rFonts w:ascii="Times New Roman" w:hAnsi="Times New Roman" w:cs="Times New Roman"/>
          <w:b/>
          <w:bCs/>
        </w:rPr>
        <w:t>Libraries</w:t>
      </w:r>
      <w:r w:rsidR="00000000" w:rsidRPr="007B5EBB">
        <w:rPr>
          <w:rFonts w:ascii="Times New Roman" w:hAnsi="Times New Roman" w:cs="Times New Roman"/>
          <w:b/>
          <w:bCs/>
        </w:rPr>
        <w:t xml:space="preserve"> Used</w:t>
      </w:r>
      <w:r w:rsidRPr="007B5EBB">
        <w:rPr>
          <w:rFonts w:ascii="Times New Roman" w:hAnsi="Times New Roman" w:cs="Times New Roman"/>
          <w:b/>
          <w:bCs/>
        </w:rPr>
        <w:t xml:space="preserve">: </w:t>
      </w:r>
      <w:r w:rsidR="00000000" w:rsidRPr="007B5EBB">
        <w:rPr>
          <w:rFonts w:ascii="Times New Roman" w:hAnsi="Times New Roman" w:cs="Times New Roman"/>
        </w:rPr>
        <w:t>Python</w:t>
      </w:r>
      <w:r w:rsidRPr="007B5EBB">
        <w:rPr>
          <w:rFonts w:ascii="Times New Roman" w:hAnsi="Times New Roman" w:cs="Times New Roman"/>
        </w:rPr>
        <w:t xml:space="preserve"> and</w:t>
      </w:r>
      <w:r w:rsidR="00000000" w:rsidRPr="007B5EBB">
        <w:rPr>
          <w:rFonts w:ascii="Times New Roman" w:hAnsi="Times New Roman" w:cs="Times New Roman"/>
        </w:rPr>
        <w:t xml:space="preserve"> pandas</w:t>
      </w:r>
    </w:p>
    <w:p w14:paraId="773A89E6" w14:textId="248E00EC" w:rsidR="00386E90" w:rsidRPr="00221052" w:rsidRDefault="00000000" w:rsidP="007B5EBB">
      <w:pPr>
        <w:rPr>
          <w:rFonts w:ascii="Times New Roman" w:hAnsi="Times New Roman" w:cs="Times New Roman"/>
          <w:b/>
          <w:bCs/>
        </w:rPr>
      </w:pPr>
      <w:r w:rsidRPr="00221052">
        <w:rPr>
          <w:rFonts w:ascii="Times New Roman" w:hAnsi="Times New Roman" w:cs="Times New Roman"/>
          <w:b/>
          <w:bCs/>
        </w:rPr>
        <w:t>Data Used</w:t>
      </w:r>
      <w:r w:rsidR="00221052">
        <w:rPr>
          <w:rFonts w:ascii="Times New Roman" w:hAnsi="Times New Roman" w:cs="Times New Roman"/>
          <w:b/>
          <w:bCs/>
        </w:rPr>
        <w:t>:</w:t>
      </w:r>
    </w:p>
    <w:p w14:paraId="1BC92A1A" w14:textId="77777777" w:rsidR="00386E90" w:rsidRPr="007B5EBB" w:rsidRDefault="00000000" w:rsidP="001D12CE">
      <w:pPr>
        <w:jc w:val="both"/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</w:rPr>
        <w:t>outputs/features/pair_level_features_enhanced.csv</w:t>
      </w:r>
    </w:p>
    <w:p w14:paraId="0F60F081" w14:textId="76C62883" w:rsidR="00386E90" w:rsidRPr="00221052" w:rsidRDefault="00000000" w:rsidP="007B5EBB">
      <w:pPr>
        <w:rPr>
          <w:rFonts w:ascii="Times New Roman" w:hAnsi="Times New Roman" w:cs="Times New Roman"/>
          <w:b/>
          <w:bCs/>
        </w:rPr>
      </w:pPr>
      <w:r w:rsidRPr="00221052">
        <w:rPr>
          <w:rFonts w:ascii="Times New Roman" w:hAnsi="Times New Roman" w:cs="Times New Roman"/>
          <w:b/>
          <w:bCs/>
        </w:rPr>
        <w:t>Procedure</w:t>
      </w:r>
      <w:r w:rsidR="00221052">
        <w:rPr>
          <w:rFonts w:ascii="Times New Roman" w:hAnsi="Times New Roman" w:cs="Times New Roman"/>
          <w:b/>
          <w:bCs/>
        </w:rPr>
        <w:t>:</w:t>
      </w:r>
    </w:p>
    <w:p w14:paraId="14F73C2A" w14:textId="77777777" w:rsidR="00386E90" w:rsidRPr="007B5EBB" w:rsidRDefault="00000000" w:rsidP="001D12CE">
      <w:pPr>
        <w:jc w:val="both"/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</w:rPr>
        <w:t>For each held-out scenario, candidate pairs were ranked by message_count in descending order. The top-ranked pair was treated as the predicted grooming-related pair. The same grouped 5-fold split by dataset folder was used.</w:t>
      </w:r>
    </w:p>
    <w:p w14:paraId="6BCBCCAE" w14:textId="77777777" w:rsidR="00386E90" w:rsidRPr="007B5EBB" w:rsidRDefault="00000000" w:rsidP="001D12CE">
      <w:pPr>
        <w:jc w:val="both"/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</w:rPr>
        <w:t>Grouped 5-fold evaluation was used. Each fold held out one complete dataset folder and evaluated on the two scenarios inside that folder. Folds were not treated as separate experiments; fold metrics were aggregated for this report.</w:t>
      </w:r>
    </w:p>
    <w:p w14:paraId="2EE19258" w14:textId="77777777" w:rsidR="00221052" w:rsidRDefault="00221052" w:rsidP="007B5EBB">
      <w:pPr>
        <w:rPr>
          <w:rFonts w:ascii="Times New Roman" w:hAnsi="Times New Roman" w:cs="Times New Roman"/>
          <w:b/>
          <w:bCs/>
        </w:rPr>
      </w:pPr>
    </w:p>
    <w:p w14:paraId="04781C9C" w14:textId="2B0D0E12" w:rsidR="00386E90" w:rsidRPr="007B5EBB" w:rsidRDefault="00000000" w:rsidP="007B5EBB">
      <w:pPr>
        <w:rPr>
          <w:rFonts w:ascii="Times New Roman" w:hAnsi="Times New Roman" w:cs="Times New Roman"/>
          <w:b/>
          <w:bCs/>
        </w:rPr>
      </w:pPr>
      <w:r w:rsidRPr="007B5EBB">
        <w:rPr>
          <w:rFonts w:ascii="Times New Roman" w:hAnsi="Times New Roman" w:cs="Times New Roman"/>
          <w:b/>
          <w:bCs/>
        </w:rPr>
        <w:t>Results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8"/>
        <w:gridCol w:w="4032"/>
      </w:tblGrid>
      <w:tr w:rsidR="00386E90" w:rsidRPr="007B5EBB" w14:paraId="221C55C7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  <w:shd w:val="clear" w:color="auto" w:fill="FFFFFF" w:themeFill="background1"/>
          </w:tcPr>
          <w:p w14:paraId="0EEE47A5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  <w:b/>
              </w:rPr>
              <w:t>Metric</w:t>
            </w:r>
          </w:p>
        </w:tc>
        <w:tc>
          <w:tcPr>
            <w:tcW w:w="2149" w:type="pct"/>
            <w:shd w:val="clear" w:color="auto" w:fill="FFFFFF" w:themeFill="background1"/>
          </w:tcPr>
          <w:p w14:paraId="663F368B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  <w:b/>
              </w:rPr>
              <w:t>Mean across folds</w:t>
            </w:r>
          </w:p>
        </w:tc>
      </w:tr>
      <w:tr w:rsidR="00386E90" w:rsidRPr="007B5EBB" w14:paraId="2ECF62D4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</w:tcPr>
          <w:p w14:paraId="3413809F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Top-1 Accuracy</w:t>
            </w:r>
          </w:p>
        </w:tc>
        <w:tc>
          <w:tcPr>
            <w:tcW w:w="2149" w:type="pct"/>
          </w:tcPr>
          <w:p w14:paraId="6B3A189E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0.0000</w:t>
            </w:r>
          </w:p>
        </w:tc>
      </w:tr>
      <w:tr w:rsidR="00386E90" w:rsidRPr="007B5EBB" w14:paraId="200DC3E4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</w:tcPr>
          <w:p w14:paraId="650F3B8D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Mean Reciprocal Rank</w:t>
            </w:r>
          </w:p>
        </w:tc>
        <w:tc>
          <w:tcPr>
            <w:tcW w:w="2149" w:type="pct"/>
          </w:tcPr>
          <w:p w14:paraId="146C7694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0.3139</w:t>
            </w:r>
          </w:p>
        </w:tc>
      </w:tr>
      <w:tr w:rsidR="00386E90" w:rsidRPr="007B5EBB" w14:paraId="086FD463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</w:tcPr>
          <w:p w14:paraId="4B20B72D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Precision at Top-1</w:t>
            </w:r>
          </w:p>
        </w:tc>
        <w:tc>
          <w:tcPr>
            <w:tcW w:w="2149" w:type="pct"/>
          </w:tcPr>
          <w:p w14:paraId="41201FC6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0.0000</w:t>
            </w:r>
          </w:p>
        </w:tc>
      </w:tr>
      <w:tr w:rsidR="00386E90" w:rsidRPr="007B5EBB" w14:paraId="0AC99EE1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</w:tcPr>
          <w:p w14:paraId="45338B31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Recall at Top-1</w:t>
            </w:r>
          </w:p>
        </w:tc>
        <w:tc>
          <w:tcPr>
            <w:tcW w:w="2149" w:type="pct"/>
          </w:tcPr>
          <w:p w14:paraId="656FBD9A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0.0000</w:t>
            </w:r>
          </w:p>
        </w:tc>
      </w:tr>
      <w:tr w:rsidR="00386E90" w:rsidRPr="007B5EBB" w14:paraId="21C70B80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</w:tcPr>
          <w:p w14:paraId="73E0E0B9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F1 at Top-1</w:t>
            </w:r>
          </w:p>
        </w:tc>
        <w:tc>
          <w:tcPr>
            <w:tcW w:w="2149" w:type="pct"/>
          </w:tcPr>
          <w:p w14:paraId="151A01E3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0.0000</w:t>
            </w:r>
          </w:p>
        </w:tc>
      </w:tr>
      <w:tr w:rsidR="00386E90" w:rsidRPr="007B5EBB" w14:paraId="768072D5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</w:tcPr>
          <w:p w14:paraId="6C110384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2149" w:type="pct"/>
          </w:tcPr>
          <w:p w14:paraId="63C0CCDF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0.6800</w:t>
            </w:r>
          </w:p>
        </w:tc>
      </w:tr>
      <w:tr w:rsidR="00386E90" w:rsidRPr="007B5EBB" w14:paraId="15986044" w14:textId="77777777" w:rsidTr="001D12CE">
        <w:tblPrEx>
          <w:tblCellMar>
            <w:top w:w="0" w:type="dxa"/>
            <w:bottom w:w="0" w:type="dxa"/>
          </w:tblCellMar>
        </w:tblPrEx>
        <w:tc>
          <w:tcPr>
            <w:tcW w:w="2851" w:type="pct"/>
          </w:tcPr>
          <w:p w14:paraId="38C23DD4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PR-AUC</w:t>
            </w:r>
          </w:p>
        </w:tc>
        <w:tc>
          <w:tcPr>
            <w:tcW w:w="2149" w:type="pct"/>
          </w:tcPr>
          <w:p w14:paraId="0ECACFF3" w14:textId="77777777" w:rsidR="00386E90" w:rsidRPr="007B5EBB" w:rsidRDefault="00000000" w:rsidP="001D12CE">
            <w:pPr>
              <w:jc w:val="both"/>
              <w:rPr>
                <w:rFonts w:ascii="Times New Roman" w:hAnsi="Times New Roman" w:cs="Times New Roman"/>
              </w:rPr>
            </w:pPr>
            <w:r w:rsidRPr="007B5EBB">
              <w:rPr>
                <w:rFonts w:ascii="Times New Roman" w:hAnsi="Times New Roman" w:cs="Times New Roman"/>
              </w:rPr>
              <w:t>0.2630</w:t>
            </w:r>
          </w:p>
        </w:tc>
      </w:tr>
    </w:tbl>
    <w:p w14:paraId="7D16F3DD" w14:textId="77777777" w:rsidR="007B5EBB" w:rsidRDefault="007B5EBB" w:rsidP="007B5EBB">
      <w:pPr>
        <w:rPr>
          <w:rFonts w:ascii="Times New Roman" w:hAnsi="Times New Roman" w:cs="Times New Roman"/>
        </w:rPr>
      </w:pPr>
    </w:p>
    <w:p w14:paraId="6DF910C6" w14:textId="5DFC7DBA" w:rsidR="00386E90" w:rsidRPr="007B5EBB" w:rsidRDefault="007B5EBB" w:rsidP="007B5EBB">
      <w:pPr>
        <w:rPr>
          <w:rFonts w:ascii="Times New Roman" w:hAnsi="Times New Roman" w:cs="Times New Roman"/>
          <w:b/>
          <w:bCs/>
        </w:rPr>
      </w:pPr>
      <w:hyperlink r:id="rId7" w:history="1">
        <w:r w:rsidR="00000000" w:rsidRPr="007B5EBB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Analysis</w:t>
        </w:r>
      </w:hyperlink>
    </w:p>
    <w:p w14:paraId="76DA08B8" w14:textId="48616280" w:rsidR="00386E90" w:rsidRPr="007B5EBB" w:rsidRDefault="00000000" w:rsidP="001D12CE">
      <w:pPr>
        <w:jc w:val="both"/>
        <w:rPr>
          <w:rFonts w:ascii="Times New Roman" w:hAnsi="Times New Roman" w:cs="Times New Roman"/>
        </w:rPr>
      </w:pPr>
      <w:r w:rsidRPr="007B5EBB">
        <w:rPr>
          <w:rFonts w:ascii="Times New Roman" w:hAnsi="Times New Roman" w:cs="Times New Roman"/>
        </w:rPr>
        <w:t>This baseline tests a simple assumption: grooming pairs may communicate more frequently than ordinary pairs. Its weak Top-1 result shows that communication volume alone is not a reliable detector in this dataset.</w:t>
      </w:r>
    </w:p>
    <w:sectPr w:rsidR="00386E90" w:rsidRPr="007B5EBB" w:rsidSect="001D12CE">
      <w:pgSz w:w="12240" w:h="15840"/>
      <w:pgMar w:top="72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F1698" w14:textId="77777777" w:rsidR="0072102C" w:rsidRDefault="0072102C" w:rsidP="00C4157A">
      <w:pPr>
        <w:spacing w:after="0" w:line="240" w:lineRule="auto"/>
      </w:pPr>
      <w:r>
        <w:separator/>
      </w:r>
    </w:p>
  </w:endnote>
  <w:endnote w:type="continuationSeparator" w:id="0">
    <w:p w14:paraId="05FC159B" w14:textId="77777777" w:rsidR="0072102C" w:rsidRDefault="0072102C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8D6C" w14:textId="77777777" w:rsidR="0072102C" w:rsidRDefault="0072102C" w:rsidP="00C4157A">
      <w:pPr>
        <w:spacing w:after="0" w:line="240" w:lineRule="auto"/>
      </w:pPr>
      <w:r>
        <w:separator/>
      </w:r>
    </w:p>
  </w:footnote>
  <w:footnote w:type="continuationSeparator" w:id="0">
    <w:p w14:paraId="435ED219" w14:textId="77777777" w:rsidR="0072102C" w:rsidRDefault="0072102C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1D12CE"/>
    <w:rsid w:val="00221052"/>
    <w:rsid w:val="00237BB0"/>
    <w:rsid w:val="00386E90"/>
    <w:rsid w:val="00556214"/>
    <w:rsid w:val="0072102C"/>
    <w:rsid w:val="007B5EBB"/>
    <w:rsid w:val="00C4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CE11B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ps108@kent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3</cp:revision>
  <dcterms:created xsi:type="dcterms:W3CDTF">2026-06-11T19:09:00Z</dcterms:created>
  <dcterms:modified xsi:type="dcterms:W3CDTF">2026-06-11T19:10:00Z</dcterms:modified>
</cp:coreProperties>
</file>