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b/>
          <w:color w:val="147D9B"/>
          <w:sz w:val="18"/>
        </w:rPr>
        <w:t>POLAR TWIN</w:t>
      </w:r>
    </w:p>
    <w:p>
      <w:pPr>
        <w:pStyle w:val="Title"/>
      </w:pPr>
      <w:r>
        <w:t>Project Building Plan</w:t>
      </w:r>
    </w:p>
    <w:p>
      <w:pPr>
        <w:spacing w:after="260"/>
      </w:pPr>
      <w:r>
        <w:rPr>
          <w:color w:val="526477"/>
          <w:sz w:val="22"/>
        </w:rPr>
        <w:t>A phased plan to turn the Antarctic station prototype into a reliable, explainable operations demo</w:t>
      </w:r>
    </w:p>
    <w:tbl>
      <w:tblPr>
        <w:tblStyle w:val="TableGrid"/>
        <w:tblW w:type="auto" w:w="0"/>
        <w:tblLook w:firstColumn="1" w:firstRow="1" w:lastColumn="0" w:lastRow="0" w:noHBand="0" w:noVBand="1" w:val="04A0"/>
      </w:tblPr>
      <w:tblGrid>
        <w:gridCol w:w="9994"/>
      </w:tblGrid>
      <w:tr>
        <w:tc>
          <w:tcPr>
            <w:tcW w:type="dxa" w:w="9994"/>
            <w:shd w:fill="EAF4F7"/>
            <w:vAlign w:val="center"/>
          </w:tcPr>
          <w:p>
            <w:pPr>
              <w:spacing w:after="0"/>
            </w:pPr>
            <w:r/>
            <w:r>
              <w:rPr>
                <w:rFonts w:ascii="Aptos" w:hAnsi="Aptos"/>
                <w:b/>
                <w:color w:val="102A43"/>
                <w:sz w:val="20"/>
              </w:rPr>
              <w:t>PROJECT AIM  |  Demonstrate how a storm or equipment fault changes station conditions, triggers an explainable alert, creates a fuel requisition, and moves through approval, dispatch, and delivery while remaining useful during a link outage.</w:t>
            </w:r>
          </w:p>
        </w:tc>
      </w:tr>
    </w:tbl>
    <w:p/>
    <w:p>
      <w:pPr>
        <w:pStyle w:val="Heading1"/>
      </w:pPr>
      <w:r>
        <w:t>1. Executive plan</w:t>
      </w:r>
    </w:p>
    <w:p>
      <w:r>
        <w:t>Polar Twin already demonstrates selectable Maitri and Bharati profiles, storm and reset scenarios, a stock-out versus shipment outlook, and browser-side offline buffering. The next build should center on a complete, persistent response workflow. The API and SQLite database should own operational state; the web app should make that state clear to Station Leaders, Logistics, and Management. A schematic 3D station view, alert logic, health score, reports, and demo fallback then make the core workflow understandable and presentable.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02A43"/>
          </w:tcPr>
          <w:p>
            <w:pPr>
              <w:spacing w:after="0"/>
            </w:pPr>
            <w:r/>
            <w:r>
              <w:rPr>
                <w:rFonts w:ascii="Aptos" w:hAnsi="Aptos"/>
                <w:b/>
                <w:color w:val="FFFFFF"/>
                <w:sz w:val="17"/>
              </w:rPr>
              <w:t>Planning assumption</w:t>
            </w:r>
          </w:p>
        </w:tc>
        <w:tc>
          <w:tcPr>
            <w:tcW w:type="dxa" w:w="4997"/>
            <w:vAlign w:val="center"/>
            <w:shd w:fill="102A43"/>
          </w:tcPr>
          <w:p>
            <w:pPr>
              <w:spacing w:after="0"/>
            </w:pPr>
            <w:r/>
            <w:r>
              <w:rPr>
                <w:rFonts w:ascii="Aptos" w:hAnsi="Aptos"/>
                <w:b/>
                <w:color w:val="FFFFFF"/>
                <w:sz w:val="17"/>
              </w:rPr>
              <w:t>Plan</w:t>
            </w:r>
          </w:p>
        </w:tc>
      </w:tr>
      <w:tr>
        <w:tc>
          <w:tcPr>
            <w:tcW w:type="dxa" w:w="4997"/>
            <w:vAlign w:val="center"/>
            <w:shd w:fill="F2F7FA"/>
          </w:tcPr>
          <w:p>
            <w:pPr>
              <w:spacing w:after="0"/>
            </w:pPr>
            <w:r/>
            <w:r>
              <w:rPr>
                <w:rFonts w:ascii="Aptos" w:hAnsi="Aptos"/>
                <w:b w:val="0"/>
                <w:color w:val="102A43"/>
                <w:sz w:val="17"/>
              </w:rPr>
              <w:t>Delivery horizon</w:t>
            </w:r>
          </w:p>
        </w:tc>
        <w:tc>
          <w:tcPr>
            <w:tcW w:type="dxa" w:w="4997"/>
            <w:vAlign w:val="center"/>
            <w:shd w:fill="F2F7FA"/>
          </w:tcPr>
          <w:p>
            <w:pPr>
              <w:spacing w:after="0"/>
            </w:pPr>
            <w:r/>
            <w:r>
              <w:rPr>
                <w:rFonts w:ascii="Aptos" w:hAnsi="Aptos"/>
                <w:b w:val="0"/>
                <w:color w:val="102A43"/>
                <w:sz w:val="17"/>
              </w:rPr>
              <w:t>About 6–8 weeks for a small student team; adjust to team availability.</w:t>
            </w:r>
          </w:p>
        </w:tc>
      </w:tr>
      <w:tr>
        <w:tc>
          <w:tcPr>
            <w:tcW w:type="dxa" w:w="4997"/>
            <w:vAlign w:val="center"/>
          </w:tcPr>
          <w:p>
            <w:pPr>
              <w:spacing w:after="0"/>
            </w:pPr>
            <w:r/>
            <w:r>
              <w:rPr>
                <w:rFonts w:ascii="Aptos" w:hAnsi="Aptos"/>
                <w:b w:val="0"/>
                <w:color w:val="102A43"/>
                <w:sz w:val="17"/>
              </w:rPr>
              <w:t>Implementation stack</w:t>
            </w:r>
          </w:p>
        </w:tc>
        <w:tc>
          <w:tcPr>
            <w:tcW w:type="dxa" w:w="4997"/>
            <w:vAlign w:val="center"/>
          </w:tcPr>
          <w:p>
            <w:pPr>
              <w:spacing w:after="0"/>
            </w:pPr>
            <w:r/>
            <w:r>
              <w:rPr>
                <w:rFonts w:ascii="Aptos" w:hAnsi="Aptos"/>
                <w:b w:val="0"/>
                <w:color w:val="102A43"/>
                <w:sz w:val="17"/>
              </w:rPr>
              <w:t>React + Vite web app; FastAPI API; SQLite for prototype persistence; Python simulator.</w:t>
            </w:r>
          </w:p>
        </w:tc>
      </w:tr>
      <w:tr>
        <w:tc>
          <w:tcPr>
            <w:tcW w:type="dxa" w:w="4997"/>
            <w:vAlign w:val="center"/>
            <w:shd w:fill="F2F7FA"/>
          </w:tcPr>
          <w:p>
            <w:pPr>
              <w:spacing w:after="0"/>
            </w:pPr>
            <w:r/>
            <w:r>
              <w:rPr>
                <w:rFonts w:ascii="Aptos" w:hAnsi="Aptos"/>
                <w:b w:val="0"/>
                <w:color w:val="102A43"/>
                <w:sz w:val="17"/>
              </w:rPr>
              <w:t>Data posture</w:t>
            </w:r>
          </w:p>
        </w:tc>
        <w:tc>
          <w:tcPr>
            <w:tcW w:type="dxa" w:w="4997"/>
            <w:vAlign w:val="center"/>
            <w:shd w:fill="F2F7FA"/>
          </w:tcPr>
          <w:p>
            <w:pPr>
              <w:spacing w:after="0"/>
            </w:pPr>
            <w:r/>
            <w:r>
              <w:rPr>
                <w:rFonts w:ascii="Aptos" w:hAnsi="Aptos"/>
                <w:b w:val="0"/>
                <w:color w:val="102A43"/>
                <w:sz w:val="17"/>
              </w:rPr>
              <w:t>Synthetic or public-derived demo data only; provenance stays visible on every view and export.</w:t>
            </w:r>
          </w:p>
        </w:tc>
      </w:tr>
      <w:tr>
        <w:tc>
          <w:tcPr>
            <w:tcW w:type="dxa" w:w="4997"/>
            <w:vAlign w:val="center"/>
          </w:tcPr>
          <w:p>
            <w:pPr>
              <w:spacing w:after="0"/>
            </w:pPr>
            <w:r/>
            <w:r>
              <w:rPr>
                <w:rFonts w:ascii="Aptos" w:hAnsi="Aptos"/>
                <w:b w:val="0"/>
                <w:color w:val="102A43"/>
                <w:sz w:val="17"/>
              </w:rPr>
              <w:t>Primary demo story</w:t>
            </w:r>
          </w:p>
        </w:tc>
        <w:tc>
          <w:tcPr>
            <w:tcW w:type="dxa" w:w="4997"/>
            <w:vAlign w:val="center"/>
          </w:tcPr>
          <w:p>
            <w:pPr>
              <w:spacing w:after="0"/>
            </w:pPr>
            <w:r/>
            <w:r>
              <w:rPr>
                <w:rFonts w:ascii="Aptos" w:hAnsi="Aptos"/>
                <w:b w:val="0"/>
                <w:color w:val="102A43"/>
                <w:sz w:val="17"/>
              </w:rPr>
              <w:t>Storm raises demand → fuel risk appears → delayed arrival creates a gap → request is approved and dispatched → ETA changes → delivery closes the incident.</w:t>
            </w:r>
          </w:p>
        </w:tc>
      </w:tr>
    </w:tbl>
    <w:p>
      <w:pPr>
        <w:spacing w:after="20"/>
      </w:pPr>
    </w:p>
    <w:p>
      <w:pPr>
        <w:pStyle w:val="Heading1"/>
      </w:pPr>
      <w:r>
        <w:t>2. Build sequence and milestones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vAlign w:val="center"/>
            <w:shd w:fill="102A43"/>
          </w:tcPr>
          <w:p>
            <w:pPr>
              <w:spacing w:after="0"/>
            </w:pPr>
            <w:r/>
            <w:r>
              <w:rPr>
                <w:rFonts w:ascii="Aptos" w:hAnsi="Aptos"/>
                <w:b/>
                <w:color w:val="FFFFFF"/>
                <w:sz w:val="17"/>
              </w:rPr>
              <w:t>Phase</w:t>
            </w:r>
          </w:p>
        </w:tc>
        <w:tc>
          <w:tcPr>
            <w:tcW w:type="dxa" w:w="2498"/>
            <w:vAlign w:val="center"/>
            <w:shd w:fill="102A43"/>
          </w:tcPr>
          <w:p>
            <w:pPr>
              <w:spacing w:after="0"/>
            </w:pPr>
            <w:r/>
            <w:r>
              <w:rPr>
                <w:rFonts w:ascii="Aptos" w:hAnsi="Aptos"/>
                <w:b/>
                <w:color w:val="FFFFFF"/>
                <w:sz w:val="17"/>
              </w:rPr>
              <w:t>Timing</w:t>
            </w:r>
          </w:p>
        </w:tc>
        <w:tc>
          <w:tcPr>
            <w:tcW w:type="dxa" w:w="2498"/>
            <w:vAlign w:val="center"/>
            <w:shd w:fill="102A43"/>
          </w:tcPr>
          <w:p>
            <w:pPr>
              <w:spacing w:after="0"/>
            </w:pPr>
            <w:r/>
            <w:r>
              <w:rPr>
                <w:rFonts w:ascii="Aptos" w:hAnsi="Aptos"/>
                <w:b/>
                <w:color w:val="FFFFFF"/>
                <w:sz w:val="17"/>
              </w:rPr>
              <w:t>Main deliverable</w:t>
            </w:r>
          </w:p>
        </w:tc>
        <w:tc>
          <w:tcPr>
            <w:tcW w:type="dxa" w:w="2498"/>
            <w:vAlign w:val="center"/>
            <w:shd w:fill="102A43"/>
          </w:tcPr>
          <w:p>
            <w:pPr>
              <w:spacing w:after="0"/>
            </w:pPr>
            <w:r/>
            <w:r>
              <w:rPr>
                <w:rFonts w:ascii="Aptos" w:hAnsi="Aptos"/>
                <w:b/>
                <w:color w:val="FFFFFF"/>
                <w:sz w:val="17"/>
              </w:rPr>
              <w:t>Exit check</w:t>
            </w:r>
          </w:p>
        </w:tc>
      </w:tr>
      <w:tr>
        <w:tc>
          <w:tcPr>
            <w:tcW w:type="dxa" w:w="2498"/>
            <w:vAlign w:val="center"/>
            <w:shd w:fill="F2F7FA"/>
          </w:tcPr>
          <w:p>
            <w:pPr>
              <w:spacing w:after="0"/>
            </w:pPr>
            <w:r/>
            <w:r>
              <w:rPr>
                <w:rFonts w:ascii="Aptos" w:hAnsi="Aptos"/>
                <w:b w:val="0"/>
                <w:color w:val="102A43"/>
                <w:sz w:val="17"/>
              </w:rPr>
              <w:t>0. Baseline and contracts</w:t>
            </w:r>
          </w:p>
        </w:tc>
        <w:tc>
          <w:tcPr>
            <w:tcW w:type="dxa" w:w="2498"/>
            <w:vAlign w:val="center"/>
            <w:shd w:fill="F2F7FA"/>
          </w:tcPr>
          <w:p>
            <w:pPr>
              <w:spacing w:after="0"/>
            </w:pPr>
            <w:r/>
            <w:r>
              <w:rPr>
                <w:rFonts w:ascii="Aptos" w:hAnsi="Aptos"/>
                <w:b w:val="0"/>
                <w:color w:val="102A43"/>
                <w:sz w:val="17"/>
              </w:rPr>
              <w:t>Days 1–3</w:t>
            </w:r>
          </w:p>
        </w:tc>
        <w:tc>
          <w:tcPr>
            <w:tcW w:type="dxa" w:w="2498"/>
            <w:vAlign w:val="center"/>
            <w:shd w:fill="F2F7FA"/>
          </w:tcPr>
          <w:p>
            <w:pPr>
              <w:spacing w:after="0"/>
            </w:pPr>
            <w:r/>
            <w:r>
              <w:rPr>
                <w:rFonts w:ascii="Aptos" w:hAnsi="Aptos"/>
                <w:b w:val="0"/>
                <w:color w:val="102A43"/>
                <w:sz w:val="17"/>
              </w:rPr>
              <w:t>Inventory existing code; agree API schemas, status names, provenance, and demo data.</w:t>
            </w:r>
          </w:p>
        </w:tc>
        <w:tc>
          <w:tcPr>
            <w:tcW w:type="dxa" w:w="2498"/>
            <w:vAlign w:val="center"/>
            <w:shd w:fill="F2F7FA"/>
          </w:tcPr>
          <w:p>
            <w:pPr>
              <w:spacing w:after="0"/>
            </w:pPr>
            <w:r/>
            <w:r>
              <w:rPr>
                <w:rFonts w:ascii="Aptos" w:hAnsi="Aptos"/>
                <w:b w:val="0"/>
                <w:color w:val="102A43"/>
                <w:sz w:val="17"/>
              </w:rPr>
              <w:t>Web and API run locally from a clean setup; contract examples reviewed.</w:t>
            </w:r>
          </w:p>
        </w:tc>
      </w:tr>
      <w:tr>
        <w:tc>
          <w:tcPr>
            <w:tcW w:type="dxa" w:w="2498"/>
            <w:vAlign w:val="center"/>
          </w:tcPr>
          <w:p>
            <w:pPr>
              <w:spacing w:after="0"/>
            </w:pPr>
            <w:r/>
            <w:r>
              <w:rPr>
                <w:rFonts w:ascii="Aptos" w:hAnsi="Aptos"/>
                <w:b w:val="0"/>
                <w:color w:val="102A43"/>
                <w:sz w:val="17"/>
              </w:rPr>
              <w:t>1. Workflow foundation</w:t>
            </w:r>
          </w:p>
        </w:tc>
        <w:tc>
          <w:tcPr>
            <w:tcW w:type="dxa" w:w="2498"/>
            <w:vAlign w:val="center"/>
          </w:tcPr>
          <w:p>
            <w:pPr>
              <w:spacing w:after="0"/>
            </w:pPr>
            <w:r/>
            <w:r>
              <w:rPr>
                <w:rFonts w:ascii="Aptos" w:hAnsi="Aptos"/>
                <w:b w:val="0"/>
                <w:color w:val="102A43"/>
                <w:sz w:val="17"/>
              </w:rPr>
              <w:t>Week 1–2</w:t>
            </w:r>
          </w:p>
        </w:tc>
        <w:tc>
          <w:tcPr>
            <w:tcW w:type="dxa" w:w="2498"/>
            <w:vAlign w:val="center"/>
          </w:tcPr>
          <w:p>
            <w:pPr>
              <w:spacing w:after="0"/>
            </w:pPr>
            <w:r/>
            <w:r>
              <w:rPr>
                <w:rFonts w:ascii="Aptos" w:hAnsi="Aptos"/>
                <w:b w:val="0"/>
                <w:color w:val="102A43"/>
                <w:sz w:val="17"/>
              </w:rPr>
              <w:t>SQLite-backed requisition, approval, dispatch, and delivery state machine.</w:t>
            </w:r>
          </w:p>
        </w:tc>
        <w:tc>
          <w:tcPr>
            <w:tcW w:type="dxa" w:w="2498"/>
            <w:vAlign w:val="center"/>
          </w:tcPr>
          <w:p>
            <w:pPr>
              <w:spacing w:after="0"/>
            </w:pPr>
            <w:r/>
            <w:r>
              <w:rPr>
                <w:rFonts w:ascii="Aptos" w:hAnsi="Aptos"/>
                <w:b w:val="0"/>
                <w:color w:val="102A43"/>
                <w:sz w:val="17"/>
              </w:rPr>
              <w:t>Every transition is validated, persisted, timestamped, and visible after restart.</w:t>
            </w:r>
          </w:p>
        </w:tc>
      </w:tr>
      <w:tr>
        <w:tc>
          <w:tcPr>
            <w:tcW w:type="dxa" w:w="2498"/>
            <w:vAlign w:val="center"/>
            <w:shd w:fill="F2F7FA"/>
          </w:tcPr>
          <w:p>
            <w:pPr>
              <w:spacing w:after="0"/>
            </w:pPr>
            <w:r/>
            <w:r>
              <w:rPr>
                <w:rFonts w:ascii="Aptos" w:hAnsi="Aptos"/>
                <w:b w:val="0"/>
                <w:color w:val="102A43"/>
                <w:sz w:val="17"/>
              </w:rPr>
              <w:t>2. Scenarios and stock outlook</w:t>
            </w:r>
          </w:p>
        </w:tc>
        <w:tc>
          <w:tcPr>
            <w:tcW w:type="dxa" w:w="2498"/>
            <w:vAlign w:val="center"/>
            <w:shd w:fill="F2F7FA"/>
          </w:tcPr>
          <w:p>
            <w:pPr>
              <w:spacing w:after="0"/>
            </w:pPr>
            <w:r/>
            <w:r>
              <w:rPr>
                <w:rFonts w:ascii="Aptos" w:hAnsi="Aptos"/>
                <w:b w:val="0"/>
                <w:color w:val="102A43"/>
                <w:sz w:val="17"/>
              </w:rPr>
              <w:t>Week 2–3</w:t>
            </w:r>
          </w:p>
        </w:tc>
        <w:tc>
          <w:tcPr>
            <w:tcW w:type="dxa" w:w="2498"/>
            <w:vAlign w:val="center"/>
            <w:shd w:fill="F2F7FA"/>
          </w:tcPr>
          <w:p>
            <w:pPr>
              <w:spacing w:after="0"/>
            </w:pPr>
            <w:r/>
            <w:r>
              <w:rPr>
                <w:rFonts w:ascii="Aptos" w:hAnsi="Aptos"/>
                <w:b w:val="0"/>
                <w:color w:val="102A43"/>
                <w:sz w:val="17"/>
              </w:rPr>
              <w:t>Generator fault during storm and delayed shipment scenarios connected to workflow ETA.</w:t>
            </w:r>
          </w:p>
        </w:tc>
        <w:tc>
          <w:tcPr>
            <w:tcW w:type="dxa" w:w="2498"/>
            <w:vAlign w:val="center"/>
            <w:shd w:fill="F2F7FA"/>
          </w:tcPr>
          <w:p>
            <w:pPr>
              <w:spacing w:after="0"/>
            </w:pPr>
            <w:r/>
            <w:r>
              <w:rPr>
                <w:rFonts w:ascii="Aptos" w:hAnsi="Aptos"/>
                <w:b w:val="0"/>
                <w:color w:val="102A43"/>
                <w:sz w:val="17"/>
              </w:rPr>
              <w:t>Repeatable scenario outputs; stock-out and ETA comparison updates from dispatch.</w:t>
            </w:r>
          </w:p>
        </w:tc>
      </w:tr>
      <w:tr>
        <w:tc>
          <w:tcPr>
            <w:tcW w:type="dxa" w:w="2498"/>
            <w:vAlign w:val="center"/>
          </w:tcPr>
          <w:p>
            <w:pPr>
              <w:spacing w:after="0"/>
            </w:pPr>
            <w:r/>
            <w:r>
              <w:rPr>
                <w:rFonts w:ascii="Aptos" w:hAnsi="Aptos"/>
                <w:b w:val="0"/>
                <w:color w:val="102A43"/>
                <w:sz w:val="17"/>
              </w:rPr>
              <w:t>3. Alerts and health</w:t>
            </w:r>
          </w:p>
        </w:tc>
        <w:tc>
          <w:tcPr>
            <w:tcW w:type="dxa" w:w="2498"/>
            <w:vAlign w:val="center"/>
          </w:tcPr>
          <w:p>
            <w:pPr>
              <w:spacing w:after="0"/>
            </w:pPr>
            <w:r/>
            <w:r>
              <w:rPr>
                <w:rFonts w:ascii="Aptos" w:hAnsi="Aptos"/>
                <w:b w:val="0"/>
                <w:color w:val="102A43"/>
                <w:sz w:val="17"/>
              </w:rPr>
              <w:t>Week 3–4</w:t>
            </w:r>
          </w:p>
        </w:tc>
        <w:tc>
          <w:tcPr>
            <w:tcW w:type="dxa" w:w="2498"/>
            <w:vAlign w:val="center"/>
          </w:tcPr>
          <w:p>
            <w:pPr>
              <w:spacing w:after="0"/>
            </w:pPr>
            <w:r/>
            <w:r>
              <w:rPr>
                <w:rFonts w:ascii="Aptos" w:hAnsi="Aptos"/>
                <w:b w:val="0"/>
                <w:color w:val="102A43"/>
                <w:sz w:val="17"/>
              </w:rPr>
              <w:t>Normal/Warning/Critical alerts with hysteresis and duration; health score breakdown.</w:t>
            </w:r>
          </w:p>
        </w:tc>
        <w:tc>
          <w:tcPr>
            <w:tcW w:type="dxa" w:w="2498"/>
            <w:vAlign w:val="center"/>
          </w:tcPr>
          <w:p>
            <w:pPr>
              <w:spacing w:after="0"/>
            </w:pPr>
            <w:r/>
            <w:r>
              <w:rPr>
                <w:rFonts w:ascii="Aptos" w:hAnsi="Aptos"/>
                <w:b w:val="0"/>
                <w:color w:val="102A43"/>
                <w:sz w:val="17"/>
              </w:rPr>
              <w:t>No alert flicker in a scripted boundary sequence; score changes have clear reasons.</w:t>
            </w:r>
          </w:p>
        </w:tc>
      </w:tr>
      <w:tr>
        <w:tc>
          <w:tcPr>
            <w:tcW w:type="dxa" w:w="2498"/>
            <w:vAlign w:val="center"/>
            <w:shd w:fill="F2F7FA"/>
          </w:tcPr>
          <w:p>
            <w:pPr>
              <w:spacing w:after="0"/>
            </w:pPr>
            <w:r/>
            <w:r>
              <w:rPr>
                <w:rFonts w:ascii="Aptos" w:hAnsi="Aptos"/>
                <w:b w:val="0"/>
                <w:color w:val="102A43"/>
                <w:sz w:val="17"/>
              </w:rPr>
              <w:t>4. Role views and station twin</w:t>
            </w:r>
          </w:p>
        </w:tc>
        <w:tc>
          <w:tcPr>
            <w:tcW w:type="dxa" w:w="2498"/>
            <w:vAlign w:val="center"/>
            <w:shd w:fill="F2F7FA"/>
          </w:tcPr>
          <w:p>
            <w:pPr>
              <w:spacing w:after="0"/>
            </w:pPr>
            <w:r/>
            <w:r>
              <w:rPr>
                <w:rFonts w:ascii="Aptos" w:hAnsi="Aptos"/>
                <w:b w:val="0"/>
                <w:color w:val="102A43"/>
                <w:sz w:val="17"/>
              </w:rPr>
              <w:t>Week 4–5</w:t>
            </w:r>
          </w:p>
        </w:tc>
        <w:tc>
          <w:tcPr>
            <w:tcW w:type="dxa" w:w="2498"/>
            <w:vAlign w:val="center"/>
            <w:shd w:fill="F2F7FA"/>
          </w:tcPr>
          <w:p>
            <w:pPr>
              <w:spacing w:after="0"/>
            </w:pPr>
            <w:r/>
            <w:r>
              <w:rPr>
                <w:rFonts w:ascii="Aptos" w:hAnsi="Aptos"/>
                <w:b w:val="0"/>
                <w:color w:val="102A43"/>
                <w:sz w:val="17"/>
              </w:rPr>
              <w:t>Role switcher and interactive schematic 3D/isometric station view.</w:t>
            </w:r>
          </w:p>
        </w:tc>
        <w:tc>
          <w:tcPr>
            <w:tcW w:type="dxa" w:w="2498"/>
            <w:vAlign w:val="center"/>
            <w:shd w:fill="F2F7FA"/>
          </w:tcPr>
          <w:p>
            <w:pPr>
              <w:spacing w:after="0"/>
            </w:pPr>
            <w:r/>
            <w:r>
              <w:rPr>
                <w:rFonts w:ascii="Aptos" w:hAnsi="Aptos"/>
                <w:b w:val="0"/>
                <w:color w:val="102A43"/>
                <w:sz w:val="17"/>
              </w:rPr>
              <w:t>Each role sees relevant actions; zone status maps to current scenario and alert.</w:t>
            </w:r>
          </w:p>
        </w:tc>
      </w:tr>
      <w:tr>
        <w:tc>
          <w:tcPr>
            <w:tcW w:type="dxa" w:w="2498"/>
            <w:vAlign w:val="center"/>
          </w:tcPr>
          <w:p>
            <w:pPr>
              <w:spacing w:after="0"/>
            </w:pPr>
            <w:r/>
            <w:r>
              <w:rPr>
                <w:rFonts w:ascii="Aptos" w:hAnsi="Aptos"/>
                <w:b w:val="0"/>
                <w:color w:val="102A43"/>
                <w:sz w:val="17"/>
              </w:rPr>
              <w:t>5. Reports and offline demo</w:t>
            </w:r>
          </w:p>
        </w:tc>
        <w:tc>
          <w:tcPr>
            <w:tcW w:type="dxa" w:w="2498"/>
            <w:vAlign w:val="center"/>
          </w:tcPr>
          <w:p>
            <w:pPr>
              <w:spacing w:after="0"/>
            </w:pPr>
            <w:r/>
            <w:r>
              <w:rPr>
                <w:rFonts w:ascii="Aptos" w:hAnsi="Aptos"/>
                <w:b w:val="0"/>
                <w:color w:val="102A43"/>
                <w:sz w:val="17"/>
              </w:rPr>
              <w:t>Week 5–6</w:t>
            </w:r>
          </w:p>
        </w:tc>
        <w:tc>
          <w:tcPr>
            <w:tcW w:type="dxa" w:w="2498"/>
            <w:vAlign w:val="center"/>
          </w:tcPr>
          <w:p>
            <w:pPr>
              <w:spacing w:after="0"/>
            </w:pPr>
            <w:r/>
            <w:r>
              <w:rPr>
                <w:rFonts w:ascii="Aptos" w:hAnsi="Aptos"/>
                <w:b w:val="0"/>
                <w:color w:val="102A43"/>
                <w:sz w:val="17"/>
              </w:rPr>
              <w:t>CSV/PDF export, seeded fallback mode, and prepared screenshots/recording.</w:t>
            </w:r>
          </w:p>
        </w:tc>
        <w:tc>
          <w:tcPr>
            <w:tcW w:type="dxa" w:w="2498"/>
            <w:vAlign w:val="center"/>
          </w:tcPr>
          <w:p>
            <w:pPr>
              <w:spacing w:after="0"/>
            </w:pPr>
            <w:r/>
            <w:r>
              <w:rPr>
                <w:rFonts w:ascii="Aptos" w:hAnsi="Aptos"/>
                <w:b w:val="0"/>
                <w:color w:val="102A43"/>
                <w:sz w:val="17"/>
              </w:rPr>
              <w:t>Demo can complete without API connectivity using labeled seeded data.</w:t>
            </w:r>
          </w:p>
        </w:tc>
      </w:tr>
      <w:tr>
        <w:tc>
          <w:tcPr>
            <w:tcW w:type="dxa" w:w="2498"/>
            <w:vAlign w:val="center"/>
            <w:shd w:fill="F2F7FA"/>
          </w:tcPr>
          <w:p>
            <w:pPr>
              <w:spacing w:after="0"/>
            </w:pPr>
            <w:r/>
            <w:r>
              <w:rPr>
                <w:rFonts w:ascii="Aptos" w:hAnsi="Aptos"/>
                <w:b w:val="0"/>
                <w:color w:val="102A43"/>
                <w:sz w:val="17"/>
              </w:rPr>
              <w:t>6. Hardening and handoff</w:t>
            </w:r>
          </w:p>
        </w:tc>
        <w:tc>
          <w:tcPr>
            <w:tcW w:type="dxa" w:w="2498"/>
            <w:vAlign w:val="center"/>
            <w:shd w:fill="F2F7FA"/>
          </w:tcPr>
          <w:p>
            <w:pPr>
              <w:spacing w:after="0"/>
            </w:pPr>
            <w:r/>
            <w:r>
              <w:rPr>
                <w:rFonts w:ascii="Aptos" w:hAnsi="Aptos"/>
                <w:b w:val="0"/>
                <w:color w:val="102A43"/>
                <w:sz w:val="17"/>
              </w:rPr>
              <w:t>Week 6–8</w:t>
            </w:r>
          </w:p>
        </w:tc>
        <w:tc>
          <w:tcPr>
            <w:tcW w:type="dxa" w:w="2498"/>
            <w:vAlign w:val="center"/>
            <w:shd w:fill="F2F7FA"/>
          </w:tcPr>
          <w:p>
            <w:pPr>
              <w:spacing w:after="0"/>
            </w:pPr>
            <w:r/>
            <w:r>
              <w:rPr>
                <w:rFonts w:ascii="Aptos" w:hAnsi="Aptos"/>
                <w:b w:val="0"/>
                <w:color w:val="102A43"/>
                <w:sz w:val="17"/>
              </w:rPr>
              <w:t>Pytest coverage, repeatability check, one-command start, CI workflow, README and license.</w:t>
            </w:r>
          </w:p>
        </w:tc>
        <w:tc>
          <w:tcPr>
            <w:tcW w:type="dxa" w:w="2498"/>
            <w:vAlign w:val="center"/>
            <w:shd w:fill="F2F7FA"/>
          </w:tcPr>
          <w:p>
            <w:pPr>
              <w:spacing w:after="0"/>
            </w:pPr>
            <w:r/>
            <w:r>
              <w:rPr>
                <w:rFonts w:ascii="Aptos" w:hAnsi="Aptos"/>
                <w:b w:val="0"/>
                <w:color w:val="102A43"/>
                <w:sz w:val="17"/>
              </w:rPr>
              <w:t>Clean-machine rehearsal succeeds; build and checks pass in CI.</w:t>
            </w:r>
          </w:p>
        </w:tc>
      </w:tr>
    </w:tbl>
    <w:p>
      <w:pPr>
        <w:spacing w:after="20"/>
      </w:pPr>
    </w:p>
    <w:p>
      <w:pPr>
        <w:pStyle w:val="Heading1"/>
      </w:pPr>
      <w:r>
        <w:t>3. Core requisition workflow</w:t>
      </w:r>
    </w:p>
    <w:p>
      <w:r>
        <w:t>Treat the workflow as a server-owned state machine. Each action should be an explicit API command, check the current state and actor role, write an audit event, and return the updated requisition. UI controls should reflect allowed transitions rather than allowing arbitrary status edits.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vAlign w:val="center"/>
            <w:shd w:fill="102A43"/>
          </w:tcPr>
          <w:p>
            <w:pPr>
              <w:spacing w:after="0"/>
            </w:pPr>
            <w:r/>
            <w:r>
              <w:rPr>
                <w:rFonts w:ascii="Aptos" w:hAnsi="Aptos"/>
                <w:b/>
                <w:color w:val="FFFFFF"/>
                <w:sz w:val="17"/>
              </w:rPr>
              <w:t>State</w:t>
            </w:r>
          </w:p>
        </w:tc>
        <w:tc>
          <w:tcPr>
            <w:tcW w:type="dxa" w:w="2498"/>
            <w:vAlign w:val="center"/>
            <w:shd w:fill="102A43"/>
          </w:tcPr>
          <w:p>
            <w:pPr>
              <w:spacing w:after="0"/>
            </w:pPr>
            <w:r/>
            <w:r>
              <w:rPr>
                <w:rFonts w:ascii="Aptos" w:hAnsi="Aptos"/>
                <w:b/>
                <w:color w:val="FFFFFF"/>
                <w:sz w:val="17"/>
              </w:rPr>
              <w:t>Owner</w:t>
            </w:r>
          </w:p>
        </w:tc>
        <w:tc>
          <w:tcPr>
            <w:tcW w:type="dxa" w:w="2498"/>
            <w:vAlign w:val="center"/>
            <w:shd w:fill="102A43"/>
          </w:tcPr>
          <w:p>
            <w:pPr>
              <w:spacing w:after="0"/>
            </w:pPr>
            <w:r/>
            <w:r>
              <w:rPr>
                <w:rFonts w:ascii="Aptos" w:hAnsi="Aptos"/>
                <w:b/>
                <w:color w:val="FFFFFF"/>
                <w:sz w:val="17"/>
              </w:rPr>
              <w:t>Action and required data</w:t>
            </w:r>
          </w:p>
        </w:tc>
        <w:tc>
          <w:tcPr>
            <w:tcW w:type="dxa" w:w="2498"/>
            <w:vAlign w:val="center"/>
            <w:shd w:fill="102A43"/>
          </w:tcPr>
          <w:p>
            <w:pPr>
              <w:spacing w:after="0"/>
            </w:pPr>
            <w:r/>
            <w:r>
              <w:rPr>
                <w:rFonts w:ascii="Aptos" w:hAnsi="Aptos"/>
                <w:b/>
                <w:color w:val="FFFFFF"/>
                <w:sz w:val="17"/>
              </w:rPr>
              <w:t>Next state</w:t>
            </w:r>
          </w:p>
        </w:tc>
      </w:tr>
      <w:tr>
        <w:tc>
          <w:tcPr>
            <w:tcW w:type="dxa" w:w="2498"/>
            <w:vAlign w:val="center"/>
            <w:shd w:fill="F2F7FA"/>
          </w:tcPr>
          <w:p>
            <w:pPr>
              <w:spacing w:after="0"/>
            </w:pPr>
            <w:r/>
            <w:r>
              <w:rPr>
                <w:rFonts w:ascii="Aptos" w:hAnsi="Aptos"/>
                <w:b w:val="0"/>
                <w:color w:val="102A43"/>
                <w:sz w:val="17"/>
              </w:rPr>
              <w:t>Draft</w:t>
            </w:r>
          </w:p>
        </w:tc>
        <w:tc>
          <w:tcPr>
            <w:tcW w:type="dxa" w:w="2498"/>
            <w:vAlign w:val="center"/>
            <w:shd w:fill="F2F7FA"/>
          </w:tcPr>
          <w:p>
            <w:pPr>
              <w:spacing w:after="0"/>
            </w:pPr>
            <w:r/>
            <w:r>
              <w:rPr>
                <w:rFonts w:ascii="Aptos" w:hAnsi="Aptos"/>
                <w:b w:val="0"/>
                <w:color w:val="102A43"/>
                <w:sz w:val="17"/>
              </w:rPr>
              <w:t>Station Leader</w:t>
            </w:r>
          </w:p>
        </w:tc>
        <w:tc>
          <w:tcPr>
            <w:tcW w:type="dxa" w:w="2498"/>
            <w:vAlign w:val="center"/>
            <w:shd w:fill="F2F7FA"/>
          </w:tcPr>
          <w:p>
            <w:pPr>
              <w:spacing w:after="0"/>
            </w:pPr>
            <w:r/>
            <w:r>
              <w:rPr>
                <w:rFonts w:ascii="Aptos" w:hAnsi="Aptos"/>
                <w:b w:val="0"/>
                <w:color w:val="102A43"/>
                <w:sz w:val="17"/>
              </w:rPr>
              <w:t>Select station and item; enter requested quantity, need-by date, and reason linked to alert/scenario.</w:t>
            </w:r>
          </w:p>
        </w:tc>
        <w:tc>
          <w:tcPr>
            <w:tcW w:type="dxa" w:w="2498"/>
            <w:vAlign w:val="center"/>
            <w:shd w:fill="F2F7FA"/>
          </w:tcPr>
          <w:p>
            <w:pPr>
              <w:spacing w:after="0"/>
            </w:pPr>
            <w:r/>
            <w:r>
              <w:rPr>
                <w:rFonts w:ascii="Aptos" w:hAnsi="Aptos"/>
                <w:b w:val="0"/>
                <w:color w:val="102A43"/>
                <w:sz w:val="17"/>
              </w:rPr>
              <w:t>Submitted</w:t>
            </w:r>
          </w:p>
        </w:tc>
      </w:tr>
      <w:tr>
        <w:tc>
          <w:tcPr>
            <w:tcW w:type="dxa" w:w="2498"/>
            <w:vAlign w:val="center"/>
          </w:tcPr>
          <w:p>
            <w:pPr>
              <w:spacing w:after="0"/>
            </w:pPr>
            <w:r/>
            <w:r>
              <w:rPr>
                <w:rFonts w:ascii="Aptos" w:hAnsi="Aptos"/>
                <w:b w:val="0"/>
                <w:color w:val="102A43"/>
                <w:sz w:val="17"/>
              </w:rPr>
              <w:t>Submitted</w:t>
            </w:r>
          </w:p>
        </w:tc>
        <w:tc>
          <w:tcPr>
            <w:tcW w:type="dxa" w:w="2498"/>
            <w:vAlign w:val="center"/>
          </w:tcPr>
          <w:p>
            <w:pPr>
              <w:spacing w:after="0"/>
            </w:pPr>
            <w:r/>
            <w:r>
              <w:rPr>
                <w:rFonts w:ascii="Aptos" w:hAnsi="Aptos"/>
                <w:b w:val="0"/>
                <w:color w:val="102A43"/>
                <w:sz w:val="17"/>
              </w:rPr>
              <w:t>Logistics</w:t>
            </w:r>
          </w:p>
        </w:tc>
        <w:tc>
          <w:tcPr>
            <w:tcW w:type="dxa" w:w="2498"/>
            <w:vAlign w:val="center"/>
          </w:tcPr>
          <w:p>
            <w:pPr>
              <w:spacing w:after="0"/>
            </w:pPr>
            <w:r/>
            <w:r>
              <w:rPr>
                <w:rFonts w:ascii="Aptos" w:hAnsi="Aptos"/>
                <w:b w:val="0"/>
                <w:color w:val="102A43"/>
                <w:sz w:val="17"/>
              </w:rPr>
              <w:t>Validate stock level, on-hand reserve, stock-out estimate, shipment availability, and requested quantity.</w:t>
            </w:r>
          </w:p>
        </w:tc>
        <w:tc>
          <w:tcPr>
            <w:tcW w:type="dxa" w:w="2498"/>
            <w:vAlign w:val="center"/>
          </w:tcPr>
          <w:p>
            <w:pPr>
              <w:spacing w:after="0"/>
            </w:pPr>
            <w:r/>
            <w:r>
              <w:rPr>
                <w:rFonts w:ascii="Aptos" w:hAnsi="Aptos"/>
                <w:b w:val="0"/>
                <w:color w:val="102A43"/>
                <w:sz w:val="17"/>
              </w:rPr>
              <w:t>In review</w:t>
            </w:r>
          </w:p>
        </w:tc>
      </w:tr>
      <w:tr>
        <w:tc>
          <w:tcPr>
            <w:tcW w:type="dxa" w:w="2498"/>
            <w:vAlign w:val="center"/>
            <w:shd w:fill="F2F7FA"/>
          </w:tcPr>
          <w:p>
            <w:pPr>
              <w:spacing w:after="0"/>
            </w:pPr>
            <w:r/>
            <w:r>
              <w:rPr>
                <w:rFonts w:ascii="Aptos" w:hAnsi="Aptos"/>
                <w:b w:val="0"/>
                <w:color w:val="102A43"/>
                <w:sz w:val="17"/>
              </w:rPr>
              <w:t>In review</w:t>
            </w:r>
          </w:p>
        </w:tc>
        <w:tc>
          <w:tcPr>
            <w:tcW w:type="dxa" w:w="2498"/>
            <w:vAlign w:val="center"/>
            <w:shd w:fill="F2F7FA"/>
          </w:tcPr>
          <w:p>
            <w:pPr>
              <w:spacing w:after="0"/>
            </w:pPr>
            <w:r/>
            <w:r>
              <w:rPr>
                <w:rFonts w:ascii="Aptos" w:hAnsi="Aptos"/>
                <w:b w:val="0"/>
                <w:color w:val="102A43"/>
                <w:sz w:val="17"/>
              </w:rPr>
              <w:t>Management</w:t>
            </w:r>
          </w:p>
        </w:tc>
        <w:tc>
          <w:tcPr>
            <w:tcW w:type="dxa" w:w="2498"/>
            <w:vAlign w:val="center"/>
            <w:shd w:fill="F2F7FA"/>
          </w:tcPr>
          <w:p>
            <w:pPr>
              <w:spacing w:after="0"/>
            </w:pPr>
            <w:r/>
            <w:r>
              <w:rPr>
                <w:rFonts w:ascii="Aptos" w:hAnsi="Aptos"/>
                <w:b w:val="0"/>
                <w:color w:val="102A43"/>
                <w:sz w:val="17"/>
              </w:rPr>
              <w:t>Approve, reject, or request changes; record approver, timestamp, and decision note.</w:t>
            </w:r>
          </w:p>
        </w:tc>
        <w:tc>
          <w:tcPr>
            <w:tcW w:type="dxa" w:w="2498"/>
            <w:vAlign w:val="center"/>
            <w:shd w:fill="F2F7FA"/>
          </w:tcPr>
          <w:p>
            <w:pPr>
              <w:spacing w:after="0"/>
            </w:pPr>
            <w:r/>
            <w:r>
              <w:rPr>
                <w:rFonts w:ascii="Aptos" w:hAnsi="Aptos"/>
                <w:b w:val="0"/>
                <w:color w:val="102A43"/>
                <w:sz w:val="17"/>
              </w:rPr>
              <w:t>Approved / Rejected / Changes requested</w:t>
            </w:r>
          </w:p>
        </w:tc>
      </w:tr>
      <w:tr>
        <w:tc>
          <w:tcPr>
            <w:tcW w:type="dxa" w:w="2498"/>
            <w:vAlign w:val="center"/>
          </w:tcPr>
          <w:p>
            <w:pPr>
              <w:spacing w:after="0"/>
            </w:pPr>
            <w:r/>
            <w:r>
              <w:rPr>
                <w:rFonts w:ascii="Aptos" w:hAnsi="Aptos"/>
                <w:b w:val="0"/>
                <w:color w:val="102A43"/>
                <w:sz w:val="17"/>
              </w:rPr>
              <w:t>Approved</w:t>
            </w:r>
          </w:p>
        </w:tc>
        <w:tc>
          <w:tcPr>
            <w:tcW w:type="dxa" w:w="2498"/>
            <w:vAlign w:val="center"/>
          </w:tcPr>
          <w:p>
            <w:pPr>
              <w:spacing w:after="0"/>
            </w:pPr>
            <w:r/>
            <w:r>
              <w:rPr>
                <w:rFonts w:ascii="Aptos" w:hAnsi="Aptos"/>
                <w:b w:val="0"/>
                <w:color w:val="102A43"/>
                <w:sz w:val="17"/>
              </w:rPr>
              <w:t>Logistics</w:t>
            </w:r>
          </w:p>
        </w:tc>
        <w:tc>
          <w:tcPr>
            <w:tcW w:type="dxa" w:w="2498"/>
            <w:vAlign w:val="center"/>
          </w:tcPr>
          <w:p>
            <w:pPr>
              <w:spacing w:after="0"/>
            </w:pPr>
            <w:r/>
            <w:r>
              <w:rPr>
                <w:rFonts w:ascii="Aptos" w:hAnsi="Aptos"/>
                <w:b w:val="0"/>
                <w:color w:val="102A43"/>
                <w:sz w:val="17"/>
              </w:rPr>
              <w:t>Create shipment; enter carrier/reference, dispatch time, expected arrival, and destination.</w:t>
            </w:r>
          </w:p>
        </w:tc>
        <w:tc>
          <w:tcPr>
            <w:tcW w:type="dxa" w:w="2498"/>
            <w:vAlign w:val="center"/>
          </w:tcPr>
          <w:p>
            <w:pPr>
              <w:spacing w:after="0"/>
            </w:pPr>
            <w:r/>
            <w:r>
              <w:rPr>
                <w:rFonts w:ascii="Aptos" w:hAnsi="Aptos"/>
                <w:b w:val="0"/>
                <w:color w:val="102A43"/>
                <w:sz w:val="17"/>
              </w:rPr>
              <w:t>Dispatched</w:t>
            </w:r>
          </w:p>
        </w:tc>
      </w:tr>
      <w:tr>
        <w:tc>
          <w:tcPr>
            <w:tcW w:type="dxa" w:w="2498"/>
            <w:vAlign w:val="center"/>
            <w:shd w:fill="F2F7FA"/>
          </w:tcPr>
          <w:p>
            <w:pPr>
              <w:spacing w:after="0"/>
            </w:pPr>
            <w:r/>
            <w:r>
              <w:rPr>
                <w:rFonts w:ascii="Aptos" w:hAnsi="Aptos"/>
                <w:b w:val="0"/>
                <w:color w:val="102A43"/>
                <w:sz w:val="17"/>
              </w:rPr>
              <w:t>Dispatched</w:t>
            </w:r>
          </w:p>
        </w:tc>
        <w:tc>
          <w:tcPr>
            <w:tcW w:type="dxa" w:w="2498"/>
            <w:vAlign w:val="center"/>
            <w:shd w:fill="F2F7FA"/>
          </w:tcPr>
          <w:p>
            <w:pPr>
              <w:spacing w:after="0"/>
            </w:pPr>
            <w:r/>
            <w:r>
              <w:rPr>
                <w:rFonts w:ascii="Aptos" w:hAnsi="Aptos"/>
                <w:b w:val="0"/>
                <w:color w:val="102A43"/>
                <w:sz w:val="17"/>
              </w:rPr>
              <w:t>Station Leader</w:t>
            </w:r>
          </w:p>
        </w:tc>
        <w:tc>
          <w:tcPr>
            <w:tcW w:type="dxa" w:w="2498"/>
            <w:vAlign w:val="center"/>
            <w:shd w:fill="F2F7FA"/>
          </w:tcPr>
          <w:p>
            <w:pPr>
              <w:spacing w:after="0"/>
            </w:pPr>
            <w:r/>
            <w:r>
              <w:rPr>
                <w:rFonts w:ascii="Aptos" w:hAnsi="Aptos"/>
                <w:b w:val="0"/>
                <w:color w:val="102A43"/>
                <w:sz w:val="17"/>
              </w:rPr>
              <w:t>Track ETA; show revised stock-out gap/buffer; record receipt quantity and delivery time.</w:t>
            </w:r>
          </w:p>
        </w:tc>
        <w:tc>
          <w:tcPr>
            <w:tcW w:type="dxa" w:w="2498"/>
            <w:vAlign w:val="center"/>
            <w:shd w:fill="F2F7FA"/>
          </w:tcPr>
          <w:p>
            <w:pPr>
              <w:spacing w:after="0"/>
            </w:pPr>
            <w:r/>
            <w:r>
              <w:rPr>
                <w:rFonts w:ascii="Aptos" w:hAnsi="Aptos"/>
                <w:b w:val="0"/>
                <w:color w:val="102A43"/>
                <w:sz w:val="17"/>
              </w:rPr>
              <w:t>Delivered</w:t>
            </w:r>
          </w:p>
        </w:tc>
      </w:tr>
      <w:tr>
        <w:tc>
          <w:tcPr>
            <w:tcW w:type="dxa" w:w="2498"/>
            <w:vAlign w:val="center"/>
          </w:tcPr>
          <w:p>
            <w:pPr>
              <w:spacing w:after="0"/>
            </w:pPr>
            <w:r/>
            <w:r>
              <w:rPr>
                <w:rFonts w:ascii="Aptos" w:hAnsi="Aptos"/>
                <w:b w:val="0"/>
                <w:color w:val="102A43"/>
                <w:sz w:val="17"/>
              </w:rPr>
              <w:t>Delivered</w:t>
            </w:r>
          </w:p>
        </w:tc>
        <w:tc>
          <w:tcPr>
            <w:tcW w:type="dxa" w:w="2498"/>
            <w:vAlign w:val="center"/>
          </w:tcPr>
          <w:p>
            <w:pPr>
              <w:spacing w:after="0"/>
            </w:pPr>
            <w:r/>
            <w:r>
              <w:rPr>
                <w:rFonts w:ascii="Aptos" w:hAnsi="Aptos"/>
                <w:b w:val="0"/>
                <w:color w:val="102A43"/>
                <w:sz w:val="17"/>
              </w:rPr>
              <w:t>System + Station Leader</w:t>
            </w:r>
          </w:p>
        </w:tc>
        <w:tc>
          <w:tcPr>
            <w:tcW w:type="dxa" w:w="2498"/>
            <w:vAlign w:val="center"/>
          </w:tcPr>
          <w:p>
            <w:pPr>
              <w:spacing w:after="0"/>
            </w:pPr>
            <w:r/>
            <w:r>
              <w:rPr>
                <w:rFonts w:ascii="Aptos" w:hAnsi="Aptos"/>
                <w:b w:val="0"/>
                <w:color w:val="102A43"/>
                <w:sz w:val="17"/>
              </w:rPr>
              <w:t>Reconcile inventory; close linked incident; retain full event history.</w:t>
            </w:r>
          </w:p>
        </w:tc>
        <w:tc>
          <w:tcPr>
            <w:tcW w:type="dxa" w:w="2498"/>
            <w:vAlign w:val="center"/>
          </w:tcPr>
          <w:p>
            <w:pPr>
              <w:spacing w:after="0"/>
            </w:pPr>
            <w:r/>
            <w:r>
              <w:rPr>
                <w:rFonts w:ascii="Aptos" w:hAnsi="Aptos"/>
                <w:b w:val="0"/>
                <w:color w:val="102A43"/>
                <w:sz w:val="17"/>
              </w:rPr>
              <w:t>Closed</w:t>
            </w:r>
          </w:p>
        </w:tc>
      </w:tr>
    </w:tbl>
    <w:p>
      <w:pPr>
        <w:spacing w:after="20"/>
      </w:pPr>
    </w:p>
    <w:p>
      <w:pPr>
        <w:pStyle w:val="Heading2"/>
      </w:pPr>
      <w:r>
        <w:t>API and data design</w:t>
      </w:r>
    </w:p>
    <w:p>
      <w:pPr>
        <w:pStyle w:val="ListBullet"/>
        <w:spacing w:after="60"/>
      </w:pPr>
      <w:r>
        <w:t>Use a requisition record for current state and a separate append-only event record for every transition, comment, and ETA change.</w:t>
      </w:r>
    </w:p>
    <w:p>
      <w:pPr>
        <w:pStyle w:val="ListBullet"/>
        <w:spacing w:after="60"/>
      </w:pPr>
      <w:r>
        <w:t>Suggested fields: requisition_id, station_id, item_id, quantity, unit, reason, linked_alert_id, status, requested_by, approved_by, shipment_reference, dispatched_at, eta_at, delivered_at, received_quantity, provenance, created_at, updated_at.</w:t>
      </w:r>
    </w:p>
    <w:p>
      <w:pPr>
        <w:pStyle w:val="ListBullet"/>
        <w:spacing w:after="60"/>
      </w:pPr>
      <w:r>
        <w:t>Validate transitions on the API: for example, only an approved request may be dispatched, and only a dispatched shipment may be marked delivered.</w:t>
      </w:r>
    </w:p>
    <w:p>
      <w:pPr>
        <w:pStyle w:val="ListBullet"/>
        <w:spacing w:after="60"/>
      </w:pPr>
      <w:r>
        <w:t>Dispatch must update the shipment ETA source used by the fuel stock-out comparison; retain the prior ETA in the audit history.</w:t>
      </w:r>
    </w:p>
    <w:p>
      <w:pPr>
        <w:pStyle w:val="ListBullet"/>
        <w:spacing w:after="60"/>
      </w:pPr>
      <w:r>
        <w:t>Add role checks as lightweight demo rules now; replace with real authentication only after the core workflow is stable.</w:t>
      </w:r>
    </w:p>
    <w:p>
      <w:pPr>
        <w:pStyle w:val="Heading1"/>
      </w:pPr>
      <w:r>
        <w:t>4. Scenario and decision logic</w:t>
      </w:r>
    </w:p>
    <w:p>
      <w:pPr>
        <w:pStyle w:val="Heading2"/>
      </w:pPr>
      <w:r>
        <w:t>What-if scenarios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02A43"/>
          </w:tcPr>
          <w:p>
            <w:pPr>
              <w:spacing w:after="0"/>
            </w:pPr>
            <w:r/>
            <w:r>
              <w:rPr>
                <w:rFonts w:ascii="Aptos" w:hAnsi="Aptos"/>
                <w:b/>
                <w:color w:val="FFFFFF"/>
                <w:sz w:val="17"/>
              </w:rPr>
              <w:t>Scenario</w:t>
            </w:r>
          </w:p>
        </w:tc>
        <w:tc>
          <w:tcPr>
            <w:tcW w:type="dxa" w:w="3331"/>
            <w:vAlign w:val="center"/>
            <w:shd w:fill="102A43"/>
          </w:tcPr>
          <w:p>
            <w:pPr>
              <w:spacing w:after="0"/>
            </w:pPr>
            <w:r/>
            <w:r>
              <w:rPr>
                <w:rFonts w:ascii="Aptos" w:hAnsi="Aptos"/>
                <w:b/>
                <w:color w:val="FFFFFF"/>
                <w:sz w:val="17"/>
              </w:rPr>
              <w:t>Input change</w:t>
            </w:r>
          </w:p>
        </w:tc>
        <w:tc>
          <w:tcPr>
            <w:tcW w:type="dxa" w:w="3331"/>
            <w:vAlign w:val="center"/>
            <w:shd w:fill="102A43"/>
          </w:tcPr>
          <w:p>
            <w:pPr>
              <w:spacing w:after="0"/>
            </w:pPr>
            <w:r/>
            <w:r>
              <w:rPr>
                <w:rFonts w:ascii="Aptos" w:hAnsi="Aptos"/>
                <w:b/>
                <w:color w:val="FFFFFF"/>
                <w:sz w:val="17"/>
              </w:rPr>
              <w:t>Expected chain of effects</w:t>
            </w:r>
          </w:p>
        </w:tc>
      </w:tr>
      <w:tr>
        <w:tc>
          <w:tcPr>
            <w:tcW w:type="dxa" w:w="3331"/>
            <w:vAlign w:val="center"/>
            <w:shd w:fill="F2F7FA"/>
          </w:tcPr>
          <w:p>
            <w:pPr>
              <w:spacing w:after="0"/>
            </w:pPr>
            <w:r/>
            <w:r>
              <w:rPr>
                <w:rFonts w:ascii="Aptos" w:hAnsi="Aptos"/>
                <w:b w:val="0"/>
                <w:color w:val="102A43"/>
                <w:sz w:val="17"/>
              </w:rPr>
              <w:t>Generator fault during storm</w:t>
            </w:r>
          </w:p>
        </w:tc>
        <w:tc>
          <w:tcPr>
            <w:tcW w:type="dxa" w:w="3331"/>
            <w:vAlign w:val="center"/>
            <w:shd w:fill="F2F7FA"/>
          </w:tcPr>
          <w:p>
            <w:pPr>
              <w:spacing w:after="0"/>
            </w:pPr>
            <w:r/>
            <w:r>
              <w:rPr>
                <w:rFonts w:ascii="Aptos" w:hAnsi="Aptos"/>
                <w:b w:val="0"/>
                <w:color w:val="102A43"/>
                <w:sz w:val="17"/>
              </w:rPr>
              <w:t>Reduce generator availability while storm severity remains elevated.</w:t>
            </w:r>
          </w:p>
        </w:tc>
        <w:tc>
          <w:tcPr>
            <w:tcW w:type="dxa" w:w="3331"/>
            <w:vAlign w:val="center"/>
            <w:shd w:fill="F2F7FA"/>
          </w:tcPr>
          <w:p>
            <w:pPr>
              <w:spacing w:after="0"/>
            </w:pPr>
            <w:r/>
            <w:r>
              <w:rPr>
                <w:rFonts w:ascii="Aptos" w:hAnsi="Aptos"/>
                <w:b w:val="0"/>
                <w:color w:val="102A43"/>
                <w:sz w:val="17"/>
              </w:rPr>
              <w:t>Power margin falls → backup load increases → heating/fuel demand rises → alert and health score update → requisition can be raised.</w:t>
            </w:r>
          </w:p>
        </w:tc>
      </w:tr>
      <w:tr>
        <w:tc>
          <w:tcPr>
            <w:tcW w:type="dxa" w:w="3331"/>
            <w:vAlign w:val="center"/>
          </w:tcPr>
          <w:p>
            <w:pPr>
              <w:spacing w:after="0"/>
            </w:pPr>
            <w:r/>
            <w:r>
              <w:rPr>
                <w:rFonts w:ascii="Aptos" w:hAnsi="Aptos"/>
                <w:b w:val="0"/>
                <w:color w:val="102A43"/>
                <w:sz w:val="17"/>
              </w:rPr>
              <w:t>Delayed shipment</w:t>
            </w:r>
          </w:p>
        </w:tc>
        <w:tc>
          <w:tcPr>
            <w:tcW w:type="dxa" w:w="3331"/>
            <w:vAlign w:val="center"/>
          </w:tcPr>
          <w:p>
            <w:pPr>
              <w:spacing w:after="0"/>
            </w:pPr>
            <w:r/>
            <w:r>
              <w:rPr>
                <w:rFonts w:ascii="Aptos" w:hAnsi="Aptos"/>
                <w:b w:val="0"/>
                <w:color w:val="102A43"/>
                <w:sz w:val="17"/>
              </w:rPr>
              <w:t>Move expected arrival later than the current shipment ETA.</w:t>
            </w:r>
          </w:p>
        </w:tc>
        <w:tc>
          <w:tcPr>
            <w:tcW w:type="dxa" w:w="3331"/>
            <w:vAlign w:val="center"/>
          </w:tcPr>
          <w:p>
            <w:pPr>
              <w:spacing w:after="0"/>
            </w:pPr>
            <w:r/>
            <w:r>
              <w:rPr>
                <w:rFonts w:ascii="Aptos" w:hAnsi="Aptos"/>
                <w:b w:val="0"/>
                <w:color w:val="102A43"/>
                <w:sz w:val="17"/>
              </w:rPr>
              <w:t>Arrival buffer shrinks or shortfall appears → Logistics sees revised risk → approval/expedite decision is recorded.</w:t>
            </w:r>
          </w:p>
        </w:tc>
      </w:tr>
    </w:tbl>
    <w:p>
      <w:pPr>
        <w:spacing w:after="20"/>
      </w:pPr>
    </w:p>
    <w:p>
      <w:pPr>
        <w:pStyle w:val="Heading2"/>
      </w:pPr>
      <w:r>
        <w:t>Alert levels and hysteresis</w:t>
      </w:r>
    </w:p>
    <w:p>
      <w:r>
        <w:t>Define configurable demonstration thresholds for each key signal. Promote an alert only after its condition persists for a minimum duration. Clear or downgrade only after the signal remains below a lower recovery threshold for a separate duration. Store the rule version, observed inputs, duration, and explanation with each alert event. Label all thresholds illustrative until validated by domain experts.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02A43"/>
          </w:tcPr>
          <w:p>
            <w:pPr>
              <w:spacing w:after="0"/>
            </w:pPr>
            <w:r/>
            <w:r>
              <w:rPr>
                <w:rFonts w:ascii="Aptos" w:hAnsi="Aptos"/>
                <w:b/>
                <w:color w:val="FFFFFF"/>
                <w:sz w:val="17"/>
              </w:rPr>
              <w:t>Level</w:t>
            </w:r>
          </w:p>
        </w:tc>
        <w:tc>
          <w:tcPr>
            <w:tcW w:type="dxa" w:w="3331"/>
            <w:vAlign w:val="center"/>
            <w:shd w:fill="102A43"/>
          </w:tcPr>
          <w:p>
            <w:pPr>
              <w:spacing w:after="0"/>
            </w:pPr>
            <w:r/>
            <w:r>
              <w:rPr>
                <w:rFonts w:ascii="Aptos" w:hAnsi="Aptos"/>
                <w:b/>
                <w:color w:val="FFFFFF"/>
                <w:sz w:val="17"/>
              </w:rPr>
              <w:t>Purpose</w:t>
            </w:r>
          </w:p>
        </w:tc>
        <w:tc>
          <w:tcPr>
            <w:tcW w:type="dxa" w:w="3331"/>
            <w:vAlign w:val="center"/>
            <w:shd w:fill="102A43"/>
          </w:tcPr>
          <w:p>
            <w:pPr>
              <w:spacing w:after="0"/>
            </w:pPr>
            <w:r/>
            <w:r>
              <w:rPr>
                <w:rFonts w:ascii="Aptos" w:hAnsi="Aptos"/>
                <w:b/>
                <w:color w:val="FFFFFF"/>
                <w:sz w:val="17"/>
              </w:rPr>
              <w:t>Example behavior</w:t>
            </w:r>
          </w:p>
        </w:tc>
      </w:tr>
      <w:tr>
        <w:tc>
          <w:tcPr>
            <w:tcW w:type="dxa" w:w="3331"/>
            <w:vAlign w:val="center"/>
            <w:shd w:fill="F2F7FA"/>
          </w:tcPr>
          <w:p>
            <w:pPr>
              <w:spacing w:after="0"/>
            </w:pPr>
            <w:r/>
            <w:r>
              <w:rPr>
                <w:rFonts w:ascii="Aptos" w:hAnsi="Aptos"/>
                <w:b w:val="0"/>
                <w:color w:val="102A43"/>
                <w:sz w:val="17"/>
              </w:rPr>
              <w:t>Normal</w:t>
            </w:r>
          </w:p>
        </w:tc>
        <w:tc>
          <w:tcPr>
            <w:tcW w:type="dxa" w:w="3331"/>
            <w:vAlign w:val="center"/>
            <w:shd w:fill="F2F7FA"/>
          </w:tcPr>
          <w:p>
            <w:pPr>
              <w:spacing w:after="0"/>
            </w:pPr>
            <w:r/>
            <w:r>
              <w:rPr>
                <w:rFonts w:ascii="Aptos" w:hAnsi="Aptos"/>
                <w:b w:val="0"/>
                <w:color w:val="102A43"/>
                <w:sz w:val="17"/>
              </w:rPr>
              <w:t>Conditions within the configured operating band.</w:t>
            </w:r>
          </w:p>
        </w:tc>
        <w:tc>
          <w:tcPr>
            <w:tcW w:type="dxa" w:w="3331"/>
            <w:vAlign w:val="center"/>
            <w:shd w:fill="F2F7FA"/>
          </w:tcPr>
          <w:p>
            <w:pPr>
              <w:spacing w:after="0"/>
            </w:pPr>
            <w:r/>
            <w:r>
              <w:rPr>
                <w:rFonts w:ascii="Aptos" w:hAnsi="Aptos"/>
                <w:b w:val="0"/>
                <w:color w:val="102A43"/>
                <w:sz w:val="17"/>
              </w:rPr>
              <w:t>No active issue; retain history and show provenance.</w:t>
            </w:r>
          </w:p>
        </w:tc>
      </w:tr>
      <w:tr>
        <w:tc>
          <w:tcPr>
            <w:tcW w:type="dxa" w:w="3331"/>
            <w:vAlign w:val="center"/>
          </w:tcPr>
          <w:p>
            <w:pPr>
              <w:spacing w:after="0"/>
            </w:pPr>
            <w:r/>
            <w:r>
              <w:rPr>
                <w:rFonts w:ascii="Aptos" w:hAnsi="Aptos"/>
                <w:b w:val="0"/>
                <w:color w:val="102A43"/>
                <w:sz w:val="17"/>
              </w:rPr>
              <w:t>Warning</w:t>
            </w:r>
          </w:p>
        </w:tc>
        <w:tc>
          <w:tcPr>
            <w:tcW w:type="dxa" w:w="3331"/>
            <w:vAlign w:val="center"/>
          </w:tcPr>
          <w:p>
            <w:pPr>
              <w:spacing w:after="0"/>
            </w:pPr>
            <w:r/>
            <w:r>
              <w:rPr>
                <w:rFonts w:ascii="Aptos" w:hAnsi="Aptos"/>
                <w:b w:val="0"/>
                <w:color w:val="102A43"/>
                <w:sz w:val="17"/>
              </w:rPr>
              <w:t>Sustained risk that needs review or planning.</w:t>
            </w:r>
          </w:p>
        </w:tc>
        <w:tc>
          <w:tcPr>
            <w:tcW w:type="dxa" w:w="3331"/>
            <w:vAlign w:val="center"/>
          </w:tcPr>
          <w:p>
            <w:pPr>
              <w:spacing w:after="0"/>
            </w:pPr>
            <w:r/>
            <w:r>
              <w:rPr>
                <w:rFonts w:ascii="Aptos" w:hAnsi="Aptos"/>
                <w:b w:val="0"/>
                <w:color w:val="102A43"/>
                <w:sz w:val="17"/>
              </w:rPr>
              <w:t>Heating demand elevated or shipment buffer narrowing; create explainable action prompt.</w:t>
            </w:r>
          </w:p>
        </w:tc>
      </w:tr>
      <w:tr>
        <w:tc>
          <w:tcPr>
            <w:tcW w:type="dxa" w:w="3331"/>
            <w:vAlign w:val="center"/>
            <w:shd w:fill="F2F7FA"/>
          </w:tcPr>
          <w:p>
            <w:pPr>
              <w:spacing w:after="0"/>
            </w:pPr>
            <w:r/>
            <w:r>
              <w:rPr>
                <w:rFonts w:ascii="Aptos" w:hAnsi="Aptos"/>
                <w:b w:val="0"/>
                <w:color w:val="102A43"/>
                <w:sz w:val="17"/>
              </w:rPr>
              <w:t>Critical</w:t>
            </w:r>
          </w:p>
        </w:tc>
        <w:tc>
          <w:tcPr>
            <w:tcW w:type="dxa" w:w="3331"/>
            <w:vAlign w:val="center"/>
            <w:shd w:fill="F2F7FA"/>
          </w:tcPr>
          <w:p>
            <w:pPr>
              <w:spacing w:after="0"/>
            </w:pPr>
            <w:r/>
            <w:r>
              <w:rPr>
                <w:rFonts w:ascii="Aptos" w:hAnsi="Aptos"/>
                <w:b w:val="0"/>
                <w:color w:val="102A43"/>
                <w:sz w:val="17"/>
              </w:rPr>
              <w:t>Sustained threshold breach with immediate operational attention in the demo.</w:t>
            </w:r>
          </w:p>
        </w:tc>
        <w:tc>
          <w:tcPr>
            <w:tcW w:type="dxa" w:w="3331"/>
            <w:vAlign w:val="center"/>
            <w:shd w:fill="F2F7FA"/>
          </w:tcPr>
          <w:p>
            <w:pPr>
              <w:spacing w:after="0"/>
            </w:pPr>
            <w:r/>
            <w:r>
              <w:rPr>
                <w:rFonts w:ascii="Aptos" w:hAnsi="Aptos"/>
                <w:b w:val="0"/>
                <w:color w:val="102A43"/>
                <w:sz w:val="17"/>
              </w:rPr>
              <w:t>Projected fuel stock-out before arrival or major loss of available power; highlight station zones and escalation path.</w:t>
            </w:r>
          </w:p>
        </w:tc>
      </w:tr>
    </w:tbl>
    <w:p>
      <w:pPr>
        <w:spacing w:after="20"/>
      </w:pPr>
    </w:p>
    <w:p>
      <w:pPr>
        <w:pStyle w:val="Heading2"/>
      </w:pPr>
      <w:r>
        <w:t>Station health score</w:t>
      </w:r>
    </w:p>
    <w:p>
      <w:r>
        <w:t>Show one 0–100 score with four visible components: energy, infrastructure, inventory, and environment. Normalize each component on an explicitly documented demo scale, combine with visible weights, and record the inputs and reason when the score changes. Avoid implying the score is a validated safety measure.</w:t>
      </w:r>
    </w:p>
    <w:p>
      <w:pPr>
        <w:pStyle w:val="Heading1"/>
      </w:pPr>
      <w:r>
        <w:t>5. User experience and station view</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02A43"/>
          </w:tcPr>
          <w:p>
            <w:pPr>
              <w:spacing w:after="0"/>
            </w:pPr>
            <w:r/>
            <w:r>
              <w:rPr>
                <w:rFonts w:ascii="Aptos" w:hAnsi="Aptos"/>
                <w:b/>
                <w:color w:val="FFFFFF"/>
                <w:sz w:val="17"/>
              </w:rPr>
              <w:t>Role</w:t>
            </w:r>
          </w:p>
        </w:tc>
        <w:tc>
          <w:tcPr>
            <w:tcW w:type="dxa" w:w="3331"/>
            <w:vAlign w:val="center"/>
            <w:shd w:fill="102A43"/>
          </w:tcPr>
          <w:p>
            <w:pPr>
              <w:spacing w:after="0"/>
            </w:pPr>
            <w:r/>
            <w:r>
              <w:rPr>
                <w:rFonts w:ascii="Aptos" w:hAnsi="Aptos"/>
                <w:b/>
                <w:color w:val="FFFFFF"/>
                <w:sz w:val="17"/>
              </w:rPr>
              <w:t>Primary questions</w:t>
            </w:r>
          </w:p>
        </w:tc>
        <w:tc>
          <w:tcPr>
            <w:tcW w:type="dxa" w:w="3331"/>
            <w:vAlign w:val="center"/>
            <w:shd w:fill="102A43"/>
          </w:tcPr>
          <w:p>
            <w:pPr>
              <w:spacing w:after="0"/>
            </w:pPr>
            <w:r/>
            <w:r>
              <w:rPr>
                <w:rFonts w:ascii="Aptos" w:hAnsi="Aptos"/>
                <w:b/>
                <w:color w:val="FFFFFF"/>
                <w:sz w:val="17"/>
              </w:rPr>
              <w:t>Main actions</w:t>
            </w:r>
          </w:p>
        </w:tc>
      </w:tr>
      <w:tr>
        <w:tc>
          <w:tcPr>
            <w:tcW w:type="dxa" w:w="3331"/>
            <w:vAlign w:val="center"/>
            <w:shd w:fill="F2F7FA"/>
          </w:tcPr>
          <w:p>
            <w:pPr>
              <w:spacing w:after="0"/>
            </w:pPr>
            <w:r/>
            <w:r>
              <w:rPr>
                <w:rFonts w:ascii="Aptos" w:hAnsi="Aptos"/>
                <w:b w:val="0"/>
                <w:color w:val="102A43"/>
                <w:sz w:val="17"/>
              </w:rPr>
              <w:t>Station Leader</w:t>
            </w:r>
          </w:p>
        </w:tc>
        <w:tc>
          <w:tcPr>
            <w:tcW w:type="dxa" w:w="3331"/>
            <w:vAlign w:val="center"/>
            <w:shd w:fill="F2F7FA"/>
          </w:tcPr>
          <w:p>
            <w:pPr>
              <w:spacing w:after="0"/>
            </w:pPr>
            <w:r/>
            <w:r>
              <w:rPr>
                <w:rFonts w:ascii="Aptos" w:hAnsi="Aptos"/>
                <w:b w:val="0"/>
                <w:color w:val="102A43"/>
                <w:sz w:val="17"/>
              </w:rPr>
              <w:t>What is changing at the station? What needs a request or confirmation?</w:t>
            </w:r>
          </w:p>
        </w:tc>
        <w:tc>
          <w:tcPr>
            <w:tcW w:type="dxa" w:w="3331"/>
            <w:vAlign w:val="center"/>
            <w:shd w:fill="F2F7FA"/>
          </w:tcPr>
          <w:p>
            <w:pPr>
              <w:spacing w:after="0"/>
            </w:pPr>
            <w:r/>
            <w:r>
              <w:rPr>
                <w:rFonts w:ascii="Aptos" w:hAnsi="Aptos"/>
                <w:b w:val="0"/>
                <w:color w:val="102A43"/>
                <w:sz w:val="17"/>
              </w:rPr>
              <w:t>Review zone status; raise requisition; confirm delivery; view alert explanation.</w:t>
            </w:r>
          </w:p>
        </w:tc>
      </w:tr>
      <w:tr>
        <w:tc>
          <w:tcPr>
            <w:tcW w:type="dxa" w:w="3331"/>
            <w:vAlign w:val="center"/>
          </w:tcPr>
          <w:p>
            <w:pPr>
              <w:spacing w:after="0"/>
            </w:pPr>
            <w:r/>
            <w:r>
              <w:rPr>
                <w:rFonts w:ascii="Aptos" w:hAnsi="Aptos"/>
                <w:b w:val="0"/>
                <w:color w:val="102A43"/>
                <w:sz w:val="17"/>
              </w:rPr>
              <w:t>Logistics</w:t>
            </w:r>
          </w:p>
        </w:tc>
        <w:tc>
          <w:tcPr>
            <w:tcW w:type="dxa" w:w="3331"/>
            <w:vAlign w:val="center"/>
          </w:tcPr>
          <w:p>
            <w:pPr>
              <w:spacing w:after="0"/>
            </w:pPr>
            <w:r/>
            <w:r>
              <w:rPr>
                <w:rFonts w:ascii="Aptos" w:hAnsi="Aptos"/>
                <w:b w:val="0"/>
                <w:color w:val="102A43"/>
                <w:sz w:val="17"/>
              </w:rPr>
              <w:t>Will inventory last until arrival? What must be dispatched or expedited?</w:t>
            </w:r>
          </w:p>
        </w:tc>
        <w:tc>
          <w:tcPr>
            <w:tcW w:type="dxa" w:w="3331"/>
            <w:vAlign w:val="center"/>
          </w:tcPr>
          <w:p>
            <w:pPr>
              <w:spacing w:after="0"/>
            </w:pPr>
            <w:r/>
            <w:r>
              <w:rPr>
                <w:rFonts w:ascii="Aptos" w:hAnsi="Aptos"/>
                <w:b w:val="0"/>
                <w:color w:val="102A43"/>
                <w:sz w:val="17"/>
              </w:rPr>
              <w:t>Review requests; compare stock-out and ETA; set dispatch details; revise ETA.</w:t>
            </w:r>
          </w:p>
        </w:tc>
      </w:tr>
      <w:tr>
        <w:tc>
          <w:tcPr>
            <w:tcW w:type="dxa" w:w="3331"/>
            <w:vAlign w:val="center"/>
            <w:shd w:fill="F2F7FA"/>
          </w:tcPr>
          <w:p>
            <w:pPr>
              <w:spacing w:after="0"/>
            </w:pPr>
            <w:r/>
            <w:r>
              <w:rPr>
                <w:rFonts w:ascii="Aptos" w:hAnsi="Aptos"/>
                <w:b w:val="0"/>
                <w:color w:val="102A43"/>
                <w:sz w:val="17"/>
              </w:rPr>
              <w:t>Management</w:t>
            </w:r>
          </w:p>
        </w:tc>
        <w:tc>
          <w:tcPr>
            <w:tcW w:type="dxa" w:w="3331"/>
            <w:vAlign w:val="center"/>
            <w:shd w:fill="F2F7FA"/>
          </w:tcPr>
          <w:p>
            <w:pPr>
              <w:spacing w:after="0"/>
            </w:pPr>
            <w:r/>
            <w:r>
              <w:rPr>
                <w:rFonts w:ascii="Aptos" w:hAnsi="Aptos"/>
                <w:b w:val="0"/>
                <w:color w:val="102A43"/>
                <w:sz w:val="17"/>
              </w:rPr>
              <w:t>What is the operational risk and what decision is waiting?</w:t>
            </w:r>
          </w:p>
        </w:tc>
        <w:tc>
          <w:tcPr>
            <w:tcW w:type="dxa" w:w="3331"/>
            <w:vAlign w:val="center"/>
            <w:shd w:fill="F2F7FA"/>
          </w:tcPr>
          <w:p>
            <w:pPr>
              <w:spacing w:after="0"/>
            </w:pPr>
            <w:r/>
            <w:r>
              <w:rPr>
                <w:rFonts w:ascii="Aptos" w:hAnsi="Aptos"/>
                <w:b w:val="0"/>
                <w:color w:val="102A43"/>
                <w:sz w:val="17"/>
              </w:rPr>
              <w:t>Review health and alert summary; approve, reject, or request changes.</w:t>
            </w:r>
          </w:p>
        </w:tc>
      </w:tr>
    </w:tbl>
    <w:p>
      <w:pPr>
        <w:spacing w:after="20"/>
      </w:pPr>
    </w:p>
    <w:p>
      <w:r>
        <w:t>Build the requested 3D station view as a lightweight isometric SVG schematic rather than a surveyed or navigable engineering model. Show named zones for habitat/heating, power generation, fuel storage, communications, and logistics. Color zones from live demo status, provide a legend and text labels, and offer a list-based equivalent for accessibility. Keep provenance and “schematic” labeling visible beside the view.</w:t>
      </w:r>
    </w:p>
    <w:p>
      <w:pPr>
        <w:pStyle w:val="Heading1"/>
      </w:pPr>
      <w:r>
        <w:t>6. Provenance, reports, and offline fallback</w:t>
      </w:r>
    </w:p>
    <w:p>
      <w:pPr>
        <w:pStyle w:val="ListBullet"/>
        <w:spacing w:after="60"/>
      </w:pPr>
      <w:r>
        <w:t>Make provenance required for every telemetry reading, scenario output, inventory estimate, requisition, shipment ETA, alert, score component, and export row.</w:t>
      </w:r>
    </w:p>
    <w:p>
      <w:pPr>
        <w:pStyle w:val="ListBullet"/>
        <w:spacing w:after="60"/>
      </w:pPr>
      <w:r>
        <w:t>Use consistent values such as simulated, public-derived, manual, and sensor; display the source badge and last-updated time wherever a value appears.</w:t>
      </w:r>
    </w:p>
    <w:p>
      <w:pPr>
        <w:pStyle w:val="ListBullet"/>
        <w:spacing w:after="60"/>
      </w:pPr>
      <w:r>
        <w:t>CSV should include units, station, time, provenance, scenario, and any linked workflow ID. PDF should summarize conditions, alert rationale, health components, inventory outlook, workflow history, and assumptions.</w:t>
      </w:r>
    </w:p>
    <w:p>
      <w:pPr>
        <w:pStyle w:val="ListBullet"/>
        <w:spacing w:after="60"/>
      </w:pPr>
      <w:r>
        <w:t>Seed fallback mode with a normal baseline, storm, generator fault, and delayed shipment example. Make it available without a running API and label it clearly as seeded synthetic data.</w:t>
      </w:r>
    </w:p>
    <w:p>
      <w:pPr>
        <w:pStyle w:val="ListBullet"/>
        <w:spacing w:after="60"/>
      </w:pPr>
      <w:r>
        <w:t>Save screenshots and a short screen recording of the complete story. Rehearse the live flow and fallback flow before presenting.</w:t>
      </w:r>
    </w:p>
    <w:p>
      <w:pPr>
        <w:pStyle w:val="Heading1"/>
      </w:pPr>
      <w:r>
        <w:t>7. Quality gates and delivery setup</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02A43"/>
          </w:tcPr>
          <w:p>
            <w:pPr>
              <w:spacing w:after="0"/>
            </w:pPr>
            <w:r/>
            <w:r>
              <w:rPr>
                <w:rFonts w:ascii="Aptos" w:hAnsi="Aptos"/>
                <w:b/>
                <w:color w:val="FFFFFF"/>
                <w:sz w:val="17"/>
              </w:rPr>
              <w:t>Gate</w:t>
            </w:r>
          </w:p>
        </w:tc>
        <w:tc>
          <w:tcPr>
            <w:tcW w:type="dxa" w:w="4997"/>
            <w:vAlign w:val="center"/>
            <w:shd w:fill="102A43"/>
          </w:tcPr>
          <w:p>
            <w:pPr>
              <w:spacing w:after="0"/>
            </w:pPr>
            <w:r/>
            <w:r>
              <w:rPr>
                <w:rFonts w:ascii="Aptos" w:hAnsi="Aptos"/>
                <w:b/>
                <w:color w:val="FFFFFF"/>
                <w:sz w:val="17"/>
              </w:rPr>
              <w:t>Required evidence</w:t>
            </w:r>
          </w:p>
        </w:tc>
      </w:tr>
      <w:tr>
        <w:tc>
          <w:tcPr>
            <w:tcW w:type="dxa" w:w="4997"/>
            <w:vAlign w:val="center"/>
            <w:shd w:fill="F2F7FA"/>
          </w:tcPr>
          <w:p>
            <w:pPr>
              <w:spacing w:after="0"/>
            </w:pPr>
            <w:r/>
            <w:r>
              <w:rPr>
                <w:rFonts w:ascii="Aptos" w:hAnsi="Aptos"/>
                <w:b w:val="0"/>
                <w:color w:val="102A43"/>
                <w:sz w:val="17"/>
              </w:rPr>
              <w:t>API behavior</w:t>
            </w:r>
          </w:p>
        </w:tc>
        <w:tc>
          <w:tcPr>
            <w:tcW w:type="dxa" w:w="4997"/>
            <w:vAlign w:val="center"/>
            <w:shd w:fill="F2F7FA"/>
          </w:tcPr>
          <w:p>
            <w:pPr>
              <w:spacing w:after="0"/>
            </w:pPr>
            <w:r/>
            <w:r>
              <w:rPr>
                <w:rFonts w:ascii="Aptos" w:hAnsi="Aptos"/>
                <w:b w:val="0"/>
                <w:color w:val="102A43"/>
                <w:sz w:val="17"/>
              </w:rPr>
              <w:t>Pytest covers valid/invalid transitions, role permissions, persistence, ETA updates, and provenance validation.</w:t>
            </w:r>
          </w:p>
        </w:tc>
      </w:tr>
      <w:tr>
        <w:tc>
          <w:tcPr>
            <w:tcW w:type="dxa" w:w="4997"/>
            <w:vAlign w:val="center"/>
          </w:tcPr>
          <w:p>
            <w:pPr>
              <w:spacing w:after="0"/>
            </w:pPr>
            <w:r/>
            <w:r>
              <w:rPr>
                <w:rFonts w:ascii="Aptos" w:hAnsi="Aptos"/>
                <w:b w:val="0"/>
                <w:color w:val="102A43"/>
                <w:sz w:val="17"/>
              </w:rPr>
              <w:t>Simulator repeatability</w:t>
            </w:r>
          </w:p>
        </w:tc>
        <w:tc>
          <w:tcPr>
            <w:tcW w:type="dxa" w:w="4997"/>
            <w:vAlign w:val="center"/>
          </w:tcPr>
          <w:p>
            <w:pPr>
              <w:spacing w:after="0"/>
            </w:pPr>
            <w:r/>
            <w:r>
              <w:rPr>
                <w:rFonts w:ascii="Aptos" w:hAnsi="Aptos"/>
                <w:b w:val="0"/>
                <w:color w:val="102A43"/>
                <w:sz w:val="17"/>
              </w:rPr>
              <w:t>Fixed seed produces equivalent outputs for the same profile and scenario.</w:t>
            </w:r>
          </w:p>
        </w:tc>
      </w:tr>
      <w:tr>
        <w:tc>
          <w:tcPr>
            <w:tcW w:type="dxa" w:w="4997"/>
            <w:vAlign w:val="center"/>
            <w:shd w:fill="F2F7FA"/>
          </w:tcPr>
          <w:p>
            <w:pPr>
              <w:spacing w:after="0"/>
            </w:pPr>
            <w:r/>
            <w:r>
              <w:rPr>
                <w:rFonts w:ascii="Aptos" w:hAnsi="Aptos"/>
                <w:b w:val="0"/>
                <w:color w:val="102A43"/>
                <w:sz w:val="17"/>
              </w:rPr>
              <w:t>Frontend build</w:t>
            </w:r>
          </w:p>
        </w:tc>
        <w:tc>
          <w:tcPr>
            <w:tcW w:type="dxa" w:w="4997"/>
            <w:vAlign w:val="center"/>
            <w:shd w:fill="F2F7FA"/>
          </w:tcPr>
          <w:p>
            <w:pPr>
              <w:spacing w:after="0"/>
            </w:pPr>
            <w:r/>
            <w:r>
              <w:rPr>
                <w:rFonts w:ascii="Aptos" w:hAnsi="Aptos"/>
                <w:b w:val="0"/>
                <w:color w:val="102A43"/>
                <w:sz w:val="17"/>
              </w:rPr>
              <w:t>Production build succeeds; workflow and role views operate against API responses.</w:t>
            </w:r>
          </w:p>
        </w:tc>
      </w:tr>
      <w:tr>
        <w:tc>
          <w:tcPr>
            <w:tcW w:type="dxa" w:w="4997"/>
            <w:vAlign w:val="center"/>
          </w:tcPr>
          <w:p>
            <w:pPr>
              <w:spacing w:after="0"/>
            </w:pPr>
            <w:r/>
            <w:r>
              <w:rPr>
                <w:rFonts w:ascii="Aptos" w:hAnsi="Aptos"/>
                <w:b w:val="0"/>
                <w:color w:val="102A43"/>
                <w:sz w:val="17"/>
              </w:rPr>
              <w:t>Local run</w:t>
            </w:r>
          </w:p>
        </w:tc>
        <w:tc>
          <w:tcPr>
            <w:tcW w:type="dxa" w:w="4997"/>
            <w:vAlign w:val="center"/>
          </w:tcPr>
          <w:p>
            <w:pPr>
              <w:spacing w:after="0"/>
            </w:pPr>
            <w:r/>
            <w:r>
              <w:rPr>
                <w:rFonts w:ascii="Aptos" w:hAnsi="Aptos"/>
                <w:b w:val="0"/>
                <w:color w:val="102A43"/>
                <w:sz w:val="17"/>
              </w:rPr>
              <w:t>One command starts the app and API, or a documented script handles prerequisites and startup.</w:t>
            </w:r>
          </w:p>
        </w:tc>
      </w:tr>
      <w:tr>
        <w:tc>
          <w:tcPr>
            <w:tcW w:type="dxa" w:w="4997"/>
            <w:vAlign w:val="center"/>
            <w:shd w:fill="F2F7FA"/>
          </w:tcPr>
          <w:p>
            <w:pPr>
              <w:spacing w:after="0"/>
            </w:pPr>
            <w:r/>
            <w:r>
              <w:rPr>
                <w:rFonts w:ascii="Aptos" w:hAnsi="Aptos"/>
                <w:b w:val="0"/>
                <w:color w:val="102A43"/>
                <w:sz w:val="17"/>
              </w:rPr>
              <w:t>Continuous integration</w:t>
            </w:r>
          </w:p>
        </w:tc>
        <w:tc>
          <w:tcPr>
            <w:tcW w:type="dxa" w:w="4997"/>
            <w:vAlign w:val="center"/>
            <w:shd w:fill="F2F7FA"/>
          </w:tcPr>
          <w:p>
            <w:pPr>
              <w:spacing w:after="0"/>
            </w:pPr>
            <w:r/>
            <w:r>
              <w:rPr>
                <w:rFonts w:ascii="Aptos" w:hAnsi="Aptos"/>
                <w:b w:val="0"/>
                <w:color w:val="102A43"/>
                <w:sz w:val="17"/>
              </w:rPr>
              <w:t>GitHub Actions installs dependencies, runs API checks and simulator determinism check, and builds the web app.</w:t>
            </w:r>
          </w:p>
        </w:tc>
      </w:tr>
      <w:tr>
        <w:tc>
          <w:tcPr>
            <w:tcW w:type="dxa" w:w="4997"/>
            <w:vAlign w:val="center"/>
          </w:tcPr>
          <w:p>
            <w:pPr>
              <w:spacing w:after="0"/>
            </w:pPr>
            <w:r/>
            <w:r>
              <w:rPr>
                <w:rFonts w:ascii="Aptos" w:hAnsi="Aptos"/>
                <w:b w:val="0"/>
                <w:color w:val="102A43"/>
                <w:sz w:val="17"/>
              </w:rPr>
              <w:t>Repository documentation</w:t>
            </w:r>
          </w:p>
        </w:tc>
        <w:tc>
          <w:tcPr>
            <w:tcW w:type="dxa" w:w="4997"/>
            <w:vAlign w:val="center"/>
          </w:tcPr>
          <w:p>
            <w:pPr>
              <w:spacing w:after="0"/>
            </w:pPr>
            <w:r/>
            <w:r>
              <w:rPr>
                <w:rFonts w:ascii="Aptos" w:hAnsi="Aptos"/>
                <w:b w:val="0"/>
                <w:color w:val="102A43"/>
                <w:sz w:val="17"/>
              </w:rPr>
              <w:t>README describes actual SQLite use, run steps, demo limits, provenance, and license choice.</w:t>
            </w:r>
          </w:p>
        </w:tc>
      </w:tr>
    </w:tbl>
    <w:p>
      <w:pPr>
        <w:spacing w:after="20"/>
      </w:pPr>
    </w:p>
    <w:p>
      <w:pPr>
        <w:pStyle w:val="Heading1"/>
      </w:pPr>
      <w:r>
        <w:t>8. Team ownership and working rhythm</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02A43"/>
          </w:tcPr>
          <w:p>
            <w:pPr>
              <w:spacing w:after="0"/>
            </w:pPr>
            <w:r/>
            <w:r>
              <w:rPr>
                <w:rFonts w:ascii="Aptos" w:hAnsi="Aptos"/>
                <w:b/>
                <w:color w:val="FFFFFF"/>
                <w:sz w:val="17"/>
              </w:rPr>
              <w:t>Workstream</w:t>
            </w:r>
          </w:p>
        </w:tc>
        <w:tc>
          <w:tcPr>
            <w:tcW w:type="dxa" w:w="3331"/>
            <w:vAlign w:val="center"/>
            <w:shd w:fill="102A43"/>
          </w:tcPr>
          <w:p>
            <w:pPr>
              <w:spacing w:after="0"/>
            </w:pPr>
            <w:r/>
            <w:r>
              <w:rPr>
                <w:rFonts w:ascii="Aptos" w:hAnsi="Aptos"/>
                <w:b/>
                <w:color w:val="FFFFFF"/>
                <w:sz w:val="17"/>
              </w:rPr>
              <w:t>Suggested lead</w:t>
            </w:r>
          </w:p>
        </w:tc>
        <w:tc>
          <w:tcPr>
            <w:tcW w:type="dxa" w:w="3331"/>
            <w:vAlign w:val="center"/>
            <w:shd w:fill="102A43"/>
          </w:tcPr>
          <w:p>
            <w:pPr>
              <w:spacing w:after="0"/>
            </w:pPr>
            <w:r/>
            <w:r>
              <w:rPr>
                <w:rFonts w:ascii="Aptos" w:hAnsi="Aptos"/>
                <w:b/>
                <w:color w:val="FFFFFF"/>
                <w:sz w:val="17"/>
              </w:rPr>
              <w:t>Shared handoff</w:t>
            </w:r>
          </w:p>
        </w:tc>
      </w:tr>
      <w:tr>
        <w:tc>
          <w:tcPr>
            <w:tcW w:type="dxa" w:w="3331"/>
            <w:vAlign w:val="center"/>
            <w:shd w:fill="F2F7FA"/>
          </w:tcPr>
          <w:p>
            <w:pPr>
              <w:spacing w:after="0"/>
            </w:pPr>
            <w:r/>
            <w:r>
              <w:rPr>
                <w:rFonts w:ascii="Aptos" w:hAnsi="Aptos"/>
                <w:b w:val="0"/>
                <w:color w:val="102A43"/>
                <w:sz w:val="17"/>
              </w:rPr>
              <w:t>Web workflow, role views, 3D schematic, demo script</w:t>
            </w:r>
          </w:p>
        </w:tc>
        <w:tc>
          <w:tcPr>
            <w:tcW w:type="dxa" w:w="3331"/>
            <w:vAlign w:val="center"/>
            <w:shd w:fill="F2F7FA"/>
          </w:tcPr>
          <w:p>
            <w:pPr>
              <w:spacing w:after="0"/>
            </w:pPr>
            <w:r/>
            <w:r>
              <w:rPr>
                <w:rFonts w:ascii="Aptos" w:hAnsi="Aptos"/>
                <w:b w:val="0"/>
                <w:color w:val="102A43"/>
                <w:sz w:val="17"/>
              </w:rPr>
              <w:t>Mukesh / frontend lead</w:t>
            </w:r>
          </w:p>
        </w:tc>
        <w:tc>
          <w:tcPr>
            <w:tcW w:type="dxa" w:w="3331"/>
            <w:vAlign w:val="center"/>
            <w:shd w:fill="F2F7FA"/>
          </w:tcPr>
          <w:p>
            <w:pPr>
              <w:spacing w:after="0"/>
            </w:pPr>
            <w:r/>
            <w:r>
              <w:rPr>
                <w:rFonts w:ascii="Aptos" w:hAnsi="Aptos"/>
                <w:b w:val="0"/>
                <w:color w:val="102A43"/>
                <w:sz w:val="17"/>
              </w:rPr>
              <w:t>Agree on response schema with API lead; provide reviewable screens at each milestone.</w:t>
            </w:r>
          </w:p>
        </w:tc>
      </w:tr>
      <w:tr>
        <w:tc>
          <w:tcPr>
            <w:tcW w:type="dxa" w:w="3331"/>
            <w:vAlign w:val="center"/>
          </w:tcPr>
          <w:p>
            <w:pPr>
              <w:spacing w:after="0"/>
            </w:pPr>
            <w:r/>
            <w:r>
              <w:rPr>
                <w:rFonts w:ascii="Aptos" w:hAnsi="Aptos"/>
                <w:b w:val="0"/>
                <w:color w:val="102A43"/>
                <w:sz w:val="17"/>
              </w:rPr>
              <w:t>FastAPI, SQLite schema, state machine, exports</w:t>
            </w:r>
          </w:p>
        </w:tc>
        <w:tc>
          <w:tcPr>
            <w:tcW w:type="dxa" w:w="3331"/>
            <w:vAlign w:val="center"/>
          </w:tcPr>
          <w:p>
            <w:pPr>
              <w:spacing w:after="0"/>
            </w:pPr>
            <w:r/>
            <w:r>
              <w:rPr>
                <w:rFonts w:ascii="Aptos" w:hAnsi="Aptos"/>
                <w:b w:val="0"/>
                <w:color w:val="102A43"/>
                <w:sz w:val="17"/>
              </w:rPr>
              <w:t>Tejas / API lead</w:t>
            </w:r>
          </w:p>
        </w:tc>
        <w:tc>
          <w:tcPr>
            <w:tcW w:type="dxa" w:w="3331"/>
            <w:vAlign w:val="center"/>
          </w:tcPr>
          <w:p>
            <w:pPr>
              <w:spacing w:after="0"/>
            </w:pPr>
            <w:r/>
            <w:r>
              <w:rPr>
                <w:rFonts w:ascii="Aptos" w:hAnsi="Aptos"/>
                <w:b w:val="0"/>
                <w:color w:val="102A43"/>
                <w:sz w:val="17"/>
              </w:rPr>
              <w:t>Publish endpoint examples and transition rules before frontend integration.</w:t>
            </w:r>
          </w:p>
        </w:tc>
      </w:tr>
      <w:tr>
        <w:tc>
          <w:tcPr>
            <w:tcW w:type="dxa" w:w="3331"/>
            <w:vAlign w:val="center"/>
            <w:shd w:fill="F2F7FA"/>
          </w:tcPr>
          <w:p>
            <w:pPr>
              <w:spacing w:after="0"/>
            </w:pPr>
            <w:r/>
            <w:r>
              <w:rPr>
                <w:rFonts w:ascii="Aptos" w:hAnsi="Aptos"/>
                <w:b w:val="0"/>
                <w:color w:val="102A43"/>
                <w:sz w:val="17"/>
              </w:rPr>
              <w:t>Simulator, scenario inputs, alert and score calculations</w:t>
            </w:r>
          </w:p>
        </w:tc>
        <w:tc>
          <w:tcPr>
            <w:tcW w:type="dxa" w:w="3331"/>
            <w:vAlign w:val="center"/>
            <w:shd w:fill="F2F7FA"/>
          </w:tcPr>
          <w:p>
            <w:pPr>
              <w:spacing w:after="0"/>
            </w:pPr>
            <w:r/>
            <w:r>
              <w:rPr>
                <w:rFonts w:ascii="Aptos" w:hAnsi="Aptos"/>
                <w:b w:val="0"/>
                <w:color w:val="102A43"/>
                <w:sz w:val="17"/>
              </w:rPr>
              <w:t>Anish / simulation lead</w:t>
            </w:r>
          </w:p>
        </w:tc>
        <w:tc>
          <w:tcPr>
            <w:tcW w:type="dxa" w:w="3331"/>
            <w:vAlign w:val="center"/>
            <w:shd w:fill="F2F7FA"/>
          </w:tcPr>
          <w:p>
            <w:pPr>
              <w:spacing w:after="0"/>
            </w:pPr>
            <w:r/>
            <w:r>
              <w:rPr>
                <w:rFonts w:ascii="Aptos" w:hAnsi="Aptos"/>
                <w:b w:val="0"/>
                <w:color w:val="102A43"/>
                <w:sz w:val="17"/>
              </w:rPr>
              <w:t>Document deterministic inputs, assumptions, thresholds, and explanations.</w:t>
            </w:r>
          </w:p>
        </w:tc>
      </w:tr>
      <w:tr>
        <w:tc>
          <w:tcPr>
            <w:tcW w:type="dxa" w:w="3331"/>
            <w:vAlign w:val="center"/>
          </w:tcPr>
          <w:p>
            <w:pPr>
              <w:spacing w:after="0"/>
            </w:pPr>
            <w:r/>
            <w:r>
              <w:rPr>
                <w:rFonts w:ascii="Aptos" w:hAnsi="Aptos"/>
                <w:b w:val="0"/>
                <w:color w:val="102A43"/>
                <w:sz w:val="17"/>
              </w:rPr>
              <w:t>Integration, release, README, CI</w:t>
            </w:r>
          </w:p>
        </w:tc>
        <w:tc>
          <w:tcPr>
            <w:tcW w:type="dxa" w:w="3331"/>
            <w:vAlign w:val="center"/>
          </w:tcPr>
          <w:p>
            <w:pPr>
              <w:spacing w:after="0"/>
            </w:pPr>
            <w:r/>
            <w:r>
              <w:rPr>
                <w:rFonts w:ascii="Aptos" w:hAnsi="Aptos"/>
                <w:b w:val="0"/>
                <w:color w:val="102A43"/>
                <w:sz w:val="17"/>
              </w:rPr>
              <w:t>All three</w:t>
            </w:r>
          </w:p>
        </w:tc>
        <w:tc>
          <w:tcPr>
            <w:tcW w:type="dxa" w:w="3331"/>
            <w:vAlign w:val="center"/>
          </w:tcPr>
          <w:p>
            <w:pPr>
              <w:spacing w:after="0"/>
            </w:pPr>
            <w:r/>
            <w:r>
              <w:rPr>
                <w:rFonts w:ascii="Aptos" w:hAnsi="Aptos"/>
                <w:b w:val="0"/>
                <w:color w:val="102A43"/>
                <w:sz w:val="17"/>
              </w:rPr>
              <w:t>Short integration check each day; rehearse one end-to-end path at each phase exit.</w:t>
            </w:r>
          </w:p>
        </w:tc>
      </w:tr>
    </w:tbl>
    <w:p>
      <w:pPr>
        <w:spacing w:after="20"/>
      </w:pPr>
    </w:p>
    <w:p>
      <w:r>
        <w:t>Keep a small shared board with To do, Doing, and Done. At the start of each work session, name one reviewable outcome. Share API contract changes immediately. At each phase exit, run the full demo flow together and move non-blocking enhancements to a later list.</w:t>
      </w:r>
    </w:p>
    <w:p>
      <w:pPr>
        <w:pStyle w:val="Heading1"/>
      </w:pPr>
      <w:r>
        <w:t>9. Demo run of show</w:t>
      </w:r>
    </w:p>
    <w:p>
      <w:pPr>
        <w:pStyle w:val="ListNumber"/>
        <w:spacing w:after="100"/>
      </w:pPr>
      <w:r>
        <w:rPr>
          <w:b/>
        </w:rPr>
        <w:t xml:space="preserve">Start at normal conditions — </w:t>
      </w:r>
      <w:r>
        <w:t>Select Maitri or Bharati and point out the synthetic provenance label and baseline health components.</w:t>
      </w:r>
    </w:p>
    <w:p>
      <w:pPr>
        <w:pStyle w:val="ListNumber"/>
        <w:spacing w:after="100"/>
      </w:pPr>
      <w:r>
        <w:rPr>
          <w:b/>
        </w:rPr>
        <w:t xml:space="preserve">Trigger the storm — </w:t>
      </w:r>
      <w:r>
        <w:t>Show weather severity, heating load, fuel reserve, and alert explanation change together.</w:t>
      </w:r>
    </w:p>
    <w:p>
      <w:pPr>
        <w:pStyle w:val="ListNumber"/>
        <w:spacing w:after="100"/>
      </w:pPr>
      <w:r>
        <w:rPr>
          <w:b/>
        </w:rPr>
        <w:t xml:space="preserve">Add a generator fault — </w:t>
      </w:r>
      <w:r>
        <w:t>Use the what-if to show reduced power margin, changed zone status, and the resulting health/alert reason.</w:t>
      </w:r>
    </w:p>
    <w:p>
      <w:pPr>
        <w:pStyle w:val="ListNumber"/>
        <w:spacing w:after="100"/>
      </w:pPr>
      <w:r>
        <w:rPr>
          <w:b/>
        </w:rPr>
        <w:t xml:space="preserve">Raise a requisition — </w:t>
      </w:r>
      <w:r>
        <w:t>Station Leader submits a fuel request with a reason linked to the scenario.</w:t>
      </w:r>
    </w:p>
    <w:p>
      <w:pPr>
        <w:pStyle w:val="ListNumber"/>
        <w:spacing w:after="100"/>
      </w:pPr>
      <w:r>
        <w:rPr>
          <w:b/>
        </w:rPr>
        <w:t xml:space="preserve">Review and approve — </w:t>
      </w:r>
      <w:r>
        <w:t>Logistics checks the projected stock-out against shipment ETA; Management records the decision.</w:t>
      </w:r>
    </w:p>
    <w:p>
      <w:pPr>
        <w:pStyle w:val="ListNumber"/>
        <w:spacing w:after="100"/>
      </w:pPr>
      <w:r>
        <w:rPr>
          <w:b/>
        </w:rPr>
        <w:t xml:space="preserve">Dispatch and delay — </w:t>
      </w:r>
      <w:r>
        <w:t>Logistics records dispatch and ETA; delayed shipment scenario demonstrates a shrinking buffer or shortfall.</w:t>
      </w:r>
    </w:p>
    <w:p>
      <w:pPr>
        <w:pStyle w:val="ListNumber"/>
        <w:spacing w:after="100"/>
      </w:pPr>
      <w:r>
        <w:rPr>
          <w:b/>
        </w:rPr>
        <w:t xml:space="preserve">Confirm delivery — </w:t>
      </w:r>
      <w:r>
        <w:t>Station Leader confirms receipt; inventory outlook updates and the workflow closes.</w:t>
      </w:r>
    </w:p>
    <w:p>
      <w:pPr>
        <w:pStyle w:val="ListNumber"/>
        <w:spacing w:after="100"/>
      </w:pPr>
      <w:r>
        <w:rPr>
          <w:b/>
        </w:rPr>
        <w:t xml:space="preserve">Show resilience and evidence — </w:t>
      </w:r>
      <w:r>
        <w:t>Demonstrate offline buffering or seeded fallback, then export a provenance-labeled report.</w:t>
      </w:r>
    </w:p>
    <w:p>
      <w:pPr>
        <w:pStyle w:val="Heading1"/>
      </w:pPr>
      <w:r>
        <w:t>10. Risks and scope controls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02A43"/>
          </w:tcPr>
          <w:p>
            <w:pPr>
              <w:spacing w:after="0"/>
            </w:pPr>
            <w:r/>
            <w:r>
              <w:rPr>
                <w:rFonts w:ascii="Aptos" w:hAnsi="Aptos"/>
                <w:b/>
                <w:color w:val="FFFFFF"/>
                <w:sz w:val="17"/>
              </w:rPr>
              <w:t>Risk</w:t>
            </w:r>
          </w:p>
        </w:tc>
        <w:tc>
          <w:tcPr>
            <w:tcW w:type="dxa" w:w="4997"/>
            <w:vAlign w:val="center"/>
            <w:shd w:fill="102A43"/>
          </w:tcPr>
          <w:p>
            <w:pPr>
              <w:spacing w:after="0"/>
            </w:pPr>
            <w:r/>
            <w:r>
              <w:rPr>
                <w:rFonts w:ascii="Aptos" w:hAnsi="Aptos"/>
                <w:b/>
                <w:color w:val="FFFFFF"/>
                <w:sz w:val="17"/>
              </w:rPr>
              <w:t>Control</w:t>
            </w:r>
          </w:p>
        </w:tc>
      </w:tr>
      <w:tr>
        <w:tc>
          <w:tcPr>
            <w:tcW w:type="dxa" w:w="4997"/>
            <w:vAlign w:val="center"/>
            <w:shd w:fill="F2F7FA"/>
          </w:tcPr>
          <w:p>
            <w:pPr>
              <w:spacing w:after="0"/>
            </w:pPr>
            <w:r/>
            <w:r>
              <w:rPr>
                <w:rFonts w:ascii="Aptos" w:hAnsi="Aptos"/>
                <w:b w:val="0"/>
                <w:color w:val="102A43"/>
                <w:sz w:val="17"/>
              </w:rPr>
              <w:t>Prototype values are mistaken for live operational data.</w:t>
            </w:r>
          </w:p>
        </w:tc>
        <w:tc>
          <w:tcPr>
            <w:tcW w:type="dxa" w:w="4997"/>
            <w:vAlign w:val="center"/>
            <w:shd w:fill="F2F7FA"/>
          </w:tcPr>
          <w:p>
            <w:pPr>
              <w:spacing w:after="0"/>
            </w:pPr>
            <w:r/>
            <w:r>
              <w:rPr>
                <w:rFonts w:ascii="Aptos" w:hAnsi="Aptos"/>
                <w:b w:val="0"/>
                <w:color w:val="102A43"/>
                <w:sz w:val="17"/>
              </w:rPr>
              <w:t>Persistent synthetic labels, provenance fields, visible assumptions, and no live-station claims.</w:t>
            </w:r>
          </w:p>
        </w:tc>
      </w:tr>
      <w:tr>
        <w:tc>
          <w:tcPr>
            <w:tcW w:type="dxa" w:w="4997"/>
            <w:vAlign w:val="center"/>
          </w:tcPr>
          <w:p>
            <w:pPr>
              <w:spacing w:after="0"/>
            </w:pPr>
            <w:r/>
            <w:r>
              <w:rPr>
                <w:rFonts w:ascii="Aptos" w:hAnsi="Aptos"/>
                <w:b w:val="0"/>
                <w:color w:val="102A43"/>
                <w:sz w:val="17"/>
              </w:rPr>
              <w:t>Workflow becomes a set of disconnected UI buttons.</w:t>
            </w:r>
          </w:p>
        </w:tc>
        <w:tc>
          <w:tcPr>
            <w:tcW w:type="dxa" w:w="4997"/>
            <w:vAlign w:val="center"/>
          </w:tcPr>
          <w:p>
            <w:pPr>
              <w:spacing w:after="0"/>
            </w:pPr>
            <w:r/>
            <w:r>
              <w:rPr>
                <w:rFonts w:ascii="Aptos" w:hAnsi="Aptos"/>
                <w:b w:val="0"/>
                <w:color w:val="102A43"/>
                <w:sz w:val="17"/>
              </w:rPr>
              <w:t>API owns state transitions; persist every action and audit event in SQLite.</w:t>
            </w:r>
          </w:p>
        </w:tc>
      </w:tr>
      <w:tr>
        <w:tc>
          <w:tcPr>
            <w:tcW w:type="dxa" w:w="4997"/>
            <w:vAlign w:val="center"/>
            <w:shd w:fill="F2F7FA"/>
          </w:tcPr>
          <w:p>
            <w:pPr>
              <w:spacing w:after="0"/>
            </w:pPr>
            <w:r/>
            <w:r>
              <w:rPr>
                <w:rFonts w:ascii="Aptos" w:hAnsi="Aptos"/>
                <w:b w:val="0"/>
                <w:color w:val="102A43"/>
                <w:sz w:val="17"/>
              </w:rPr>
              <w:t>Too many features dilute the demo.</w:t>
            </w:r>
          </w:p>
        </w:tc>
        <w:tc>
          <w:tcPr>
            <w:tcW w:type="dxa" w:w="4997"/>
            <w:vAlign w:val="center"/>
            <w:shd w:fill="F2F7FA"/>
          </w:tcPr>
          <w:p>
            <w:pPr>
              <w:spacing w:after="0"/>
            </w:pPr>
            <w:r/>
            <w:r>
              <w:rPr>
                <w:rFonts w:ascii="Aptos" w:hAnsi="Aptos"/>
                <w:b w:val="0"/>
                <w:color w:val="102A43"/>
                <w:sz w:val="17"/>
              </w:rPr>
              <w:t>Finish requisition → dispatch → delivery first; add scenario coupling and explainability before polish.</w:t>
            </w:r>
          </w:p>
        </w:tc>
      </w:tr>
      <w:tr>
        <w:tc>
          <w:tcPr>
            <w:tcW w:type="dxa" w:w="4997"/>
            <w:vAlign w:val="center"/>
          </w:tcPr>
          <w:p>
            <w:pPr>
              <w:spacing w:after="0"/>
            </w:pPr>
            <w:r/>
            <w:r>
              <w:rPr>
                <w:rFonts w:ascii="Aptos" w:hAnsi="Aptos"/>
                <w:b w:val="0"/>
                <w:color w:val="102A43"/>
                <w:sz w:val="17"/>
              </w:rPr>
              <w:t>Thresholds or health score appear authoritative.</w:t>
            </w:r>
          </w:p>
        </w:tc>
        <w:tc>
          <w:tcPr>
            <w:tcW w:type="dxa" w:w="4997"/>
            <w:vAlign w:val="center"/>
          </w:tcPr>
          <w:p>
            <w:pPr>
              <w:spacing w:after="0"/>
            </w:pPr>
            <w:r/>
            <w:r>
              <w:rPr>
                <w:rFonts w:ascii="Aptos" w:hAnsi="Aptos"/>
                <w:b w:val="0"/>
                <w:color w:val="102A43"/>
                <w:sz w:val="17"/>
              </w:rPr>
              <w:t>Mark as illustrative; expose formulas and require expert validation before operational use.</w:t>
            </w:r>
          </w:p>
        </w:tc>
      </w:tr>
      <w:tr>
        <w:tc>
          <w:tcPr>
            <w:tcW w:type="dxa" w:w="4997"/>
            <w:vAlign w:val="center"/>
            <w:shd w:fill="F2F7FA"/>
          </w:tcPr>
          <w:p>
            <w:pPr>
              <w:spacing w:after="0"/>
            </w:pPr>
            <w:r/>
            <w:r>
              <w:rPr>
                <w:rFonts w:ascii="Aptos" w:hAnsi="Aptos"/>
                <w:b w:val="0"/>
                <w:color w:val="102A43"/>
                <w:sz w:val="17"/>
              </w:rPr>
              <w:t>Connectivity failure blocks presentation.</w:t>
            </w:r>
          </w:p>
        </w:tc>
        <w:tc>
          <w:tcPr>
            <w:tcW w:type="dxa" w:w="4997"/>
            <w:vAlign w:val="center"/>
            <w:shd w:fill="F2F7FA"/>
          </w:tcPr>
          <w:p>
            <w:pPr>
              <w:spacing w:after="0"/>
            </w:pPr>
            <w:r/>
            <w:r>
              <w:rPr>
                <w:rFonts w:ascii="Aptos" w:hAnsi="Aptos"/>
                <w:b w:val="0"/>
                <w:color w:val="102A43"/>
                <w:sz w:val="17"/>
              </w:rPr>
              <w:t>Provide seeded mode, screenshots, and screen recording as a rehearsed fallback.</w:t>
            </w:r>
          </w:p>
        </w:tc>
      </w:tr>
    </w:tbl>
    <w:p>
      <w:pPr>
        <w:spacing w:after="20"/>
      </w:pPr>
    </w:p>
    <w:p>
      <w:pPr>
        <w:pStyle w:val="Heading1"/>
      </w:pPr>
      <w:r>
        <w:t>Definition of a successful MVP demo</w:t>
      </w:r>
    </w:p>
    <w:p>
      <w:r>
        <w:t>A reviewer can run a repeatable scenario, understand the alert and health score, complete the requisition-to-delivery flow, and see dispatch update the stock-out outlook. Role views, the station schematic, provenance-labeled reporting, and offline fallback complete the demo.</w:t>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26477"/>
        <w:sz w:val="15"/>
      </w:rPr>
      <w:t>SIH 2026  •  Problem Statement 26060  •  Prototype roadmap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47D9B"/>
        <w:sz w:val="15"/>
      </w:rPr>
      <w:t>POLAR TWIN  /  PROJECT BUILDING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7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47D9B"/>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02A4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02A4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Polar Twin Project Building Plan</dc:title>
  <dc:subject>Phased MVP delivery plan for the Antarctic station operations prototype</dc:subject>
  <dc:creator>Polar Twin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