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1E3A8A"/>
          <w:sz w:val="48"/>
        </w:rPr>
        <w:t>CA Office Workflow Management System</w:t>
      </w:r>
    </w:p>
    <w:p>
      <w:pPr>
        <w:spacing w:before="0" w:after="240"/>
        <w:jc w:val="center"/>
      </w:pPr>
      <w:r>
        <w:rPr>
          <w:rFonts w:ascii="Arial" w:hAnsi="Arial"/>
          <w:color w:val="2563EB"/>
          <w:sz w:val="26"/>
        </w:rPr>
        <w:t>Comprehensive Project Specification, System Architecture &amp; Operational Report</w:t>
      </w:r>
    </w:p>
    <w:p>
      <w:pPr>
        <w:spacing w:before="0" w:after="480"/>
        <w:jc w:val="center"/>
      </w:pPr>
      <w:r>
        <w:rPr>
          <w:color w:val="64748B"/>
          <w:sz w:val="20"/>
        </w:rPr>
        <w:t>Client: SMK &amp; Associates (Chartered Accountants)  |  Environment: Production Vercel Serverless &amp; Node.js</w:t>
      </w:r>
    </w:p>
    <w:p>
      <w:pPr>
        <w:spacing w:after="240"/>
      </w:pPr>
    </w:p>
    <w:p>
      <w:pPr>
        <w:keepNext/>
        <w:spacing w:before="360" w:after="120"/>
      </w:pPr>
      <w:r>
        <w:rPr>
          <w:rFonts w:ascii="Arial" w:hAnsi="Arial"/>
          <w:b/>
          <w:color w:val="1E3A8A"/>
          <w:sz w:val="32"/>
        </w:rPr>
        <w:t>1. Executive Summary</w:t>
      </w:r>
    </w:p>
    <w:p>
      <w:r>
        <w:t>The CA Office Workflow Management System is an enterprise-grade, cloud-native workflow orchestration and statutory compliance management platform engineered exclusively for Indian Chartered Accountancy practices. Historically, mid-sized and boutique CA firms struggle with fragmented task tracking, unrecorded statutory due dates, manual filing dispatch bottlenecks, and lack of accountability across articles and audit staff. This platform delivers end-to-end operational visibility by integrating inward work logging, automated GST filing pipelines, algorithmic staff recommendation, in-browser facial biometric attendance, and a conversational AI assistant into a unified workspace.</w:t>
      </w:r>
    </w:p>
    <w:p>
      <w:r>
        <w:t>Built for SMK &amp; Associates under CA. S. Masilamani Karthikeyan, the system runs on a lean, serverless architecture powered by MongoDB Atlas, Node.js, and client-side modern JavaScript. It resolves modern cloud deployment constraints—including Vercel's Hobby 12-function limit—through a high-performance Unified Serverless Dispatcher architecture.</w:t>
      </w:r>
    </w:p>
    <w:p>
      <w:pPr>
        <w:keepNext/>
        <w:spacing w:before="360" w:after="120"/>
      </w:pPr>
      <w:r>
        <w:rPr>
          <w:rFonts w:ascii="Arial" w:hAnsi="Arial"/>
          <w:b/>
          <w:color w:val="1E3A8A"/>
          <w:sz w:val="32"/>
        </w:rPr>
        <w:t>2. System Architecture &amp; Technical Specifications</w:t>
      </w:r>
    </w:p>
    <w:p>
      <w:r>
        <w:t>The application leverages a single-page architecture (SPA) on the frontend paired with a modular serverless backend. The architecture is designed for zero cold-start bloat, maximum audit traceability, and seamless dual-runtime execution (deployable on Vercel Serverless or on a standalone Node.js environment).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3120"/>
        <w:gridCol w:w="3120"/>
        <w:gridCol w:w="3120"/>
      </w:tblGrid>
      <w:tr>
        <w:tc>
          <w:tcPr>
            <w:tcW w:type="dxa" w:w="2160"/>
            <w:shd w:val="clear" w:color="auto" w:fill="1E3A8A"/>
            <w:tcMar>
              <w:top w:w="140" w:type="dxa"/>
              <w:bottom w:w="140" w:type="dxa"/>
              <w:left w:w="140" w:type="dxa"/>
              <w:right w:w="140" w:type="dxa"/>
            </w:tcMar>
            <w:vAlign w:val="center"/>
          </w:tcPr>
          <w:p>
            <w:pPr>
              <w:spacing w:before="0" w:after="0"/>
            </w:pPr>
            <w:r>
              <w:rPr>
                <w:b/>
                <w:color w:val="FFFFFF"/>
                <w:sz w:val="20"/>
              </w:rPr>
              <w:t>Layer</w:t>
            </w:r>
          </w:p>
        </w:tc>
        <w:tc>
          <w:tcPr>
            <w:tcW w:type="dxa" w:w="3168"/>
            <w:shd w:val="clear" w:color="auto" w:fill="1E3A8A"/>
            <w:tcMar>
              <w:top w:w="140" w:type="dxa"/>
              <w:bottom w:w="140" w:type="dxa"/>
              <w:left w:w="140" w:type="dxa"/>
              <w:right w:w="140" w:type="dxa"/>
            </w:tcMar>
            <w:vAlign w:val="center"/>
          </w:tcPr>
          <w:p>
            <w:pPr>
              <w:spacing w:before="0" w:after="0"/>
            </w:pPr>
            <w:r>
              <w:rPr>
                <w:b/>
                <w:color w:val="FFFFFF"/>
                <w:sz w:val="20"/>
              </w:rPr>
              <w:t>Technology</w:t>
            </w:r>
          </w:p>
        </w:tc>
        <w:tc>
          <w:tcPr>
            <w:tcW w:type="dxa" w:w="4032"/>
            <w:shd w:val="clear" w:color="auto" w:fill="1E3A8A"/>
            <w:tcMar>
              <w:top w:w="140" w:type="dxa"/>
              <w:bottom w:w="140" w:type="dxa"/>
              <w:left w:w="140" w:type="dxa"/>
              <w:right w:w="140" w:type="dxa"/>
            </w:tcMar>
            <w:vAlign w:val="center"/>
          </w:tcPr>
          <w:p>
            <w:pPr>
              <w:spacing w:before="0" w:after="0"/>
            </w:pPr>
            <w:r>
              <w:rPr>
                <w:b/>
                <w:color w:val="FFFFFF"/>
                <w:sz w:val="20"/>
              </w:rPr>
              <w:t>Architectural Role</w:t>
            </w:r>
          </w:p>
        </w:tc>
      </w:tr>
      <w:tr>
        <w:tc>
          <w:tcPr>
            <w:tcW w:type="dxa" w:w="2160"/>
            <w:shd w:val="clear" w:color="auto" w:fill="FFFFFF"/>
            <w:tcMar>
              <w:top w:w="100" w:type="dxa"/>
              <w:bottom w:w="100" w:type="dxa"/>
              <w:left w:w="140" w:type="dxa"/>
              <w:right w:w="140" w:type="dxa"/>
            </w:tcMar>
            <w:vAlign w:val="center"/>
          </w:tcPr>
          <w:p>
            <w:pPr>
              <w:spacing w:before="0" w:after="0" w:line="264" w:lineRule="auto"/>
            </w:pPr>
            <w:r>
              <w:rPr>
                <w:color w:val="334155"/>
                <w:sz w:val="19"/>
              </w:rPr>
              <w:t>Frontend Client</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Vanilla HTML5, CSS3, ES6+ JavaScript</w:t>
            </w:r>
          </w:p>
        </w:tc>
        <w:tc>
          <w:tcPr>
            <w:tcW w:type="dxa" w:w="4032"/>
            <w:shd w:val="clear" w:color="auto" w:fill="FFFFFF"/>
            <w:tcMar>
              <w:top w:w="100" w:type="dxa"/>
              <w:bottom w:w="100" w:type="dxa"/>
              <w:left w:w="140" w:type="dxa"/>
              <w:right w:w="140" w:type="dxa"/>
            </w:tcMar>
            <w:vAlign w:val="center"/>
          </w:tcPr>
          <w:p>
            <w:pPr>
              <w:spacing w:before="0" w:after="0" w:line="264" w:lineRule="auto"/>
            </w:pPr>
            <w:r>
              <w:rPr>
                <w:color w:val="334155"/>
                <w:sz w:val="19"/>
              </w:rPr>
              <w:t>Zero-dependency single-page application shell ensuring instantaneous UI rendering without virtual DOM overhead.</w:t>
            </w:r>
          </w:p>
        </w:tc>
      </w:tr>
      <w:tr>
        <w:tc>
          <w:tcPr>
            <w:tcW w:type="dxa" w:w="2160"/>
            <w:shd w:val="clear" w:color="auto" w:fill="F8FAFC"/>
            <w:tcMar>
              <w:top w:w="100" w:type="dxa"/>
              <w:bottom w:w="100" w:type="dxa"/>
              <w:left w:w="140" w:type="dxa"/>
              <w:right w:w="140" w:type="dxa"/>
            </w:tcMar>
            <w:vAlign w:val="center"/>
          </w:tcPr>
          <w:p>
            <w:pPr>
              <w:spacing w:before="0" w:after="0" w:line="264" w:lineRule="auto"/>
            </w:pPr>
            <w:r>
              <w:rPr>
                <w:color w:val="334155"/>
                <w:sz w:val="19"/>
              </w:rPr>
              <w:t>API Dispatcher</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api/index.js (Vercel Serverless)</w:t>
            </w:r>
          </w:p>
        </w:tc>
        <w:tc>
          <w:tcPr>
            <w:tcW w:type="dxa" w:w="4032"/>
            <w:shd w:val="clear" w:color="auto" w:fill="F8FAFC"/>
            <w:tcMar>
              <w:top w:w="100" w:type="dxa"/>
              <w:bottom w:w="100" w:type="dxa"/>
              <w:left w:w="140" w:type="dxa"/>
              <w:right w:w="140" w:type="dxa"/>
            </w:tcMar>
            <w:vAlign w:val="center"/>
          </w:tcPr>
          <w:p>
            <w:pPr>
              <w:spacing w:before="0" w:after="0" w:line="264" w:lineRule="auto"/>
            </w:pPr>
            <w:r>
              <w:rPr>
                <w:color w:val="334155"/>
                <w:sz w:val="19"/>
              </w:rPr>
              <w:t>Unified reverse router resolving Vercel's Hobby 12-function limit by dispatching all 14 API modules through 1 route.</w:t>
            </w:r>
          </w:p>
        </w:tc>
      </w:tr>
      <w:tr>
        <w:tc>
          <w:tcPr>
            <w:tcW w:type="dxa" w:w="2160"/>
            <w:shd w:val="clear" w:color="auto" w:fill="FFFFFF"/>
            <w:tcMar>
              <w:top w:w="100" w:type="dxa"/>
              <w:bottom w:w="100" w:type="dxa"/>
              <w:left w:w="140" w:type="dxa"/>
              <w:right w:w="140" w:type="dxa"/>
            </w:tcMar>
            <w:vAlign w:val="center"/>
          </w:tcPr>
          <w:p>
            <w:pPr>
              <w:spacing w:before="0" w:after="0" w:line="264" w:lineRule="auto"/>
            </w:pPr>
            <w:r>
              <w:rPr>
                <w:color w:val="334155"/>
                <w:sz w:val="19"/>
              </w:rPr>
              <w:t>Modular Handlers</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api/_routes/*.js (14 Modules)</w:t>
            </w:r>
          </w:p>
        </w:tc>
        <w:tc>
          <w:tcPr>
            <w:tcW w:type="dxa" w:w="4032"/>
            <w:shd w:val="clear" w:color="auto" w:fill="FFFFFF"/>
            <w:tcMar>
              <w:top w:w="100" w:type="dxa"/>
              <w:bottom w:w="100" w:type="dxa"/>
              <w:left w:w="140" w:type="dxa"/>
              <w:right w:w="140" w:type="dxa"/>
            </w:tcMar>
            <w:vAlign w:val="center"/>
          </w:tcPr>
          <w:p>
            <w:pPr>
              <w:spacing w:before="0" w:after="0" w:line="264" w:lineRule="auto"/>
            </w:pPr>
            <w:r>
              <w:rPr>
                <w:color w:val="334155"/>
                <w:sz w:val="19"/>
              </w:rPr>
              <w:t>Pure functional modular handlers for Auth, Tasks, Clients, Users, Attendance, Chat, Automate, Recommend, Drive, and Audit.</w:t>
            </w:r>
          </w:p>
        </w:tc>
      </w:tr>
      <w:tr>
        <w:tc>
          <w:tcPr>
            <w:tcW w:type="dxa" w:w="2160"/>
            <w:shd w:val="clear" w:color="auto" w:fill="F8FAFC"/>
            <w:tcMar>
              <w:top w:w="100" w:type="dxa"/>
              <w:bottom w:w="100" w:type="dxa"/>
              <w:left w:w="140" w:type="dxa"/>
              <w:right w:w="140" w:type="dxa"/>
            </w:tcMar>
            <w:vAlign w:val="center"/>
          </w:tcPr>
          <w:p>
            <w:pPr>
              <w:spacing w:before="0" w:after="0" w:line="264" w:lineRule="auto"/>
            </w:pPr>
            <w:r>
              <w:rPr>
                <w:color w:val="334155"/>
                <w:sz w:val="19"/>
              </w:rPr>
              <w:t>Database Engine</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MongoDB Atlas (Cloud Cluster)</w:t>
            </w:r>
          </w:p>
        </w:tc>
        <w:tc>
          <w:tcPr>
            <w:tcW w:type="dxa" w:w="4032"/>
            <w:shd w:val="clear" w:color="auto" w:fill="F8FAFC"/>
            <w:tcMar>
              <w:top w:w="100" w:type="dxa"/>
              <w:bottom w:w="100" w:type="dxa"/>
              <w:left w:w="140" w:type="dxa"/>
              <w:right w:w="140" w:type="dxa"/>
            </w:tcMar>
            <w:vAlign w:val="center"/>
          </w:tcPr>
          <w:p>
            <w:pPr>
              <w:spacing w:before="0" w:after="0" w:line="264" w:lineRule="auto"/>
            </w:pPr>
            <w:r>
              <w:rPr>
                <w:color w:val="334155"/>
                <w:sz w:val="19"/>
              </w:rPr>
              <w:t>Document-oriented database (ca_office_workflow) providing flexible indexing and atomicity across tasks and clients.</w:t>
            </w:r>
          </w:p>
        </w:tc>
      </w:tr>
      <w:tr>
        <w:tc>
          <w:tcPr>
            <w:tcW w:type="dxa" w:w="2160"/>
            <w:shd w:val="clear" w:color="auto" w:fill="FFFFFF"/>
            <w:tcMar>
              <w:top w:w="100" w:type="dxa"/>
              <w:bottom w:w="100" w:type="dxa"/>
              <w:left w:w="140" w:type="dxa"/>
              <w:right w:w="140" w:type="dxa"/>
            </w:tcMar>
            <w:vAlign w:val="center"/>
          </w:tcPr>
          <w:p>
            <w:pPr>
              <w:spacing w:before="0" w:after="0" w:line="264" w:lineRule="auto"/>
            </w:pPr>
            <w:r>
              <w:rPr>
                <w:color w:val="334155"/>
                <w:sz w:val="19"/>
              </w:rPr>
              <w:t>Biometrics</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face-api.js (TensorFlow.js backend)</w:t>
            </w:r>
          </w:p>
        </w:tc>
        <w:tc>
          <w:tcPr>
            <w:tcW w:type="dxa" w:w="4032"/>
            <w:shd w:val="clear" w:color="auto" w:fill="FFFFFF"/>
            <w:tcMar>
              <w:top w:w="100" w:type="dxa"/>
              <w:bottom w:w="100" w:type="dxa"/>
              <w:left w:w="140" w:type="dxa"/>
              <w:right w:w="140" w:type="dxa"/>
            </w:tcMar>
            <w:vAlign w:val="center"/>
          </w:tcPr>
          <w:p>
            <w:pPr>
              <w:spacing w:before="0" w:after="0" w:line="264" w:lineRule="auto"/>
            </w:pPr>
            <w:r>
              <w:rPr>
                <w:color w:val="334155"/>
                <w:sz w:val="19"/>
              </w:rPr>
              <w:t>Client-side neural network execution extracting 128-dimensional Euclidean facial descriptors in the browser.</w:t>
            </w:r>
          </w:p>
        </w:tc>
      </w:tr>
      <w:tr>
        <w:tc>
          <w:tcPr>
            <w:tcW w:type="dxa" w:w="2160"/>
            <w:shd w:val="clear" w:color="auto" w:fill="F8FAFC"/>
            <w:tcMar>
              <w:top w:w="100" w:type="dxa"/>
              <w:bottom w:w="100" w:type="dxa"/>
              <w:left w:w="140" w:type="dxa"/>
              <w:right w:w="140" w:type="dxa"/>
            </w:tcMar>
            <w:vAlign w:val="center"/>
          </w:tcPr>
          <w:p>
            <w:pPr>
              <w:spacing w:before="0" w:after="0" w:line="264" w:lineRule="auto"/>
            </w:pPr>
            <w:r>
              <w:rPr>
                <w:color w:val="334155"/>
                <w:sz w:val="19"/>
              </w:rPr>
              <w:t>Document Vault</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Google Drive API v3 (googleapis)</w:t>
            </w:r>
          </w:p>
        </w:tc>
        <w:tc>
          <w:tcPr>
            <w:tcW w:type="dxa" w:w="4032"/>
            <w:shd w:val="clear" w:color="auto" w:fill="F8FAFC"/>
            <w:tcMar>
              <w:top w:w="100" w:type="dxa"/>
              <w:bottom w:w="100" w:type="dxa"/>
              <w:left w:w="140" w:type="dxa"/>
              <w:right w:w="140" w:type="dxa"/>
            </w:tcMar>
            <w:vAlign w:val="center"/>
          </w:tcPr>
          <w:p>
            <w:pPr>
              <w:spacing w:before="0" w:after="0" w:line="264" w:lineRule="auto"/>
            </w:pPr>
            <w:r>
              <w:rPr>
                <w:color w:val="334155"/>
                <w:sz w:val="19"/>
              </w:rPr>
              <w:t>Service Account credential-based cloud storage integration managing client audit files and workpapers.</w:t>
            </w:r>
          </w:p>
        </w:tc>
      </w:tr>
    </w:tbl>
    <w:p>
      <w:pPr>
        <w:spacing w:before="0" w:after="120"/>
      </w:pPr>
    </w:p>
    <w:p>
      <w:pPr>
        <w:keepNext/>
        <w:spacing w:before="280" w:after="80"/>
      </w:pPr>
      <w:r>
        <w:rPr>
          <w:rFonts w:ascii="Arial" w:hAnsi="Arial"/>
          <w:b/>
          <w:color w:val="2563EB"/>
          <w:sz w:val="26"/>
        </w:rPr>
        <w:t>Unified Serverless Dispatcher Architecture</w:t>
      </w:r>
    </w:p>
    <w:p>
      <w:r>
        <w:t>Under Vercel's Hobby tier, deployments are capped at a strict maximum of 12 serverless functions. A typical multi-file layout in /api/ would produce 14+ independent serverless functions, triggering instant deployment rejection. To eliminate this limitation without sacrificing code modularity, the system uses an elegant internal dispatcher pattern:</w:t>
      </w:r>
    </w:p>
    <w:p>
      <w:pPr>
        <w:pStyle w:val="ListBullet"/>
        <w:spacing w:before="40" w:after="60" w:line="276" w:lineRule="auto"/>
      </w:pPr>
      <w:r>
        <w:rPr>
          <w:b/>
          <w:color w:val="334155"/>
        </w:rPr>
        <w:t xml:space="preserve">Dispatcher Entrypoint (api/index.js): </w:t>
      </w:r>
      <w:r>
        <w:rPr>
          <w:color w:val="334155"/>
        </w:rPr>
        <w:t>Acts as the single exported Vercel serverless function, extracting the target sub-route from query parameters or URL pathnames.</w:t>
      </w:r>
    </w:p>
    <w:p>
      <w:pPr>
        <w:pStyle w:val="ListBullet"/>
        <w:spacing w:before="40" w:after="60" w:line="276" w:lineRule="auto"/>
      </w:pPr>
      <w:r>
        <w:rPr>
          <w:b/>
          <w:color w:val="334155"/>
        </w:rPr>
        <w:t xml:space="preserve">Route Directory (api/_routes/): </w:t>
      </w:r>
      <w:r>
        <w:rPr>
          <w:color w:val="334155"/>
        </w:rPr>
        <w:t>Preceded by an underscore, preventing Vercel from compiling individual handler files into separate serverless functions.</w:t>
      </w:r>
    </w:p>
    <w:p>
      <w:pPr>
        <w:pStyle w:val="ListBullet"/>
        <w:spacing w:before="40" w:after="60" w:line="276" w:lineRule="auto"/>
      </w:pPr>
      <w:r>
        <w:rPr>
          <w:b/>
          <w:color w:val="334155"/>
        </w:rPr>
        <w:t xml:space="preserve">Relative Import Integrity: </w:t>
      </w:r>
      <w:r>
        <w:rPr>
          <w:color w:val="334155"/>
        </w:rPr>
        <w:t>Keeping utilities (db.js, auth.js) in api/_routes/ preserves fast local require('./db') resolution across all handler files.</w:t>
      </w:r>
    </w:p>
    <w:p>
      <w:pPr>
        <w:pStyle w:val="ListBullet"/>
        <w:spacing w:before="40" w:after="60" w:line="276" w:lineRule="auto"/>
      </w:pPr>
      <w:r>
        <w:rPr>
          <w:b/>
          <w:color w:val="334155"/>
        </w:rPr>
        <w:t xml:space="preserve">Dual-Runtime Compatibility: </w:t>
      </w:r>
      <w:r>
        <w:rPr>
          <w:color w:val="334155"/>
        </w:rPr>
        <w:t>The local server (server.js) mirrors this dispatcher logic, allowing identical execution in local development (http://localhost:3000) and production.</w:t>
      </w:r>
    </w:p>
    <w:p>
      <w:pPr>
        <w:keepNext/>
        <w:spacing w:before="360" w:after="120"/>
      </w:pPr>
      <w:r>
        <w:rPr>
          <w:rFonts w:ascii="Arial" w:hAnsi="Arial"/>
          <w:b/>
          <w:color w:val="1E3A8A"/>
          <w:sz w:val="32"/>
        </w:rPr>
        <w:t>3. Comprehensive Functional Module Breakdown</w:t>
      </w:r>
    </w:p>
    <w:p>
      <w:pPr>
        <w:keepNext/>
        <w:spacing w:before="280" w:after="80"/>
      </w:pPr>
      <w:r>
        <w:rPr>
          <w:rFonts w:ascii="Arial" w:hAnsi="Arial"/>
          <w:b/>
          <w:color w:val="2563EB"/>
          <w:sz w:val="26"/>
        </w:rPr>
        <w:t>3.1 Inward Task Ledger &amp; Lifecycle Workflow</w:t>
      </w:r>
    </w:p>
    <w:p>
      <w:r>
        <w:t>The task engine (api/_routes/tasks.js) provides complete lifecycle tracking for all client engagements. A critical enhancement is the distinct separation between Task IDs and Client IDs:</w:t>
      </w:r>
    </w:p>
    <w:p>
      <w:pPr>
        <w:pStyle w:val="ListBullet"/>
        <w:spacing w:before="40" w:after="60" w:line="276" w:lineRule="auto"/>
      </w:pPr>
      <w:r>
        <w:rPr>
          <w:b/>
          <w:color w:val="334155"/>
        </w:rPr>
        <w:t xml:space="preserve">Dedicated Sequential Task IDs (#10001+): </w:t>
      </w:r>
      <w:r>
        <w:rPr>
          <w:color w:val="334155"/>
        </w:rPr>
        <w:t>Every newly created task receives a permanent, auto-incrementing 5-digit integer ID. Legacy tasks with missing or timestamp-based IDs are auto-healed in MongoDB.</w:t>
      </w:r>
    </w:p>
    <w:p>
      <w:pPr>
        <w:pStyle w:val="ListBullet"/>
        <w:spacing w:before="40" w:after="60" w:line="276" w:lineRule="auto"/>
      </w:pPr>
      <w:r>
        <w:rPr>
          <w:b/>
          <w:color w:val="334155"/>
        </w:rPr>
        <w:t xml:space="preserve">Independent Client Codes (#1001+): </w:t>
      </w:r>
      <w:r>
        <w:rPr>
          <w:color w:val="334155"/>
        </w:rPr>
        <w:t>Client identification codes remain strictly distinct, preventing duplicate cross-referencing confusion across the ledger, exports, and chat.</w:t>
      </w:r>
    </w:p>
    <w:p>
      <w:pPr>
        <w:pStyle w:val="ListBullet"/>
        <w:spacing w:before="40" w:after="60" w:line="276" w:lineRule="auto"/>
      </w:pPr>
      <w:r>
        <w:rPr>
          <w:b/>
          <w:color w:val="334155"/>
        </w:rPr>
        <w:t xml:space="preserve">Status Pipeline Stages: </w:t>
      </w:r>
      <w:r>
        <w:rPr>
          <w:color w:val="334155"/>
        </w:rPr>
        <w:t>Tasks progress strictly through: Unassigned -&gt; Assigned -&gt; Pending Review -&gt; Approved -&gt; Filed. When partners reject work, tasks transition to Rework with incremented sendBackCount.</w:t>
      </w:r>
    </w:p>
    <w:p>
      <w:pPr>
        <w:pStyle w:val="ListBullet"/>
        <w:spacing w:before="40" w:after="60" w:line="276" w:lineRule="auto"/>
      </w:pPr>
      <w:r>
        <w:rPr>
          <w:b/>
          <w:color w:val="334155"/>
        </w:rPr>
        <w:t xml:space="preserve">Duplicate Protection Engine: </w:t>
      </w:r>
      <w:r>
        <w:rPr>
          <w:color w:val="334155"/>
        </w:rPr>
        <w:t>The API blocks inward registration if an active (non-Filed) task already exists for the identical client, work nature, and assessment year.</w:t>
      </w:r>
    </w:p>
    <w:p>
      <w:pPr>
        <w:pStyle w:val="ListBullet"/>
        <w:spacing w:before="40" w:after="60" w:line="276" w:lineRule="auto"/>
      </w:pPr>
      <w:r>
        <w:rPr>
          <w:b/>
          <w:color w:val="334155"/>
        </w:rPr>
        <w:t xml:space="preserve">Performance &amp; Rework Leaderboard: </w:t>
      </w:r>
      <w:r>
        <w:rPr>
          <w:color w:val="334155"/>
        </w:rPr>
        <w:t>The ?mode=stats analytics endpoint tracks completions and clean closures versus reworks across staff members, fostering accountability.</w:t>
      </w:r>
    </w:p>
    <w:p>
      <w:pPr>
        <w:keepNext/>
        <w:spacing w:before="280" w:after="80"/>
      </w:pPr>
      <w:r>
        <w:rPr>
          <w:rFonts w:ascii="Arial" w:hAnsi="Arial"/>
          <w:b/>
          <w:color w:val="2563EB"/>
          <w:sz w:val="26"/>
        </w:rPr>
        <w:t>3.2 Client Master Directory &amp; Statutory Registry</w:t>
      </w:r>
    </w:p>
    <w:p>
      <w:r>
        <w:t>The client ledger (api/_routes/clients.js) centralizes all legal, statutory, and operational metadata required for Indian corporate and personal tax compliance:</w:t>
      </w:r>
    </w:p>
    <w:p>
      <w:pPr>
        <w:pStyle w:val="ListBullet"/>
        <w:spacing w:before="40" w:after="60" w:line="276" w:lineRule="auto"/>
      </w:pPr>
      <w:r>
        <w:rPr>
          <w:b/>
          <w:color w:val="334155"/>
        </w:rPr>
        <w:t xml:space="preserve">Indian Statutory Parameters: </w:t>
      </w:r>
      <w:r>
        <w:rPr>
          <w:color w:val="334155"/>
        </w:rPr>
        <w:t>Validates and indexes Permanent Account Numbers (PAN), 12-digit Aadhaar, and 15-digit Goods &amp; Services Tax Identification Numbers (GSTIN).</w:t>
      </w:r>
    </w:p>
    <w:p>
      <w:pPr>
        <w:pStyle w:val="ListBullet"/>
        <w:spacing w:before="40" w:after="60" w:line="276" w:lineRule="auto"/>
      </w:pPr>
      <w:r>
        <w:rPr>
          <w:b/>
          <w:color w:val="334155"/>
        </w:rPr>
        <w:t xml:space="preserve">ITR &amp; Portal Credential Vault: </w:t>
      </w:r>
      <w:r>
        <w:rPr>
          <w:color w:val="334155"/>
        </w:rPr>
        <w:t>Stores client assessment credentials, including ITR-V/Intimation acknowledgment passwords and Tax Audit case classification.</w:t>
      </w:r>
    </w:p>
    <w:p>
      <w:pPr>
        <w:pStyle w:val="ListBullet"/>
        <w:spacing w:before="40" w:after="60" w:line="276" w:lineRule="auto"/>
      </w:pPr>
      <w:r>
        <w:rPr>
          <w:b/>
          <w:color w:val="334155"/>
        </w:rPr>
        <w:t xml:space="preserve">GST Profile Mapping: </w:t>
      </w:r>
      <w:r>
        <w:rPr>
          <w:color w:val="334155"/>
        </w:rPr>
        <w:t>Maintains composition scheme classification (Normal vs CMP), GST portal login usernames, and assigned in-house GST handling staff.</w:t>
      </w:r>
    </w:p>
    <w:p>
      <w:pPr>
        <w:pStyle w:val="ListBullet"/>
        <w:spacing w:before="40" w:after="60" w:line="276" w:lineRule="auto"/>
      </w:pPr>
      <w:r>
        <w:rPr>
          <w:b/>
          <w:color w:val="334155"/>
        </w:rPr>
        <w:t xml:space="preserve">Server-Side Regex Search &amp; Pagination: </w:t>
      </w:r>
      <w:r>
        <w:rPr>
          <w:color w:val="334155"/>
        </w:rPr>
        <w:t>Allows fast substring filtering across client names, PANs, phone numbers, and GSTINs with bounded page chunks.</w:t>
      </w:r>
    </w:p>
    <w:p>
      <w:pPr>
        <w:keepNext/>
        <w:spacing w:before="280" w:after="80"/>
      </w:pPr>
      <w:r>
        <w:rPr>
          <w:rFonts w:ascii="Arial" w:hAnsi="Arial"/>
          <w:b/>
          <w:color w:val="2563EB"/>
          <w:sz w:val="26"/>
        </w:rPr>
        <w:t>3.3 Conversational AI Workflow Assistant (api/_routes/chat.js)</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Borders>
              <w:left w:val="single" w:sz="24" w:color="2563EB"/>
              <w:top w:val="none"/>
              <w:bottom w:val="none"/>
              <w:right w:val="none"/>
            </w:tcBorders>
          </w:tcPr>
          <w:p>
            <w:pPr>
              <w:spacing w:before="0" w:after="0" w:line="276" w:lineRule="auto"/>
            </w:pPr>
            <w:r>
              <w:rPr>
                <w:b/>
                <w:color w:val="1E3A8A"/>
              </w:rPr>
              <w:t xml:space="preserve">Architecture Verification: </w:t>
            </w:r>
            <w:r>
              <w:rPr>
                <w:color w:val="334155"/>
                <w:sz w:val="20"/>
              </w:rPr>
              <w:t>The AI Chatbot is built as a stateful, dual-mode natural language engine that enables partners and staff to perform full office operations through conversational English. It combines deterministic pattern recognition, fuzzy entity resolution, and optional generative LLM fallbacks (Google Gemini 2.0 Flash / OpenAI GPT-4o-mini).</w:t>
            </w:r>
          </w:p>
        </w:tc>
      </w:tr>
    </w:tbl>
    <w:p>
      <w:pPr>
        <w:spacing w:before="0" w:after="80"/>
      </w:pPr>
    </w:p>
    <w:p>
      <w:r>
        <w:t>Unlike generic LLM wrappers, the in-house chatbot directly interacts with MongoDB Atlas collections (tasks, clients, users, attendance) and maintains conversation context objects to guide multi-turn dialogs. It supports comprehensive CRUD operations across the system:</w:t>
      </w:r>
    </w:p>
    <w:p>
      <w:pPr>
        <w:keepNext/>
        <w:spacing w:before="200" w:after="40"/>
      </w:pPr>
      <w:r>
        <w:rPr>
          <w:rFonts w:ascii="Arial" w:hAnsi="Arial"/>
          <w:b/>
          <w:color w:val="334155"/>
          <w:sz w:val="22"/>
        </w:rPr>
        <w:t>A. Conversational Multi-Turn Slot Filling (State Machine)</w:t>
      </w:r>
    </w:p>
    <w:p>
      <w:r>
        <w:t>When user intent is detected without all mandatory arguments, the engine stores an activeContext session state and prompts the user step-by-step rather than failing:</w:t>
      </w:r>
    </w:p>
    <w:p>
      <w:pPr>
        <w:pStyle w:val="ListBullet"/>
        <w:spacing w:before="40" w:after="60" w:line="276" w:lineRule="auto"/>
      </w:pPr>
      <w:r>
        <w:rPr>
          <w:b/>
          <w:color w:val="334155"/>
        </w:rPr>
        <w:t xml:space="preserve">Multi-Turn Task Creation: </w:t>
      </w:r>
      <w:r>
        <w:rPr>
          <w:color w:val="334155"/>
        </w:rPr>
        <w:t>AWAITING_CLIENT -&gt; AWAITING_NATURE -&gt; AWAITING_DUE_DATE -&gt; AWAITING_OPERATOR. The user can create tasks conversationally without using complex form modals.</w:t>
      </w:r>
    </w:p>
    <w:p>
      <w:pPr>
        <w:pStyle w:val="ListBullet"/>
        <w:spacing w:before="40" w:after="60" w:line="276" w:lineRule="auto"/>
      </w:pPr>
      <w:r>
        <w:rPr>
          <w:b/>
          <w:color w:val="334155"/>
        </w:rPr>
        <w:t xml:space="preserve">Multi-Turn Task Modification: </w:t>
      </w:r>
      <w:r>
        <w:rPr>
          <w:color w:val="334155"/>
        </w:rPr>
        <w:t>AWAITING_TASK_SELECTION -&gt; AWAITING_UPDATE_DETAILS. Users can specify a task by ID (#10001) or company name ('task for Acme Corp'), then adjust due dates, reassign operators, or update statuses.</w:t>
      </w:r>
    </w:p>
    <w:p>
      <w:pPr>
        <w:pStyle w:val="ListBullet"/>
        <w:spacing w:before="40" w:after="60" w:line="276" w:lineRule="auto"/>
      </w:pPr>
      <w:r>
        <w:rPr>
          <w:b/>
          <w:color w:val="334155"/>
        </w:rPr>
        <w:t xml:space="preserve">Multi-Turn Task Deletion: </w:t>
      </w:r>
      <w:r>
        <w:rPr>
          <w:color w:val="334155"/>
        </w:rPr>
        <w:t>AWAITING_TASK_SELECTION -&gt; AWAITING_CONFIRMATION. Prompts for explicit confirmation ('yes'/'confirm') before permanently deleting a record from MongoDB.</w:t>
      </w:r>
    </w:p>
    <w:p>
      <w:pPr>
        <w:keepNext/>
        <w:spacing w:before="200" w:after="40"/>
      </w:pPr>
      <w:r>
        <w:rPr>
          <w:rFonts w:ascii="Arial" w:hAnsi="Arial"/>
          <w:b/>
          <w:color w:val="334155"/>
          <w:sz w:val="22"/>
        </w:rPr>
        <w:t>B. Entity Resolution &amp; Typo-Tolerant Fuzzy Matching</w:t>
      </w:r>
    </w:p>
    <w:p>
      <w:r>
        <w:t>The chatbot implements an internal heuristic resolver combining Levenshtein distance calculation and character anagram sorting. For example, typing 'amce corp' correctly maps to 'Acme Corp' by evaluating character distributions and token distance against the live client database. Numerical queries intelligently prioritize Task IDs (#10001) while retaining fallback resolution for Client Codes (#1023).</w:t>
      </w:r>
    </w:p>
    <w:p>
      <w:pPr>
        <w:keepNext/>
        <w:spacing w:before="200" w:after="40"/>
      </w:pPr>
      <w:r>
        <w:rPr>
          <w:rFonts w:ascii="Arial" w:hAnsi="Arial"/>
          <w:b/>
          <w:color w:val="334155"/>
          <w:sz w:val="22"/>
        </w:rPr>
        <w:t>C. Scope of Operations (CRUD Capabilities)</w:t>
      </w:r>
    </w:p>
    <w:p>
      <w:pPr>
        <w:pStyle w:val="ListBullet"/>
        <w:spacing w:before="40" w:after="60" w:line="276" w:lineRule="auto"/>
      </w:pPr>
      <w:r>
        <w:rPr>
          <w:b/>
          <w:color w:val="334155"/>
        </w:rPr>
        <w:t xml:space="preserve">Tasks CRUD: </w:t>
      </w:r>
      <w:r>
        <w:rPr>
          <w:color w:val="334155"/>
        </w:rPr>
        <w:t>Create task, search/filter ledger ('list pending tasks'), edit due date/operator, advance review stage, send back for rework, and delete task.</w:t>
      </w:r>
    </w:p>
    <w:p>
      <w:pPr>
        <w:pStyle w:val="ListBullet"/>
        <w:spacing w:before="40" w:after="60" w:line="276" w:lineRule="auto"/>
      </w:pPr>
      <w:r>
        <w:rPr>
          <w:b/>
          <w:color w:val="334155"/>
        </w:rPr>
        <w:t xml:space="preserve">Clients CRUD: </w:t>
      </w:r>
      <w:r>
        <w:rPr>
          <w:color w:val="334155"/>
        </w:rPr>
        <w:t>Register new client with PAN/GSTIN, search client directory, update profile phone/email, and delete client profiles.</w:t>
      </w:r>
    </w:p>
    <w:p>
      <w:pPr>
        <w:pStyle w:val="ListBullet"/>
        <w:spacing w:before="40" w:after="60" w:line="276" w:lineRule="auto"/>
      </w:pPr>
      <w:r>
        <w:rPr>
          <w:b/>
          <w:color w:val="334155"/>
        </w:rPr>
        <w:t xml:space="preserve">Staff Recommendations: </w:t>
      </w:r>
      <w:r>
        <w:rPr>
          <w:color w:val="334155"/>
        </w:rPr>
        <w:t>Trigger algorithmic top-3 or top-5 staff evaluation for any inward task based on queue load and live attendance.</w:t>
      </w:r>
    </w:p>
    <w:p>
      <w:pPr>
        <w:pStyle w:val="ListBullet"/>
        <w:spacing w:before="40" w:after="60" w:line="276" w:lineRule="auto"/>
      </w:pPr>
      <w:r>
        <w:rPr>
          <w:b/>
          <w:color w:val="334155"/>
        </w:rPr>
        <w:t xml:space="preserve">Attendance &amp; Inquiries: </w:t>
      </w:r>
      <w:r>
        <w:rPr>
          <w:color w:val="334155"/>
        </w:rPr>
        <w:t>Real-time query of who is present/absent today and logging On Duty (OD) statuses. IMPORTANT: Daily Clock-In and Clock-Out actions are intentionally restricted in chat and redirected to the official Attendance tab camera scanner for physical biometric verification.</w:t>
      </w:r>
    </w:p>
    <w:p>
      <w:pPr>
        <w:pStyle w:val="ListBullet"/>
        <w:spacing w:before="40" w:after="60" w:line="276" w:lineRule="auto"/>
      </w:pPr>
      <w:r>
        <w:rPr>
          <w:b/>
          <w:color w:val="334155"/>
        </w:rPr>
        <w:t xml:space="preserve">Analytics &amp; Automations: </w:t>
      </w:r>
      <w:r>
        <w:rPr>
          <w:color w:val="334155"/>
        </w:rPr>
        <w:t>View live office leaderboard, filing statistics, or trigger 1-click batch GST compliance task generation.</w:t>
      </w:r>
    </w:p>
    <w:p>
      <w:pPr>
        <w:pStyle w:val="ListBullet"/>
        <w:spacing w:before="40" w:after="60" w:line="276" w:lineRule="auto"/>
      </w:pPr>
      <w:r>
        <w:rPr>
          <w:b/>
          <w:color w:val="334155"/>
        </w:rPr>
        <w:t xml:space="preserve">Interactive UI Action Chips: </w:t>
      </w:r>
      <w:r>
        <w:rPr>
          <w:color w:val="334155"/>
        </w:rPr>
        <w:t>Every bot reply returns dynamic action pills ('Advance to Pending Review', 'Assign to @rahul', 'View All Tasks') allowing instant one-click execution.</w:t>
      </w:r>
    </w:p>
    <w:p>
      <w:pPr>
        <w:keepNext/>
        <w:spacing w:before="280" w:after="80"/>
      </w:pPr>
      <w:r>
        <w:rPr>
          <w:rFonts w:ascii="Arial" w:hAnsi="Arial"/>
          <w:b/>
          <w:color w:val="2563EB"/>
          <w:sz w:val="26"/>
        </w:rPr>
        <w:t>3.4 Automated Compliance Pipeline (api/_routes/automate.js)</w:t>
      </w:r>
    </w:p>
    <w:p>
      <w:r>
        <w:t>To eliminate the administrative overhead of manually creating dozens of monthly compliance tasks, the automated compliance engine executes recurring batch pipelines:</w:t>
      </w:r>
    </w:p>
    <w:p>
      <w:pPr>
        <w:pStyle w:val="ListBullet"/>
        <w:spacing w:before="40" w:after="60" w:line="276" w:lineRule="auto"/>
      </w:pPr>
      <w:r>
        <w:rPr>
          <w:b/>
          <w:color w:val="334155"/>
        </w:rPr>
        <w:t xml:space="preserve">GST Filing Frequency Rules: </w:t>
      </w:r>
      <w:r>
        <w:rPr>
          <w:color w:val="334155"/>
        </w:rPr>
        <w:t>Detects regular GST clients and auto-schedules GSTR 1 (assigned 1st, due 11th) and GSTR 3B (assigned 14th, due 20th). For Composition scheme clients, it schedules GSTR 4 (annual due June 30) and CMP 8 (quarterly due 18th).</w:t>
      </w:r>
    </w:p>
    <w:p>
      <w:pPr>
        <w:pStyle w:val="ListBullet"/>
        <w:spacing w:before="40" w:after="60" w:line="276" w:lineRule="auto"/>
      </w:pPr>
      <w:r>
        <w:rPr>
          <w:b/>
          <w:color w:val="334155"/>
        </w:rPr>
        <w:t xml:space="preserve">Two-Phase Dispatch Cycle: </w:t>
      </w:r>
      <w:r>
        <w:rPr>
          <w:color w:val="334155"/>
        </w:rPr>
        <w:t>Phase 1 (preview) computes pending filings and recommends staff assignments; Phase 2 (dispatch) executes bulk database insertion with unique sequential Task IDs in a single atomic transaction.</w:t>
      </w:r>
    </w:p>
    <w:p>
      <w:pPr>
        <w:pStyle w:val="ListBullet"/>
        <w:spacing w:before="40" w:after="60" w:line="276" w:lineRule="auto"/>
      </w:pPr>
      <w:r>
        <w:rPr>
          <w:b/>
          <w:color w:val="334155"/>
        </w:rPr>
        <w:t xml:space="preserve">Intelligent Load Balancing: </w:t>
      </w:r>
      <w:r>
        <w:rPr>
          <w:color w:val="334155"/>
        </w:rPr>
        <w:t>If a client does not have a designated GST staff member, the engine analyzes past filing history or assigns the operator with the lowest active queue count.</w:t>
      </w:r>
    </w:p>
    <w:p>
      <w:pPr>
        <w:keepNext/>
        <w:spacing w:before="280" w:after="80"/>
      </w:pPr>
      <w:r>
        <w:rPr>
          <w:rFonts w:ascii="Arial" w:hAnsi="Arial"/>
          <w:b/>
          <w:color w:val="2563EB"/>
          <w:sz w:val="26"/>
        </w:rPr>
        <w:t>3.5 Staff Matching &amp; Workload Balancing Algorithm (api/_routes/recommend.js)</w:t>
      </w:r>
    </w:p>
    <w:p>
      <w:r>
        <w:t>The recommendation algorithm computes a weighted suitability score (0% to 100%) for every eligible employee when assigning or reassigning inward work:</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40" w:type="dxa"/>
              <w:bottom w:w="140" w:type="dxa"/>
              <w:left w:w="180" w:type="dxa"/>
              <w:right w:w="180" w:type="dxa"/>
            </w:tcMar>
            <w:tcBorders>
              <w:left w:val="single" w:sz="24" w:color="2563EB"/>
              <w:top w:val="none"/>
              <w:bottom w:val="none"/>
              <w:right w:val="none"/>
            </w:tcBorders>
          </w:tcPr>
          <w:p>
            <w:pPr>
              <w:spacing w:before="0" w:after="0" w:line="276" w:lineRule="auto"/>
            </w:pPr>
            <w:r>
              <w:rPr>
                <w:b/>
                <w:color w:val="1E3A8A"/>
              </w:rPr>
              <w:t xml:space="preserve">Algorithm Mathematical Formulation: </w:t>
            </w:r>
            <w:r>
              <w:rPr>
                <w:color w:val="334155"/>
                <w:sz w:val="20"/>
              </w:rPr>
              <w:t>Match Score = Past Client Handling (40%) + Active Queue Balancing (35%) + Live Attendance Status (25%)</w:t>
              <w:br/>
              <w:t>• Past Experience: +40 points if the staff member previously closed filed tasks for this specific client.</w:t>
              <w:br/>
              <w:t>• Queue Balancing: +35 points if the operator has zero active tasks, scaling down inversely with queue size.</w:t>
              <w:br/>
              <w:t>• Attendance Reality: +25 points if the staff member is marked Present today; -20 point penalty if Absent.</w:t>
            </w:r>
          </w:p>
        </w:tc>
      </w:tr>
    </w:tbl>
    <w:p>
      <w:pPr>
        <w:spacing w:before="0" w:after="80"/>
      </w:pPr>
    </w:p>
    <w:p>
      <w:pPr>
        <w:keepNext/>
        <w:spacing w:before="280" w:after="80"/>
      </w:pPr>
      <w:r>
        <w:rPr>
          <w:rFonts w:ascii="Arial" w:hAnsi="Arial"/>
          <w:b/>
          <w:color w:val="2563EB"/>
          <w:sz w:val="26"/>
        </w:rPr>
        <w:t>3.6 Facial Biometric Attendance System (biometrics.js &amp; attendance.js)</w:t>
      </w:r>
    </w:p>
    <w:p>
      <w:r>
        <w:t>To enforce authentic on-premise attendance, the application incorporates client-side computer vision powered by face-api.js (TensorFlow.js) alongside server-side logging:</w:t>
      </w:r>
    </w:p>
    <w:p>
      <w:pPr>
        <w:pStyle w:val="ListBullet"/>
        <w:spacing w:before="40" w:after="60" w:line="276" w:lineRule="auto"/>
      </w:pPr>
      <w:r>
        <w:rPr>
          <w:b/>
          <w:color w:val="334155"/>
        </w:rPr>
        <w:t xml:space="preserve">Neural Network Models (models/): </w:t>
      </w:r>
      <w:r>
        <w:rPr>
          <w:color w:val="334155"/>
        </w:rPr>
        <w:t>Uses Tiny Face Detector (lightweight web detector), Face Landmark 68 (facial geometry mapping), and Face Recognition Net (extracts 128-dimensional Euclidean vector descriptors).</w:t>
      </w:r>
    </w:p>
    <w:p>
      <w:pPr>
        <w:pStyle w:val="ListBullet"/>
        <w:spacing w:before="40" w:after="60" w:line="276" w:lineRule="auto"/>
      </w:pPr>
      <w:r>
        <w:rPr>
          <w:b/>
          <w:color w:val="334155"/>
        </w:rPr>
        <w:t xml:space="preserve">Zero-Credential Face Clock-In: </w:t>
      </w:r>
      <w:r>
        <w:rPr>
          <w:color w:val="334155"/>
        </w:rPr>
        <w:t>Employees face their device camera; the system computes live Euclidean distances against stored descriptors in MongoDB. A distance threshold &lt; 0.5 achieves positive identity verification.</w:t>
      </w:r>
    </w:p>
    <w:p>
      <w:pPr>
        <w:pStyle w:val="ListBullet"/>
        <w:spacing w:before="40" w:after="60" w:line="276" w:lineRule="auto"/>
      </w:pPr>
      <w:r>
        <w:rPr>
          <w:b/>
          <w:color w:val="334155"/>
        </w:rPr>
        <w:t xml:space="preserve">Audit &amp; Liveness Record: </w:t>
      </w:r>
      <w:r>
        <w:rPr>
          <w:color w:val="334155"/>
        </w:rPr>
        <w:t>Logs exact timestamps, geolocation coordinates (when permitted), clock-out duration, and support for partner-authorized On Duty (OD) exceptions.</w:t>
      </w:r>
    </w:p>
    <w:p>
      <w:pPr>
        <w:keepNext/>
        <w:spacing w:before="280" w:after="80"/>
      </w:pPr>
      <w:r>
        <w:rPr>
          <w:rFonts w:ascii="Arial" w:hAnsi="Arial"/>
          <w:b/>
          <w:color w:val="2563EB"/>
          <w:sz w:val="26"/>
        </w:rPr>
        <w:t>3.7 Google Drive Document Vault Integration (api/_routes/drive.js)</w:t>
      </w:r>
    </w:p>
    <w:p>
      <w:r>
        <w:t>The document management module establishes direct server-to-server communication with Google Drive via Google Cloud Service Account credentials:</w:t>
      </w:r>
    </w:p>
    <w:p>
      <w:pPr>
        <w:pStyle w:val="ListBullet"/>
        <w:spacing w:before="40" w:after="60" w:line="276" w:lineRule="auto"/>
      </w:pPr>
      <w:r>
        <w:rPr>
          <w:b/>
          <w:color w:val="334155"/>
        </w:rPr>
        <w:t xml:space="preserve">Scoped Storage Vault: </w:t>
      </w:r>
      <w:r>
        <w:rPr>
          <w:color w:val="334155"/>
        </w:rPr>
        <w:t>Restricts file operations to a configured Root Folder ID to safeguard external company drives.</w:t>
      </w:r>
    </w:p>
    <w:p>
      <w:pPr>
        <w:pStyle w:val="ListBullet"/>
        <w:spacing w:before="40" w:after="60" w:line="276" w:lineRule="auto"/>
      </w:pPr>
      <w:r>
        <w:rPr>
          <w:b/>
          <w:color w:val="334155"/>
        </w:rPr>
        <w:t xml:space="preserve">Instant File Browsing: </w:t>
      </w:r>
      <w:r>
        <w:rPr>
          <w:color w:val="334155"/>
        </w:rPr>
        <w:t>Allows partners to search, view modified dates, and open direct Drive links for client tax workpapers.</w:t>
      </w:r>
    </w:p>
    <w:p>
      <w:pPr>
        <w:pStyle w:val="ListBullet"/>
        <w:spacing w:before="40" w:after="60" w:line="276" w:lineRule="auto"/>
      </w:pPr>
      <w:r>
        <w:rPr>
          <w:b/>
          <w:color w:val="334155"/>
        </w:rPr>
        <w:t xml:space="preserve">Base64 In-Memory Upload: </w:t>
      </w:r>
      <w:r>
        <w:rPr>
          <w:color w:val="334155"/>
        </w:rPr>
        <w:t>Accepts client documents in browser, encodes via base64, and streams directly to Google Drive API v3 without storing temporary files on the Vercel serverless container.</w:t>
      </w:r>
    </w:p>
    <w:p>
      <w:pPr>
        <w:keepNext/>
        <w:spacing w:before="280" w:after="80"/>
      </w:pPr>
      <w:r>
        <w:rPr>
          <w:rFonts w:ascii="Arial" w:hAnsi="Arial"/>
          <w:b/>
          <w:color w:val="2563EB"/>
          <w:sz w:val="26"/>
        </w:rPr>
        <w:t>3.8 Security, RBAC &amp; Audit Trails (api/_routes/auth.js &amp; audit.js)</w:t>
      </w:r>
    </w:p>
    <w:p>
      <w:r>
        <w:t>The application implements strict Role-Based Access Control (RBAC) across three distinct organizational tiers: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3120"/>
        <w:gridCol w:w="3120"/>
        <w:gridCol w:w="3120"/>
      </w:tblGrid>
      <w:tr>
        <w:tc>
          <w:tcPr>
            <w:tcW w:type="dxa" w:w="2304"/>
            <w:shd w:val="clear" w:color="auto" w:fill="1E3A8A"/>
            <w:tcMar>
              <w:top w:w="140" w:type="dxa"/>
              <w:bottom w:w="140" w:type="dxa"/>
              <w:left w:w="140" w:type="dxa"/>
              <w:right w:w="140" w:type="dxa"/>
            </w:tcMar>
            <w:vAlign w:val="center"/>
          </w:tcPr>
          <w:p>
            <w:pPr>
              <w:spacing w:before="0" w:after="0"/>
            </w:pPr>
            <w:r>
              <w:rPr>
                <w:b/>
                <w:color w:val="FFFFFF"/>
                <w:sz w:val="20"/>
              </w:rPr>
              <w:t>Role</w:t>
            </w:r>
          </w:p>
        </w:tc>
        <w:tc>
          <w:tcPr>
            <w:tcW w:type="dxa" w:w="3888"/>
            <w:shd w:val="clear" w:color="auto" w:fill="1E3A8A"/>
            <w:tcMar>
              <w:top w:w="140" w:type="dxa"/>
              <w:bottom w:w="140" w:type="dxa"/>
              <w:left w:w="140" w:type="dxa"/>
              <w:right w:w="140" w:type="dxa"/>
            </w:tcMar>
            <w:vAlign w:val="center"/>
          </w:tcPr>
          <w:p>
            <w:pPr>
              <w:spacing w:before="0" w:after="0"/>
            </w:pPr>
            <w:r>
              <w:rPr>
                <w:b/>
                <w:color w:val="FFFFFF"/>
                <w:sz w:val="20"/>
              </w:rPr>
              <w:t>Permission Scope</w:t>
            </w:r>
          </w:p>
        </w:tc>
        <w:tc>
          <w:tcPr>
            <w:tcW w:type="dxa" w:w="3168"/>
            <w:shd w:val="clear" w:color="auto" w:fill="1E3A8A"/>
            <w:tcMar>
              <w:top w:w="140" w:type="dxa"/>
              <w:bottom w:w="140" w:type="dxa"/>
              <w:left w:w="140" w:type="dxa"/>
              <w:right w:w="140" w:type="dxa"/>
            </w:tcMar>
            <w:vAlign w:val="center"/>
          </w:tcPr>
          <w:p>
            <w:pPr>
              <w:spacing w:before="0" w:after="0"/>
            </w:pPr>
            <w:r>
              <w:rPr>
                <w:b/>
                <w:color w:val="FFFFFF"/>
                <w:sz w:val="20"/>
              </w:rPr>
              <w:t>Security Boundary</w:t>
            </w:r>
          </w:p>
        </w:tc>
      </w:tr>
      <w:tr>
        <w:tc>
          <w:tcPr>
            <w:tcW w:type="dxa" w:w="2304"/>
            <w:shd w:val="clear" w:color="auto" w:fill="FFFFFF"/>
            <w:tcMar>
              <w:top w:w="100" w:type="dxa"/>
              <w:bottom w:w="100" w:type="dxa"/>
              <w:left w:w="140" w:type="dxa"/>
              <w:right w:w="140" w:type="dxa"/>
            </w:tcMar>
            <w:vAlign w:val="center"/>
          </w:tcPr>
          <w:p>
            <w:pPr>
              <w:spacing w:before="0" w:after="0" w:line="264" w:lineRule="auto"/>
            </w:pPr>
            <w:r>
              <w:rPr>
                <w:color w:val="334155"/>
                <w:sz w:val="19"/>
              </w:rPr>
              <w:t>Partner (Admin)</w:t>
            </w:r>
          </w:p>
        </w:tc>
        <w:tc>
          <w:tcPr>
            <w:tcW w:type="dxa" w:w="3888"/>
            <w:shd w:val="clear" w:color="auto" w:fill="FFFFFF"/>
            <w:tcMar>
              <w:top w:w="100" w:type="dxa"/>
              <w:bottom w:w="100" w:type="dxa"/>
              <w:left w:w="140" w:type="dxa"/>
              <w:right w:w="140" w:type="dxa"/>
            </w:tcMar>
            <w:vAlign w:val="center"/>
          </w:tcPr>
          <w:p>
            <w:pPr>
              <w:spacing w:before="0" w:after="0" w:line="264" w:lineRule="auto"/>
            </w:pPr>
            <w:r>
              <w:rPr>
                <w:color w:val="334155"/>
                <w:sz w:val="19"/>
              </w:rPr>
              <w:t>Full administrative control: create/delete users, approve tasks, wipe clients, inspect audit logs, view all attendance, execute batch dispatch.</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Unrestricted access across all firm records.</w:t>
            </w:r>
          </w:p>
        </w:tc>
      </w:tr>
      <w:tr>
        <w:tc>
          <w:tcPr>
            <w:tcW w:type="dxa" w:w="2304"/>
            <w:shd w:val="clear" w:color="auto" w:fill="F8FAFC"/>
            <w:tcMar>
              <w:top w:w="100" w:type="dxa"/>
              <w:bottom w:w="100" w:type="dxa"/>
              <w:left w:w="140" w:type="dxa"/>
              <w:right w:w="140" w:type="dxa"/>
            </w:tcMar>
            <w:vAlign w:val="center"/>
          </w:tcPr>
          <w:p>
            <w:pPr>
              <w:spacing w:before="0" w:after="0" w:line="264" w:lineRule="auto"/>
            </w:pPr>
            <w:r>
              <w:rPr>
                <w:color w:val="334155"/>
                <w:sz w:val="19"/>
              </w:rPr>
              <w:t>Staff (Senior)</w:t>
            </w:r>
          </w:p>
        </w:tc>
        <w:tc>
          <w:tcPr>
            <w:tcW w:type="dxa" w:w="3888"/>
            <w:shd w:val="clear" w:color="auto" w:fill="F8FAFC"/>
            <w:tcMar>
              <w:top w:w="100" w:type="dxa"/>
              <w:bottom w:w="100" w:type="dxa"/>
              <w:left w:w="140" w:type="dxa"/>
              <w:right w:w="140" w:type="dxa"/>
            </w:tcMar>
            <w:vAlign w:val="center"/>
          </w:tcPr>
          <w:p>
            <w:pPr>
              <w:spacing w:before="0" w:after="0" w:line="264" w:lineRule="auto"/>
            </w:pPr>
            <w:r>
              <w:rPr>
                <w:color w:val="334155"/>
                <w:sz w:val="19"/>
              </w:rPr>
              <w:t>Manage assigned tasks, inward work, mark tasks Filed, submit tasks for review, register clients, clock in/out.</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Restricted to own assigned tasks and attendance records.</w:t>
            </w:r>
          </w:p>
        </w:tc>
      </w:tr>
      <w:tr>
        <w:tc>
          <w:tcPr>
            <w:tcW w:type="dxa" w:w="2304"/>
            <w:shd w:val="clear" w:color="auto" w:fill="FFFFFF"/>
            <w:tcMar>
              <w:top w:w="100" w:type="dxa"/>
              <w:bottom w:w="100" w:type="dxa"/>
              <w:left w:w="140" w:type="dxa"/>
              <w:right w:w="140" w:type="dxa"/>
            </w:tcMar>
            <w:vAlign w:val="center"/>
          </w:tcPr>
          <w:p>
            <w:pPr>
              <w:spacing w:before="0" w:after="0" w:line="264" w:lineRule="auto"/>
            </w:pPr>
            <w:r>
              <w:rPr>
                <w:color w:val="334155"/>
                <w:sz w:val="19"/>
              </w:rPr>
              <w:t>Article (Trainee)</w:t>
            </w:r>
          </w:p>
        </w:tc>
        <w:tc>
          <w:tcPr>
            <w:tcW w:type="dxa" w:w="3888"/>
            <w:shd w:val="clear" w:color="auto" w:fill="FFFFFF"/>
            <w:tcMar>
              <w:top w:w="100" w:type="dxa"/>
              <w:bottom w:w="100" w:type="dxa"/>
              <w:left w:w="140" w:type="dxa"/>
              <w:right w:w="140" w:type="dxa"/>
            </w:tcMar>
            <w:vAlign w:val="center"/>
          </w:tcPr>
          <w:p>
            <w:pPr>
              <w:spacing w:before="0" w:after="0" w:line="264" w:lineRule="auto"/>
            </w:pPr>
            <w:r>
              <w:rPr>
                <w:color w:val="334155"/>
                <w:sz w:val="19"/>
              </w:rPr>
              <w:t>Execute assigned audit procedures, submit work for review, inward new client work, clock in/out.</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Read-only access to unassigned pool; cannot approve tasks or manage accounts.</w:t>
            </w:r>
          </w:p>
        </w:tc>
      </w:tr>
    </w:tbl>
    <w:p>
      <w:pPr>
        <w:spacing w:before="0" w:after="120"/>
      </w:pPr>
    </w:p>
    <w:p>
      <w:r>
        <w:t>Every critical database mutation (login attempts, status approvals, client deletions, batch dispatches) is recorded in the immutable audit_logs collection with timestamp, acting user, and payload diffs.</w:t>
      </w:r>
    </w:p>
    <w:p>
      <w:pPr>
        <w:keepNext/>
        <w:spacing w:before="360" w:after="120"/>
      </w:pPr>
      <w:r>
        <w:rPr>
          <w:rFonts w:ascii="Arial" w:hAnsi="Arial"/>
          <w:b/>
          <w:color w:val="1E3A8A"/>
          <w:sz w:val="32"/>
        </w:rPr>
        <w:t>4. Database Schema Specifications (MongoDB Atlas)</w:t>
      </w:r>
    </w:p>
    <w:p>
      <w:r>
        <w:t>The system operates on a single MongoDB Atlas database (ca_office_workflow) structured across seven core collections: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1728"/>
            <w:shd w:val="clear" w:color="auto" w:fill="1E3A8A"/>
            <w:tcMar>
              <w:top w:w="140" w:type="dxa"/>
              <w:bottom w:w="140" w:type="dxa"/>
              <w:left w:w="140" w:type="dxa"/>
              <w:right w:w="140" w:type="dxa"/>
            </w:tcMar>
            <w:vAlign w:val="center"/>
          </w:tcPr>
          <w:p>
            <w:pPr>
              <w:spacing w:before="0" w:after="0"/>
            </w:pPr>
            <w:r>
              <w:rPr>
                <w:b/>
                <w:color w:val="FFFFFF"/>
                <w:sz w:val="20"/>
              </w:rPr>
              <w:t>Collection</w:t>
            </w:r>
          </w:p>
        </w:tc>
        <w:tc>
          <w:tcPr>
            <w:tcW w:type="dxa" w:w="2016"/>
            <w:shd w:val="clear" w:color="auto" w:fill="1E3A8A"/>
            <w:tcMar>
              <w:top w:w="140" w:type="dxa"/>
              <w:bottom w:w="140" w:type="dxa"/>
              <w:left w:w="140" w:type="dxa"/>
              <w:right w:w="140" w:type="dxa"/>
            </w:tcMar>
            <w:vAlign w:val="center"/>
          </w:tcPr>
          <w:p>
            <w:pPr>
              <w:spacing w:before="0" w:after="0"/>
            </w:pPr>
            <w:r>
              <w:rPr>
                <w:b/>
                <w:color w:val="FFFFFF"/>
                <w:sz w:val="20"/>
              </w:rPr>
              <w:t>Primary Key / ID</w:t>
            </w:r>
          </w:p>
        </w:tc>
        <w:tc>
          <w:tcPr>
            <w:tcW w:type="dxa" w:w="3600"/>
            <w:shd w:val="clear" w:color="auto" w:fill="1E3A8A"/>
            <w:tcMar>
              <w:top w:w="140" w:type="dxa"/>
              <w:bottom w:w="140" w:type="dxa"/>
              <w:left w:w="140" w:type="dxa"/>
              <w:right w:w="140" w:type="dxa"/>
            </w:tcMar>
            <w:vAlign w:val="center"/>
          </w:tcPr>
          <w:p>
            <w:pPr>
              <w:spacing w:before="0" w:after="0"/>
            </w:pPr>
            <w:r>
              <w:rPr>
                <w:b/>
                <w:color w:val="FFFFFF"/>
                <w:sz w:val="20"/>
              </w:rPr>
              <w:t>Key Schema Attributes</w:t>
            </w:r>
          </w:p>
        </w:tc>
        <w:tc>
          <w:tcPr>
            <w:tcW w:type="dxa" w:w="2016"/>
            <w:shd w:val="clear" w:color="auto" w:fill="1E3A8A"/>
            <w:tcMar>
              <w:top w:w="140" w:type="dxa"/>
              <w:bottom w:w="140" w:type="dxa"/>
              <w:left w:w="140" w:type="dxa"/>
              <w:right w:w="140" w:type="dxa"/>
            </w:tcMar>
            <w:vAlign w:val="center"/>
          </w:tcPr>
          <w:p>
            <w:pPr>
              <w:spacing w:before="0" w:after="0"/>
            </w:pPr>
            <w:r>
              <w:rPr>
                <w:b/>
                <w:color w:val="FFFFFF"/>
                <w:sz w:val="20"/>
              </w:rPr>
              <w:t>Index Optimization</w:t>
            </w:r>
          </w:p>
        </w:tc>
      </w:tr>
      <w:tr>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tasks</w:t>
            </w:r>
          </w:p>
        </w:tc>
        <w:tc>
          <w:tcPr>
            <w:tcW w:type="dxa" w:w="2016"/>
            <w:shd w:val="clear" w:color="auto" w:fill="FFFFFF"/>
            <w:tcMar>
              <w:top w:w="100" w:type="dxa"/>
              <w:bottom w:w="100" w:type="dxa"/>
              <w:left w:w="140" w:type="dxa"/>
              <w:right w:w="140" w:type="dxa"/>
            </w:tcMar>
            <w:vAlign w:val="center"/>
          </w:tcPr>
          <w:p>
            <w:pPr>
              <w:spacing w:before="0" w:after="0" w:line="264" w:lineRule="auto"/>
            </w:pPr>
            <w:r>
              <w:rPr>
                <w:color w:val="334155"/>
                <w:sz w:val="19"/>
              </w:rPr>
              <w:t>id (Sequential Int: 10001+)</w:t>
            </w:r>
          </w:p>
        </w:tc>
        <w:tc>
          <w:tcPr>
            <w:tcW w:type="dxa" w:w="3600"/>
            <w:shd w:val="clear" w:color="auto" w:fill="FFFFFF"/>
            <w:tcMar>
              <w:top w:w="100" w:type="dxa"/>
              <w:bottom w:w="100" w:type="dxa"/>
              <w:left w:w="140" w:type="dxa"/>
              <w:right w:w="140" w:type="dxa"/>
            </w:tcMar>
            <w:vAlign w:val="center"/>
          </w:tcPr>
          <w:p>
            <w:pPr>
              <w:spacing w:before="0" w:after="0" w:line="264" w:lineRule="auto"/>
            </w:pPr>
            <w:r>
              <w:rPr>
                <w:color w:val="334155"/>
                <w:sz w:val="19"/>
              </w:rPr>
              <w:t>clientCode, clientName, natureOfWork, assessmentYear, dateReceived, dueDate, currentStatus, workTakenBy, sendBackCount, reasonForPending</w:t>
            </w:r>
          </w:p>
        </w:tc>
        <w:tc>
          <w:tcPr>
            <w:tcW w:type="dxa" w:w="2016"/>
            <w:shd w:val="clear" w:color="auto" w:fill="FFFFFF"/>
            <w:tcMar>
              <w:top w:w="100" w:type="dxa"/>
              <w:bottom w:w="100" w:type="dxa"/>
              <w:left w:w="140" w:type="dxa"/>
              <w:right w:w="140" w:type="dxa"/>
            </w:tcMar>
            <w:vAlign w:val="center"/>
          </w:tcPr>
          <w:p>
            <w:pPr>
              <w:spacing w:before="0" w:after="0" w:line="264" w:lineRule="auto"/>
            </w:pPr>
            <w:r>
              <w:rPr>
                <w:color w:val="334155"/>
                <w:sz w:val="19"/>
              </w:rPr>
              <w:t>id (Unique), clientCode, currentStatus, workTakenBy</w:t>
            </w:r>
          </w:p>
        </w:tc>
      </w:tr>
      <w:tr>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clients</w:t>
            </w:r>
          </w:p>
        </w:tc>
        <w:tc>
          <w:tcPr>
            <w:tcW w:type="dxa" w:w="2016"/>
            <w:shd w:val="clear" w:color="auto" w:fill="F8FAFC"/>
            <w:tcMar>
              <w:top w:w="100" w:type="dxa"/>
              <w:bottom w:w="100" w:type="dxa"/>
              <w:left w:w="140" w:type="dxa"/>
              <w:right w:w="140" w:type="dxa"/>
            </w:tcMar>
            <w:vAlign w:val="center"/>
          </w:tcPr>
          <w:p>
            <w:pPr>
              <w:spacing w:before="0" w:after="0" w:line="264" w:lineRule="auto"/>
            </w:pPr>
            <w:r>
              <w:rPr>
                <w:color w:val="334155"/>
                <w:sz w:val="19"/>
              </w:rPr>
              <w:t>id (Sequential Int: 1001+)</w:t>
            </w:r>
          </w:p>
        </w:tc>
        <w:tc>
          <w:tcPr>
            <w:tcW w:type="dxa" w:w="3600"/>
            <w:shd w:val="clear" w:color="auto" w:fill="F8FAFC"/>
            <w:tcMar>
              <w:top w:w="100" w:type="dxa"/>
              <w:bottom w:w="100" w:type="dxa"/>
              <w:left w:w="140" w:type="dxa"/>
              <w:right w:w="140" w:type="dxa"/>
            </w:tcMar>
            <w:vAlign w:val="center"/>
          </w:tcPr>
          <w:p>
            <w:pPr>
              <w:spacing w:before="0" w:after="0" w:line="264" w:lineRule="auto"/>
            </w:pPr>
            <w:r>
              <w:rPr>
                <w:color w:val="334155"/>
                <w:sz w:val="19"/>
              </w:rPr>
              <w:t>name, pan, contact, email, address, gstNumber, gstType, gstUsername, gstStaff, taxAuditCase, passwordITR, status</w:t>
            </w:r>
          </w:p>
        </w:tc>
        <w:tc>
          <w:tcPr>
            <w:tcW w:type="dxa" w:w="2016"/>
            <w:shd w:val="clear" w:color="auto" w:fill="F8FAFC"/>
            <w:tcMar>
              <w:top w:w="100" w:type="dxa"/>
              <w:bottom w:w="100" w:type="dxa"/>
              <w:left w:w="140" w:type="dxa"/>
              <w:right w:w="140" w:type="dxa"/>
            </w:tcMar>
            <w:vAlign w:val="center"/>
          </w:tcPr>
          <w:p>
            <w:pPr>
              <w:spacing w:before="0" w:after="0" w:line="264" w:lineRule="auto"/>
            </w:pPr>
            <w:r>
              <w:rPr>
                <w:color w:val="334155"/>
                <w:sz w:val="19"/>
              </w:rPr>
              <w:t>id (Unique), pan, gstNumber, name (Text Search)</w:t>
            </w:r>
          </w:p>
        </w:tc>
      </w:tr>
      <w:tr>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users</w:t>
            </w:r>
          </w:p>
        </w:tc>
        <w:tc>
          <w:tcPr>
            <w:tcW w:type="dxa" w:w="2016"/>
            <w:shd w:val="clear" w:color="auto" w:fill="FFFFFF"/>
            <w:tcMar>
              <w:top w:w="100" w:type="dxa"/>
              <w:bottom w:w="100" w:type="dxa"/>
              <w:left w:w="140" w:type="dxa"/>
              <w:right w:w="140" w:type="dxa"/>
            </w:tcMar>
            <w:vAlign w:val="center"/>
          </w:tcPr>
          <w:p>
            <w:pPr>
              <w:spacing w:before="0" w:after="0" w:line="264" w:lineRule="auto"/>
            </w:pPr>
            <w:r>
              <w:rPr>
                <w:color w:val="334155"/>
                <w:sz w:val="19"/>
              </w:rPr>
              <w:t>username (Lowercase String)</w:t>
            </w:r>
          </w:p>
        </w:tc>
        <w:tc>
          <w:tcPr>
            <w:tcW w:type="dxa" w:w="3600"/>
            <w:shd w:val="clear" w:color="auto" w:fill="FFFFFF"/>
            <w:tcMar>
              <w:top w:w="100" w:type="dxa"/>
              <w:bottom w:w="100" w:type="dxa"/>
              <w:left w:w="140" w:type="dxa"/>
              <w:right w:w="140" w:type="dxa"/>
            </w:tcMar>
            <w:vAlign w:val="center"/>
          </w:tcPr>
          <w:p>
            <w:pPr>
              <w:spacing w:before="0" w:after="0" w:line="264" w:lineRule="auto"/>
            </w:pPr>
            <w:r>
              <w:rPr>
                <w:color w:val="334155"/>
                <w:sz w:val="19"/>
              </w:rPr>
              <w:t>password (bcrypt hash), name, role (partner/staff/article), faceDescriptor (Float32Array[128]), createdAt</w:t>
            </w:r>
          </w:p>
        </w:tc>
        <w:tc>
          <w:tcPr>
            <w:tcW w:type="dxa" w:w="2016"/>
            <w:shd w:val="clear" w:color="auto" w:fill="FFFFFF"/>
            <w:tcMar>
              <w:top w:w="100" w:type="dxa"/>
              <w:bottom w:w="100" w:type="dxa"/>
              <w:left w:w="140" w:type="dxa"/>
              <w:right w:w="140" w:type="dxa"/>
            </w:tcMar>
            <w:vAlign w:val="center"/>
          </w:tcPr>
          <w:p>
            <w:pPr>
              <w:spacing w:before="0" w:after="0" w:line="264" w:lineRule="auto"/>
            </w:pPr>
            <w:r>
              <w:rPr>
                <w:color w:val="334155"/>
                <w:sz w:val="19"/>
              </w:rPr>
              <w:t>username (Unique), role</w:t>
            </w:r>
          </w:p>
        </w:tc>
      </w:tr>
      <w:tr>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attendance</w:t>
            </w:r>
          </w:p>
        </w:tc>
        <w:tc>
          <w:tcPr>
            <w:tcW w:type="dxa" w:w="2016"/>
            <w:shd w:val="clear" w:color="auto" w:fill="F8FAFC"/>
            <w:tcMar>
              <w:top w:w="100" w:type="dxa"/>
              <w:bottom w:w="100" w:type="dxa"/>
              <w:left w:w="140" w:type="dxa"/>
              <w:right w:w="140" w:type="dxa"/>
            </w:tcMar>
            <w:vAlign w:val="center"/>
          </w:tcPr>
          <w:p>
            <w:pPr>
              <w:spacing w:before="0" w:after="0" w:line="264" w:lineRule="auto"/>
            </w:pPr>
            <w:r>
              <w:rPr>
                <w:color w:val="334155"/>
                <w:sz w:val="19"/>
              </w:rPr>
              <w:t>_id (ObjectId)</w:t>
            </w:r>
          </w:p>
        </w:tc>
        <w:tc>
          <w:tcPr>
            <w:tcW w:type="dxa" w:w="3600"/>
            <w:shd w:val="clear" w:color="auto" w:fill="F8FAFC"/>
            <w:tcMar>
              <w:top w:w="100" w:type="dxa"/>
              <w:bottom w:w="100" w:type="dxa"/>
              <w:left w:w="140" w:type="dxa"/>
              <w:right w:w="140" w:type="dxa"/>
            </w:tcMar>
            <w:vAlign w:val="center"/>
          </w:tcPr>
          <w:p>
            <w:pPr>
              <w:spacing w:before="0" w:after="0" w:line="264" w:lineRule="auto"/>
            </w:pPr>
            <w:r>
              <w:rPr>
                <w:color w:val="334155"/>
                <w:sz w:val="19"/>
              </w:rPr>
              <w:t>username, date (YYYY-MM-DD), status (Present/Absent/Half Day/OD), clockInTime, clockOutTime, totalHours, remarks</w:t>
            </w:r>
          </w:p>
        </w:tc>
        <w:tc>
          <w:tcPr>
            <w:tcW w:type="dxa" w:w="2016"/>
            <w:shd w:val="clear" w:color="auto" w:fill="F8FAFC"/>
            <w:tcMar>
              <w:top w:w="100" w:type="dxa"/>
              <w:bottom w:w="100" w:type="dxa"/>
              <w:left w:w="140" w:type="dxa"/>
              <w:right w:w="140" w:type="dxa"/>
            </w:tcMar>
            <w:vAlign w:val="center"/>
          </w:tcPr>
          <w:p>
            <w:pPr>
              <w:spacing w:before="0" w:after="0" w:line="264" w:lineRule="auto"/>
            </w:pPr>
            <w:r>
              <w:rPr>
                <w:color w:val="334155"/>
                <w:sz w:val="19"/>
              </w:rPr>
              <w:t>username + date (Compound Unique), date</w:t>
            </w:r>
          </w:p>
        </w:tc>
      </w:tr>
      <w:tr>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engagements</w:t>
            </w:r>
          </w:p>
        </w:tc>
        <w:tc>
          <w:tcPr>
            <w:tcW w:type="dxa" w:w="2016"/>
            <w:shd w:val="clear" w:color="auto" w:fill="FFFFFF"/>
            <w:tcMar>
              <w:top w:w="100" w:type="dxa"/>
              <w:bottom w:w="100" w:type="dxa"/>
              <w:left w:w="140" w:type="dxa"/>
              <w:right w:w="140" w:type="dxa"/>
            </w:tcMar>
            <w:vAlign w:val="center"/>
          </w:tcPr>
          <w:p>
            <w:pPr>
              <w:spacing w:before="0" w:after="0" w:line="264" w:lineRule="auto"/>
            </w:pPr>
            <w:r>
              <w:rPr>
                <w:color w:val="334155"/>
                <w:sz w:val="19"/>
              </w:rPr>
              <w:t>_id (ObjectId)</w:t>
            </w:r>
          </w:p>
        </w:tc>
        <w:tc>
          <w:tcPr>
            <w:tcW w:type="dxa" w:w="3600"/>
            <w:shd w:val="clear" w:color="auto" w:fill="FFFFFF"/>
            <w:tcMar>
              <w:top w:w="100" w:type="dxa"/>
              <w:bottom w:w="100" w:type="dxa"/>
              <w:left w:w="140" w:type="dxa"/>
              <w:right w:w="140" w:type="dxa"/>
            </w:tcMar>
            <w:vAlign w:val="center"/>
          </w:tcPr>
          <w:p>
            <w:pPr>
              <w:spacing w:before="0" w:after="0" w:line="264" w:lineRule="auto"/>
            </w:pPr>
            <w:r>
              <w:rPr>
                <w:color w:val="334155"/>
                <w:sz w:val="19"/>
              </w:rPr>
              <w:t>title (e.g. Statutory Audit, Tax Audit, GSTR 1, GSTR 3B, TDS Quarterly Filing)</w:t>
            </w:r>
          </w:p>
        </w:tc>
        <w:tc>
          <w:tcPr>
            <w:tcW w:type="dxa" w:w="2016"/>
            <w:shd w:val="clear" w:color="auto" w:fill="FFFFFF"/>
            <w:tcMar>
              <w:top w:w="100" w:type="dxa"/>
              <w:bottom w:w="100" w:type="dxa"/>
              <w:left w:w="140" w:type="dxa"/>
              <w:right w:w="140" w:type="dxa"/>
            </w:tcMar>
            <w:vAlign w:val="center"/>
          </w:tcPr>
          <w:p>
            <w:pPr>
              <w:spacing w:before="0" w:after="0" w:line="264" w:lineRule="auto"/>
            </w:pPr>
            <w:r>
              <w:rPr>
                <w:color w:val="334155"/>
                <w:sz w:val="19"/>
              </w:rPr>
              <w:t>title (Unique)</w:t>
            </w:r>
          </w:p>
        </w:tc>
      </w:tr>
      <w:tr>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audit_logs</w:t>
            </w:r>
          </w:p>
        </w:tc>
        <w:tc>
          <w:tcPr>
            <w:tcW w:type="dxa" w:w="2016"/>
            <w:shd w:val="clear" w:color="auto" w:fill="F8FAFC"/>
            <w:tcMar>
              <w:top w:w="100" w:type="dxa"/>
              <w:bottom w:w="100" w:type="dxa"/>
              <w:left w:w="140" w:type="dxa"/>
              <w:right w:w="140" w:type="dxa"/>
            </w:tcMar>
            <w:vAlign w:val="center"/>
          </w:tcPr>
          <w:p>
            <w:pPr>
              <w:spacing w:before="0" w:after="0" w:line="264" w:lineRule="auto"/>
            </w:pPr>
            <w:r>
              <w:rPr>
                <w:color w:val="334155"/>
                <w:sz w:val="19"/>
              </w:rPr>
              <w:t>_id (ObjectId)</w:t>
            </w:r>
          </w:p>
        </w:tc>
        <w:tc>
          <w:tcPr>
            <w:tcW w:type="dxa" w:w="3600"/>
            <w:shd w:val="clear" w:color="auto" w:fill="F8FAFC"/>
            <w:tcMar>
              <w:top w:w="100" w:type="dxa"/>
              <w:bottom w:w="100" w:type="dxa"/>
              <w:left w:w="140" w:type="dxa"/>
              <w:right w:w="140" w:type="dxa"/>
            </w:tcMar>
            <w:vAlign w:val="center"/>
          </w:tcPr>
          <w:p>
            <w:pPr>
              <w:spacing w:before="0" w:after="0" w:line="264" w:lineRule="auto"/>
            </w:pPr>
            <w:r>
              <w:rPr>
                <w:color w:val="334155"/>
                <w:sz w:val="19"/>
              </w:rPr>
              <w:t>timestamp (ISODate), actor (username), action (CREATE_TASK, DELETE_CLIENT, etc.), details (JSON object)</w:t>
            </w:r>
          </w:p>
        </w:tc>
        <w:tc>
          <w:tcPr>
            <w:tcW w:type="dxa" w:w="2016"/>
            <w:shd w:val="clear" w:color="auto" w:fill="F8FAFC"/>
            <w:tcMar>
              <w:top w:w="100" w:type="dxa"/>
              <w:bottom w:w="100" w:type="dxa"/>
              <w:left w:w="140" w:type="dxa"/>
              <w:right w:w="140" w:type="dxa"/>
            </w:tcMar>
            <w:vAlign w:val="center"/>
          </w:tcPr>
          <w:p>
            <w:pPr>
              <w:spacing w:before="0" w:after="0" w:line="264" w:lineRule="auto"/>
            </w:pPr>
            <w:r>
              <w:rPr>
                <w:color w:val="334155"/>
                <w:sz w:val="19"/>
              </w:rPr>
              <w:t>timestamp (Descending), actor, action</w:t>
            </w:r>
          </w:p>
        </w:tc>
      </w:tr>
      <w:tr>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system_state</w:t>
            </w:r>
          </w:p>
        </w:tc>
        <w:tc>
          <w:tcPr>
            <w:tcW w:type="dxa" w:w="2016"/>
            <w:shd w:val="clear" w:color="auto" w:fill="FFFFFF"/>
            <w:tcMar>
              <w:top w:w="100" w:type="dxa"/>
              <w:bottom w:w="100" w:type="dxa"/>
              <w:left w:w="140" w:type="dxa"/>
              <w:right w:w="140" w:type="dxa"/>
            </w:tcMar>
            <w:vAlign w:val="center"/>
          </w:tcPr>
          <w:p>
            <w:pPr>
              <w:spacing w:before="0" w:after="0" w:line="264" w:lineRule="auto"/>
            </w:pPr>
            <w:r>
              <w:rPr>
                <w:color w:val="334155"/>
                <w:sz w:val="19"/>
              </w:rPr>
              <w:t>key (String)</w:t>
            </w:r>
          </w:p>
        </w:tc>
        <w:tc>
          <w:tcPr>
            <w:tcW w:type="dxa" w:w="3600"/>
            <w:shd w:val="clear" w:color="auto" w:fill="FFFFFF"/>
            <w:tcMar>
              <w:top w:w="100" w:type="dxa"/>
              <w:bottom w:w="100" w:type="dxa"/>
              <w:left w:w="140" w:type="dxa"/>
              <w:right w:w="140" w:type="dxa"/>
            </w:tcMar>
            <w:vAlign w:val="center"/>
          </w:tcPr>
          <w:p>
            <w:pPr>
              <w:spacing w:before="0" w:after="0" w:line="264" w:lineRule="auto"/>
            </w:pPr>
            <w:r>
              <w:rPr>
                <w:color w:val="334155"/>
                <w:sz w:val="19"/>
              </w:rPr>
              <w:t>value (e.g. lastGstTaskGenDate for idempotency control)</w:t>
            </w:r>
          </w:p>
        </w:tc>
        <w:tc>
          <w:tcPr>
            <w:tcW w:type="dxa" w:w="2016"/>
            <w:shd w:val="clear" w:color="auto" w:fill="FFFFFF"/>
            <w:tcMar>
              <w:top w:w="100" w:type="dxa"/>
              <w:bottom w:w="100" w:type="dxa"/>
              <w:left w:w="140" w:type="dxa"/>
              <w:right w:w="140" w:type="dxa"/>
            </w:tcMar>
            <w:vAlign w:val="center"/>
          </w:tcPr>
          <w:p>
            <w:pPr>
              <w:spacing w:before="0" w:after="0" w:line="264" w:lineRule="auto"/>
            </w:pPr>
            <w:r>
              <w:rPr>
                <w:color w:val="334155"/>
                <w:sz w:val="19"/>
              </w:rPr>
              <w:t>key (Unique)</w:t>
            </w:r>
          </w:p>
        </w:tc>
      </w:tr>
    </w:tbl>
    <w:p>
      <w:pPr>
        <w:spacing w:before="0" w:after="120"/>
      </w:pPr>
    </w:p>
    <w:p>
      <w:pPr>
        <w:keepNext/>
        <w:spacing w:before="360" w:after="120"/>
      </w:pPr>
      <w:r>
        <w:rPr>
          <w:rFonts w:ascii="Arial" w:hAnsi="Arial"/>
          <w:b/>
          <w:color w:val="1E3A8A"/>
          <w:sz w:val="32"/>
        </w:rPr>
        <w:t>5. Comprehensive API Endpoint Reference</w:t>
      </w:r>
    </w:p>
    <w:p>
      <w:r>
        <w:t>All client communication routes through the single serverless dispatcher (/api/index.js?route=&lt;route&gt;). All requests (except /api/login and /api/init) mandate a JSON Web Token in the Authorization: Bearer &lt;token&gt; header.</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none"/>
        </w:tblBorders>
      </w:tblPr>
      <w:tblGrid>
        <w:gridCol w:w="2340"/>
        <w:gridCol w:w="2340"/>
        <w:gridCol w:w="2340"/>
        <w:gridCol w:w="2340"/>
      </w:tblGrid>
      <w:tr>
        <w:tc>
          <w:tcPr>
            <w:tcW w:type="dxa" w:w="1872"/>
            <w:shd w:val="clear" w:color="auto" w:fill="1E3A8A"/>
            <w:tcMar>
              <w:top w:w="140" w:type="dxa"/>
              <w:bottom w:w="140" w:type="dxa"/>
              <w:left w:w="140" w:type="dxa"/>
              <w:right w:w="140" w:type="dxa"/>
            </w:tcMar>
            <w:vAlign w:val="center"/>
          </w:tcPr>
          <w:p>
            <w:pPr>
              <w:spacing w:before="0" w:after="0"/>
            </w:pPr>
            <w:r>
              <w:rPr>
                <w:b/>
                <w:color w:val="FFFFFF"/>
                <w:sz w:val="20"/>
              </w:rPr>
              <w:t>Endpoint Route</w:t>
            </w:r>
          </w:p>
        </w:tc>
        <w:tc>
          <w:tcPr>
            <w:tcW w:type="dxa" w:w="1728"/>
            <w:shd w:val="clear" w:color="auto" w:fill="1E3A8A"/>
            <w:tcMar>
              <w:top w:w="140" w:type="dxa"/>
              <w:bottom w:w="140" w:type="dxa"/>
              <w:left w:w="140" w:type="dxa"/>
              <w:right w:w="140" w:type="dxa"/>
            </w:tcMar>
            <w:vAlign w:val="center"/>
          </w:tcPr>
          <w:p>
            <w:pPr>
              <w:spacing w:before="0" w:after="0"/>
            </w:pPr>
            <w:r>
              <w:rPr>
                <w:b/>
                <w:color w:val="FFFFFF"/>
                <w:sz w:val="20"/>
              </w:rPr>
              <w:t>HTTP Methods</w:t>
            </w:r>
          </w:p>
        </w:tc>
        <w:tc>
          <w:tcPr>
            <w:tcW w:type="dxa" w:w="2592"/>
            <w:shd w:val="clear" w:color="auto" w:fill="1E3A8A"/>
            <w:tcMar>
              <w:top w:w="140" w:type="dxa"/>
              <w:bottom w:w="140" w:type="dxa"/>
              <w:left w:w="140" w:type="dxa"/>
              <w:right w:w="140" w:type="dxa"/>
            </w:tcMar>
            <w:vAlign w:val="center"/>
          </w:tcPr>
          <w:p>
            <w:pPr>
              <w:spacing w:before="0" w:after="0"/>
            </w:pPr>
            <w:r>
              <w:rPr>
                <w:b/>
                <w:color w:val="FFFFFF"/>
                <w:sz w:val="20"/>
              </w:rPr>
              <w:t>Parameters &amp; Payloads</w:t>
            </w:r>
          </w:p>
        </w:tc>
        <w:tc>
          <w:tcPr>
            <w:tcW w:type="dxa" w:w="3168"/>
            <w:shd w:val="clear" w:color="auto" w:fill="1E3A8A"/>
            <w:tcMar>
              <w:top w:w="140" w:type="dxa"/>
              <w:bottom w:w="140" w:type="dxa"/>
              <w:left w:w="140" w:type="dxa"/>
              <w:right w:w="140" w:type="dxa"/>
            </w:tcMar>
            <w:vAlign w:val="center"/>
          </w:tcPr>
          <w:p>
            <w:pPr>
              <w:spacing w:before="0" w:after="0"/>
            </w:pPr>
            <w:r>
              <w:rPr>
                <w:b/>
                <w:color w:val="FFFFFF"/>
                <w:sz w:val="20"/>
              </w:rPr>
              <w:t>Functional Description</w:t>
            </w:r>
          </w:p>
        </w:tc>
      </w:tr>
      <w:tr>
        <w:tc>
          <w:tcPr>
            <w:tcW w:type="dxa" w:w="1872"/>
            <w:shd w:val="clear" w:color="auto" w:fill="FFFFFF"/>
            <w:tcMar>
              <w:top w:w="100" w:type="dxa"/>
              <w:bottom w:w="100" w:type="dxa"/>
              <w:left w:w="140" w:type="dxa"/>
              <w:right w:w="140" w:type="dxa"/>
            </w:tcMar>
            <w:vAlign w:val="center"/>
          </w:tcPr>
          <w:p>
            <w:pPr>
              <w:spacing w:before="0" w:after="0" w:line="264" w:lineRule="auto"/>
            </w:pPr>
            <w:r>
              <w:rPr>
                <w:color w:val="334155"/>
                <w:sz w:val="19"/>
              </w:rPr>
              <w:t>/api/login</w:t>
            </w:r>
          </w:p>
        </w:tc>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POST</w:t>
            </w:r>
          </w:p>
        </w:tc>
        <w:tc>
          <w:tcPr>
            <w:tcW w:type="dxa" w:w="2592"/>
            <w:shd w:val="clear" w:color="auto" w:fill="FFFFFF"/>
            <w:tcMar>
              <w:top w:w="100" w:type="dxa"/>
              <w:bottom w:w="100" w:type="dxa"/>
              <w:left w:w="140" w:type="dxa"/>
              <w:right w:w="140" w:type="dxa"/>
            </w:tcMar>
            <w:vAlign w:val="center"/>
          </w:tcPr>
          <w:p>
            <w:pPr>
              <w:spacing w:before="0" w:after="0" w:line="264" w:lineRule="auto"/>
            </w:pPr>
            <w:r>
              <w:rPr>
                <w:color w:val="334155"/>
                <w:sz w:val="19"/>
              </w:rPr>
              <w:t>body: { username, password }</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Authenticates user credentials against bcrypt hashes and issues 24-hour signed JWT token.</w:t>
            </w:r>
          </w:p>
        </w:tc>
      </w:tr>
      <w:tr>
        <w:tc>
          <w:tcPr>
            <w:tcW w:type="dxa" w:w="1872"/>
            <w:shd w:val="clear" w:color="auto" w:fill="F8FAFC"/>
            <w:tcMar>
              <w:top w:w="100" w:type="dxa"/>
              <w:bottom w:w="100" w:type="dxa"/>
              <w:left w:w="140" w:type="dxa"/>
              <w:right w:w="140" w:type="dxa"/>
            </w:tcMar>
            <w:vAlign w:val="center"/>
          </w:tcPr>
          <w:p>
            <w:pPr>
              <w:spacing w:before="0" w:after="0" w:line="264" w:lineRule="auto"/>
            </w:pPr>
            <w:r>
              <w:rPr>
                <w:color w:val="334155"/>
                <w:sz w:val="19"/>
              </w:rPr>
              <w:t>/api/tasks</w:t>
            </w:r>
          </w:p>
        </w:tc>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GET, POST, PUT, PATCH, DELETE</w:t>
            </w:r>
          </w:p>
        </w:tc>
        <w:tc>
          <w:tcPr>
            <w:tcW w:type="dxa" w:w="2592"/>
            <w:shd w:val="clear" w:color="auto" w:fill="F8FAFC"/>
            <w:tcMar>
              <w:top w:w="100" w:type="dxa"/>
              <w:bottom w:w="100" w:type="dxa"/>
              <w:left w:w="140" w:type="dxa"/>
              <w:right w:w="140" w:type="dxa"/>
            </w:tcMar>
            <w:vAlign w:val="center"/>
          </w:tcPr>
          <w:p>
            <w:pPr>
              <w:spacing w:before="0" w:after="0" w:line="264" w:lineRule="auto"/>
            </w:pPr>
            <w:r>
              <w:rPr>
                <w:color w:val="334155"/>
                <w:sz w:val="19"/>
              </w:rPr>
              <w:t>query: status, search, operator, page, limit, mode=stats</w:t>
              <w:br/>
              <w:t>body: id, clientCode, natureOfWork, dueDate, etc.</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Task CRUD operations, workflow status advancement, auto-healing ID allocation, and analytics aggregation.</w:t>
            </w:r>
          </w:p>
        </w:tc>
      </w:tr>
      <w:tr>
        <w:tc>
          <w:tcPr>
            <w:tcW w:type="dxa" w:w="1872"/>
            <w:shd w:val="clear" w:color="auto" w:fill="FFFFFF"/>
            <w:tcMar>
              <w:top w:w="100" w:type="dxa"/>
              <w:bottom w:w="100" w:type="dxa"/>
              <w:left w:w="140" w:type="dxa"/>
              <w:right w:w="140" w:type="dxa"/>
            </w:tcMar>
            <w:vAlign w:val="center"/>
          </w:tcPr>
          <w:p>
            <w:pPr>
              <w:spacing w:before="0" w:after="0" w:line="264" w:lineRule="auto"/>
            </w:pPr>
            <w:r>
              <w:rPr>
                <w:color w:val="334155"/>
                <w:sz w:val="19"/>
              </w:rPr>
              <w:t>/api/clients</w:t>
            </w:r>
          </w:p>
        </w:tc>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GET, POST, PUT, DELETE</w:t>
            </w:r>
          </w:p>
        </w:tc>
        <w:tc>
          <w:tcPr>
            <w:tcW w:type="dxa" w:w="2592"/>
            <w:shd w:val="clear" w:color="auto" w:fill="FFFFFF"/>
            <w:tcMar>
              <w:top w:w="100" w:type="dxa"/>
              <w:bottom w:w="100" w:type="dxa"/>
              <w:left w:w="140" w:type="dxa"/>
              <w:right w:w="140" w:type="dxa"/>
            </w:tcMar>
            <w:vAlign w:val="center"/>
          </w:tcPr>
          <w:p>
            <w:pPr>
              <w:spacing w:before="0" w:after="0" w:line="264" w:lineRule="auto"/>
            </w:pPr>
            <w:r>
              <w:rPr>
                <w:color w:val="334155"/>
                <w:sz w:val="19"/>
              </w:rPr>
              <w:t>query: search, page, limit, id</w:t>
              <w:br/>
              <w:t>body: name, pan, contact, gstNumber, etc.</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Manages client ledger records with server-side regex search and pagination.</w:t>
            </w:r>
          </w:p>
        </w:tc>
      </w:tr>
      <w:tr>
        <w:tc>
          <w:tcPr>
            <w:tcW w:type="dxa" w:w="1872"/>
            <w:shd w:val="clear" w:color="auto" w:fill="F8FAFC"/>
            <w:tcMar>
              <w:top w:w="100" w:type="dxa"/>
              <w:bottom w:w="100" w:type="dxa"/>
              <w:left w:w="140" w:type="dxa"/>
              <w:right w:w="140" w:type="dxa"/>
            </w:tcMar>
            <w:vAlign w:val="center"/>
          </w:tcPr>
          <w:p>
            <w:pPr>
              <w:spacing w:before="0" w:after="0" w:line="264" w:lineRule="auto"/>
            </w:pPr>
            <w:r>
              <w:rPr>
                <w:color w:val="334155"/>
                <w:sz w:val="19"/>
              </w:rPr>
              <w:t>/api/users</w:t>
            </w:r>
          </w:p>
        </w:tc>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GET, POST, PUT, DELETE</w:t>
            </w:r>
          </w:p>
        </w:tc>
        <w:tc>
          <w:tcPr>
            <w:tcW w:type="dxa" w:w="2592"/>
            <w:shd w:val="clear" w:color="auto" w:fill="F8FAFC"/>
            <w:tcMar>
              <w:top w:w="100" w:type="dxa"/>
              <w:bottom w:w="100" w:type="dxa"/>
              <w:left w:w="140" w:type="dxa"/>
              <w:right w:w="140" w:type="dxa"/>
            </w:tcMar>
            <w:vAlign w:val="center"/>
          </w:tcPr>
          <w:p>
            <w:pPr>
              <w:spacing w:before="0" w:after="0" w:line="264" w:lineRule="auto"/>
            </w:pPr>
            <w:r>
              <w:rPr>
                <w:color w:val="334155"/>
                <w:sz w:val="19"/>
              </w:rPr>
              <w:t>body: username, password, name, role, faceDescriptor</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Partner-restricted staff account directory and facial recognition descriptor enrollment.</w:t>
            </w:r>
          </w:p>
        </w:tc>
      </w:tr>
      <w:tr>
        <w:tc>
          <w:tcPr>
            <w:tcW w:type="dxa" w:w="1872"/>
            <w:shd w:val="clear" w:color="auto" w:fill="FFFFFF"/>
            <w:tcMar>
              <w:top w:w="100" w:type="dxa"/>
              <w:bottom w:w="100" w:type="dxa"/>
              <w:left w:w="140" w:type="dxa"/>
              <w:right w:w="140" w:type="dxa"/>
            </w:tcMar>
            <w:vAlign w:val="center"/>
          </w:tcPr>
          <w:p>
            <w:pPr>
              <w:spacing w:before="0" w:after="0" w:line="264" w:lineRule="auto"/>
            </w:pPr>
            <w:r>
              <w:rPr>
                <w:color w:val="334155"/>
                <w:sz w:val="19"/>
              </w:rPr>
              <w:t>/api/attendance</w:t>
            </w:r>
          </w:p>
        </w:tc>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GET, POST, PUT</w:t>
            </w:r>
          </w:p>
        </w:tc>
        <w:tc>
          <w:tcPr>
            <w:tcW w:type="dxa" w:w="2592"/>
            <w:shd w:val="clear" w:color="auto" w:fill="FFFFFF"/>
            <w:tcMar>
              <w:top w:w="100" w:type="dxa"/>
              <w:bottom w:w="100" w:type="dxa"/>
              <w:left w:w="140" w:type="dxa"/>
              <w:right w:w="140" w:type="dxa"/>
            </w:tcMar>
            <w:vAlign w:val="center"/>
          </w:tcPr>
          <w:p>
            <w:pPr>
              <w:spacing w:before="0" w:after="0" w:line="264" w:lineRule="auto"/>
            </w:pPr>
            <w:r>
              <w:rPr>
                <w:color w:val="334155"/>
                <w:sz w:val="19"/>
              </w:rPr>
              <w:t>query: date, month, mode=daily/monthly</w:t>
              <w:br/>
              <w:t>body: action=clockIn/clockOut/markOD</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Logs clock-in/out timestamps, records OD designations, and aggregates monthly attendance grids.</w:t>
            </w:r>
          </w:p>
        </w:tc>
      </w:tr>
      <w:tr>
        <w:tc>
          <w:tcPr>
            <w:tcW w:type="dxa" w:w="1872"/>
            <w:shd w:val="clear" w:color="auto" w:fill="F8FAFC"/>
            <w:tcMar>
              <w:top w:w="100" w:type="dxa"/>
              <w:bottom w:w="100" w:type="dxa"/>
              <w:left w:w="140" w:type="dxa"/>
              <w:right w:w="140" w:type="dxa"/>
            </w:tcMar>
            <w:vAlign w:val="center"/>
          </w:tcPr>
          <w:p>
            <w:pPr>
              <w:spacing w:before="0" w:after="0" w:line="264" w:lineRule="auto"/>
            </w:pPr>
            <w:r>
              <w:rPr>
                <w:color w:val="334155"/>
                <w:sz w:val="19"/>
              </w:rPr>
              <w:t>/api/chat</w:t>
            </w:r>
          </w:p>
        </w:tc>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POST</w:t>
            </w:r>
          </w:p>
        </w:tc>
        <w:tc>
          <w:tcPr>
            <w:tcW w:type="dxa" w:w="2592"/>
            <w:shd w:val="clear" w:color="auto" w:fill="F8FAFC"/>
            <w:tcMar>
              <w:top w:w="100" w:type="dxa"/>
              <w:bottom w:w="100" w:type="dxa"/>
              <w:left w:w="140" w:type="dxa"/>
              <w:right w:w="140" w:type="dxa"/>
            </w:tcMar>
            <w:vAlign w:val="center"/>
          </w:tcPr>
          <w:p>
            <w:pPr>
              <w:spacing w:before="0" w:after="0" w:line="264" w:lineRule="auto"/>
            </w:pPr>
            <w:r>
              <w:rPr>
                <w:color w:val="334155"/>
                <w:sz w:val="19"/>
              </w:rPr>
              <w:t>body: { message, context, action, params }</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Conversational AI workflow controller executing natural-language slot filling and database CRUD.</w:t>
            </w:r>
          </w:p>
        </w:tc>
      </w:tr>
      <w:tr>
        <w:tc>
          <w:tcPr>
            <w:tcW w:type="dxa" w:w="1872"/>
            <w:shd w:val="clear" w:color="auto" w:fill="FFFFFF"/>
            <w:tcMar>
              <w:top w:w="100" w:type="dxa"/>
              <w:bottom w:w="100" w:type="dxa"/>
              <w:left w:w="140" w:type="dxa"/>
              <w:right w:w="140" w:type="dxa"/>
            </w:tcMar>
            <w:vAlign w:val="center"/>
          </w:tcPr>
          <w:p>
            <w:pPr>
              <w:spacing w:before="0" w:after="0" w:line="264" w:lineRule="auto"/>
            </w:pPr>
            <w:r>
              <w:rPr>
                <w:color w:val="334155"/>
                <w:sz w:val="19"/>
              </w:rPr>
              <w:t>/api/automate</w:t>
            </w:r>
          </w:p>
        </w:tc>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GET, POST</w:t>
            </w:r>
          </w:p>
        </w:tc>
        <w:tc>
          <w:tcPr>
            <w:tcW w:type="dxa" w:w="2592"/>
            <w:shd w:val="clear" w:color="auto" w:fill="FFFFFF"/>
            <w:tcMar>
              <w:top w:w="100" w:type="dxa"/>
              <w:bottom w:w="100" w:type="dxa"/>
              <w:left w:w="140" w:type="dxa"/>
              <w:right w:w="140" w:type="dxa"/>
            </w:tcMar>
            <w:vAlign w:val="center"/>
          </w:tcPr>
          <w:p>
            <w:pPr>
              <w:spacing w:before="0" w:after="0" w:line="264" w:lineRule="auto"/>
            </w:pPr>
            <w:r>
              <w:rPr>
                <w:color w:val="334155"/>
                <w:sz w:val="19"/>
              </w:rPr>
              <w:t>query/body: action=preview / dispatch</w:t>
              <w:br/>
              <w:t>body: { items: [...] }</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Calculates pending monthly GST filings and bulk-dispatches compliance tasks with sequential IDs.</w:t>
            </w:r>
          </w:p>
        </w:tc>
      </w:tr>
      <w:tr>
        <w:tc>
          <w:tcPr>
            <w:tcW w:type="dxa" w:w="1872"/>
            <w:shd w:val="clear" w:color="auto" w:fill="F8FAFC"/>
            <w:tcMar>
              <w:top w:w="100" w:type="dxa"/>
              <w:bottom w:w="100" w:type="dxa"/>
              <w:left w:w="140" w:type="dxa"/>
              <w:right w:w="140" w:type="dxa"/>
            </w:tcMar>
            <w:vAlign w:val="center"/>
          </w:tcPr>
          <w:p>
            <w:pPr>
              <w:spacing w:before="0" w:after="0" w:line="264" w:lineRule="auto"/>
            </w:pPr>
            <w:r>
              <w:rPr>
                <w:color w:val="334155"/>
                <w:sz w:val="19"/>
              </w:rPr>
              <w:t>/api/recommend</w:t>
            </w:r>
          </w:p>
        </w:tc>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GET</w:t>
            </w:r>
          </w:p>
        </w:tc>
        <w:tc>
          <w:tcPr>
            <w:tcW w:type="dxa" w:w="2592"/>
            <w:shd w:val="clear" w:color="auto" w:fill="F8FAFC"/>
            <w:tcMar>
              <w:top w:w="100" w:type="dxa"/>
              <w:bottom w:w="100" w:type="dxa"/>
              <w:left w:w="140" w:type="dxa"/>
              <w:right w:w="140" w:type="dxa"/>
            </w:tcMar>
            <w:vAlign w:val="center"/>
          </w:tcPr>
          <w:p>
            <w:pPr>
              <w:spacing w:before="0" w:after="0" w:line="264" w:lineRule="auto"/>
            </w:pPr>
            <w:r>
              <w:rPr>
                <w:color w:val="334155"/>
                <w:sz w:val="19"/>
              </w:rPr>
              <w:t>query: clientCode, natureOfWork, limit=3</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Calculates algorithmic suitability match scores across available staff members.</w:t>
            </w:r>
          </w:p>
        </w:tc>
      </w:tr>
      <w:tr>
        <w:tc>
          <w:tcPr>
            <w:tcW w:type="dxa" w:w="1872"/>
            <w:shd w:val="clear" w:color="auto" w:fill="FFFFFF"/>
            <w:tcMar>
              <w:top w:w="100" w:type="dxa"/>
              <w:bottom w:w="100" w:type="dxa"/>
              <w:left w:w="140" w:type="dxa"/>
              <w:right w:w="140" w:type="dxa"/>
            </w:tcMar>
            <w:vAlign w:val="center"/>
          </w:tcPr>
          <w:p>
            <w:pPr>
              <w:spacing w:before="0" w:after="0" w:line="264" w:lineRule="auto"/>
            </w:pPr>
            <w:r>
              <w:rPr>
                <w:color w:val="334155"/>
                <w:sz w:val="19"/>
              </w:rPr>
              <w:t>/api/drive</w:t>
            </w:r>
          </w:p>
        </w:tc>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GET, POST</w:t>
            </w:r>
          </w:p>
        </w:tc>
        <w:tc>
          <w:tcPr>
            <w:tcW w:type="dxa" w:w="2592"/>
            <w:shd w:val="clear" w:color="auto" w:fill="FFFFFF"/>
            <w:tcMar>
              <w:top w:w="100" w:type="dxa"/>
              <w:bottom w:w="100" w:type="dxa"/>
              <w:left w:w="140" w:type="dxa"/>
              <w:right w:w="140" w:type="dxa"/>
            </w:tcMar>
            <w:vAlign w:val="center"/>
          </w:tcPr>
          <w:p>
            <w:pPr>
              <w:spacing w:before="0" w:after="0" w:line="264" w:lineRule="auto"/>
            </w:pPr>
            <w:r>
              <w:rPr>
                <w:color w:val="334155"/>
                <w:sz w:val="19"/>
              </w:rPr>
              <w:t>query/body: action=status / configure / listFiles / upload</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Google Drive cloud integration for credential storage, file browsing, and base64 document upload.</w:t>
            </w:r>
          </w:p>
        </w:tc>
      </w:tr>
      <w:tr>
        <w:tc>
          <w:tcPr>
            <w:tcW w:type="dxa" w:w="1872"/>
            <w:shd w:val="clear" w:color="auto" w:fill="F8FAFC"/>
            <w:tcMar>
              <w:top w:w="100" w:type="dxa"/>
              <w:bottom w:w="100" w:type="dxa"/>
              <w:left w:w="140" w:type="dxa"/>
              <w:right w:w="140" w:type="dxa"/>
            </w:tcMar>
            <w:vAlign w:val="center"/>
          </w:tcPr>
          <w:p>
            <w:pPr>
              <w:spacing w:before="0" w:after="0" w:line="264" w:lineRule="auto"/>
            </w:pPr>
            <w:r>
              <w:rPr>
                <w:color w:val="334155"/>
                <w:sz w:val="19"/>
              </w:rPr>
              <w:t>/api/engagements</w:t>
            </w:r>
          </w:p>
        </w:tc>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GET, POST, PUT, DELETE</w:t>
            </w:r>
          </w:p>
        </w:tc>
        <w:tc>
          <w:tcPr>
            <w:tcW w:type="dxa" w:w="2592"/>
            <w:shd w:val="clear" w:color="auto" w:fill="F8FAFC"/>
            <w:tcMar>
              <w:top w:w="100" w:type="dxa"/>
              <w:bottom w:w="100" w:type="dxa"/>
              <w:left w:w="140" w:type="dxa"/>
              <w:right w:w="140" w:type="dxa"/>
            </w:tcMar>
            <w:vAlign w:val="center"/>
          </w:tcPr>
          <w:p>
            <w:pPr>
              <w:spacing w:before="0" w:after="0" w:line="264" w:lineRule="auto"/>
            </w:pPr>
            <w:r>
              <w:rPr>
                <w:color w:val="334155"/>
                <w:sz w:val="19"/>
              </w:rPr>
              <w:t>query/body: title, originalTitle</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Manages master categories of CA services (Audit, ROC, GST, Income Tax, Transfer Pricing).</w:t>
            </w:r>
          </w:p>
        </w:tc>
      </w:tr>
      <w:tr>
        <w:tc>
          <w:tcPr>
            <w:tcW w:type="dxa" w:w="1872"/>
            <w:shd w:val="clear" w:color="auto" w:fill="FFFFFF"/>
            <w:tcMar>
              <w:top w:w="100" w:type="dxa"/>
              <w:bottom w:w="100" w:type="dxa"/>
              <w:left w:w="140" w:type="dxa"/>
              <w:right w:w="140" w:type="dxa"/>
            </w:tcMar>
            <w:vAlign w:val="center"/>
          </w:tcPr>
          <w:p>
            <w:pPr>
              <w:spacing w:before="0" w:after="0" w:line="264" w:lineRule="auto"/>
            </w:pPr>
            <w:r>
              <w:rPr>
                <w:color w:val="334155"/>
                <w:sz w:val="19"/>
              </w:rPr>
              <w:t>/api/audit</w:t>
            </w:r>
          </w:p>
        </w:tc>
        <w:tc>
          <w:tcPr>
            <w:tcW w:type="dxa" w:w="1728"/>
            <w:shd w:val="clear" w:color="auto" w:fill="FFFFFF"/>
            <w:tcMar>
              <w:top w:w="100" w:type="dxa"/>
              <w:bottom w:w="100" w:type="dxa"/>
              <w:left w:w="140" w:type="dxa"/>
              <w:right w:w="140" w:type="dxa"/>
            </w:tcMar>
            <w:vAlign w:val="center"/>
          </w:tcPr>
          <w:p>
            <w:pPr>
              <w:spacing w:before="0" w:after="0" w:line="264" w:lineRule="auto"/>
            </w:pPr>
            <w:r>
              <w:rPr>
                <w:color w:val="334155"/>
                <w:sz w:val="19"/>
              </w:rPr>
              <w:t>GET</w:t>
            </w:r>
          </w:p>
        </w:tc>
        <w:tc>
          <w:tcPr>
            <w:tcW w:type="dxa" w:w="2592"/>
            <w:shd w:val="clear" w:color="auto" w:fill="FFFFFF"/>
            <w:tcMar>
              <w:top w:w="100" w:type="dxa"/>
              <w:bottom w:w="100" w:type="dxa"/>
              <w:left w:w="140" w:type="dxa"/>
              <w:right w:w="140" w:type="dxa"/>
            </w:tcMar>
            <w:vAlign w:val="center"/>
          </w:tcPr>
          <w:p>
            <w:pPr>
              <w:spacing w:before="0" w:after="0" w:line="264" w:lineRule="auto"/>
            </w:pPr>
            <w:r>
              <w:rPr>
                <w:color w:val="334155"/>
                <w:sz w:val="19"/>
              </w:rPr>
              <w:t>query: search, page, limit</w:t>
            </w:r>
          </w:p>
        </w:tc>
        <w:tc>
          <w:tcPr>
            <w:tcW w:type="dxa" w:w="3168"/>
            <w:shd w:val="clear" w:color="auto" w:fill="FFFFFF"/>
            <w:tcMar>
              <w:top w:w="100" w:type="dxa"/>
              <w:bottom w:w="100" w:type="dxa"/>
              <w:left w:w="140" w:type="dxa"/>
              <w:right w:w="140" w:type="dxa"/>
            </w:tcMar>
            <w:vAlign w:val="center"/>
          </w:tcPr>
          <w:p>
            <w:pPr>
              <w:spacing w:before="0" w:after="0" w:line="264" w:lineRule="auto"/>
            </w:pPr>
            <w:r>
              <w:rPr>
                <w:color w:val="334155"/>
                <w:sz w:val="19"/>
              </w:rPr>
              <w:t>Partner-only paginated security audit log stream.</w:t>
            </w:r>
          </w:p>
        </w:tc>
      </w:tr>
      <w:tr>
        <w:tc>
          <w:tcPr>
            <w:tcW w:type="dxa" w:w="1872"/>
            <w:shd w:val="clear" w:color="auto" w:fill="F8FAFC"/>
            <w:tcMar>
              <w:top w:w="100" w:type="dxa"/>
              <w:bottom w:w="100" w:type="dxa"/>
              <w:left w:w="140" w:type="dxa"/>
              <w:right w:w="140" w:type="dxa"/>
            </w:tcMar>
            <w:vAlign w:val="center"/>
          </w:tcPr>
          <w:p>
            <w:pPr>
              <w:spacing w:before="0" w:after="0" w:line="264" w:lineRule="auto"/>
            </w:pPr>
            <w:r>
              <w:rPr>
                <w:color w:val="334155"/>
                <w:sz w:val="19"/>
              </w:rPr>
              <w:t>/api/init</w:t>
            </w:r>
          </w:p>
        </w:tc>
        <w:tc>
          <w:tcPr>
            <w:tcW w:type="dxa" w:w="1728"/>
            <w:shd w:val="clear" w:color="auto" w:fill="F8FAFC"/>
            <w:tcMar>
              <w:top w:w="100" w:type="dxa"/>
              <w:bottom w:w="100" w:type="dxa"/>
              <w:left w:w="140" w:type="dxa"/>
              <w:right w:w="140" w:type="dxa"/>
            </w:tcMar>
            <w:vAlign w:val="center"/>
          </w:tcPr>
          <w:p>
            <w:pPr>
              <w:spacing w:before="0" w:after="0" w:line="264" w:lineRule="auto"/>
            </w:pPr>
            <w:r>
              <w:rPr>
                <w:color w:val="334155"/>
                <w:sz w:val="19"/>
              </w:rPr>
              <w:t>GET</w:t>
            </w:r>
          </w:p>
        </w:tc>
        <w:tc>
          <w:tcPr>
            <w:tcW w:type="dxa" w:w="2592"/>
            <w:shd w:val="clear" w:color="auto" w:fill="F8FAFC"/>
            <w:tcMar>
              <w:top w:w="100" w:type="dxa"/>
              <w:bottom w:w="100" w:type="dxa"/>
              <w:left w:w="140" w:type="dxa"/>
              <w:right w:w="140" w:type="dxa"/>
            </w:tcMar>
            <w:vAlign w:val="center"/>
          </w:tcPr>
          <w:p>
            <w:pPr>
              <w:spacing w:before="0" w:after="0" w:line="264" w:lineRule="auto"/>
            </w:pPr>
            <w:r>
              <w:rPr>
                <w:color w:val="334155"/>
                <w:sz w:val="19"/>
              </w:rPr>
              <w:t>none (public setup endpoint)</w:t>
            </w:r>
          </w:p>
        </w:tc>
        <w:tc>
          <w:tcPr>
            <w:tcW w:type="dxa" w:w="3168"/>
            <w:shd w:val="clear" w:color="auto" w:fill="F8FAFC"/>
            <w:tcMar>
              <w:top w:w="100" w:type="dxa"/>
              <w:bottom w:w="100" w:type="dxa"/>
              <w:left w:w="140" w:type="dxa"/>
              <w:right w:w="140" w:type="dxa"/>
            </w:tcMar>
            <w:vAlign w:val="center"/>
          </w:tcPr>
          <w:p>
            <w:pPr>
              <w:spacing w:before="0" w:after="0" w:line="264" w:lineRule="auto"/>
            </w:pPr>
            <w:r>
              <w:rPr>
                <w:color w:val="334155"/>
                <w:sz w:val="19"/>
              </w:rPr>
              <w:t>First-run verification and seed endpoint creating default partner credentials (smk) and standard services.</w:t>
            </w:r>
          </w:p>
        </w:tc>
      </w:tr>
    </w:tbl>
    <w:p>
      <w:pPr>
        <w:spacing w:before="0" w:after="120"/>
      </w:pPr>
    </w:p>
    <w:p>
      <w:pPr>
        <w:keepNext/>
        <w:spacing w:before="360" w:after="120"/>
      </w:pPr>
      <w:r>
        <w:rPr>
          <w:rFonts w:ascii="Arial" w:hAnsi="Arial"/>
          <w:b/>
          <w:color w:val="1E3A8A"/>
          <w:sz w:val="32"/>
        </w:rPr>
        <w:t>6. Quality Assurance, Compliance &amp; Data Integrity</w:t>
      </w:r>
    </w:p>
    <w:p>
      <w:r>
        <w:t>To ensure zero downtime, robust data fidelity, and seamless operational continuity, the codebase implements specific automated recovery mechanisms:</w:t>
      </w:r>
    </w:p>
    <w:p>
      <w:pPr>
        <w:pStyle w:val="ListBullet"/>
        <w:spacing w:before="40" w:after="60" w:line="276" w:lineRule="auto"/>
      </w:pPr>
      <w:r>
        <w:rPr>
          <w:b/>
          <w:color w:val="334155"/>
        </w:rPr>
        <w:t xml:space="preserve">Auto-Healing Database Task IDs: </w:t>
      </w:r>
      <w:r>
        <w:rPr>
          <w:color w:val="334155"/>
        </w:rPr>
        <w:t>When GET /api/tasks is queried, ensureUniqueTaskIds scans MongoDB for legacy records with missing, string, or client-derived IDs and safely transitions them to clean sequential integer IDs (#10001+).</w:t>
      </w:r>
    </w:p>
    <w:p>
      <w:pPr>
        <w:pStyle w:val="ListBullet"/>
        <w:spacing w:before="40" w:after="60" w:line="276" w:lineRule="auto"/>
      </w:pPr>
      <w:r>
        <w:rPr>
          <w:b/>
          <w:color w:val="334155"/>
        </w:rPr>
        <w:t xml:space="preserve">Indian Statutory Compliance Validation: </w:t>
      </w:r>
      <w:r>
        <w:rPr>
          <w:color w:val="334155"/>
        </w:rPr>
        <w:t>Enforces strict format validation for PAN (5 letters + 4 digits + 1 letter), GSTIN (15-character state code + PAN + entity), and Assessment Years (e.g. 2026-27).</w:t>
      </w:r>
    </w:p>
    <w:p>
      <w:pPr>
        <w:pStyle w:val="ListBullet"/>
        <w:spacing w:before="40" w:after="60" w:line="276" w:lineRule="auto"/>
      </w:pPr>
      <w:r>
        <w:rPr>
          <w:b/>
          <w:color w:val="334155"/>
        </w:rPr>
        <w:t xml:space="preserve">Idempotent Compliance Pipelines: </w:t>
      </w:r>
      <w:r>
        <w:rPr>
          <w:color w:val="334155"/>
        </w:rPr>
        <w:t>System state tracking (lastGstTaskGenDate) prevents accidental duplicate GST task generation when automated pipelines trigger multiple times on the same calendar day.</w:t>
      </w:r>
    </w:p>
    <w:p>
      <w:pPr>
        <w:pStyle w:val="ListBullet"/>
        <w:spacing w:before="40" w:after="60" w:line="276" w:lineRule="auto"/>
      </w:pPr>
      <w:r>
        <w:rPr>
          <w:b/>
          <w:color w:val="334155"/>
        </w:rPr>
        <w:t xml:space="preserve">Strict Responsive UI Standards: </w:t>
      </w:r>
      <w:r>
        <w:rPr>
          <w:color w:val="334155"/>
        </w:rPr>
        <w:t>Built with WCAG AA compliant contrast ratios, accessible table data labels for mobile screen readers, and adaptive flex layouts supporting mobile, tablet, and desktop viewports.</w:t>
      </w:r>
    </w:p>
    <w:p>
      <w:pPr>
        <w:keepNext/>
        <w:spacing w:before="360" w:after="120"/>
      </w:pPr>
      <w:r>
        <w:rPr>
          <w:rFonts w:ascii="Arial" w:hAnsi="Arial"/>
          <w:b/>
          <w:color w:val="1E3A8A"/>
          <w:sz w:val="32"/>
        </w:rPr>
        <w:t>7. Conclusion &amp; Operational Roadmap</w:t>
      </w:r>
    </w:p>
    <w:p>
      <w:r>
        <w:t>The CA Office Workflow Management System successfully transforms traditional, paper-heavy Chartered Accountant firm workflows into a coordinated, real-time digital office. By coupling a single serverless dispatcher with structured task lifecycles, in-browser facial biometrics, and a multi-turn AI assistant, SMK &amp; Associates achieves full transparency, regulatory timeliness, and superior client compliance delivery.</w:t>
      </w:r>
    </w:p>
    <w:p>
      <w:r>
        <w:t>Recommended next milestones include automated WhatsApp/SMS client filing reminders, optical character recognition (OCR) for automatic PAN card ingestion, and direct GSTN portal API integration for real-time filing status synchronization.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