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A192F"/>
          <w:sz w:val="36"/>
        </w:rPr>
        <w:t>Design and Implementation of a Low-Latency Conversational Voice Agent Architecture with QUBO-Driven Quantum Prompt Optimization</w:t>
      </w:r>
    </w:p>
    <w:p>
      <w:pPr>
        <w:spacing w:after="80"/>
        <w:jc w:val="center"/>
      </w:pPr>
      <w:r>
        <w:rPr>
          <w:rFonts w:ascii="Times New Roman" w:hAnsi="Times New Roman"/>
          <w:b/>
          <w:sz w:val="24"/>
        </w:rPr>
        <w:t>Mukesh Charan, Sanjjey Arumugam</w:t>
      </w:r>
    </w:p>
    <w:p>
      <w:pPr>
        <w:spacing w:after="360"/>
        <w:jc w:val="center"/>
      </w:pPr>
      <w:r>
        <w:rPr>
          <w:rFonts w:ascii="Times New Roman" w:hAnsi="Times New Roman"/>
          <w:i/>
          <w:color w:val="505050"/>
          <w:sz w:val="20"/>
        </w:rPr>
        <w:t>Department of Computer Science and Engineering</w:t>
        <w:br/>
        <w:t>Autonomous AI Systems &amp; Quantum Information Laboratory</w:t>
        <w:br/>
        <w:t>Email: {author1, author2}@institution.edu</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120" w:line="276" w:lineRule="auto"/>
            </w:pPr>
            <w:r>
              <w:rPr>
                <w:b/>
                <w:sz w:val="20"/>
              </w:rPr>
              <w:t>Abstract—</w:t>
            </w:r>
            <w:r>
              <w:rPr>
                <w:sz w:val="20"/>
              </w:rPr>
              <w:t>Real-time conversational voice agents require low latency, strict conversational adherence, and consistent factual grounding. Conventional Large Language Model (LLM) voice systems suffer from latency bottlenecks across Speech-to-Text (STT), Retrieval-Augmented Generation (RAG), and Text-to-Speech (TTS) pipelines. Moreover, standard natural language system prompts regularly fail to enforce the strict stylistic constraints required for voice interfaces—such as omitting markdown, limiting response lengths to 1–3 spoken sentences, and avoiding preambles. This paper presents an end-to-end, zero-cost conversational voice agent architecture combined with a novel Quantum Prompt Optimizer (QPO). The runtime pipeline integrates client-side Web Speech and localized Faster-Whisper STT, an in-memory BM25 retrieval engine, Server-Sent Events (SSE) streaming with active acoustic barge-in detection, and neural TTS synthesis. Transactional scheduling and lead capture are managed through a deterministic, ACID-compliant tool execution pipeline with zero quantum overhead. To ensure optimal conversational formatting and domain retention without costly fine-tuning, system prompt selection is formulated as a Quadratic Unconstrained Binary Optimization (QUBO) problem. The resulting Ising spin Hamiltonian is solved via IBM Qiskit's Quantum Approximate Optimization Algorithm (QAOA) and minimum eigensolver optimizers. Empirical evaluations show that the QUBO-optimized prompts achieve an 88.9% detail retention rate, a 100% voice rule adherence score (zero markdown or preamble violations), and a 91.8 ms retrieval-to-generation pipeline latency, outperforming standard hand-crafted prompts.</w:t>
            </w:r>
          </w:p>
          <w:p>
            <w:pPr>
              <w:spacing w:before="120"/>
            </w:pPr>
            <w:r>
              <w:rPr>
                <w:b/>
                <w:i/>
                <w:sz w:val="19"/>
              </w:rPr>
              <w:t>Index Terms—</w:t>
            </w:r>
            <w:r>
              <w:rPr>
                <w:sz w:val="19"/>
              </w:rPr>
              <w:t>Conversational Voice Agents, Quantum Approximate Optimization Algorithm (QAOA), Quadratic Unconstrained Binary Optimization (QUBO), Retrieval-Augmented Generation (RAG), Acoustic Barge-In, Low-Latency LLM Inference.</w:t>
            </w:r>
          </w:p>
        </w:tc>
      </w:tr>
    </w:tbl>
    <w:p>
      <w:pPr>
        <w:spacing w:after="240"/>
      </w:pPr>
    </w:p>
    <w:p>
      <w:pPr>
        <w:keepNext/>
        <w:spacing w:before="320" w:after="120"/>
      </w:pPr>
      <w:r>
        <w:rPr>
          <w:rFonts w:ascii="Times New Roman" w:hAnsi="Times New Roman"/>
          <w:b/>
          <w:color w:val="0A192F"/>
          <w:sz w:val="26"/>
        </w:rPr>
        <w:t>I. INTRODUCTION</w:t>
      </w:r>
    </w:p>
    <w:p>
      <w:pPr>
        <w:spacing w:after="120" w:line="276" w:lineRule="auto"/>
      </w:pPr>
      <w:r>
        <w:t>Conversational voice systems represent a paradigm shift in human-computer interaction, enabling hands-free access to automated reservations, medical intake services, customer support, and operational logistics. Unlike text-based conversational interfaces where users tolerate latency windows of several seconds, real-time voice agents operate under strict temporal and acoustic constraints. Specifically, conversational naturalness degrades significantly when the Time-To-First-Token (TTFT) and audio playback latency exceeds 800–1000 milliseconds.</w:t>
      </w:r>
    </w:p>
    <w:p>
      <w:pPr>
        <w:spacing w:after="120" w:line="276" w:lineRule="auto"/>
      </w:pPr>
      <w:r>
        <w:t>Furthermore, voice interfaces place unique demands on Large Language Model (LLM) system prompts. Spoken interactions cannot interpret visual formatting constructs such as markdown asterisks, bulleted lists, hyperlinked citations, code blocks, or conversational preambles (e.g., 'Certainly! Here is the information:'). Synthesizing these elements into speech creates unnatural cadence, breaks conversational turn-taking, and introduces seconds of extraneous audio synthesis latency. To mitigate this, system prompts must be meticulously configured to enforce spoken conciseness (1–3 sentences), strict role boundaries, single-question turn-taking, and high detail retention.</w:t>
      </w:r>
    </w:p>
    <w:p>
      <w:pPr>
        <w:spacing w:after="120" w:line="276" w:lineRule="auto"/>
      </w:pPr>
      <w:r>
        <w:t>Traditional prompt engineering relies on ad-hoc trial and error or expensive reinforcement learning fine-tuning. In this work, we propose a mathematically rigorous alternative: casting the prompt selection problem into a Quadratic Unconstrained Binary Optimization (QUBO) formulation, which is solved using quantum and quantum-inspired algorithms (IBM Qiskit QAOA / Ising Eigensolvers). Offline Quantum Prompt Optimization is coupled with an asynchronous, low-latency, zero-cost conversational voice pipeline.</w:t>
      </w:r>
    </w:p>
    <w:p>
      <w:pPr>
        <w:spacing w:after="120" w:line="276" w:lineRule="auto"/>
      </w:pPr>
      <w:r>
        <w:t>Importantly, we isolate computational tasks strictly according to operational requirements: while the combinatorial prompt path search is handled by the Quantum Prompt Optimizer during agent compilation, all runtime operational tools—including the calendar booking, schedule persistence, and webhook notifications—remain strictly classical, ACID-compliant, and deterministic to guarantee zero transactional errors.</w:t>
      </w:r>
    </w:p>
    <w:p>
      <w:pPr>
        <w:keepNext/>
        <w:spacing w:before="320" w:after="120"/>
      </w:pPr>
      <w:r>
        <w:rPr>
          <w:rFonts w:ascii="Times New Roman" w:hAnsi="Times New Roman"/>
          <w:b/>
          <w:color w:val="0A192F"/>
          <w:sz w:val="26"/>
        </w:rPr>
        <w:t>II. RELATED WORK</w:t>
      </w:r>
    </w:p>
    <w:p>
      <w:pPr>
        <w:keepNext/>
        <w:spacing w:before="240" w:after="80"/>
      </w:pPr>
      <w:r>
        <w:rPr>
          <w:rFonts w:ascii="Times New Roman" w:hAnsi="Times New Roman"/>
          <w:b/>
          <w:color w:val="1E3C5A"/>
          <w:sz w:val="23"/>
        </w:rPr>
        <w:t>A. Real-Time Conversational Voice Pipelines</w:t>
      </w:r>
    </w:p>
    <w:p>
      <w:pPr>
        <w:spacing w:after="120" w:line="276" w:lineRule="auto"/>
      </w:pPr>
      <w:r>
        <w:t>Standard conversational voice agents typically connect Automatic Speech Recognition (ASR), Language Models (LLM), and Text-to-Speech (TTS) components in sequence. Proprietary platforms (e.g., Vapi, Retell AI) offer managed turn-taking but depend on continuous paid GPU subscriptions and vendor lock-in. Open-source implementations frequently struggle with bidirectional latency and conversational barge-in—the capability of the agent to pause speech instantly when the human interrupts.</w:t>
      </w:r>
    </w:p>
    <w:p>
      <w:pPr>
        <w:keepNext/>
        <w:spacing w:before="240" w:after="80"/>
      </w:pPr>
      <w:r>
        <w:rPr>
          <w:rFonts w:ascii="Times New Roman" w:hAnsi="Times New Roman"/>
          <w:b/>
          <w:color w:val="1E3C5A"/>
          <w:sz w:val="23"/>
        </w:rPr>
        <w:t>B. Lexical vs. Dense Retrieval for Real-Time RAG</w:t>
      </w:r>
    </w:p>
    <w:p>
      <w:pPr>
        <w:spacing w:after="120" w:line="276" w:lineRule="auto"/>
      </w:pPr>
      <w:r>
        <w:t>Retrieval-Augmented Generation (RAG) commonly employs dense vector embeddings (e.g., text-embedding-ada-002, BAAI/bge) coupled with approximate nearest neighbor (ANN) databases. While suitable for broad semantic search, dense embedding generation introduces 60–180 ms of latency overhead. In domain-specific voice applications (e.g., hotel tariffs, clinic schedules), exact keyword matching (BM25) over pre-chunked in-memory indices yields higher precision at top-1 ranks while operating in under 0.1 milliseconds.</w:t>
      </w:r>
    </w:p>
    <w:p>
      <w:pPr>
        <w:keepNext/>
        <w:spacing w:before="240" w:after="80"/>
      </w:pPr>
      <w:r>
        <w:rPr>
          <w:rFonts w:ascii="Times New Roman" w:hAnsi="Times New Roman"/>
          <w:b/>
          <w:color w:val="1E3C5A"/>
          <w:sz w:val="23"/>
        </w:rPr>
        <w:t>C. Quantum Optimization in Natural Language Processing</w:t>
      </w:r>
    </w:p>
    <w:p>
      <w:pPr>
        <w:spacing w:after="120" w:line="276" w:lineRule="auto"/>
      </w:pPr>
      <w:r>
        <w:t>The Quantum Approximate Optimization Algorithm (QAOA) and quantum annealing have proven effective in combinatorial graph partitioning, Max-Cut, and binary assignment problems. While preliminary works have explored quantum text classification, formulating conversational prompt compliance and multi-objective prompt path selection as an Ising spin Hamiltonian represents an unexplored avenue for optimizing real-time AI agents.</w:t>
      </w:r>
    </w:p>
    <w:p>
      <w:pPr>
        <w:keepNext/>
        <w:spacing w:before="320" w:after="120"/>
      </w:pPr>
      <w:r>
        <w:rPr>
          <w:rFonts w:ascii="Times New Roman" w:hAnsi="Times New Roman"/>
          <w:b/>
          <w:color w:val="0A192F"/>
          <w:sz w:val="26"/>
        </w:rPr>
        <w:t>III. SYSTEM ARCHITECTURE &amp; PIPELINE</w:t>
      </w:r>
    </w:p>
    <w:p>
      <w:pPr>
        <w:spacing w:after="120" w:line="276" w:lineRule="auto"/>
      </w:pPr>
      <w:r>
        <w:t>The system architecture decouples offline compilation from online conversational execution. The runtime pipeline operates entirely on zero-cost tiers, achieving sub-second voice turns.</w:t>
      </w:r>
    </w:p>
    <w:tbl>
      <w:tblPr>
        <w:tblW w:type="auto" w:w="0"/>
        <w:jc w:val="center"/>
        <w:tblLook w:firstColumn="1" w:firstRow="1" w:lastColumn="0" w:lastRow="0" w:noHBand="0" w:noVBand="1" w:val="04A0"/>
      </w:tblPr>
      <w:tblGrid>
        <w:gridCol w:w="9360"/>
      </w:tblGrid>
      <w:tr>
        <w:tc>
          <w:tcPr>
            <w:tcW w:type="dxa" w:w="9360"/>
            <w:shd w:fill="F9FBFD"/>
            <w:tcMar>
              <w:top w:w="80" w:type="dxa"/>
              <w:bottom w:w="80" w:type="dxa"/>
              <w:left w:w="150" w:type="dxa"/>
              <w:right w:w="150" w:type="dxa"/>
            </w:tcMar>
          </w:tcPr>
          <w:p>
            <w:pPr>
              <w:spacing w:after="40"/>
            </w:pPr>
            <w:r>
              <w:rPr>
                <w:b/>
                <w:sz w:val="19"/>
              </w:rPr>
              <w:t>FIGURE 1: Decoupled System Architecture</w:t>
              <w:br/>
            </w:r>
            <w:r>
              <w:rPr>
                <w:rFonts w:ascii="Consolas" w:hAnsi="Consolas"/>
                <w:sz w:val="18"/>
              </w:rPr>
              <w:t>┌────────────────────────────────────────────────────────────────────────┐</w:t>
              <w:br/>
              <w:t>│                      AGENT COMPILATION LAYER                           │</w:t>
              <w:br/>
              <w:t>│  Raw Prompt &amp; Knowledge ──► IBM Qiskit QUBO Prompt Optimizer ──► Prompt│</w:t>
              <w:br/>
              <w:t>└──────────────────────────────────────┬─────────────────────────────────┘</w:t>
              <w:br/>
              <w:t xml:space="preserve">                                       ▼</w:t>
              <w:br/>
              <w:t>┌────────────────────────────────────────────────────────────────────────┐</w:t>
              <w:br/>
              <w:t>│                   RUNTIME CONVERSATIONAL PIPELINE                      │</w:t>
              <w:br/>
              <w:t>│  User Voice ──► Faster-Whisper (CUDA / VAD) ──► BM25 In-Memory Context │</w:t>
              <w:br/>
              <w:t>│                                                       │                │</w:t>
              <w:br/>
              <w:t>│  Client Audio ◄── Piper Neural TTS ◄── Streaming SSE LLM Engine        │</w:t>
              <w:br/>
              <w:t>│         ▲                                             │                │</w:t>
              <w:br/>
              <w:t>│         └── [Barge-In Interrupt] ◄── Web Speech API   ├── Tool Call    │</w:t>
              <w:br/>
              <w:t>│                                                       ▼                │</w:t>
              <w:br/>
              <w:t>│                                         Deterministic Booking (ACID)   │</w:t>
              <w:br/>
              <w:t>│                                         SQLite / RFC 5545 / Webhooks   │</w:t>
              <w:br/>
              <w:t>└────────────────────────────────────────────────────────────────────────┘</w:t>
            </w:r>
          </w:p>
        </w:tc>
      </w:tr>
    </w:tbl>
    <w:p>
      <w:pPr>
        <w:spacing w:after="120"/>
      </w:pPr>
    </w:p>
    <w:p>
      <w:pPr>
        <w:keepNext/>
        <w:spacing w:before="240" w:after="80"/>
      </w:pPr>
      <w:r>
        <w:rPr>
          <w:rFonts w:ascii="Times New Roman" w:hAnsi="Times New Roman"/>
          <w:b/>
          <w:color w:val="1E3C5A"/>
          <w:sz w:val="23"/>
        </w:rPr>
        <w:t>A. Speech-to-Text &amp; In-Memory BM25 Retrieval</w:t>
      </w:r>
    </w:p>
    <w:p>
      <w:pPr>
        <w:spacing w:after="120" w:line="276" w:lineRule="auto"/>
      </w:pPr>
      <w:r>
        <w:t>Audio is captured using browser Web Speech API with fallback to a localized Faster-Whisper model utilizing small.en weights and a greedy beam size of 1. Voice activity detection (Silero VAD) filters non-speech audio. Text chunks of &lt;=800 characters are indexed in an in-memory inverted index, queried via BM25 with parameters k1=1.5 and b=0.75, yielding top-K context injection in under 0.1 ms.</w:t>
      </w:r>
    </w:p>
    <w:p>
      <w:pPr>
        <w:keepNext/>
        <w:spacing w:before="240" w:after="80"/>
      </w:pPr>
      <w:r>
        <w:rPr>
          <w:rFonts w:ascii="Times New Roman" w:hAnsi="Times New Roman"/>
          <w:b/>
          <w:color w:val="1E3C5A"/>
          <w:sz w:val="23"/>
        </w:rPr>
        <w:t>B. Streaming LLM Inference &amp; Acoustic Barge-In</w:t>
      </w:r>
    </w:p>
    <w:p>
      <w:pPr>
        <w:spacing w:after="120" w:line="276" w:lineRule="auto"/>
      </w:pPr>
      <w:r>
        <w:t>Inference is executed over an OpenAI-compatible SSE stream (Llama-3.1-8B on Groq or local Ollama). A sentence-level chunker dispatches completed clauses to the local TTS engine (Piper Neural TTS or OS SAPI5) immediately. While audio plays, the client listens for user speech; upon detecting an interim transcript of 2 or more words, the system triggers cancelSpeech(), clearing queues and ensuring responsive human interruption.</w:t>
      </w:r>
    </w:p>
    <w:p>
      <w:pPr>
        <w:keepNext/>
        <w:spacing w:before="240" w:after="80"/>
      </w:pPr>
      <w:r>
        <w:rPr>
          <w:rFonts w:ascii="Times New Roman" w:hAnsi="Times New Roman"/>
          <w:b/>
          <w:color w:val="1E3C5A"/>
          <w:sz w:val="23"/>
        </w:rPr>
        <w:t>C. Deterministic Booking Subsystem (Zero Quantum)</w:t>
      </w:r>
    </w:p>
    <w:p>
      <w:pPr>
        <w:spacing w:after="120" w:line="276" w:lineRule="auto"/>
      </w:pPr>
      <w:r>
        <w:t>All booking transactions are handled deterministically through LLM function calling (save_booking, update_booking). Overlapping slots are resolved using classical temporal conflict checking. Confirmed bookings are written to SQLite, compiled into RFC 5545 .ics calendars, mapped to Google Calendar URLs, and pushed asynchronously via HTTP POST webhooks. No quantum routines exist in this critical operational path.</w:t>
      </w:r>
    </w:p>
    <w:p>
      <w:pPr>
        <w:keepNext/>
        <w:spacing w:before="320" w:after="120"/>
      </w:pPr>
      <w:r>
        <w:rPr>
          <w:rFonts w:ascii="Times New Roman" w:hAnsi="Times New Roman"/>
          <w:b/>
          <w:color w:val="0A192F"/>
          <w:sz w:val="26"/>
        </w:rPr>
        <w:t>IV. METHODOLOGY: QUANTUM PROMPT OPTIMIZATION</w:t>
      </w:r>
    </w:p>
    <w:p>
      <w:pPr>
        <w:spacing w:after="120" w:line="276" w:lineRule="auto"/>
      </w:pPr>
      <w:r>
        <w:t>When an agent is created, the system generates n candidate prompt variants through semantic projection (strict bounds, conversational warmth, token conciseness, structured headers). The selection of the optimal candidate is cast as a Quadratic Unconstrained Binary Optimization (QUBO) problem.</w:t>
      </w:r>
    </w:p>
    <w:p>
      <w:pPr>
        <w:keepNext/>
        <w:spacing w:before="240" w:after="80"/>
      </w:pPr>
      <w:r>
        <w:rPr>
          <w:rFonts w:ascii="Times New Roman" w:hAnsi="Times New Roman"/>
          <w:b/>
          <w:color w:val="1E3C5A"/>
          <w:sz w:val="23"/>
        </w:rPr>
        <w:t>A. Multi-Criteria Objective Function</w:t>
      </w:r>
    </w:p>
    <w:p>
      <w:pPr>
        <w:spacing w:after="120" w:line="276" w:lineRule="auto"/>
      </w:pPr>
      <w:r>
        <w:t>Each candidate P_i is scored across five orthogonal criteria:</w:t>
        <w:br/>
        <w:t>1. Detail Retention (R_detail): Keyword overlap with the seed prompt.</w:t>
        <w:br/>
        <w:t>2. Role Definition (Phi_role): Explicit identity directives.</w:t>
        <w:br/>
        <w:t>3. Boundary Imperatives (Phi_bound): Strict constraint primitives ('never', 'must', 'ensure').</w:t>
        <w:br/>
        <w:t>4. Voice Prosody (Phi_flow): Spoken turn markers ('one question', 'spoken', 'concise').</w:t>
        <w:br/>
        <w:t>5. Artifact Penalties (P_art): Heavy deductions for markdown, code blocks, or assistant preambles.</w:t>
      </w:r>
    </w:p>
    <w:p>
      <w:pPr>
        <w:spacing w:after="120" w:line="276" w:lineRule="auto"/>
      </w:pPr>
      <w:r>
        <w:t>The composite fitness score for candidate i is expressed as:</w:t>
        <w:br/>
        <w:t>S_i = 0.40 * R_detail(P_i) + 0.25 * Phi_bound(P_i) + 0.25 * Phi_flow(P_i) + 0.20 * eta_token(P_i) - P_art(P_i)</w:t>
      </w:r>
    </w:p>
    <w:p>
      <w:pPr>
        <w:keepNext/>
        <w:spacing w:before="240" w:after="80"/>
      </w:pPr>
      <w:r>
        <w:rPr>
          <w:rFonts w:ascii="Times New Roman" w:hAnsi="Times New Roman"/>
          <w:b/>
          <w:color w:val="1E3C5A"/>
          <w:sz w:val="23"/>
        </w:rPr>
        <w:t>B. QUBO and Ising Hamiltonian Mapping</w:t>
      </w:r>
    </w:p>
    <w:p>
      <w:pPr>
        <w:spacing w:after="120" w:line="276" w:lineRule="auto"/>
      </w:pPr>
      <w:r>
        <w:t>We define binary variables x_i in {0, 1} for each candidate. The constrained optimization:</w:t>
        <w:br/>
        <w:t>max sum(S_i * x_i)  subject to  sum(x_i) = 1</w:t>
        <w:br/>
        <w:t>is converted to an unconstrained minimization problem by introducing a penalty parameter lambda &gt; max(S_i):</w:t>
        <w:br/>
        <w:t>min Q(x) = -sum(S_i * x_i) + lambda * (sum(x_i) - 1)^2</w:t>
        <w:br/>
        <w:t>Expanding the quadratic term yields the QUBO matrix:</w:t>
        <w:br/>
        <w:t>Q(x) = sum_i (-S_i - lambda) * x_i + 2*lambda * sum_{i &lt; j} x_i * x_j</w:t>
      </w:r>
    </w:p>
    <w:p>
      <w:pPr>
        <w:spacing w:after="120" w:line="276" w:lineRule="auto"/>
      </w:pPr>
      <w:r>
        <w:t>Mapping binary variables to Pauli spin-1/2 operators via x_i = (I - sigma_i^z)/2 yields the Ising spin Hamiltonian:</w:t>
        <w:br/>
        <w:t>H_C = sum_i h_i * sigma_i^z + sum_{i &lt; j} J_ij * sigma_i^z * sigma_j^z + const</w:t>
        <w:br/>
        <w:t>The ground state |x*&gt; is solved using IBM Qiskit's MinimumEigenOptimizer with NumPyMinimumEigensolver and QAOA variational circuits.</w:t>
      </w:r>
    </w:p>
    <w:p>
      <w:pPr>
        <w:keepNext/>
        <w:spacing w:before="320" w:after="120"/>
      </w:pPr>
      <w:r>
        <w:rPr>
          <w:rFonts w:ascii="Times New Roman" w:hAnsi="Times New Roman"/>
          <w:b/>
          <w:color w:val="0A192F"/>
          <w:sz w:val="26"/>
        </w:rPr>
        <w:t>V. EXPERIMENTAL SETUP &amp; EVALUATION METRICS</w:t>
      </w:r>
    </w:p>
    <w:p>
      <w:pPr>
        <w:spacing w:after="120" w:line="276" w:lineRule="auto"/>
      </w:pPr>
      <w:r>
        <w:t>We implemented a complete benchmark evaluation suite (evaluate_prompt_optimization.py) and evaluated 5 distinct techniques across benchmark domains (Hospitality Concierge and Medical Clinic Intake). The results are summarized below.</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1E3A5F"/>
            <w:tcMar>
              <w:top w:w="80" w:type="dxa"/>
              <w:bottom w:w="80" w:type="dxa"/>
              <w:left w:w="100" w:type="dxa"/>
              <w:right w:w="100" w:type="dxa"/>
            </w:tcMar>
          </w:tcPr>
          <w:p>
            <w:pPr>
              <w:jc w:val="center"/>
            </w:pPr>
            <w:r>
              <w:rPr>
                <w:b/>
                <w:color w:val="FFFFFF"/>
                <w:sz w:val="17"/>
              </w:rPr>
              <w:t>Technique</w:t>
            </w:r>
          </w:p>
        </w:tc>
        <w:tc>
          <w:tcPr>
            <w:tcW w:type="dxa" w:w="1008"/>
            <w:shd w:fill="1E3A5F"/>
            <w:tcMar>
              <w:top w:w="80" w:type="dxa"/>
              <w:bottom w:w="80" w:type="dxa"/>
              <w:left w:w="100" w:type="dxa"/>
              <w:right w:w="100" w:type="dxa"/>
            </w:tcMar>
          </w:tcPr>
          <w:p>
            <w:pPr>
              <w:jc w:val="center"/>
            </w:pPr>
            <w:r>
              <w:rPr>
                <w:b/>
                <w:color w:val="FFFFFF"/>
                <w:sz w:val="17"/>
              </w:rPr>
              <w:t>Fitness</w:t>
            </w:r>
          </w:p>
        </w:tc>
        <w:tc>
          <w:tcPr>
            <w:tcW w:type="dxa" w:w="1008"/>
            <w:shd w:fill="1E3A5F"/>
            <w:tcMar>
              <w:top w:w="80" w:type="dxa"/>
              <w:bottom w:w="80" w:type="dxa"/>
              <w:left w:w="100" w:type="dxa"/>
              <w:right w:w="100" w:type="dxa"/>
            </w:tcMar>
          </w:tcPr>
          <w:p>
            <w:pPr>
              <w:jc w:val="center"/>
            </w:pPr>
            <w:r>
              <w:rPr>
                <w:b/>
                <w:color w:val="FFFFFF"/>
                <w:sz w:val="17"/>
              </w:rPr>
              <w:t>Retention</w:t>
            </w:r>
          </w:p>
        </w:tc>
        <w:tc>
          <w:tcPr>
            <w:tcW w:type="dxa" w:w="1008"/>
            <w:shd w:fill="1E3A5F"/>
            <w:tcMar>
              <w:top w:w="80" w:type="dxa"/>
              <w:bottom w:w="80" w:type="dxa"/>
              <w:left w:w="100" w:type="dxa"/>
              <w:right w:w="100" w:type="dxa"/>
            </w:tcMar>
          </w:tcPr>
          <w:p>
            <w:pPr>
              <w:jc w:val="center"/>
            </w:pPr>
            <w:r>
              <w:rPr>
                <w:b/>
                <w:color w:val="FFFFFF"/>
                <w:sz w:val="17"/>
              </w:rPr>
              <w:t>Voice</w:t>
            </w:r>
          </w:p>
        </w:tc>
        <w:tc>
          <w:tcPr>
            <w:tcW w:type="dxa" w:w="864"/>
            <w:shd w:fill="1E3A5F"/>
            <w:tcMar>
              <w:top w:w="80" w:type="dxa"/>
              <w:bottom w:w="80" w:type="dxa"/>
              <w:left w:w="100" w:type="dxa"/>
              <w:right w:w="100" w:type="dxa"/>
            </w:tcMar>
          </w:tcPr>
          <w:p>
            <w:pPr>
              <w:jc w:val="center"/>
            </w:pPr>
            <w:r>
              <w:rPr>
                <w:b/>
                <w:color w:val="FFFFFF"/>
                <w:sz w:val="17"/>
              </w:rPr>
              <w:t>Guard</w:t>
            </w:r>
          </w:p>
        </w:tc>
        <w:tc>
          <w:tcPr>
            <w:tcW w:type="dxa" w:w="864"/>
            <w:shd w:fill="1E3A5F"/>
            <w:tcMar>
              <w:top w:w="80" w:type="dxa"/>
              <w:bottom w:w="80" w:type="dxa"/>
              <w:left w:w="100" w:type="dxa"/>
              <w:right w:w="100" w:type="dxa"/>
            </w:tcMar>
          </w:tcPr>
          <w:p>
            <w:pPr>
              <w:jc w:val="center"/>
            </w:pPr>
            <w:r>
              <w:rPr>
                <w:b/>
                <w:color w:val="FFFFFF"/>
                <w:sz w:val="17"/>
              </w:rPr>
              <w:t>Tokens</w:t>
            </w:r>
          </w:p>
        </w:tc>
        <w:tc>
          <w:tcPr>
            <w:tcW w:type="dxa" w:w="1008"/>
            <w:shd w:fill="1E3A5F"/>
            <w:tcMar>
              <w:top w:w="80" w:type="dxa"/>
              <w:bottom w:w="80" w:type="dxa"/>
              <w:left w:w="100" w:type="dxa"/>
              <w:right w:w="100" w:type="dxa"/>
            </w:tcMar>
          </w:tcPr>
          <w:p>
            <w:pPr>
              <w:jc w:val="center"/>
            </w:pPr>
            <w:r>
              <w:rPr>
                <w:b/>
                <w:color w:val="FFFFFF"/>
                <w:sz w:val="17"/>
              </w:rPr>
              <w:t>TTFT</w:t>
            </w:r>
          </w:p>
        </w:tc>
        <w:tc>
          <w:tcPr>
            <w:tcW w:type="dxa" w:w="1008"/>
            <w:shd w:fill="1E3A5F"/>
            <w:tcMar>
              <w:top w:w="80" w:type="dxa"/>
              <w:bottom w:w="80" w:type="dxa"/>
              <w:left w:w="100" w:type="dxa"/>
              <w:right w:w="100" w:type="dxa"/>
            </w:tcMar>
          </w:tcPr>
          <w:p>
            <w:pPr>
              <w:jc w:val="center"/>
            </w:pPr>
            <w:r>
              <w:rPr>
                <w:b/>
                <w:color w:val="FFFFFF"/>
                <w:sz w:val="17"/>
              </w:rPr>
              <w:t>Opt Time</w:t>
            </w:r>
          </w:p>
        </w:tc>
      </w:tr>
      <w:tr>
        <w:tc>
          <w:tcPr>
            <w:tcW w:type="dxa" w:w="2592"/>
            <w:shd w:fill="FFFFFF"/>
            <w:tcMar>
              <w:top w:w="60" w:type="dxa"/>
              <w:bottom w:w="60" w:type="dxa"/>
              <w:left w:w="100" w:type="dxa"/>
              <w:right w:w="100" w:type="dxa"/>
            </w:tcMar>
          </w:tcPr>
          <w:p>
            <w:r>
              <w:rPr>
                <w:sz w:val="17"/>
              </w:rPr>
              <w:t>1. Normal (Baseline)</w:t>
            </w:r>
          </w:p>
        </w:tc>
        <w:tc>
          <w:tcPr>
            <w:tcW w:type="dxa" w:w="1008"/>
            <w:shd w:fill="FFFFFF"/>
            <w:tcMar>
              <w:top w:w="60" w:type="dxa"/>
              <w:bottom w:w="60" w:type="dxa"/>
              <w:left w:w="100" w:type="dxa"/>
              <w:right w:w="100" w:type="dxa"/>
            </w:tcMar>
          </w:tcPr>
          <w:p>
            <w:pPr>
              <w:jc w:val="center"/>
            </w:pPr>
            <w:r>
              <w:rPr>
                <w:sz w:val="17"/>
              </w:rPr>
              <w:t>69.1</w:t>
            </w:r>
          </w:p>
        </w:tc>
        <w:tc>
          <w:tcPr>
            <w:tcW w:type="dxa" w:w="1008"/>
            <w:shd w:fill="FFFFFF"/>
            <w:tcMar>
              <w:top w:w="60" w:type="dxa"/>
              <w:bottom w:w="60" w:type="dxa"/>
              <w:left w:w="100" w:type="dxa"/>
              <w:right w:w="100" w:type="dxa"/>
            </w:tcMar>
          </w:tcPr>
          <w:p>
            <w:pPr>
              <w:jc w:val="center"/>
            </w:pPr>
            <w:r>
              <w:rPr>
                <w:sz w:val="17"/>
              </w:rPr>
              <w:t>100.0%</w:t>
            </w:r>
          </w:p>
        </w:tc>
        <w:tc>
          <w:tcPr>
            <w:tcW w:type="dxa" w:w="1008"/>
            <w:shd w:fill="FFFFFF"/>
            <w:tcMar>
              <w:top w:w="60" w:type="dxa"/>
              <w:bottom w:w="60" w:type="dxa"/>
              <w:left w:w="100" w:type="dxa"/>
              <w:right w:w="100" w:type="dxa"/>
            </w:tcMar>
          </w:tcPr>
          <w:p>
            <w:pPr>
              <w:jc w:val="center"/>
            </w:pPr>
            <w:r>
              <w:rPr>
                <w:sz w:val="17"/>
              </w:rPr>
              <w:t>50.0%</w:t>
            </w:r>
          </w:p>
        </w:tc>
        <w:tc>
          <w:tcPr>
            <w:tcW w:type="dxa" w:w="864"/>
            <w:shd w:fill="FFFFFF"/>
            <w:tcMar>
              <w:top w:w="60" w:type="dxa"/>
              <w:bottom w:w="60" w:type="dxa"/>
              <w:left w:w="100" w:type="dxa"/>
              <w:right w:w="100" w:type="dxa"/>
            </w:tcMar>
          </w:tcPr>
          <w:p>
            <w:pPr>
              <w:jc w:val="center"/>
            </w:pPr>
            <w:r>
              <w:rPr>
                <w:sz w:val="17"/>
              </w:rPr>
              <w:t>6.2%</w:t>
            </w:r>
          </w:p>
        </w:tc>
        <w:tc>
          <w:tcPr>
            <w:tcW w:type="dxa" w:w="864"/>
            <w:shd w:fill="FFFFFF"/>
            <w:tcMar>
              <w:top w:w="60" w:type="dxa"/>
              <w:bottom w:w="60" w:type="dxa"/>
              <w:left w:w="100" w:type="dxa"/>
              <w:right w:w="100" w:type="dxa"/>
            </w:tcMar>
          </w:tcPr>
          <w:p>
            <w:pPr>
              <w:jc w:val="center"/>
            </w:pPr>
            <w:r>
              <w:rPr>
                <w:sz w:val="17"/>
              </w:rPr>
              <w:t>62</w:t>
            </w:r>
          </w:p>
        </w:tc>
        <w:tc>
          <w:tcPr>
            <w:tcW w:type="dxa" w:w="1008"/>
            <w:shd w:fill="FFFFFF"/>
            <w:tcMar>
              <w:top w:w="60" w:type="dxa"/>
              <w:bottom w:w="60" w:type="dxa"/>
              <w:left w:w="100" w:type="dxa"/>
              <w:right w:w="100" w:type="dxa"/>
            </w:tcMar>
          </w:tcPr>
          <w:p>
            <w:pPr>
              <w:jc w:val="center"/>
            </w:pPr>
            <w:r>
              <w:rPr>
                <w:sz w:val="17"/>
              </w:rPr>
              <w:t>148.1 ms</w:t>
            </w:r>
          </w:p>
        </w:tc>
        <w:tc>
          <w:tcPr>
            <w:tcW w:type="dxa" w:w="1008"/>
            <w:shd w:fill="FFFFFF"/>
            <w:tcMar>
              <w:top w:w="60" w:type="dxa"/>
              <w:bottom w:w="60" w:type="dxa"/>
              <w:left w:w="100" w:type="dxa"/>
              <w:right w:w="100" w:type="dxa"/>
            </w:tcMar>
          </w:tcPr>
          <w:p>
            <w:pPr>
              <w:jc w:val="center"/>
            </w:pPr>
            <w:r>
              <w:rPr>
                <w:sz w:val="17"/>
              </w:rPr>
              <w:t>0.001 ms</w:t>
            </w:r>
          </w:p>
        </w:tc>
      </w:tr>
      <w:tr>
        <w:tc>
          <w:tcPr>
            <w:tcW w:type="dxa" w:w="2592"/>
            <w:shd w:fill="F4F7FA"/>
            <w:tcMar>
              <w:top w:w="60" w:type="dxa"/>
              <w:bottom w:w="60" w:type="dxa"/>
              <w:left w:w="100" w:type="dxa"/>
              <w:right w:w="100" w:type="dxa"/>
            </w:tcMar>
          </w:tcPr>
          <w:p>
            <w:r>
              <w:rPr>
                <w:sz w:val="17"/>
              </w:rPr>
              <w:t>2. Random Template</w:t>
            </w:r>
          </w:p>
        </w:tc>
        <w:tc>
          <w:tcPr>
            <w:tcW w:type="dxa" w:w="1008"/>
            <w:shd w:fill="F4F7FA"/>
            <w:tcMar>
              <w:top w:w="60" w:type="dxa"/>
              <w:bottom w:w="60" w:type="dxa"/>
              <w:left w:w="100" w:type="dxa"/>
              <w:right w:w="100" w:type="dxa"/>
            </w:tcMar>
          </w:tcPr>
          <w:p>
            <w:pPr>
              <w:jc w:val="center"/>
            </w:pPr>
            <w:r>
              <w:rPr>
                <w:sz w:val="17"/>
              </w:rPr>
              <w:t>21.8</w:t>
            </w:r>
          </w:p>
        </w:tc>
        <w:tc>
          <w:tcPr>
            <w:tcW w:type="dxa" w:w="1008"/>
            <w:shd w:fill="F4F7FA"/>
            <w:tcMar>
              <w:top w:w="60" w:type="dxa"/>
              <w:bottom w:w="60" w:type="dxa"/>
              <w:left w:w="100" w:type="dxa"/>
              <w:right w:w="100" w:type="dxa"/>
            </w:tcMar>
          </w:tcPr>
          <w:p>
            <w:pPr>
              <w:jc w:val="center"/>
            </w:pPr>
            <w:r>
              <w:rPr>
                <w:sz w:val="17"/>
              </w:rPr>
              <w:t>45.1%</w:t>
            </w:r>
          </w:p>
        </w:tc>
        <w:tc>
          <w:tcPr>
            <w:tcW w:type="dxa" w:w="1008"/>
            <w:shd w:fill="F4F7FA"/>
            <w:tcMar>
              <w:top w:w="60" w:type="dxa"/>
              <w:bottom w:w="60" w:type="dxa"/>
              <w:left w:w="100" w:type="dxa"/>
              <w:right w:w="100" w:type="dxa"/>
            </w:tcMar>
          </w:tcPr>
          <w:p>
            <w:pPr>
              <w:jc w:val="center"/>
            </w:pPr>
            <w:r>
              <w:rPr>
                <w:sz w:val="17"/>
              </w:rPr>
              <w:t>50.0%</w:t>
            </w:r>
          </w:p>
        </w:tc>
        <w:tc>
          <w:tcPr>
            <w:tcW w:type="dxa" w:w="864"/>
            <w:shd w:fill="F4F7FA"/>
            <w:tcMar>
              <w:top w:w="60" w:type="dxa"/>
              <w:bottom w:w="60" w:type="dxa"/>
              <w:left w:w="100" w:type="dxa"/>
              <w:right w:w="100" w:type="dxa"/>
            </w:tcMar>
          </w:tcPr>
          <w:p>
            <w:pPr>
              <w:jc w:val="center"/>
            </w:pPr>
            <w:r>
              <w:rPr>
                <w:sz w:val="17"/>
              </w:rPr>
              <w:t>7.3%</w:t>
            </w:r>
          </w:p>
        </w:tc>
        <w:tc>
          <w:tcPr>
            <w:tcW w:type="dxa" w:w="864"/>
            <w:shd w:fill="F4F7FA"/>
            <w:tcMar>
              <w:top w:w="60" w:type="dxa"/>
              <w:bottom w:w="60" w:type="dxa"/>
              <w:left w:w="100" w:type="dxa"/>
              <w:right w:w="100" w:type="dxa"/>
            </w:tcMar>
          </w:tcPr>
          <w:p>
            <w:pPr>
              <w:jc w:val="center"/>
            </w:pPr>
            <w:r>
              <w:rPr>
                <w:sz w:val="17"/>
              </w:rPr>
              <w:t>50</w:t>
            </w:r>
          </w:p>
        </w:tc>
        <w:tc>
          <w:tcPr>
            <w:tcW w:type="dxa" w:w="1008"/>
            <w:shd w:fill="F4F7FA"/>
            <w:tcMar>
              <w:top w:w="60" w:type="dxa"/>
              <w:bottom w:w="60" w:type="dxa"/>
              <w:left w:w="100" w:type="dxa"/>
              <w:right w:w="100" w:type="dxa"/>
            </w:tcMar>
          </w:tcPr>
          <w:p>
            <w:pPr>
              <w:jc w:val="center"/>
            </w:pPr>
            <w:r>
              <w:rPr>
                <w:sz w:val="17"/>
              </w:rPr>
              <w:t>143.0 ms</w:t>
            </w:r>
          </w:p>
        </w:tc>
        <w:tc>
          <w:tcPr>
            <w:tcW w:type="dxa" w:w="1008"/>
            <w:shd w:fill="F4F7FA"/>
            <w:tcMar>
              <w:top w:w="60" w:type="dxa"/>
              <w:bottom w:w="60" w:type="dxa"/>
              <w:left w:w="100" w:type="dxa"/>
              <w:right w:w="100" w:type="dxa"/>
            </w:tcMar>
          </w:tcPr>
          <w:p>
            <w:pPr>
              <w:jc w:val="center"/>
            </w:pPr>
            <w:r>
              <w:rPr>
                <w:sz w:val="17"/>
              </w:rPr>
              <w:t>0.010 ms</w:t>
            </w:r>
          </w:p>
        </w:tc>
      </w:tr>
      <w:tr>
        <w:tc>
          <w:tcPr>
            <w:tcW w:type="dxa" w:w="2592"/>
            <w:shd w:fill="FFFFFF"/>
            <w:tcMar>
              <w:top w:w="60" w:type="dxa"/>
              <w:bottom w:w="60" w:type="dxa"/>
              <w:left w:w="100" w:type="dxa"/>
              <w:right w:w="100" w:type="dxa"/>
            </w:tcMar>
          </w:tcPr>
          <w:p>
            <w:r>
              <w:rPr>
                <w:sz w:val="17"/>
              </w:rPr>
              <w:t>3. Classical Greedy</w:t>
            </w:r>
          </w:p>
        </w:tc>
        <w:tc>
          <w:tcPr>
            <w:tcW w:type="dxa" w:w="1008"/>
            <w:shd w:fill="FFFFFF"/>
            <w:tcMar>
              <w:top w:w="60" w:type="dxa"/>
              <w:bottom w:w="60" w:type="dxa"/>
              <w:left w:w="100" w:type="dxa"/>
              <w:right w:w="100" w:type="dxa"/>
            </w:tcMar>
          </w:tcPr>
          <w:p>
            <w:pPr>
              <w:jc w:val="center"/>
            </w:pPr>
            <w:r>
              <w:rPr>
                <w:sz w:val="17"/>
              </w:rPr>
              <w:t>76.1</w:t>
            </w:r>
          </w:p>
        </w:tc>
        <w:tc>
          <w:tcPr>
            <w:tcW w:type="dxa" w:w="1008"/>
            <w:shd w:fill="FFFFFF"/>
            <w:tcMar>
              <w:top w:w="60" w:type="dxa"/>
              <w:bottom w:w="60" w:type="dxa"/>
              <w:left w:w="100" w:type="dxa"/>
              <w:right w:w="100" w:type="dxa"/>
            </w:tcMar>
          </w:tcPr>
          <w:p>
            <w:pPr>
              <w:jc w:val="center"/>
            </w:pPr>
            <w:r>
              <w:rPr>
                <w:sz w:val="17"/>
              </w:rPr>
              <w:t>74.9%</w:t>
            </w:r>
          </w:p>
        </w:tc>
        <w:tc>
          <w:tcPr>
            <w:tcW w:type="dxa" w:w="1008"/>
            <w:shd w:fill="FFFFFF"/>
            <w:tcMar>
              <w:top w:w="60" w:type="dxa"/>
              <w:bottom w:w="60" w:type="dxa"/>
              <w:left w:w="100" w:type="dxa"/>
              <w:right w:w="100" w:type="dxa"/>
            </w:tcMar>
          </w:tcPr>
          <w:p>
            <w:pPr>
              <w:jc w:val="center"/>
            </w:pPr>
            <w:r>
              <w:rPr>
                <w:sz w:val="17"/>
              </w:rPr>
              <w:t>90.0%</w:t>
            </w:r>
          </w:p>
        </w:tc>
        <w:tc>
          <w:tcPr>
            <w:tcW w:type="dxa" w:w="864"/>
            <w:shd w:fill="FFFFFF"/>
            <w:tcMar>
              <w:top w:w="60" w:type="dxa"/>
              <w:bottom w:w="60" w:type="dxa"/>
              <w:left w:w="100" w:type="dxa"/>
              <w:right w:w="100" w:type="dxa"/>
            </w:tcMar>
          </w:tcPr>
          <w:p>
            <w:pPr>
              <w:jc w:val="center"/>
            </w:pPr>
            <w:r>
              <w:rPr>
                <w:sz w:val="17"/>
              </w:rPr>
              <w:t>18.8%</w:t>
            </w:r>
          </w:p>
        </w:tc>
        <w:tc>
          <w:tcPr>
            <w:tcW w:type="dxa" w:w="864"/>
            <w:shd w:fill="FFFFFF"/>
            <w:tcMar>
              <w:top w:w="60" w:type="dxa"/>
              <w:bottom w:w="60" w:type="dxa"/>
              <w:left w:w="100" w:type="dxa"/>
              <w:right w:w="100" w:type="dxa"/>
            </w:tcMar>
          </w:tcPr>
          <w:p>
            <w:pPr>
              <w:jc w:val="center"/>
            </w:pPr>
            <w:r>
              <w:rPr>
                <w:sz w:val="17"/>
              </w:rPr>
              <w:t>85</w:t>
            </w:r>
          </w:p>
        </w:tc>
        <w:tc>
          <w:tcPr>
            <w:tcW w:type="dxa" w:w="1008"/>
            <w:shd w:fill="FFFFFF"/>
            <w:tcMar>
              <w:top w:w="60" w:type="dxa"/>
              <w:bottom w:w="60" w:type="dxa"/>
              <w:left w:w="100" w:type="dxa"/>
              <w:right w:w="100" w:type="dxa"/>
            </w:tcMar>
          </w:tcPr>
          <w:p>
            <w:pPr>
              <w:jc w:val="center"/>
            </w:pPr>
            <w:r>
              <w:rPr>
                <w:sz w:val="17"/>
              </w:rPr>
              <w:t>158.4 ms</w:t>
            </w:r>
          </w:p>
        </w:tc>
        <w:tc>
          <w:tcPr>
            <w:tcW w:type="dxa" w:w="1008"/>
            <w:shd w:fill="FFFFFF"/>
            <w:tcMar>
              <w:top w:w="60" w:type="dxa"/>
              <w:bottom w:w="60" w:type="dxa"/>
              <w:left w:w="100" w:type="dxa"/>
              <w:right w:w="100" w:type="dxa"/>
            </w:tcMar>
          </w:tcPr>
          <w:p>
            <w:pPr>
              <w:jc w:val="center"/>
            </w:pPr>
            <w:r>
              <w:rPr>
                <w:sz w:val="17"/>
              </w:rPr>
              <w:t>0.005 ms</w:t>
            </w:r>
          </w:p>
        </w:tc>
      </w:tr>
      <w:tr>
        <w:tc>
          <w:tcPr>
            <w:tcW w:type="dxa" w:w="2592"/>
            <w:shd w:fill="F4F7FA"/>
            <w:tcMar>
              <w:top w:w="60" w:type="dxa"/>
              <w:bottom w:w="60" w:type="dxa"/>
              <w:left w:w="100" w:type="dxa"/>
              <w:right w:w="100" w:type="dxa"/>
            </w:tcMar>
          </w:tcPr>
          <w:p>
            <w:r>
              <w:rPr>
                <w:sz w:val="17"/>
              </w:rPr>
              <w:t>4. Simulated Anneal</w:t>
            </w:r>
          </w:p>
        </w:tc>
        <w:tc>
          <w:tcPr>
            <w:tcW w:type="dxa" w:w="1008"/>
            <w:shd w:fill="F4F7FA"/>
            <w:tcMar>
              <w:top w:w="60" w:type="dxa"/>
              <w:bottom w:w="60" w:type="dxa"/>
              <w:left w:w="100" w:type="dxa"/>
              <w:right w:w="100" w:type="dxa"/>
            </w:tcMar>
          </w:tcPr>
          <w:p>
            <w:pPr>
              <w:jc w:val="center"/>
            </w:pPr>
            <w:r>
              <w:rPr>
                <w:sz w:val="17"/>
              </w:rPr>
              <w:t>76.1</w:t>
            </w:r>
          </w:p>
        </w:tc>
        <w:tc>
          <w:tcPr>
            <w:tcW w:type="dxa" w:w="1008"/>
            <w:shd w:fill="F4F7FA"/>
            <w:tcMar>
              <w:top w:w="60" w:type="dxa"/>
              <w:bottom w:w="60" w:type="dxa"/>
              <w:left w:w="100" w:type="dxa"/>
              <w:right w:w="100" w:type="dxa"/>
            </w:tcMar>
          </w:tcPr>
          <w:p>
            <w:pPr>
              <w:jc w:val="center"/>
            </w:pPr>
            <w:r>
              <w:rPr>
                <w:sz w:val="17"/>
              </w:rPr>
              <w:t>74.9%</w:t>
            </w:r>
          </w:p>
        </w:tc>
        <w:tc>
          <w:tcPr>
            <w:tcW w:type="dxa" w:w="1008"/>
            <w:shd w:fill="F4F7FA"/>
            <w:tcMar>
              <w:top w:w="60" w:type="dxa"/>
              <w:bottom w:w="60" w:type="dxa"/>
              <w:left w:w="100" w:type="dxa"/>
              <w:right w:w="100" w:type="dxa"/>
            </w:tcMar>
          </w:tcPr>
          <w:p>
            <w:pPr>
              <w:jc w:val="center"/>
            </w:pPr>
            <w:r>
              <w:rPr>
                <w:sz w:val="17"/>
              </w:rPr>
              <w:t>90.0%</w:t>
            </w:r>
          </w:p>
        </w:tc>
        <w:tc>
          <w:tcPr>
            <w:tcW w:type="dxa" w:w="864"/>
            <w:shd w:fill="F4F7FA"/>
            <w:tcMar>
              <w:top w:w="60" w:type="dxa"/>
              <w:bottom w:w="60" w:type="dxa"/>
              <w:left w:w="100" w:type="dxa"/>
              <w:right w:w="100" w:type="dxa"/>
            </w:tcMar>
          </w:tcPr>
          <w:p>
            <w:pPr>
              <w:jc w:val="center"/>
            </w:pPr>
            <w:r>
              <w:rPr>
                <w:sz w:val="17"/>
              </w:rPr>
              <w:t>18.8%</w:t>
            </w:r>
          </w:p>
        </w:tc>
        <w:tc>
          <w:tcPr>
            <w:tcW w:type="dxa" w:w="864"/>
            <w:shd w:fill="F4F7FA"/>
            <w:tcMar>
              <w:top w:w="60" w:type="dxa"/>
              <w:bottom w:w="60" w:type="dxa"/>
              <w:left w:w="100" w:type="dxa"/>
              <w:right w:w="100" w:type="dxa"/>
            </w:tcMar>
          </w:tcPr>
          <w:p>
            <w:pPr>
              <w:jc w:val="center"/>
            </w:pPr>
            <w:r>
              <w:rPr>
                <w:sz w:val="17"/>
              </w:rPr>
              <w:t>85</w:t>
            </w:r>
          </w:p>
        </w:tc>
        <w:tc>
          <w:tcPr>
            <w:tcW w:type="dxa" w:w="1008"/>
            <w:shd w:fill="F4F7FA"/>
            <w:tcMar>
              <w:top w:w="60" w:type="dxa"/>
              <w:bottom w:w="60" w:type="dxa"/>
              <w:left w:w="100" w:type="dxa"/>
              <w:right w:w="100" w:type="dxa"/>
            </w:tcMar>
          </w:tcPr>
          <w:p>
            <w:pPr>
              <w:jc w:val="center"/>
            </w:pPr>
            <w:r>
              <w:rPr>
                <w:sz w:val="17"/>
              </w:rPr>
              <w:t>158.4 ms</w:t>
            </w:r>
          </w:p>
        </w:tc>
        <w:tc>
          <w:tcPr>
            <w:tcW w:type="dxa" w:w="1008"/>
            <w:shd w:fill="F4F7FA"/>
            <w:tcMar>
              <w:top w:w="60" w:type="dxa"/>
              <w:bottom w:w="60" w:type="dxa"/>
              <w:left w:w="100" w:type="dxa"/>
              <w:right w:w="100" w:type="dxa"/>
            </w:tcMar>
          </w:tcPr>
          <w:p>
            <w:pPr>
              <w:jc w:val="center"/>
            </w:pPr>
            <w:r>
              <w:rPr>
                <w:sz w:val="17"/>
              </w:rPr>
              <w:t>2.784 ms</w:t>
            </w:r>
          </w:p>
        </w:tc>
      </w:tr>
      <w:tr>
        <w:tc>
          <w:tcPr>
            <w:tcW w:type="dxa" w:w="2592"/>
            <w:shd w:fill="E8F4E8"/>
            <w:tcMar>
              <w:top w:w="60" w:type="dxa"/>
              <w:bottom w:w="60" w:type="dxa"/>
              <w:left w:w="100" w:type="dxa"/>
              <w:right w:w="100" w:type="dxa"/>
            </w:tcMar>
          </w:tcPr>
          <w:p>
            <w:r>
              <w:rPr>
                <w:b/>
                <w:sz w:val="17"/>
              </w:rPr>
              <w:t>5. Quantum QUBO/QAOA</w:t>
            </w:r>
          </w:p>
        </w:tc>
        <w:tc>
          <w:tcPr>
            <w:tcW w:type="dxa" w:w="1008"/>
            <w:shd w:fill="E8F4E8"/>
            <w:tcMar>
              <w:top w:w="60" w:type="dxa"/>
              <w:bottom w:w="60" w:type="dxa"/>
              <w:left w:w="100" w:type="dxa"/>
              <w:right w:w="100" w:type="dxa"/>
            </w:tcMar>
          </w:tcPr>
          <w:p>
            <w:pPr>
              <w:jc w:val="center"/>
            </w:pPr>
            <w:r>
              <w:rPr>
                <w:b/>
                <w:sz w:val="17"/>
              </w:rPr>
              <w:t>76.1</w:t>
            </w:r>
          </w:p>
        </w:tc>
        <w:tc>
          <w:tcPr>
            <w:tcW w:type="dxa" w:w="1008"/>
            <w:shd w:fill="E8F4E8"/>
            <w:tcMar>
              <w:top w:w="60" w:type="dxa"/>
              <w:bottom w:w="60" w:type="dxa"/>
              <w:left w:w="100" w:type="dxa"/>
              <w:right w:w="100" w:type="dxa"/>
            </w:tcMar>
          </w:tcPr>
          <w:p>
            <w:pPr>
              <w:jc w:val="center"/>
            </w:pPr>
            <w:r>
              <w:rPr>
                <w:b/>
                <w:sz w:val="17"/>
              </w:rPr>
              <w:t>74.9%</w:t>
            </w:r>
          </w:p>
        </w:tc>
        <w:tc>
          <w:tcPr>
            <w:tcW w:type="dxa" w:w="1008"/>
            <w:shd w:fill="E8F4E8"/>
            <w:tcMar>
              <w:top w:w="60" w:type="dxa"/>
              <w:bottom w:w="60" w:type="dxa"/>
              <w:left w:w="100" w:type="dxa"/>
              <w:right w:w="100" w:type="dxa"/>
            </w:tcMar>
          </w:tcPr>
          <w:p>
            <w:pPr>
              <w:jc w:val="center"/>
            </w:pPr>
            <w:r>
              <w:rPr>
                <w:b/>
                <w:sz w:val="17"/>
              </w:rPr>
              <w:t>90.0%</w:t>
            </w:r>
          </w:p>
        </w:tc>
        <w:tc>
          <w:tcPr>
            <w:tcW w:type="dxa" w:w="864"/>
            <w:shd w:fill="E8F4E8"/>
            <w:tcMar>
              <w:top w:w="60" w:type="dxa"/>
              <w:bottom w:w="60" w:type="dxa"/>
              <w:left w:w="100" w:type="dxa"/>
              <w:right w:w="100" w:type="dxa"/>
            </w:tcMar>
          </w:tcPr>
          <w:p>
            <w:pPr>
              <w:jc w:val="center"/>
            </w:pPr>
            <w:r>
              <w:rPr>
                <w:b/>
                <w:sz w:val="17"/>
              </w:rPr>
              <w:t>18.8%</w:t>
            </w:r>
          </w:p>
        </w:tc>
        <w:tc>
          <w:tcPr>
            <w:tcW w:type="dxa" w:w="864"/>
            <w:shd w:fill="E8F4E8"/>
            <w:tcMar>
              <w:top w:w="60" w:type="dxa"/>
              <w:bottom w:w="60" w:type="dxa"/>
              <w:left w:w="100" w:type="dxa"/>
              <w:right w:w="100" w:type="dxa"/>
            </w:tcMar>
          </w:tcPr>
          <w:p>
            <w:pPr>
              <w:jc w:val="center"/>
            </w:pPr>
            <w:r>
              <w:rPr>
                <w:b/>
                <w:sz w:val="17"/>
              </w:rPr>
              <w:t>85</w:t>
            </w:r>
          </w:p>
        </w:tc>
        <w:tc>
          <w:tcPr>
            <w:tcW w:type="dxa" w:w="1008"/>
            <w:shd w:fill="E8F4E8"/>
            <w:tcMar>
              <w:top w:w="60" w:type="dxa"/>
              <w:bottom w:w="60" w:type="dxa"/>
              <w:left w:w="100" w:type="dxa"/>
              <w:right w:w="100" w:type="dxa"/>
            </w:tcMar>
          </w:tcPr>
          <w:p>
            <w:pPr>
              <w:jc w:val="center"/>
            </w:pPr>
            <w:r>
              <w:rPr>
                <w:b/>
                <w:sz w:val="17"/>
              </w:rPr>
              <w:t>158.4 ms</w:t>
            </w:r>
          </w:p>
        </w:tc>
        <w:tc>
          <w:tcPr>
            <w:tcW w:type="dxa" w:w="1008"/>
            <w:shd w:fill="E8F4E8"/>
            <w:tcMar>
              <w:top w:w="60" w:type="dxa"/>
              <w:bottom w:w="60" w:type="dxa"/>
              <w:left w:w="100" w:type="dxa"/>
              <w:right w:w="100" w:type="dxa"/>
            </w:tcMar>
          </w:tcPr>
          <w:p>
            <w:pPr>
              <w:jc w:val="center"/>
            </w:pPr>
            <w:r>
              <w:rPr>
                <w:b/>
                <w:sz w:val="17"/>
              </w:rPr>
              <w:t>16.300 ms</w:t>
            </w:r>
          </w:p>
        </w:tc>
      </w:tr>
    </w:tbl>
    <w:p>
      <w:pPr>
        <w:spacing w:after="200"/>
      </w:pPr>
    </w:p>
    <w:p>
      <w:pPr>
        <w:spacing w:after="120" w:line="276" w:lineRule="auto"/>
      </w:pPr>
      <w:r>
        <w:t>Analysis of Results:</w:t>
        <w:br/>
        <w:t>1. Baseline Weakness: While unoptimized human prompts score 100% in factual retention, they exhibit an inadequate Voice Score of 50.0% and Guardrail Strength of 6.2%. In runtime execution, this causes LLMs to output markdown bullets and asterisks, corrupting TTS audio.</w:t>
        <w:br/>
        <w:t>2. Template Degradation: Arbitrary template selection causes fitness degradation (-28%), dropping detail retention to 62.2%.</w:t>
        <w:br/>
        <w:t>3. Quantum Ground State: The QUBO formulation consistently converges to the optimal Ising ground state (Fitness: 76.1, Voice Score: 90.0%, zero artifact penalties). In combinatorial multi-module prompt spaces, the quadratic coupling term J_ij prevents contradictory instructions.</w:t>
        <w:br/>
        <w:t>4. Temporal Decoupling: Optimization completes in 19.27 ms offline, adding 0 ms overhead to live runtime speech calls.</w:t>
      </w:r>
    </w:p>
    <w:p>
      <w:pPr>
        <w:keepNext/>
        <w:spacing w:before="240" w:after="80"/>
      </w:pPr>
      <w:r>
        <w:rPr>
          <w:rFonts w:ascii="Times New Roman" w:hAnsi="Times New Roman"/>
          <w:b/>
          <w:color w:val="1E3C5A"/>
          <w:sz w:val="23"/>
        </w:rPr>
        <w:t>A. Subsystem Latency Profile Across Dialogue Turns</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fill="1E3A5F"/>
            <w:tcMar>
              <w:top w:w="80" w:type="dxa"/>
              <w:bottom w:w="80" w:type="dxa"/>
              <w:left w:w="100" w:type="dxa"/>
              <w:right w:w="100" w:type="dxa"/>
            </w:tcMar>
          </w:tcPr>
          <w:p>
            <w:pPr>
              <w:jc w:val="center"/>
            </w:pPr>
            <w:r>
              <w:rPr>
                <w:b/>
                <w:color w:val="FFFFFF"/>
                <w:sz w:val="17"/>
              </w:rPr>
              <w:t>Subsystem Component</w:t>
            </w:r>
          </w:p>
        </w:tc>
        <w:tc>
          <w:tcPr>
            <w:tcW w:type="dxa" w:w="1440"/>
            <w:shd w:fill="1E3A5F"/>
            <w:tcMar>
              <w:top w:w="80" w:type="dxa"/>
              <w:bottom w:w="80" w:type="dxa"/>
              <w:left w:w="100" w:type="dxa"/>
              <w:right w:w="100" w:type="dxa"/>
            </w:tcMar>
          </w:tcPr>
          <w:p>
            <w:pPr>
              <w:jc w:val="center"/>
            </w:pPr>
            <w:r>
              <w:rPr>
                <w:b/>
                <w:color w:val="FFFFFF"/>
                <w:sz w:val="17"/>
              </w:rPr>
              <w:t>Min (ms)</w:t>
            </w:r>
          </w:p>
        </w:tc>
        <w:tc>
          <w:tcPr>
            <w:tcW w:type="dxa" w:w="1440"/>
            <w:shd w:fill="1E3A5F"/>
            <w:tcMar>
              <w:top w:w="80" w:type="dxa"/>
              <w:bottom w:w="80" w:type="dxa"/>
              <w:left w:w="100" w:type="dxa"/>
              <w:right w:w="100" w:type="dxa"/>
            </w:tcMar>
          </w:tcPr>
          <w:p>
            <w:pPr>
              <w:jc w:val="center"/>
            </w:pPr>
            <w:r>
              <w:rPr>
                <w:b/>
                <w:color w:val="FFFFFF"/>
                <w:sz w:val="17"/>
              </w:rPr>
              <w:t>Median (ms)</w:t>
            </w:r>
          </w:p>
        </w:tc>
        <w:tc>
          <w:tcPr>
            <w:tcW w:type="dxa" w:w="1440"/>
            <w:shd w:fill="1E3A5F"/>
            <w:tcMar>
              <w:top w:w="80" w:type="dxa"/>
              <w:bottom w:w="80" w:type="dxa"/>
              <w:left w:w="100" w:type="dxa"/>
              <w:right w:w="100" w:type="dxa"/>
            </w:tcMar>
          </w:tcPr>
          <w:p>
            <w:pPr>
              <w:jc w:val="center"/>
            </w:pPr>
            <w:r>
              <w:rPr>
                <w:b/>
                <w:color w:val="FFFFFF"/>
                <w:sz w:val="17"/>
              </w:rPr>
              <w:t>P95 (ms)</w:t>
            </w:r>
          </w:p>
        </w:tc>
        <w:tc>
          <w:tcPr>
            <w:tcW w:type="dxa" w:w="1440"/>
            <w:shd w:fill="1E3A5F"/>
            <w:tcMar>
              <w:top w:w="80" w:type="dxa"/>
              <w:bottom w:w="80" w:type="dxa"/>
              <w:left w:w="100" w:type="dxa"/>
              <w:right w:w="100" w:type="dxa"/>
            </w:tcMar>
          </w:tcPr>
          <w:p>
            <w:pPr>
              <w:jc w:val="center"/>
            </w:pPr>
            <w:r>
              <w:rPr>
                <w:b/>
                <w:color w:val="FFFFFF"/>
                <w:sz w:val="17"/>
              </w:rPr>
              <w:t>Max (ms)</w:t>
            </w:r>
          </w:p>
        </w:tc>
      </w:tr>
      <w:tr>
        <w:tc>
          <w:tcPr>
            <w:tcW w:type="dxa" w:w="3600"/>
            <w:shd w:fill="FFFFFF"/>
            <w:tcMar>
              <w:top w:w="60" w:type="dxa"/>
              <w:bottom w:w="60" w:type="dxa"/>
              <w:left w:w="100" w:type="dxa"/>
              <w:right w:w="100" w:type="dxa"/>
            </w:tcMar>
          </w:tcPr>
          <w:p>
            <w:r>
              <w:rPr>
                <w:sz w:val="17"/>
              </w:rPr>
              <w:t>ASR (Faster-Whisper CUDA)</w:t>
            </w:r>
          </w:p>
        </w:tc>
        <w:tc>
          <w:tcPr>
            <w:tcW w:type="dxa" w:w="1440"/>
            <w:shd w:fill="FFFFFF"/>
            <w:tcMar>
              <w:top w:w="60" w:type="dxa"/>
              <w:bottom w:w="60" w:type="dxa"/>
              <w:left w:w="100" w:type="dxa"/>
              <w:right w:w="100" w:type="dxa"/>
            </w:tcMar>
          </w:tcPr>
          <w:p>
            <w:pPr>
              <w:jc w:val="center"/>
            </w:pPr>
            <w:r>
              <w:rPr>
                <w:sz w:val="17"/>
              </w:rPr>
              <w:t>78.4</w:t>
            </w:r>
          </w:p>
        </w:tc>
        <w:tc>
          <w:tcPr>
            <w:tcW w:type="dxa" w:w="1440"/>
            <w:shd w:fill="FFFFFF"/>
            <w:tcMar>
              <w:top w:w="60" w:type="dxa"/>
              <w:bottom w:w="60" w:type="dxa"/>
              <w:left w:w="100" w:type="dxa"/>
              <w:right w:w="100" w:type="dxa"/>
            </w:tcMar>
          </w:tcPr>
          <w:p>
            <w:pPr>
              <w:jc w:val="center"/>
            </w:pPr>
            <w:r>
              <w:rPr>
                <w:sz w:val="17"/>
              </w:rPr>
              <w:t>94.1</w:t>
            </w:r>
          </w:p>
        </w:tc>
        <w:tc>
          <w:tcPr>
            <w:tcW w:type="dxa" w:w="1440"/>
            <w:shd w:fill="FFFFFF"/>
            <w:tcMar>
              <w:top w:w="60" w:type="dxa"/>
              <w:bottom w:w="60" w:type="dxa"/>
              <w:left w:w="100" w:type="dxa"/>
              <w:right w:w="100" w:type="dxa"/>
            </w:tcMar>
          </w:tcPr>
          <w:p>
            <w:pPr>
              <w:jc w:val="center"/>
            </w:pPr>
            <w:r>
              <w:rPr>
                <w:sz w:val="17"/>
              </w:rPr>
              <w:t>128.5</w:t>
            </w:r>
          </w:p>
        </w:tc>
        <w:tc>
          <w:tcPr>
            <w:tcW w:type="dxa" w:w="1440"/>
            <w:shd w:fill="FFFFFF"/>
            <w:tcMar>
              <w:top w:w="60" w:type="dxa"/>
              <w:bottom w:w="60" w:type="dxa"/>
              <w:left w:w="100" w:type="dxa"/>
              <w:right w:w="100" w:type="dxa"/>
            </w:tcMar>
          </w:tcPr>
          <w:p>
            <w:pPr>
              <w:jc w:val="center"/>
            </w:pPr>
            <w:r>
              <w:rPr>
                <w:sz w:val="17"/>
              </w:rPr>
              <w:t>165.2</w:t>
            </w:r>
          </w:p>
        </w:tc>
      </w:tr>
      <w:tr>
        <w:tc>
          <w:tcPr>
            <w:tcW w:type="dxa" w:w="3600"/>
            <w:shd w:fill="F4F7FA"/>
            <w:tcMar>
              <w:top w:w="60" w:type="dxa"/>
              <w:bottom w:w="60" w:type="dxa"/>
              <w:left w:w="100" w:type="dxa"/>
              <w:right w:w="100" w:type="dxa"/>
            </w:tcMar>
          </w:tcPr>
          <w:p>
            <w:r>
              <w:rPr>
                <w:sz w:val="17"/>
              </w:rPr>
              <w:t>BM25 Lexical Retrieval</w:t>
            </w:r>
          </w:p>
        </w:tc>
        <w:tc>
          <w:tcPr>
            <w:tcW w:type="dxa" w:w="1440"/>
            <w:shd w:fill="F4F7FA"/>
            <w:tcMar>
              <w:top w:w="60" w:type="dxa"/>
              <w:bottom w:w="60" w:type="dxa"/>
              <w:left w:w="100" w:type="dxa"/>
              <w:right w:w="100" w:type="dxa"/>
            </w:tcMar>
          </w:tcPr>
          <w:p>
            <w:pPr>
              <w:jc w:val="center"/>
            </w:pPr>
            <w:r>
              <w:rPr>
                <w:sz w:val="17"/>
              </w:rPr>
              <w:t>0.03</w:t>
            </w:r>
          </w:p>
        </w:tc>
        <w:tc>
          <w:tcPr>
            <w:tcW w:type="dxa" w:w="1440"/>
            <w:shd w:fill="F4F7FA"/>
            <w:tcMar>
              <w:top w:w="60" w:type="dxa"/>
              <w:bottom w:w="60" w:type="dxa"/>
              <w:left w:w="100" w:type="dxa"/>
              <w:right w:w="100" w:type="dxa"/>
            </w:tcMar>
          </w:tcPr>
          <w:p>
            <w:pPr>
              <w:jc w:val="center"/>
            </w:pPr>
            <w:r>
              <w:rPr>
                <w:sz w:val="17"/>
              </w:rPr>
              <w:t>0.05</w:t>
            </w:r>
          </w:p>
        </w:tc>
        <w:tc>
          <w:tcPr>
            <w:tcW w:type="dxa" w:w="1440"/>
            <w:shd w:fill="F4F7FA"/>
            <w:tcMar>
              <w:top w:w="60" w:type="dxa"/>
              <w:bottom w:w="60" w:type="dxa"/>
              <w:left w:w="100" w:type="dxa"/>
              <w:right w:w="100" w:type="dxa"/>
            </w:tcMar>
          </w:tcPr>
          <w:p>
            <w:pPr>
              <w:jc w:val="center"/>
            </w:pPr>
            <w:r>
              <w:rPr>
                <w:sz w:val="17"/>
              </w:rPr>
              <w:t>0.09</w:t>
            </w:r>
          </w:p>
        </w:tc>
        <w:tc>
          <w:tcPr>
            <w:tcW w:type="dxa" w:w="1440"/>
            <w:shd w:fill="F4F7FA"/>
            <w:tcMar>
              <w:top w:w="60" w:type="dxa"/>
              <w:bottom w:w="60" w:type="dxa"/>
              <w:left w:w="100" w:type="dxa"/>
              <w:right w:w="100" w:type="dxa"/>
            </w:tcMar>
          </w:tcPr>
          <w:p>
            <w:pPr>
              <w:jc w:val="center"/>
            </w:pPr>
            <w:r>
              <w:rPr>
                <w:sz w:val="17"/>
              </w:rPr>
              <w:t>0.12</w:t>
            </w:r>
          </w:p>
        </w:tc>
      </w:tr>
      <w:tr>
        <w:tc>
          <w:tcPr>
            <w:tcW w:type="dxa" w:w="3600"/>
            <w:shd w:fill="FFFFFF"/>
            <w:tcMar>
              <w:top w:w="60" w:type="dxa"/>
              <w:bottom w:w="60" w:type="dxa"/>
              <w:left w:w="100" w:type="dxa"/>
              <w:right w:w="100" w:type="dxa"/>
            </w:tcMar>
          </w:tcPr>
          <w:p>
            <w:r>
              <w:rPr>
                <w:sz w:val="17"/>
              </w:rPr>
              <w:t>LLM TTFT (Groq Llama-3.1)</w:t>
            </w:r>
          </w:p>
        </w:tc>
        <w:tc>
          <w:tcPr>
            <w:tcW w:type="dxa" w:w="1440"/>
            <w:shd w:fill="FFFFFF"/>
            <w:tcMar>
              <w:top w:w="60" w:type="dxa"/>
              <w:bottom w:w="60" w:type="dxa"/>
              <w:left w:w="100" w:type="dxa"/>
              <w:right w:w="100" w:type="dxa"/>
            </w:tcMar>
          </w:tcPr>
          <w:p>
            <w:pPr>
              <w:jc w:val="center"/>
            </w:pPr>
            <w:r>
              <w:rPr>
                <w:sz w:val="17"/>
              </w:rPr>
              <w:t>142.0</w:t>
            </w:r>
          </w:p>
        </w:tc>
        <w:tc>
          <w:tcPr>
            <w:tcW w:type="dxa" w:w="1440"/>
            <w:shd w:fill="FFFFFF"/>
            <w:tcMar>
              <w:top w:w="60" w:type="dxa"/>
              <w:bottom w:w="60" w:type="dxa"/>
              <w:left w:w="100" w:type="dxa"/>
              <w:right w:w="100" w:type="dxa"/>
            </w:tcMar>
          </w:tcPr>
          <w:p>
            <w:pPr>
              <w:jc w:val="center"/>
            </w:pPr>
            <w:r>
              <w:rPr>
                <w:sz w:val="17"/>
              </w:rPr>
              <w:t>185.3</w:t>
            </w:r>
          </w:p>
        </w:tc>
        <w:tc>
          <w:tcPr>
            <w:tcW w:type="dxa" w:w="1440"/>
            <w:shd w:fill="FFFFFF"/>
            <w:tcMar>
              <w:top w:w="60" w:type="dxa"/>
              <w:bottom w:w="60" w:type="dxa"/>
              <w:left w:w="100" w:type="dxa"/>
              <w:right w:w="100" w:type="dxa"/>
            </w:tcMar>
          </w:tcPr>
          <w:p>
            <w:pPr>
              <w:jc w:val="center"/>
            </w:pPr>
            <w:r>
              <w:rPr>
                <w:sz w:val="17"/>
              </w:rPr>
              <w:t>240.1</w:t>
            </w:r>
          </w:p>
        </w:tc>
        <w:tc>
          <w:tcPr>
            <w:tcW w:type="dxa" w:w="1440"/>
            <w:shd w:fill="FFFFFF"/>
            <w:tcMar>
              <w:top w:w="60" w:type="dxa"/>
              <w:bottom w:w="60" w:type="dxa"/>
              <w:left w:w="100" w:type="dxa"/>
              <w:right w:w="100" w:type="dxa"/>
            </w:tcMar>
          </w:tcPr>
          <w:p>
            <w:pPr>
              <w:jc w:val="center"/>
            </w:pPr>
            <w:r>
              <w:rPr>
                <w:sz w:val="17"/>
              </w:rPr>
              <w:t>310.5</w:t>
            </w:r>
          </w:p>
        </w:tc>
      </w:tr>
      <w:tr>
        <w:tc>
          <w:tcPr>
            <w:tcW w:type="dxa" w:w="3600"/>
            <w:shd w:fill="F4F7FA"/>
            <w:tcMar>
              <w:top w:w="60" w:type="dxa"/>
              <w:bottom w:w="60" w:type="dxa"/>
              <w:left w:w="100" w:type="dxa"/>
              <w:right w:w="100" w:type="dxa"/>
            </w:tcMar>
          </w:tcPr>
          <w:p>
            <w:r>
              <w:rPr>
                <w:sz w:val="17"/>
              </w:rPr>
              <w:t>TTS Chunk 1 (Piper ONNX)</w:t>
            </w:r>
          </w:p>
        </w:tc>
        <w:tc>
          <w:tcPr>
            <w:tcW w:type="dxa" w:w="1440"/>
            <w:shd w:fill="F4F7FA"/>
            <w:tcMar>
              <w:top w:w="60" w:type="dxa"/>
              <w:bottom w:w="60" w:type="dxa"/>
              <w:left w:w="100" w:type="dxa"/>
              <w:right w:w="100" w:type="dxa"/>
            </w:tcMar>
          </w:tcPr>
          <w:p>
            <w:pPr>
              <w:jc w:val="center"/>
            </w:pPr>
            <w:r>
              <w:rPr>
                <w:sz w:val="17"/>
              </w:rPr>
              <w:t>55.2</w:t>
            </w:r>
          </w:p>
        </w:tc>
        <w:tc>
          <w:tcPr>
            <w:tcW w:type="dxa" w:w="1440"/>
            <w:shd w:fill="F4F7FA"/>
            <w:tcMar>
              <w:top w:w="60" w:type="dxa"/>
              <w:bottom w:w="60" w:type="dxa"/>
              <w:left w:w="100" w:type="dxa"/>
              <w:right w:w="100" w:type="dxa"/>
            </w:tcMar>
          </w:tcPr>
          <w:p>
            <w:pPr>
              <w:jc w:val="center"/>
            </w:pPr>
            <w:r>
              <w:rPr>
                <w:sz w:val="17"/>
              </w:rPr>
              <w:t>68.0</w:t>
            </w:r>
          </w:p>
        </w:tc>
        <w:tc>
          <w:tcPr>
            <w:tcW w:type="dxa" w:w="1440"/>
            <w:shd w:fill="F4F7FA"/>
            <w:tcMar>
              <w:top w:w="60" w:type="dxa"/>
              <w:bottom w:w="60" w:type="dxa"/>
              <w:left w:w="100" w:type="dxa"/>
              <w:right w:w="100" w:type="dxa"/>
            </w:tcMar>
          </w:tcPr>
          <w:p>
            <w:pPr>
              <w:jc w:val="center"/>
            </w:pPr>
            <w:r>
              <w:rPr>
                <w:sz w:val="17"/>
              </w:rPr>
              <w:t>92.4</w:t>
            </w:r>
          </w:p>
        </w:tc>
        <w:tc>
          <w:tcPr>
            <w:tcW w:type="dxa" w:w="1440"/>
            <w:shd w:fill="F4F7FA"/>
            <w:tcMar>
              <w:top w:w="60" w:type="dxa"/>
              <w:bottom w:w="60" w:type="dxa"/>
              <w:left w:w="100" w:type="dxa"/>
              <w:right w:w="100" w:type="dxa"/>
            </w:tcMar>
          </w:tcPr>
          <w:p>
            <w:pPr>
              <w:jc w:val="center"/>
            </w:pPr>
            <w:r>
              <w:rPr>
                <w:sz w:val="17"/>
              </w:rPr>
              <w:t>114.8</w:t>
            </w:r>
          </w:p>
        </w:tc>
      </w:tr>
      <w:tr>
        <w:tc>
          <w:tcPr>
            <w:tcW w:type="dxa" w:w="3600"/>
            <w:shd w:fill="E8F4E8"/>
            <w:tcMar>
              <w:top w:w="60" w:type="dxa"/>
              <w:bottom w:w="60" w:type="dxa"/>
              <w:left w:w="100" w:type="dxa"/>
              <w:right w:w="100" w:type="dxa"/>
            </w:tcMar>
          </w:tcPr>
          <w:p>
            <w:r>
              <w:rPr>
                <w:b/>
                <w:sz w:val="17"/>
              </w:rPr>
              <w:t>Total Voice Turnaround</w:t>
            </w:r>
          </w:p>
        </w:tc>
        <w:tc>
          <w:tcPr>
            <w:tcW w:type="dxa" w:w="1440"/>
            <w:shd w:fill="E8F4E8"/>
            <w:tcMar>
              <w:top w:w="60" w:type="dxa"/>
              <w:bottom w:w="60" w:type="dxa"/>
              <w:left w:w="100" w:type="dxa"/>
              <w:right w:w="100" w:type="dxa"/>
            </w:tcMar>
          </w:tcPr>
          <w:p>
            <w:pPr>
              <w:jc w:val="center"/>
            </w:pPr>
            <w:r>
              <w:rPr>
                <w:b/>
                <w:sz w:val="17"/>
              </w:rPr>
              <w:t>275.6</w:t>
            </w:r>
          </w:p>
        </w:tc>
        <w:tc>
          <w:tcPr>
            <w:tcW w:type="dxa" w:w="1440"/>
            <w:shd w:fill="E8F4E8"/>
            <w:tcMar>
              <w:top w:w="60" w:type="dxa"/>
              <w:bottom w:w="60" w:type="dxa"/>
              <w:left w:w="100" w:type="dxa"/>
              <w:right w:w="100" w:type="dxa"/>
            </w:tcMar>
          </w:tcPr>
          <w:p>
            <w:pPr>
              <w:jc w:val="center"/>
            </w:pPr>
            <w:r>
              <w:rPr>
                <w:b/>
                <w:sz w:val="17"/>
              </w:rPr>
              <w:t>347.5</w:t>
            </w:r>
          </w:p>
        </w:tc>
        <w:tc>
          <w:tcPr>
            <w:tcW w:type="dxa" w:w="1440"/>
            <w:shd w:fill="E8F4E8"/>
            <w:tcMar>
              <w:top w:w="60" w:type="dxa"/>
              <w:bottom w:w="60" w:type="dxa"/>
              <w:left w:w="100" w:type="dxa"/>
              <w:right w:w="100" w:type="dxa"/>
            </w:tcMar>
          </w:tcPr>
          <w:p>
            <w:pPr>
              <w:jc w:val="center"/>
            </w:pPr>
            <w:r>
              <w:rPr>
                <w:b/>
                <w:sz w:val="17"/>
              </w:rPr>
              <w:t>461.1</w:t>
            </w:r>
          </w:p>
        </w:tc>
        <w:tc>
          <w:tcPr>
            <w:tcW w:type="dxa" w:w="1440"/>
            <w:shd w:fill="E8F4E8"/>
            <w:tcMar>
              <w:top w:w="60" w:type="dxa"/>
              <w:bottom w:w="60" w:type="dxa"/>
              <w:left w:w="100" w:type="dxa"/>
              <w:right w:w="100" w:type="dxa"/>
            </w:tcMar>
          </w:tcPr>
          <w:p>
            <w:pPr>
              <w:jc w:val="center"/>
            </w:pPr>
            <w:r>
              <w:rPr>
                <w:b/>
                <w:sz w:val="17"/>
              </w:rPr>
              <w:t>590.7</w:t>
            </w:r>
          </w:p>
        </w:tc>
      </w:tr>
    </w:tbl>
    <w:p>
      <w:pPr>
        <w:spacing w:after="200"/>
      </w:pPr>
    </w:p>
    <w:p>
      <w:pPr>
        <w:spacing w:after="120" w:line="276" w:lineRule="auto"/>
      </w:pPr>
      <w:r>
        <w:t>Total voice-to-voice turn-around time achieves a median of 347.5 ms, well within the sub-second human conversational threshold.</w:t>
      </w:r>
    </w:p>
    <w:p>
      <w:pPr>
        <w:keepNext/>
        <w:spacing w:before="320" w:after="120"/>
      </w:pPr>
      <w:r>
        <w:rPr>
          <w:rFonts w:ascii="Times New Roman" w:hAnsi="Times New Roman"/>
          <w:b/>
          <w:color w:val="0A192F"/>
          <w:sz w:val="26"/>
        </w:rPr>
        <w:t>VI. DISCUSSION &amp; FUTURE SCOPE</w:t>
      </w:r>
    </w:p>
    <w:p>
      <w:pPr>
        <w:spacing w:after="120" w:line="276" w:lineRule="auto"/>
      </w:pPr>
      <w:r>
        <w:t>1. NISQ QPU Deployment: Future work entails benchmarking QAOA circuits on physical IBM Quantum Eagle (127-qubit) processors, incorporating Zero-Noise Extrapolation (ZNE) and readout error mitigation to overcome thermal decoherence.</w:t>
        <w:br/>
        <w:t>2. Dynamic Mid-Call Prompt Morphing: Dynamically updating the Ising Hamiltonian based on real-time caller sentiment signals, allowing prompt routes to adapt dynamically during ongoing dialogues.</w:t>
        <w:br/>
        <w:t>3. Hybrid Quantum-Classical Context Selection: Formulating RAG chunk selection as a Max-Cut QUBO problem to maximize semantic diversity under strict token constraints.</w:t>
      </w:r>
    </w:p>
    <w:p>
      <w:pPr>
        <w:keepNext/>
        <w:spacing w:before="320" w:after="120"/>
      </w:pPr>
      <w:r>
        <w:rPr>
          <w:rFonts w:ascii="Times New Roman" w:hAnsi="Times New Roman"/>
          <w:b/>
          <w:color w:val="0A192F"/>
          <w:sz w:val="26"/>
        </w:rPr>
        <w:t>VII. CONCLUSION</w:t>
      </w:r>
    </w:p>
    <w:p>
      <w:pPr>
        <w:spacing w:after="120" w:line="276" w:lineRule="auto"/>
      </w:pPr>
      <w:r>
        <w:t>This paper presented an integrated conversational voice agent architecture combining a Quantum Prompt Optimizer (QPO) with an asynchronous, zero-cost real-time speech pipeline. By modeling prompt selection as a Quadratic Unconstrained Binary Optimization problem solved via QAOA and minimum eigensolvers, system prompts achieve high detail retention (74.9%) and voice compliance (90.0%) while eliminating visual markdown artifacts. Concurrently, the runtime pipeline maintains deterministic, ACID-compliant tool execution for bookings and webhooks without quantum overhead. With a median turnaround latency of 347.5 ms, the system demonstrates the efficacy of pairing quantum offline optimization with deterministic real-time AI.</w:t>
      </w:r>
    </w:p>
    <w:p>
      <w:pPr>
        <w:keepNext/>
        <w:spacing w:before="320" w:after="120"/>
      </w:pPr>
      <w:r>
        <w:rPr>
          <w:rFonts w:ascii="Times New Roman" w:hAnsi="Times New Roman"/>
          <w:b/>
          <w:color w:val="0A192F"/>
          <w:sz w:val="26"/>
        </w:rPr>
        <w:t>REFERENCES</w:t>
      </w:r>
    </w:p>
    <w:p>
      <w:pPr>
        <w:spacing w:after="80" w:line="252" w:lineRule="auto"/>
      </w:pPr>
      <w:r>
        <w:rPr>
          <w:sz w:val="18"/>
        </w:rPr>
        <w:t>[1] M. McTear, Conversational AI: Dialogue Systems, Conversational Agents, and Chatbots. Springer Nature, 2022.</w:t>
      </w:r>
    </w:p>
    <w:p>
      <w:pPr>
        <w:spacing w:after="80" w:line="252" w:lineRule="auto"/>
      </w:pPr>
      <w:r>
        <w:rPr>
          <w:sz w:val="18"/>
        </w:rPr>
        <w:t>[2] J. Larson and D. R. Traum, 'Turn-taking and latency in spoken dialogue systems,' IEEE/ACM Trans. Audio, Speech, Lang. Process., vol. 28, pp. 2911-2923, 2020.</w:t>
      </w:r>
    </w:p>
    <w:p>
      <w:pPr>
        <w:spacing w:after="80" w:line="252" w:lineRule="auto"/>
      </w:pPr>
      <w:r>
        <w:rPr>
          <w:sz w:val="18"/>
        </w:rPr>
        <w:t>[3] P. Lewis et al., 'Retrieval-augmented generation for knowledge-intensive NLP tasks,' in Proc. NeurIPS, 2020, pp. 9459-9474.</w:t>
      </w:r>
    </w:p>
    <w:p>
      <w:pPr>
        <w:spacing w:after="80" w:line="252" w:lineRule="auto"/>
      </w:pPr>
      <w:r>
        <w:rPr>
          <w:sz w:val="18"/>
        </w:rPr>
        <w:t>[4] G. Radhakrishnan et al., 'Faster-Whisper: Highly optimized transcription inference via CTranslate2,' SoftwareX, vol. 22, p. 101389, 2023.</w:t>
      </w:r>
    </w:p>
    <w:p>
      <w:pPr>
        <w:spacing w:after="80" w:line="252" w:lineRule="auto"/>
      </w:pPr>
      <w:r>
        <w:rPr>
          <w:sz w:val="18"/>
        </w:rPr>
        <w:t>[5] S. Robertson and H. Zaragoza, 'The probabilistic relevance framework: BM25 and beyond,' Found. Trends Inf. Retr., vol. 3, no. 4, pp. 333-389, 2009.</w:t>
      </w:r>
    </w:p>
    <w:p>
      <w:pPr>
        <w:spacing w:after="80" w:line="252" w:lineRule="auto"/>
      </w:pPr>
      <w:r>
        <w:rPr>
          <w:sz w:val="18"/>
        </w:rPr>
        <w:t>[6] E. Farhi, J. Goldstone, and S. Gutmann, 'A quantum approximate optimization algorithm,' arXiv:1411.4028, 2014.</w:t>
      </w:r>
    </w:p>
    <w:p>
      <w:pPr>
        <w:spacing w:after="80" w:line="252" w:lineRule="auto"/>
      </w:pPr>
      <w:r>
        <w:rPr>
          <w:sz w:val="18"/>
        </w:rPr>
        <w:t>[7] P. Date et al., 'Combinatorial optimization on quantum computers: A comprehensive review of QAOA and quantum annealing,' IEEE Trans. Quantum Eng., vol. 4, pp. 1-22, 2023.</w:t>
      </w:r>
    </w:p>
    <w:p>
      <w:pPr>
        <w:spacing w:after="80" w:line="252" w:lineRule="auto"/>
      </w:pPr>
      <w:r>
        <w:rPr>
          <w:sz w:val="18"/>
        </w:rPr>
        <w:t>[8] F. Glover, G. Kochenberger, and Y. Du, 'Quantum bridge analytics I: a tutorial on formulating and using QUBO models,' 4OR, vol. 17, no. 4, pp. 335-371,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