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MLJ CLOUD TRANSFORMATION</w:t>
      </w:r>
    </w:p>
    <w:p>
      <w:pPr>
        <w:spacing w:before="120"/>
        <w:jc w:val="center"/>
      </w:pPr>
      <w:r>
        <w:rPr>
          <w:b/>
          <w:bCs/>
          <w:color w:val="2E5395"/>
          <w:sz w:val="44"/>
          <w:szCs w:val="44"/>
        </w:rPr>
        <w:t xml:space="preserve">Opportunity Assessment</w:t>
      </w:r>
    </w:p>
    <w:p>
      <w:pPr>
        <w:spacing w:before="300"/>
        <w:jc w:val="center"/>
      </w:pPr>
      <w:r>
        <w:rPr>
          <w:color w:val="595959"/>
          <w:sz w:val="24"/>
          <w:szCs w:val="24"/>
        </w:rPr>
        <w:t xml:space="preserve">Target EA Inventory Analysis — Prepared to Inform RFP Scope of Work</w:t>
      </w:r>
    </w:p>
    <w:p>
      <w:pPr>
        <w:pBdr>
          <w:top w:val="single" w:color="1F3864" w:sz="4" w:space="8"/>
        </w:pBdr>
        <w:spacing w:before="900"/>
        <w:jc w:val="center"/>
      </w:pPr>
    </w:p>
    <w:p>
      <w:pPr>
        <w:spacing w:before="300"/>
        <w:jc w:val="center"/>
      </w:pPr>
      <w:r>
        <w:rPr>
          <w:color w:val="595959"/>
          <w:sz w:val="20"/>
          <w:szCs w:val="20"/>
        </w:rPr>
        <w:t xml:space="preserve">Source: 03 [Appendix 3] Target EA Inventory.xlsx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Cross-referenced against 01 [Appendix 1] MLT Architecture Building Blocks.xlsx</w:t>
      </w:r>
    </w:p>
    <w:p>
      <w:pPr>
        <w:spacing w:before="400"/>
        <w:jc w:val="center"/>
      </w:pPr>
      <w:r>
        <w:rPr>
          <w:color w:val="595959"/>
          <w:sz w:val="20"/>
          <w:szCs w:val="20"/>
        </w:rPr>
        <w:t xml:space="preserve">August 25,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sz w:val="21"/>
          <w:szCs w:val="21"/>
        </w:rPr>
        <w:t xml:space="preserve">Of the 142 applications in the Target EA Inventory, the core policy administration mainframe estate (contract management domain — 28 applications, 230.7 FTE-equivalent, 20 critical) has been excluded from this assessment as out of scope. The remaining 114 in-scope applications form the basis of this analysis. Of these, 42 applications (37%) already run on cloud infrastructure (Cloud_Indicator = Yes) — primarily Azure PaaS and SaaS — while 72 applications (63%) remain on-premises (Cloud_Indicator = No), hosted and supported directly by MetLife IT. Weighted by current resourcing (the inventory's combined FTC/FTE/MGCC "Total" column, used here as an FTE-equivalent effort proxy), the non-cloud estate represents roughly 332 of the 1273 total in-scope FTE-equivalent effort — 26% of total run effort concentrated in 63% of the applications, and skews toward a long tail of small-to-mid-sized applications rather than a single dominant cluster.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72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Apps Not Yet Cloud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332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 (Non-Cloud)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13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Non-Cloud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9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Non-Cloud COTS/3rd-Party Apps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sz w:val="21"/>
          <w:szCs w:val="21"/>
        </w:rPr>
        <w:t xml:space="preserve">This assessment segments the 72 non-cloud applications into six priority transformation clusters, each sized by application count, current-state resourcing effort, and criticality, and mapped where possible to the target-state platforms named in the MLJ Architecture Building Blocks (2026+). The largest single opportunity is the K2 workflow platform (Cluster A, 62.6 FTE-equivalent, critical), for which the target architecture already names a successor; the highest concentration of critical, high-effort logic in the fewest applications is the Insurance Claims &amp; Benefits Payment cluster (Cluster C, 61.1 FTE-equivalent across just 4 applications, 3 critical). The findings below are intended to size and sequence the scope of work for an RFP covering application migration and modernization services for this in-scope estate.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2E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SCOPE NOTE</w:t>
            </w:r>
          </w:p>
          <w:p>
            <w:pPr>
              <w:spacing w:before="60"/>
            </w:pPr>
            <w:r>
              <w:rPr>
                <w:sz w:val="19"/>
                <w:szCs w:val="19"/>
              </w:rPr>
              <w:t xml:space="preserve">The core policy administration mainframe estate (contract management domain — LC/LifeComm POS, billing, collections, correspondence, underwriting, payment, GL, agent compensation, valuation, and reinsurance processing on IBM mainframe; 28 applications, 230.7 FTE-equivalent, 20 critical) is out of scope for this transformation initiative and is excluded from every figure, table, and cluster in this report.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Methodology &amp; Data Sources</w:t>
      </w:r>
    </w:p>
    <w:p>
      <w:pPr>
        <w:spacing w:after="160" w:line="276"/>
      </w:pPr>
      <w:r>
        <w:rPr>
          <w:sz w:val="21"/>
          <w:szCs w:val="21"/>
        </w:rPr>
        <w:t xml:space="preserve">This assessment draws on two source documents provided in the MLJ project folder. Per direction received on this analysis, the contract management domain — the mainframe-hosted core policy administration estate — has been removed from scope entirely and is excluded from the source data before any of the figures below are calculated; all counts, effort totals, and percentages in this report describe the remaining in-scope estate only.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03 [Appendix 3] Target EA Inventory.xlsx — the ApplicationList tab, 142 rows, all flagged “In Scope” = Y. This is the system of record for the analysis and the source of every figure in this report.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01 [Appendix 1] MLT Architecture Building Blocks.xlsx — the MLJ target-state (2026+) architecture reference, used to align transformation recommendations to named go-forward platforms (e.g., Azure Data Lake, Power Automate, Azure PaaS application servers) rather than generic cloud targets.</w:t>
      </w:r>
    </w:p>
    <w:p>
      <w:pPr>
        <w:spacing w:after="100"/>
      </w:pPr>
    </w:p>
    <w:p>
      <w:pPr>
        <w:spacing w:after="160" w:line="276"/>
      </w:pPr>
      <w:r>
        <w:rPr>
          <w:sz w:val="21"/>
          <w:szCs w:val="21"/>
        </w:rPr>
        <w:t xml:space="preserve">Cloud_Indicator is a binary field in the inventory denoting whether an application currently executes on cloud infrastructure (“Yes”) or on-premises/mainframe infrastructure (“No”), as distinct from Cloud_Platform, which further classifies cloud-hosted apps as IaaS, PaaS, or SaaS. This assessment focuses on the 72 in-scope applications marked Cloud_Indicator = No.</w:t>
      </w:r>
    </w:p>
    <w:p>
      <w:pPr>
        <w:spacing w:after="160" w:line="276"/>
      </w:pPr>
      <w:r>
        <w:rPr>
          <w:sz w:val="21"/>
          <w:szCs w:val="21"/>
        </w:rPr>
        <w:t xml:space="preserve">Applications were grouped into transformation clusters primarily by the inventory's domain field (MLJ's business-capability grouping), with two exceptions: the K2 workflow platform was broken out from its Storage and Preservation Related domain as a standalone cluster because the target architecture already names its replacement, and small residual domains were combined into a single long-tail cluster (Cluster F) given their low individual effort and negligible criticality. Applications were further characterized by: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Primary Code Language — used as a proxy for modernization complexity (mainframe COBOL/Assembler/JCL vs. Java vs. VB.NET vs. other).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Critical Application Indicator — MLJ's own criticality flag, used as the principal risk-weighting factor.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Application Source Code Ownership — MetLife-owned code vs. non-MetLife/COTS, which changes the available transformation levers (refactor is only available for MetLife-owned code; COTS apps depend on vendor cloud roadmaps).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Current FTC / FTE / MGCC (“Total”) — the inventory's combined current-state resourcing figure, used here as an FTE-equivalent effort proxy for sizing relative transformation scope. This is a resourcing metric, not a migration cost or effort estimate, and should be treated as a proxy for scoping purposes only.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Current-State Cloud Adoption Snapshot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3.1 Portfolio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Total applications in scope</w:t>
            </w:r>
          </w:p>
        </w:tc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114</w:t>
            </w:r>
          </w:p>
        </w:tc>
      </w:tr>
      <w:tr>
        <w:tc>
          <w:tcPr>
            <w:tcW w:type="dxa" w:w="4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Already cloud-enabled (Cloud_Indicator = Yes)</w:t>
            </w:r>
          </w:p>
        </w:tc>
        <w:tc>
          <w:tcPr>
            <w:tcW w:type="dxa" w:w="4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 apps  (37%)</w:t>
            </w:r>
          </w:p>
        </w:tc>
      </w:tr>
      <w:tr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Not yet cloud-enabled (Cloud_Indicator = No)</w:t>
            </w:r>
          </w:p>
        </w:tc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 apps  (63%)</w:t>
            </w:r>
          </w:p>
        </w:tc>
      </w:tr>
      <w:tr>
        <w:tc>
          <w:tcPr>
            <w:tcW w:type="dxa" w:w="4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Total current FTE-equivalent effort (all apps)</w:t>
            </w:r>
          </w:p>
        </w:tc>
        <w:tc>
          <w:tcPr>
            <w:tcW w:type="dxa" w:w="4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1273</w:t>
            </w:r>
          </w:p>
        </w:tc>
      </w:tr>
      <w:tr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FTE-equivalent effort — cloud-enabled apps</w:t>
            </w:r>
          </w:p>
        </w:tc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942  (74%)</w:t>
            </w:r>
          </w:p>
        </w:tc>
      </w:tr>
      <w:tr>
        <w:tc>
          <w:tcPr>
            <w:tcW w:type="dxa" w:w="4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FTE-equivalent effort — non-cloud apps</w:t>
            </w:r>
          </w:p>
        </w:tc>
        <w:tc>
          <w:tcPr>
            <w:tcW w:type="dxa" w:w="4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332  (26%)</w:t>
            </w:r>
          </w:p>
        </w:tc>
      </w:tr>
      <w:tr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Critical applications among non-cloud apps</w:t>
            </w:r>
          </w:p>
        </w:tc>
        <w:tc>
          <w:tcPr>
            <w:tcW w:type="dxa" w:w="4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of 72 (18%)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sz w:val="21"/>
          <w:szCs w:val="21"/>
        </w:rPr>
        <w:t xml:space="preserve">Notably, the applications already migrated account for a disproportionate 74% of in-scope portfolio effort despite being only 37% of application count — MLJ's cloud adoption to date has prioritized its highest-effort systems of engagement (digital portals, sales/distribution, SaaS platforms). What remains on-premises, once the out-of-scope mainframe estate is set aside, is a long tail of smaller supporting applications with no single dominant cluster.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3.2 Cloud Platform Mix (Already-Migrated Applications)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8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Cloud Platform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 Count</w:t>
            </w:r>
          </w:p>
        </w:tc>
      </w:tr>
      <w:tr>
        <w:tc>
          <w:tcPr>
            <w:tcW w:type="dxa" w:w="7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as a Service (PaaS)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7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 as a Service (SaaS)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IaaS + PaaS (combined)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SaaS + PaaS (combined)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Hybrid — on-prem decommissioning by end of 2027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(BCMHRP-JPN)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sz w:val="21"/>
          <w:szCs w:val="21"/>
        </w:rPr>
        <w:t xml:space="preserve">PaaS is already the dominant target pattern (27 of 42 migrated apps), consistent with the target architecture's Azure PaaS application-server direction (WebSphere → Liberty/Red Shift, IIS) — recommend PaaS-first as the default disposition for new migrations unless an application specifically warrants IaaS or a SaaS replacement is available.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3.3 Cloud Adoption by Business Domain</w:t>
      </w:r>
    </w:p>
    <w:p>
      <w:pPr>
        <w:spacing w:after="160" w:line="276"/>
      </w:pPr>
      <w:r>
        <w:rPr>
          <w:sz w:val="21"/>
          <w:szCs w:val="21"/>
        </w:rPr>
        <w:t xml:space="preserve">Adoption is uneven across the remaining in-scope business domains. Sales/Distribution-facing domains are already largely cloud; back-office and document-processing domains remain mostly on-premises: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600"/>
        <w:gridCol w:w="2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Non-Cloud Apps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Cloud Apps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Non-Cloud FTE-Equiv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 and Preservation Related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107.4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Corporate Related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40.3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Contract Related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40.4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 / Direct Business Related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31.0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/ Call Center Related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 Claims and Benefits Payment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61.1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 / Insurance Recruitment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19.8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Service Platform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13.1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Infrastructure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 Management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Non-Cloud Application Landscape</w:t>
      </w:r>
    </w:p>
    <w:p>
      <w:pPr>
        <w:spacing w:after="160" w:line="276"/>
      </w:pPr>
      <w:r>
        <w:rPr>
          <w:sz w:val="21"/>
          <w:szCs w:val="21"/>
        </w:rPr>
        <w:t xml:space="preserve">The 72 in-scope non-cloud applications break down by technology stack as follows. Java and VB.NET applications dominate and are generally rehost/replatform-ready onto Azure PaaS with lower relative risk. Only 2 applications retain a mainframe (COBOL/Assembler/JCL) footprint — both small utility applications in the Corporate Related cluster (see 5.5) — since the mainframe-heavy contract management estate is out of scope for this assessment.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000"/>
        <w:gridCol w:w="16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 Stack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 Count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 Effort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Apps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184.0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 / VB.NET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89.2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44.9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Mainframe (COBOL / Assembler / JCL)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PL/SQL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spacing w:after="150"/>
      </w:pPr>
    </w:p>
    <w:p>
      <w:pPr>
        <w:spacing w:after="160" w:line="276"/>
      </w:pPr>
      <w:r>
        <w:rPr>
          <w:sz w:val="21"/>
          <w:szCs w:val="21"/>
        </w:rPr>
        <w:t xml:space="preserve">Two further characteristics matter for RFP scoping: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Ownership: 63 of the 72 non-cloud applications are MetLife-owned code (full control over the modernization path — rehost, replatform, or refactor are all viable); 9 are non-MetLife/COTS applications where the transformation lever is instead a SaaS/cloud-edition negotiation with the vendor, or replacement.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Exposure: only 1 of the 72 non-cloud applications is internet-facing (WPSYEC-JPN, Marketing/Direct Business Related, non-critical), so the current non-cloud estate carries relatively low external attack-surface risk — this should be factored into sequencing (internal, back-office systems can tolerate a more deliberate migration pace than customer-facing ones).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Priority Transformation Clusters</w:t>
      </w:r>
    </w:p>
    <w:p>
      <w:pPr>
        <w:spacing w:after="160" w:line="276"/>
      </w:pPr>
      <w:r>
        <w:rPr>
          <w:sz w:val="21"/>
          <w:szCs w:val="21"/>
        </w:rPr>
        <w:t xml:space="preserve">The 72 in-scope non-cloud applications are grouped into six clusters below, ordered by relative priority (a function of effort, criticality, and complexity). Each cluster includes a recommended disposition using the standard 6 Rs framework (Rehost, Replatform, Refactor, Repurchase/Replace, Retire, Retain) and, where the target architecture names a specific successor platform, that mapping is called out explicitly.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5.1  Cluster A — K2 Workflow Management Platform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62.6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Replace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Recommended Disposition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K2 is a single VB.NET application but, at 62.6 FTE-equivalent, is the largest individual in-scope non-cloud application, and is flagged critical. Unlike most of the portfolio, the target architecture already resolves this one: Power Automate is named as the go-forward Workflow Management platform (alongside Pega), superseding K2. Recommend the RFP scope this as a replace/retire engagement — re-platforming workflow logic onto Power Automate — rather than a lift-and-shift of K2 itself, since carrying K2 onto Azure IaaS would not close the gap to target state.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3800"/>
        <w:gridCol w:w="17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K2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62.6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5.2  Cluster B — Storage &amp; Preservation / Document Management Estate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12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44.7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Replatform (PaaS/SaaS)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Recommended Disposition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Twelve applications (44.7 FTE-equiv, 3 critical) supporting document imaging, scanning, and records preservation. Six of the twelve are non-MetLife/COTS applications (JP-RPASS, JP-PCI-RPASS, JP-DB2-CONNECT, Scan Manager, and two smaller utilities), making this cluster a strong candidate for a blended approach: replatform the MetLife-owned applications onto Azure PaaS/Azure Storage in line with the target ECM building block (Azure Storage, SharePoint, AI-based OCR tooling already named as target state), while pursuing SaaS/cloud-edition negotiations with the COTS vendors for the remainder. Recommend the RFP request vendor responses cover both paths.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3800"/>
        <w:gridCol w:w="17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W13WEP-JPN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POS-IMS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VB.NET; 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JP-RPASS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Other#COTS from BluePrism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 Batch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JP-PCI-RPASS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Other#This is coded within blueprism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C03PCA-JPN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2.9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C03WRD-JPN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DSP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PL/SQL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Scan Manager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C03WRE-JPN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W03PIU-JPN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JP-DB2-CONNECT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Other#COTS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5.3  Cluster C — Insurance Claims &amp; Benefits Payment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4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61.1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Refactor (Azure PaaS)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Recommended Disposition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Only 4 applications, but 61.1 FTE-equivalent effort and 3 of 4 critical — this is the highest effort-per-application cluster in the in-scope portfolio and warrants individual attention in the RFP rather than being bundled into a generic “Java migration” lot. The dominant applications are Java-based and align well to the target Spring Boot / Azure PaaS runtime already named in the building blocks, but the concentration of critical, high-effort claims-payment logic in so few applications means cutover planning and regression testing should be scoped as a distinct, closely-managed track.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3800"/>
        <w:gridCol w:w="17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C12WNC-JPN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VB.NET; C/C++; 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W05AMS-JPN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22.0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MDRS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WZZMNB-JPN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5.4  Cluster D — New Contract Related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10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40.4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1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Rehost / Replatform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Recommended Disposition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Ten applications, 40.4 FTE-equivalent, only 1 critical — a comparatively low-risk, moderate-effort cluster well suited as an early “quick win” wave to build migration-factory momentum and vendor delivery confidence ahead of the higher-effort claims work.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3800"/>
        <w:gridCol w:w="17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NBAPPS-JPN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C04NWC-JPN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C/C++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W04RRE-JPN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C04OSI-JPN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C04SYM-JPN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Z04IMA-JPN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CSS; JAVA;HTML; VB.NET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New Business Batch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C11VCM-JPN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WUIURE-JPN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P08MMS-JPN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5.5  Cluster E — Corporate Related Long Tail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25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40.3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Rationalize, then Rehost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Recommended Disposition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Twenty-five applications but only 40.3 FTE-equivalent effort combined — a long tail of small support and utility applications, several under 1 FTE-equivalent each. This cluster includes two legacy mainframe utility applications (A04MMP-JPN, A06TOG-JPN, both critical, 8.2 FTE-equivalent combined) that sit outside the excluded contract-management estate but still require COBOL/Assembler skills if retained — flag these separately in vendor responses rather than assuming a standard rehost path. Recommend the RFP scope a rationalization pass first (retire or consolidate low-value, low-usage applications) before migrating survivors — this is typically the highest-ROI, lowest-cost cluster in the program per application migrated.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00"/>
        <w:gridCol w:w="3800"/>
        <w:gridCol w:w="17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WGLWLF-JPN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A06TOG-JPN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Other#RPG; Cobol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5.8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Corporate Batch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3.7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ZGLEST-JPN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JavaScript; VB.NET; C#;HTML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W06TGR-JPN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VB.NET; 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A04MMP-JPN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Other#RPG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WAANSO-JPN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W08CIS-JPN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W08HTN-JPN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W08NAR-JPN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C04VAS-JPN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 B_O-JPN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JAVA; C#; VB.NET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W08SFE-JPN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WCMPXS-JPN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Other#Peculiar Language, Implemented in 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Commission System Support Tool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0.7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WGLBSR-JPN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C03APO-JPN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Other#APOLLOCS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WPSC2S-JPN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W13WWF-JPN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EAADRS-JPN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OMSIKN-JPN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RAPS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CGLFJM-JPN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9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CCMDNT-JPN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VB.NET; C #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WZZHYO-JPN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5.6  Cluster F — Remaining Small Non-Cloud Applications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20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Applications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82.6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FTE-Equiv. Effort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0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Critical Apps</w:t>
            </w:r>
          </w:p>
        </w:tc>
        <w:tc>
          <w:tcPr>
            <w:tcW w:type="dxa" w:w="2250"/>
            <w:shd w:fill="DCE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Rehost / Replatform</w:t>
            </w:r>
          </w:p>
          <w:p>
            <w:pPr>
              <w:spacing w:before="4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Recommended Disposition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sz w:val="21"/>
          <w:szCs w:val="21"/>
        </w:rPr>
        <w:t xml:space="preserve">Twenty applications (82.6 FTE-equivalent, 0 critical) spread across Marketing/Direct Business, Sales/Insurance Recruitment, Customer Care/Call Center, Common Service Platform, and Data Infrastructure domains. These domains are otherwise majority already-cloud (e.g., 9 of 13 Sales/Recruitment apps are already migrated), so this cluster is best framed in the RFP as “stragglers” to be migrated opportunistically alongside their already-cloud domain siblings, reusing patterns and landing-zone configuration already proven for that domain rather than as a standalone workstream.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700"/>
        <w:gridCol w:w="2600"/>
        <w:gridCol w:w="13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Crit.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Language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FTE-Equiv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WPSYEC-JPN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19.1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P02BKE-JPN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 / Insurance Recruitment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Other#VBA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CMESB-JPN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Service Platform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JAVA; Other#ESQL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BCMHRP-JPN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Infrastructure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Other#MS-DOS ,AWK,VBScript,JAVA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W02OPS-JPN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6.9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Batch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/ Call Center Related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Other#ETL (Infomatica)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 Marketing batches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PL/SQL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W08NAV-JPN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 / Insurance Recruitment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HIMAWARI backend apps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/ Call Center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C10CSS-JPN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/ Call Center Related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WPMWCC-JPN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/ Call Center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W09WSD-JPN BIS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 / Insurance Recruitment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WGLRPC-JPN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 / Insurance Recruitment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C03VSV-JPN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Care / Call Center Related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VB.NET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JP-OLB Batch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JP-QA Shared Service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Service Platform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Other#Selenese, but supports others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OMSTAT-JPN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W01LOI-JPN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Common Service Platform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LPS-JPN(EUC081)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PHP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CIT-JPN(EUC082)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Marketing/Direct Business Related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26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Recommended Transformation Roadmap</w:t>
      </w:r>
    </w:p>
    <w:p>
      <w:pPr>
        <w:spacing w:after="160" w:line="276"/>
      </w:pPr>
      <w:r>
        <w:rPr>
          <w:sz w:val="21"/>
          <w:szCs w:val="21"/>
        </w:rPr>
        <w:t xml:space="preserve">Sequencing below balances effort, criticality/risk, and dependency lead time across the in-scope estate.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300"/>
        <w:gridCol w:w="31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Clusters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D, F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Low-risk quick wins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criticality, moderate effort; builds delivery momentum and validates the Azure landing zone/migration factory</w:t>
            </w:r>
          </w:p>
        </w:tc>
      </w:tr>
      <w:tr>
        <w:tc>
          <w:tcPr>
            <w:tcW w:type="dxa" w:w="1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1 (parallel)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Rationalization</w:t>
            </w:r>
          </w:p>
        </w:tc>
        <w:tc>
          <w:tcPr>
            <w:tcW w:type="dxa" w:w="3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Retire/consolidate long-tail apps before migrating survivors; low cost, fast payback; flag the 2 residual mainframe utilities for specialist handling</w:t>
            </w:r>
          </w:p>
        </w:tc>
      </w:tr>
      <w:tr>
        <w:tc>
          <w:tcPr>
            <w:tcW w:type="dxa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2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A, B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replacement + ECM replatform</w:t>
            </w:r>
          </w:p>
        </w:tc>
        <w:tc>
          <w:tcPr>
            <w:tcW w:type="dxa" w:w="3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K2→Power Automate and document management modernization; moderate risk, target platforms already defined</w:t>
            </w:r>
          </w:p>
        </w:tc>
      </w:tr>
      <w:tr>
        <w:tc>
          <w:tcPr>
            <w:tcW w:type="dxa" w:w="1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Wave 3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Claims &amp; benefits refactor</w:t>
            </w:r>
          </w:p>
        </w:tc>
        <w:tc>
          <w:tcPr>
            <w:tcW w:type="dxa" w:w="3100"/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effort concentration in few critical apps; needs dedicated regression/cutover planning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RFP Scope &amp; Vendor Evaluation Considerations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7.1 Capabilities the RFP Should Require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Azure PaaS migration-factory capability — Java/Spring Boot and .NET application modernization at volume, consistent with the target architecture's application-server direction (Cluster B, C, D, E, F).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Low-code workflow re-platforming — specific experience migrating K2 (or comparable) workflow logic to Microsoft Power Automate (Cluster A).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Azure landing zone &amp; DevOps alignment — familiarity with the target build toolchain (Azure DevOps, GitHub Enterprise) and target hosting model (Azure IaaS/PaaS + SaaS) already standardized in the MLJ architecture.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Japan regulatory and data residency compliance — insurance-sector experience operating under Japanese regulatory requirements, and Japanese-language delivery capability given the localized (MF-JPN/JPN) application estate.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COTS/vendor management — capability to negotiate and integrate cloud/SaaS editions of third-party applications for the 9 non-MetLife-owned non-cloud applications identified.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Light-touch mainframe support — the RFP should probe whether the vendor can provide limited COBOL/Assembler support for the 2 residual legacy-mainframe utility applications in Cluster E, even though the main contract-management mainframe estate is out of scope.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4"/>
          <w:szCs w:val="24"/>
        </w:rPr>
        <w:t xml:space="preserve">7.2 Suggested Vendor Evaluation Criteria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Azure PaaS landing zone and migration-factory throughput — evidence of repeatable, at-scale application migration (relevant given the 72-application in-scope non-cloud tail).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Proposed approach to the 13 critical non-cloud applications specifically — business continuity, rollback, and regression testing strategy, with particular attention to Cluster C (Claims &amp; Benefits) and Cluster A (K2).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Track record replacing/replatforming COTS and third-party document-management components (Cluster B) without disrupting records-retention or compliance obligations.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Risk Considerations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Scope boundary: this assessment excludes the contract management (mainframe policy administration) domain in its entirety. Any dependency between that out-of-scope estate and the in-scope clusters below — for example, integration points between K2 or the claims applications and LifeComm/mainframe back-end processing — should be confirmed during technical discovery, since a hidden dependency could constrain how freely an in-scope application can be migrated.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Criticality concentration: 13 of the 72 in-scope non-cloud applications (18%) are flagged critical, concentrated mainly in Cluster C (Insurance Claims &amp; Benefits Payment — 3 of 4 applications critical) and the single critical application in Cluster A (K2). Sequencing that touches these clusters should include dedicated rollback and regression-testing provisions.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Residual mainframe skill need: 2 small legacy-mainframe utility applications remain in scope within Cluster E (A04MMP-JPN, A06TOG-JPN, both critical). COBOL/Assembler expertise is a scarce and aging skillset — even at this small scale, the RFP should confirm the vendor can resource it rather than assume it falls out naturally from a broader Java/.NET team.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COTS dependency: 9 non-cloud applications are non-MetLife-owned; their migration timeline is bounded by third-party vendor cloud roadmaps rather than MLJ's own delivery capacity, and should be tracked and risk-managed separately from MetLife-owned application work.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External exposure is currently low: only 1 non-cloud application is internet-facing, so the non-cloud estate is not a near-term external attack-surface concern — but migration should be planned so that exposure does not increase until the target Azure landing zone's security controls (identity via MS Entra/PingOne, monitoring via Azure Monitor/Splunk) are fully in place for each migrated application.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1"/>
          <w:szCs w:val="21"/>
        </w:rPr>
        <w:t xml:space="preserve">Data proxy caveat: FTE-equivalent figures used throughout this assessment are drawn from the inventory's current-state resourcing fields (FTC/FTE/MGCC) and are a sizing proxy only — they are not migration cost or effort estimates and should be supplemented with a detailed technical discovery for RFP-grade costing.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MLJ Cloud Transformation Opportunity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2026-08-25T11:51:53.243Z</dcterms:created>
  <dcterms:modified xsi:type="dcterms:W3CDTF">2026-08-25T11:51:53.255Z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