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pPr>
      <w:r>
        <w:rPr>
          <w:b/>
          <w:color w:val="2185A5"/>
          <w:sz w:val="24"/>
        </w:rPr>
        <w:t>PROJECT ARCHITECTURE</w:t>
      </w:r>
    </w:p>
    <w:p>
      <w:pPr>
        <w:pStyle w:val="Title"/>
      </w:pPr>
      <w:r>
        <w:t>AI evidence &amp;</w:t>
        <w:br/>
        <w:t>prompt library</w:t>
      </w:r>
    </w:p>
    <w:p>
      <w:r>
        <w:rPr>
          <w:sz w:val="24"/>
        </w:rPr>
        <w:t>Ulta shopping journey • Java • Selenium • Cucumber BDD • TestNG • Page Object Model</w:t>
      </w:r>
    </w:p>
    <w:p>
      <w:r>
        <w:t>Prepared from the current project files, prompt library, design workbooks, and saved Maven/Cucumber results.</w:t>
      </w:r>
    </w:p>
    <w:tbl>
      <w:tblPr>
        <w:tblStyle w:val="TableGrid"/>
        <w:tblW w:type="auto" w:w="0"/>
        <w:jc w:val="center"/>
        <w:tblLook w:firstColumn="1" w:firstRow="1" w:lastColumn="0" w:lastRow="0" w:noHBand="0" w:noVBand="1" w:val="04A0"/>
      </w:tblPr>
      <w:tblGrid>
        <w:gridCol w:w="4997"/>
        <w:gridCol w:w="4997"/>
      </w:tblGrid>
      <w:tr>
        <w:tc>
          <w:tcPr>
            <w:tcW w:type="dxa" w:w="4997"/>
            <w:shd w:fill="17365D"/>
          </w:tcPr>
          <w:p>
            <w:r>
              <w:rPr>
                <w:b/>
                <w:color w:val="FFFFFF"/>
                <w:sz w:val="16"/>
              </w:rPr>
              <w:t>Project snapshot</w:t>
            </w:r>
          </w:p>
        </w:tc>
        <w:tc>
          <w:tcPr>
            <w:tcW w:type="dxa" w:w="4997"/>
            <w:shd w:fill="17365D"/>
          </w:tcPr>
          <w:p>
            <w:r>
              <w:rPr>
                <w:b/>
                <w:color w:val="FFFFFF"/>
                <w:sz w:val="16"/>
              </w:rPr>
              <w:t>Observed state</w:t>
            </w:r>
          </w:p>
        </w:tc>
      </w:tr>
      <w:tr>
        <w:tc>
          <w:tcPr>
            <w:tcW w:type="dxa" w:w="4997"/>
            <w:vAlign w:val="center"/>
          </w:tcPr>
          <w:p>
            <w:pPr>
              <w:spacing w:after="20"/>
            </w:pPr>
            <w:r>
              <w:rPr>
                <w:sz w:val="16"/>
              </w:rPr>
              <w:t>Acceptance coverage</w:t>
            </w:r>
          </w:p>
        </w:tc>
        <w:tc>
          <w:tcPr>
            <w:tcW w:type="dxa" w:w="4997"/>
            <w:vAlign w:val="center"/>
          </w:tcPr>
          <w:p>
            <w:pPr>
              <w:spacing w:after="20"/>
            </w:pPr>
            <w:r>
              <w:rPr>
                <w:sz w:val="16"/>
              </w:rPr>
              <w:t>AC1–AC7 represented in the feature and design artifacts</w:t>
            </w:r>
          </w:p>
        </w:tc>
      </w:tr>
      <w:tr>
        <w:tc>
          <w:tcPr>
            <w:tcW w:type="dxa" w:w="4997"/>
            <w:vAlign w:val="center"/>
            <w:shd w:fill="F1F5F9"/>
          </w:tcPr>
          <w:p>
            <w:pPr>
              <w:spacing w:after="20"/>
            </w:pPr>
            <w:r>
              <w:rPr>
                <w:sz w:val="16"/>
              </w:rPr>
              <w:t>Automation shape</w:t>
            </w:r>
          </w:p>
        </w:tc>
        <w:tc>
          <w:tcPr>
            <w:tcW w:type="dxa" w:w="4997"/>
            <w:vAlign w:val="center"/>
            <w:shd w:fill="F1F5F9"/>
          </w:tcPr>
          <w:p>
            <w:pPr>
              <w:spacing w:after="20"/>
            </w:pPr>
            <w:r>
              <w:rPr>
                <w:sz w:val="16"/>
              </w:rPr>
              <w:t>One Cucumber end-to-end scenario; one browser session for the journey</w:t>
            </w:r>
          </w:p>
        </w:tc>
      </w:tr>
      <w:tr>
        <w:tc>
          <w:tcPr>
            <w:tcW w:type="dxa" w:w="4997"/>
            <w:vAlign w:val="center"/>
          </w:tcPr>
          <w:p>
            <w:pPr>
              <w:spacing w:after="20"/>
            </w:pPr>
            <w:r>
              <w:rPr>
                <w:sz w:val="16"/>
              </w:rPr>
              <w:t>Saved Maven result</w:t>
            </w:r>
          </w:p>
        </w:tc>
        <w:tc>
          <w:tcPr>
            <w:tcW w:type="dxa" w:w="4997"/>
            <w:vAlign w:val="center"/>
          </w:tcPr>
          <w:p>
            <w:pPr>
              <w:spacing w:after="20"/>
            </w:pPr>
            <w:r>
              <w:rPr>
                <w:sz w:val="16"/>
              </w:rPr>
              <w:t>5 tests: 4 passed, 1 failed; the end-to-end scenario is the failure</w:t>
            </w:r>
          </w:p>
        </w:tc>
      </w:tr>
      <w:tr>
        <w:tc>
          <w:tcPr>
            <w:tcW w:type="dxa" w:w="4997"/>
            <w:vAlign w:val="center"/>
            <w:shd w:fill="F1F5F9"/>
          </w:tcPr>
          <w:p>
            <w:pPr>
              <w:spacing w:after="20"/>
            </w:pPr>
            <w:r>
              <w:rPr>
                <w:sz w:val="16"/>
              </w:rPr>
              <w:t>Current reported issue</w:t>
            </w:r>
          </w:p>
        </w:tc>
        <w:tc>
          <w:tcPr>
            <w:tcW w:type="dxa" w:w="4997"/>
            <w:vAlign w:val="center"/>
            <w:shd w:fill="F1F5F9"/>
          </w:tcPr>
          <w:p>
            <w:pPr>
              <w:spacing w:after="20"/>
            </w:pPr>
            <w:r>
              <w:rPr>
                <w:sz w:val="16"/>
              </w:rPr>
              <w:t>AC6 bag recommendation relevance scored 0% against a 25% minimum</w:t>
            </w:r>
          </w:p>
        </w:tc>
      </w:tr>
      <w:tr>
        <w:tc>
          <w:tcPr>
            <w:tcW w:type="dxa" w:w="4997"/>
            <w:vAlign w:val="center"/>
          </w:tcPr>
          <w:p>
            <w:pPr>
              <w:spacing w:after="20"/>
            </w:pPr>
            <w:r>
              <w:rPr>
                <w:sz w:val="16"/>
              </w:rPr>
              <w:t>Evidence boundary</w:t>
            </w:r>
          </w:p>
        </w:tc>
        <w:tc>
          <w:tcPr>
            <w:tcW w:type="dxa" w:w="4997"/>
            <w:vAlign w:val="center"/>
          </w:tcPr>
          <w:p>
            <w:pPr>
              <w:spacing w:after="20"/>
            </w:pPr>
            <w:r>
              <w:rPr>
                <w:sz w:val="16"/>
              </w:rPr>
              <w:t>Prompt files exist; no Copilot chat transcript is stored in the inspected project</w:t>
            </w:r>
          </w:p>
        </w:tc>
      </w:tr>
    </w:tbl>
    <w:p/>
    <w:p>
      <w:r>
        <w:t>Document date: 12 October 2026</w:t>
      </w:r>
    </w:p>
    <w:p>
      <w:r>
        <w:br w:type="page"/>
      </w:r>
    </w:p>
    <w:p>
      <w:pPr>
        <w:pStyle w:val="Heading1"/>
      </w:pPr>
      <w:r>
        <w:t>1. Project at a glance</w:t>
      </w:r>
    </w:p>
    <w:p>
      <w:r>
        <w:t>The project automates an Ulta shopper journey: check the landing page, search for three product categories, add the first result from each search to one bag, verify the bag, and evaluate recommendations against three acceptance thresholds.</w:t>
      </w:r>
    </w:p>
    <w:p>
      <w:r>
        <w:t>Selenium page objects and Cucumber step definitions are executed through a TestNG runner. Recommendation relevance is a transparent keyword-matching heuristic, not a machine-learning model.</w:t>
      </w:r>
    </w:p>
    <w:p>
      <w:pPr>
        <w:pStyle w:val="Heading2"/>
      </w:pPr>
      <w:r>
        <w:t>Execution flow</w:t>
      </w:r>
    </w:p>
    <w:p>
      <w:pPr>
        <w:spacing w:after="20"/>
        <w:ind w:left="288"/>
      </w:pPr>
      <w:r>
        <w:rPr>
          <w:rFonts w:ascii="Consolas" w:hAnsi="Consolas"/>
          <w:sz w:val="16"/>
        </w:rPr>
        <w:t>ulta.feature → TestRunner (Cucumber + TestNG)</w:t>
      </w:r>
    </w:p>
    <w:p>
      <w:pPr>
        <w:spacing w:after="20"/>
        <w:ind w:left="288"/>
      </w:pPr>
      <w:r>
        <w:rPr>
          <w:rFonts w:ascii="Consolas" w:hAnsi="Consolas"/>
          <w:sz w:val="16"/>
        </w:rPr>
        <w:t xml:space="preserve">                         ↓</w:t>
      </w:r>
    </w:p>
    <w:p>
      <w:pPr>
        <w:spacing w:after="20"/>
        <w:ind w:left="288"/>
      </w:pPr>
      <w:r>
        <w:rPr>
          <w:rFonts w:ascii="Consolas" w:hAnsi="Consolas"/>
          <w:sz w:val="16"/>
        </w:rPr>
        <w:t>UltaSteps ↔ Hooks (start / capture failure / quit)</w:t>
      </w:r>
    </w:p>
    <w:p>
      <w:pPr>
        <w:spacing w:after="20"/>
        <w:ind w:left="288"/>
      </w:pPr>
      <w:r>
        <w:rPr>
          <w:rFonts w:ascii="Consolas" w:hAnsi="Consolas"/>
          <w:sz w:val="16"/>
        </w:rPr>
        <w:t xml:space="preserve">                         ↓</w:t>
      </w:r>
    </w:p>
    <w:p>
      <w:pPr>
        <w:spacing w:after="20"/>
        <w:ind w:left="288"/>
      </w:pPr>
      <w:r>
        <w:rPr>
          <w:rFonts w:ascii="Consolas" w:hAnsi="Consolas"/>
          <w:sz w:val="16"/>
        </w:rPr>
        <w:t>HomePage → SearchResultsPage → ProductPage → BagPage → Selenium WebDriver</w:t>
      </w:r>
    </w:p>
    <w:p>
      <w:pPr>
        <w:spacing w:after="20"/>
        <w:ind w:left="288"/>
      </w:pPr>
      <w:r>
        <w:rPr>
          <w:rFonts w:ascii="Consolas" w:hAnsi="Consolas"/>
          <w:sz w:val="16"/>
        </w:rPr>
        <w:t xml:space="preserve">                         ↓</w:t>
      </w:r>
    </w:p>
    <w:p>
      <w:pPr>
        <w:spacing w:after="20"/>
        <w:ind w:left="288"/>
      </w:pPr>
      <w:r>
        <w:rPr>
          <w:rFonts w:ascii="Consolas" w:hAnsi="Consolas"/>
          <w:sz w:val="16"/>
        </w:rPr>
        <w:t>CSV terms and thresholds → TestDataReader → RecommendationValidator → AC5–AC7</w:t>
      </w:r>
    </w:p>
    <w:p>
      <w:pPr>
        <w:spacing w:after="20"/>
        <w:ind w:left="288"/>
      </w:pPr>
      <w:r>
        <w:rPr>
          <w:rFonts w:ascii="Consolas" w:hAnsi="Consolas"/>
          <w:sz w:val="16"/>
        </w:rPr>
        <w:t xml:space="preserve">                         ↓</w:t>
      </w:r>
    </w:p>
    <w:p>
      <w:pPr>
        <w:spacing w:after="20"/>
        <w:ind w:left="288"/>
      </w:pPr>
      <w:r>
        <w:rPr>
          <w:rFonts w:ascii="Consolas" w:hAnsi="Consolas"/>
          <w:sz w:val="16"/>
        </w:rPr>
        <w:t>target/ Cucumber JSON + HTML, Surefire, Allure results</w:t>
      </w:r>
    </w:p>
    <w:p>
      <w:pPr>
        <w:pStyle w:val="Heading1"/>
      </w:pPr>
      <w:r>
        <w:t>2. Architecture and responsibilities</w:t>
      </w:r>
    </w:p>
    <w:tbl>
      <w:tblPr>
        <w:tblStyle w:val="TableGrid"/>
        <w:tblW w:type="auto" w:w="0"/>
        <w:jc w:val="center"/>
        <w:tblLook w:firstColumn="1" w:firstRow="1" w:lastColumn="0" w:lastRow="0" w:noHBand="0" w:noVBand="1" w:val="04A0"/>
      </w:tblPr>
      <w:tblGrid>
        <w:gridCol w:w="4997"/>
        <w:gridCol w:w="4997"/>
      </w:tblGrid>
      <w:tr>
        <w:tc>
          <w:tcPr>
            <w:tcW w:type="dxa" w:w="4997"/>
            <w:shd w:fill="17365D"/>
          </w:tcPr>
          <w:p>
            <w:r>
              <w:rPr>
                <w:b/>
                <w:color w:val="FFFFFF"/>
                <w:sz w:val="16"/>
              </w:rPr>
              <w:t>Layer / location</w:t>
            </w:r>
          </w:p>
        </w:tc>
        <w:tc>
          <w:tcPr>
            <w:tcW w:type="dxa" w:w="4997"/>
            <w:shd w:fill="17365D"/>
          </w:tcPr>
          <w:p>
            <w:r>
              <w:rPr>
                <w:b/>
                <w:color w:val="FFFFFF"/>
                <w:sz w:val="16"/>
              </w:rPr>
              <w:t>Responsibility and connection</w:t>
            </w:r>
          </w:p>
        </w:tc>
      </w:tr>
      <w:tr>
        <w:tc>
          <w:tcPr>
            <w:tcW w:type="dxa" w:w="4997"/>
            <w:vAlign w:val="center"/>
          </w:tcPr>
          <w:p>
            <w:pPr>
              <w:spacing w:after="20"/>
            </w:pPr>
            <w:r>
              <w:rPr>
                <w:sz w:val="16"/>
              </w:rPr>
              <w:t>Build • pom.xml, mvnw.cmd</w:t>
            </w:r>
          </w:p>
        </w:tc>
        <w:tc>
          <w:tcPr>
            <w:tcW w:type="dxa" w:w="4997"/>
            <w:vAlign w:val="center"/>
          </w:tcPr>
          <w:p>
            <w:pPr>
              <w:spacing w:after="20"/>
            </w:pPr>
            <w:r>
              <w:rPr>
                <w:sz w:val="16"/>
              </w:rPr>
              <w:t>Maven dependencies and Java compiler target (release 17); wrapper runs Maven.</w:t>
            </w:r>
          </w:p>
        </w:tc>
      </w:tr>
      <w:tr>
        <w:tc>
          <w:tcPr>
            <w:tcW w:type="dxa" w:w="4997"/>
            <w:vAlign w:val="center"/>
            <w:shd w:fill="F1F5F9"/>
          </w:tcPr>
          <w:p>
            <w:pPr>
              <w:spacing w:after="20"/>
            </w:pPr>
            <w:r>
              <w:rPr>
                <w:sz w:val="16"/>
              </w:rPr>
              <w:t>Runner • runners/TestRunner.java</w:t>
            </w:r>
          </w:p>
        </w:tc>
        <w:tc>
          <w:tcPr>
            <w:tcW w:type="dxa" w:w="4997"/>
            <w:vAlign w:val="center"/>
            <w:shd w:fill="F1F5F9"/>
          </w:tcPr>
          <w:p>
            <w:pPr>
              <w:spacing w:after="20"/>
            </w:pPr>
            <w:r>
              <w:rPr>
                <w:sz w:val="16"/>
              </w:rPr>
              <w:t>Loads classpath:features, binds steps/hooks, configures Cucumber HTML/JSON and Allure output.</w:t>
            </w:r>
          </w:p>
        </w:tc>
      </w:tr>
      <w:tr>
        <w:tc>
          <w:tcPr>
            <w:tcW w:type="dxa" w:w="4997"/>
            <w:vAlign w:val="center"/>
          </w:tcPr>
          <w:p>
            <w:pPr>
              <w:spacing w:after="20"/>
            </w:pPr>
            <w:r>
              <w:rPr>
                <w:sz w:val="16"/>
              </w:rPr>
              <w:t>Lifecycle • hooks/Hooks.java</w:t>
            </w:r>
          </w:p>
        </w:tc>
        <w:tc>
          <w:tcPr>
            <w:tcW w:type="dxa" w:w="4997"/>
            <w:vAlign w:val="center"/>
          </w:tcPr>
          <w:p>
            <w:pPr>
              <w:spacing w:after="20"/>
            </w:pPr>
            <w:r>
              <w:rPr>
                <w:sz w:val="16"/>
              </w:rPr>
              <w:t>Starts WebDriver; captures screenshot/page source on failure; quits browser in cleanup.</w:t>
            </w:r>
          </w:p>
        </w:tc>
      </w:tr>
      <w:tr>
        <w:tc>
          <w:tcPr>
            <w:tcW w:type="dxa" w:w="4997"/>
            <w:vAlign w:val="center"/>
            <w:shd w:fill="F1F5F9"/>
          </w:tcPr>
          <w:p>
            <w:pPr>
              <w:spacing w:after="20"/>
            </w:pPr>
            <w:r>
              <w:rPr>
                <w:sz w:val="16"/>
              </w:rPr>
              <w:t>Steps • steps/UltaSteps.java</w:t>
            </w:r>
          </w:p>
        </w:tc>
        <w:tc>
          <w:tcPr>
            <w:tcW w:type="dxa" w:w="4997"/>
            <w:vAlign w:val="center"/>
            <w:shd w:fill="F1F5F9"/>
          </w:tcPr>
          <w:p>
            <w:pPr>
              <w:spacing w:after="20"/>
            </w:pPr>
            <w:r>
              <w:rPr>
                <w:sz w:val="16"/>
              </w:rPr>
              <w:t>Maps Gherkin to page operations, tracks product names/URLs, verifies bag, evaluates recommendations.</w:t>
            </w:r>
          </w:p>
        </w:tc>
      </w:tr>
      <w:tr>
        <w:tc>
          <w:tcPr>
            <w:tcW w:type="dxa" w:w="4997"/>
            <w:vAlign w:val="center"/>
          </w:tcPr>
          <w:p>
            <w:pPr>
              <w:spacing w:after="20"/>
            </w:pPr>
            <w:r>
              <w:rPr>
                <w:sz w:val="16"/>
              </w:rPr>
              <w:t>Pages • pages/*.java</w:t>
            </w:r>
          </w:p>
        </w:tc>
        <w:tc>
          <w:tcPr>
            <w:tcW w:type="dxa" w:w="4997"/>
            <w:vAlign w:val="center"/>
          </w:tcPr>
          <w:p>
            <w:pPr>
              <w:spacing w:after="20"/>
            </w:pPr>
            <w:r>
              <w:rPr>
                <w:sz w:val="16"/>
              </w:rPr>
              <w:t>BasePage, HomePage, SearchResultsPage, ProductPage, BagPage encapsulate locators and interactions.</w:t>
            </w:r>
          </w:p>
        </w:tc>
      </w:tr>
      <w:tr>
        <w:tc>
          <w:tcPr>
            <w:tcW w:type="dxa" w:w="4997"/>
            <w:vAlign w:val="center"/>
            <w:shd w:fill="F1F5F9"/>
          </w:tcPr>
          <w:p>
            <w:pPr>
              <w:spacing w:after="20"/>
            </w:pPr>
            <w:r>
              <w:rPr>
                <w:sz w:val="16"/>
              </w:rPr>
              <w:t>Configuration • ConfigReader + config.properties</w:t>
            </w:r>
          </w:p>
        </w:tc>
        <w:tc>
          <w:tcPr>
            <w:tcW w:type="dxa" w:w="4997"/>
            <w:vAlign w:val="center"/>
            <w:shd w:fill="F1F5F9"/>
          </w:tcPr>
          <w:p>
            <w:pPr>
              <w:spacing w:after="20"/>
            </w:pPr>
            <w:r>
              <w:rPr>
                <w:sz w:val="16"/>
              </w:rPr>
              <w:t>Reads URL, browser, headless and wait settings; DriverFactory creates the browser.</w:t>
            </w:r>
          </w:p>
        </w:tc>
      </w:tr>
      <w:tr>
        <w:tc>
          <w:tcPr>
            <w:tcW w:type="dxa" w:w="4997"/>
            <w:vAlign w:val="center"/>
          </w:tcPr>
          <w:p>
            <w:pPr>
              <w:spacing w:after="20"/>
            </w:pPr>
            <w:r>
              <w:rPr>
                <w:sz w:val="16"/>
              </w:rPr>
              <w:t>Data/scoring • TestDataReader + RecommendationValidator</w:t>
            </w:r>
          </w:p>
        </w:tc>
        <w:tc>
          <w:tcPr>
            <w:tcW w:type="dxa" w:w="4997"/>
            <w:vAlign w:val="center"/>
          </w:tcPr>
          <w:p>
            <w:pPr>
              <w:spacing w:after="20"/>
            </w:pPr>
            <w:r>
              <w:rPr>
                <w:sz w:val="16"/>
              </w:rPr>
              <w:t>Loads CSV keywords/thresholds and scores visible recommendation titles.</w:t>
            </w:r>
          </w:p>
        </w:tc>
      </w:tr>
      <w:tr>
        <w:tc>
          <w:tcPr>
            <w:tcW w:type="dxa" w:w="4997"/>
            <w:vAlign w:val="center"/>
            <w:shd w:fill="F1F5F9"/>
          </w:tcPr>
          <w:p>
            <w:pPr>
              <w:spacing w:after="20"/>
            </w:pPr>
            <w:r>
              <w:rPr>
                <w:sz w:val="16"/>
              </w:rPr>
              <w:t>BDD/data • resources/features and resources/testdata</w:t>
            </w:r>
          </w:p>
        </w:tc>
        <w:tc>
          <w:tcPr>
            <w:tcW w:type="dxa" w:w="4997"/>
            <w:vAlign w:val="center"/>
            <w:shd w:fill="F1F5F9"/>
          </w:tcPr>
          <w:p>
            <w:pPr>
              <w:spacing w:after="20"/>
            </w:pPr>
            <w:r>
              <w:rPr>
                <w:sz w:val="16"/>
              </w:rPr>
              <w:t>ulta.feature describes journey; ulta-test-data.csv supplies AC5–AC7 criteria.</w:t>
            </w:r>
          </w:p>
        </w:tc>
      </w:tr>
      <w:tr>
        <w:tc>
          <w:tcPr>
            <w:tcW w:type="dxa" w:w="4997"/>
            <w:vAlign w:val="center"/>
          </w:tcPr>
          <w:p>
            <w:pPr>
              <w:spacing w:after="20"/>
            </w:pPr>
            <w:r>
              <w:rPr>
                <w:sz w:val="16"/>
              </w:rPr>
              <w:t>Evidence • target/</w:t>
            </w:r>
          </w:p>
        </w:tc>
        <w:tc>
          <w:tcPr>
            <w:tcW w:type="dxa" w:w="4997"/>
            <w:vAlign w:val="center"/>
          </w:tcPr>
          <w:p>
            <w:pPr>
              <w:spacing w:after="20"/>
            </w:pPr>
            <w:r>
              <w:rPr>
                <w:sz w:val="16"/>
              </w:rPr>
              <w:t>Generated Cucumber, Surefire, and Allure artifacts record test execution.</w:t>
            </w:r>
          </w:p>
        </w:tc>
      </w:tr>
    </w:tbl>
    <w:p/>
    <w:p>
      <w:pPr>
        <w:pStyle w:val="Heading2"/>
      </w:pPr>
      <w:r>
        <w:t>Key source tree</w:t>
      </w:r>
    </w:p>
    <w:p>
      <w:pPr>
        <w:spacing w:after="20"/>
        <w:ind w:left="288"/>
      </w:pPr>
      <w:r>
        <w:rPr>
          <w:rFonts w:ascii="Consolas" w:hAnsi="Consolas"/>
          <w:sz w:val="16"/>
        </w:rPr>
        <w:t>pom.xml | README.md | mvnw | mvnw.cmd</w:t>
      </w:r>
    </w:p>
    <w:p>
      <w:pPr>
        <w:spacing w:after="20"/>
        <w:ind w:left="288"/>
      </w:pPr>
      <w:r>
        <w:rPr>
          <w:rFonts w:ascii="Consolas" w:hAnsi="Consolas"/>
          <w:sz w:val="16"/>
        </w:rPr>
        <w:t>prompts/01_test_scenarios.md … 04_ai_result_analysis.md</w:t>
      </w:r>
    </w:p>
    <w:p>
      <w:pPr>
        <w:spacing w:after="20"/>
        <w:ind w:left="288"/>
      </w:pPr>
      <w:r>
        <w:rPr>
          <w:rFonts w:ascii="Consolas" w:hAnsi="Consolas"/>
          <w:sz w:val="16"/>
        </w:rPr>
        <w:t>docs/test-scenarios.xlsx | docs/qtest-cases.xlsx | docs/demo-recording-script.md</w:t>
      </w:r>
    </w:p>
    <w:p>
      <w:pPr>
        <w:spacing w:after="20"/>
        <w:ind w:left="288"/>
      </w:pPr>
      <w:r>
        <w:rPr>
          <w:rFonts w:ascii="Consolas" w:hAnsi="Consolas"/>
          <w:sz w:val="16"/>
        </w:rPr>
        <w:t>src/test/java/com/ulta/{config,driver,hooks,pages,runners,steps,utils}/</w:t>
      </w:r>
    </w:p>
    <w:p>
      <w:pPr>
        <w:spacing w:after="20"/>
        <w:ind w:left="288"/>
      </w:pPr>
      <w:r>
        <w:rPr>
          <w:rFonts w:ascii="Consolas" w:hAnsi="Consolas"/>
          <w:sz w:val="16"/>
        </w:rPr>
        <w:t>src/test/resources/{config,features,testdata}/</w:t>
      </w:r>
    </w:p>
    <w:p>
      <w:pPr>
        <w:pStyle w:val="Heading1"/>
      </w:pPr>
      <w:r>
        <w:t>3. Acceptance criteria mapped to automation</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365D"/>
          </w:tcPr>
          <w:p>
            <w:r>
              <w:rPr>
                <w:b/>
                <w:color w:val="FFFFFF"/>
                <w:sz w:val="16"/>
              </w:rPr>
              <w:t>AC</w:t>
            </w:r>
          </w:p>
        </w:tc>
        <w:tc>
          <w:tcPr>
            <w:tcW w:type="dxa" w:w="3331"/>
            <w:shd w:fill="17365D"/>
          </w:tcPr>
          <w:p>
            <w:r>
              <w:rPr>
                <w:b/>
                <w:color w:val="FFFFFF"/>
                <w:sz w:val="16"/>
              </w:rPr>
              <w:t>What is checked</w:t>
            </w:r>
          </w:p>
        </w:tc>
        <w:tc>
          <w:tcPr>
            <w:tcW w:type="dxa" w:w="3331"/>
            <w:shd w:fill="17365D"/>
          </w:tcPr>
          <w:p>
            <w:r>
              <w:rPr>
                <w:b/>
                <w:color w:val="FFFFFF"/>
                <w:sz w:val="16"/>
              </w:rPr>
              <w:t>Implementation/evidence</w:t>
            </w:r>
          </w:p>
        </w:tc>
      </w:tr>
      <w:tr>
        <w:tc>
          <w:tcPr>
            <w:tcW w:type="dxa" w:w="3331"/>
            <w:vAlign w:val="center"/>
          </w:tcPr>
          <w:p>
            <w:pPr>
              <w:spacing w:after="20"/>
            </w:pPr>
            <w:r>
              <w:rPr>
                <w:sz w:val="16"/>
              </w:rPr>
              <w:t>AC1</w:t>
            </w:r>
          </w:p>
        </w:tc>
        <w:tc>
          <w:tcPr>
            <w:tcW w:type="dxa" w:w="3331"/>
            <w:vAlign w:val="center"/>
          </w:tcPr>
          <w:p>
            <w:pPr>
              <w:spacing w:after="20"/>
            </w:pPr>
            <w:r>
              <w:rPr>
                <w:sz w:val="16"/>
              </w:rPr>
              <w:t>Homepage loads; search is visible/enabled; sign-in control is accessible.</w:t>
            </w:r>
          </w:p>
        </w:tc>
        <w:tc>
          <w:tcPr>
            <w:tcW w:type="dxa" w:w="3331"/>
            <w:vAlign w:val="center"/>
          </w:tcPr>
          <w:p>
            <w:pPr>
              <w:spacing w:after="20"/>
            </w:pPr>
            <w:r>
              <w:rPr>
                <w:sz w:val="16"/>
              </w:rPr>
              <w:t>HomePage and initial Gherkin steps.</w:t>
            </w:r>
          </w:p>
        </w:tc>
      </w:tr>
      <w:tr>
        <w:tc>
          <w:tcPr>
            <w:tcW w:type="dxa" w:w="3331"/>
            <w:vAlign w:val="center"/>
            <w:shd w:fill="F1F5F9"/>
          </w:tcPr>
          <w:p>
            <w:pPr>
              <w:spacing w:after="20"/>
            </w:pPr>
            <w:r>
              <w:rPr>
                <w:sz w:val="16"/>
              </w:rPr>
              <w:t>AC2</w:t>
            </w:r>
          </w:p>
        </w:tc>
        <w:tc>
          <w:tcPr>
            <w:tcW w:type="dxa" w:w="3331"/>
            <w:vAlign w:val="center"/>
            <w:shd w:fill="F1F5F9"/>
          </w:tcPr>
          <w:p>
            <w:pPr>
              <w:spacing w:after="20"/>
            </w:pPr>
            <w:r>
              <w:rPr>
                <w:sz w:val="16"/>
              </w:rPr>
              <w:t>Search moisturizer, mascara, vitamin C serum; each results page has a product.</w:t>
            </w:r>
          </w:p>
        </w:tc>
        <w:tc>
          <w:tcPr>
            <w:tcW w:type="dxa" w:w="3331"/>
            <w:vAlign w:val="center"/>
            <w:shd w:fill="F1F5F9"/>
          </w:tcPr>
          <w:p>
            <w:pPr>
              <w:spacing w:after="20"/>
            </w:pPr>
            <w:r>
              <w:rPr>
                <w:sz w:val="16"/>
              </w:rPr>
              <w:t>SearchResultsPage; same scenario/browser.</w:t>
            </w:r>
          </w:p>
        </w:tc>
      </w:tr>
      <w:tr>
        <w:tc>
          <w:tcPr>
            <w:tcW w:type="dxa" w:w="3331"/>
            <w:vAlign w:val="center"/>
          </w:tcPr>
          <w:p>
            <w:pPr>
              <w:spacing w:after="20"/>
            </w:pPr>
            <w:r>
              <w:rPr>
                <w:sz w:val="16"/>
              </w:rPr>
              <w:t>AC3</w:t>
            </w:r>
          </w:p>
        </w:tc>
        <w:tc>
          <w:tcPr>
            <w:tcW w:type="dxa" w:w="3331"/>
            <w:vAlign w:val="center"/>
          </w:tcPr>
          <w:p>
            <w:pPr>
              <w:spacing w:after="20"/>
            </w:pPr>
            <w:r>
              <w:rPr>
                <w:sz w:val="16"/>
              </w:rPr>
              <w:t>Open first result, add to bag, verify badge increments.</w:t>
            </w:r>
          </w:p>
        </w:tc>
        <w:tc>
          <w:tcPr>
            <w:tcW w:type="dxa" w:w="3331"/>
            <w:vAlign w:val="center"/>
          </w:tcPr>
          <w:p>
            <w:pPr>
              <w:spacing w:after="20"/>
            </w:pPr>
            <w:r>
              <w:rPr>
                <w:sz w:val="16"/>
              </w:rPr>
              <w:t>ProductPage + BagPage; repeated for each search.</w:t>
            </w:r>
          </w:p>
        </w:tc>
      </w:tr>
      <w:tr>
        <w:tc>
          <w:tcPr>
            <w:tcW w:type="dxa" w:w="3331"/>
            <w:vAlign w:val="center"/>
            <w:shd w:fill="F1F5F9"/>
          </w:tcPr>
          <w:p>
            <w:pPr>
              <w:spacing w:after="20"/>
            </w:pPr>
            <w:r>
              <w:rPr>
                <w:sz w:val="16"/>
              </w:rPr>
              <w:t>AC4</w:t>
            </w:r>
          </w:p>
        </w:tc>
        <w:tc>
          <w:tcPr>
            <w:tcW w:type="dxa" w:w="3331"/>
            <w:vAlign w:val="center"/>
            <w:shd w:fill="F1F5F9"/>
          </w:tcPr>
          <w:p>
            <w:pPr>
              <w:spacing w:after="20"/>
            </w:pPr>
            <w:r>
              <w:rPr>
                <w:sz w:val="16"/>
              </w:rPr>
              <w:t>Bag has at least three items and expected names.</w:t>
            </w:r>
          </w:p>
        </w:tc>
        <w:tc>
          <w:tcPr>
            <w:tcW w:type="dxa" w:w="3331"/>
            <w:vAlign w:val="center"/>
            <w:shd w:fill="F1F5F9"/>
          </w:tcPr>
          <w:p>
            <w:pPr>
              <w:spacing w:after="20"/>
            </w:pPr>
            <w:r>
              <w:rPr>
                <w:sz w:val="16"/>
              </w:rPr>
              <w:t>BagPage + tracked product names.</w:t>
            </w:r>
          </w:p>
        </w:tc>
      </w:tr>
      <w:tr>
        <w:tc>
          <w:tcPr>
            <w:tcW w:type="dxa" w:w="3331"/>
            <w:vAlign w:val="center"/>
          </w:tcPr>
          <w:p>
            <w:pPr>
              <w:spacing w:after="20"/>
            </w:pPr>
            <w:r>
              <w:rPr>
                <w:sz w:val="16"/>
              </w:rPr>
              <w:t>AC5</w:t>
            </w:r>
          </w:p>
        </w:tc>
        <w:tc>
          <w:tcPr>
            <w:tcW w:type="dxa" w:w="3331"/>
            <w:vAlign w:val="center"/>
          </w:tcPr>
          <w:p>
            <w:pPr>
              <w:spacing w:after="20"/>
            </w:pPr>
            <w:r>
              <w:rPr>
                <w:sz w:val="16"/>
              </w:rPr>
              <w:t>PDP recommendations reach ≥30% relevance.</w:t>
            </w:r>
          </w:p>
        </w:tc>
        <w:tc>
          <w:tcPr>
            <w:tcW w:type="dxa" w:w="3331"/>
            <w:vAlign w:val="center"/>
          </w:tcPr>
          <w:p>
            <w:pPr>
              <w:spacing w:after="20"/>
            </w:pPr>
            <w:r>
              <w:rPr>
                <w:sz w:val="16"/>
              </w:rPr>
              <w:t>CSV-driven terms; design boundaries 29/30/31%.</w:t>
            </w:r>
          </w:p>
        </w:tc>
      </w:tr>
      <w:tr>
        <w:tc>
          <w:tcPr>
            <w:tcW w:type="dxa" w:w="3331"/>
            <w:vAlign w:val="center"/>
            <w:shd w:fill="F1F5F9"/>
          </w:tcPr>
          <w:p>
            <w:pPr>
              <w:spacing w:after="20"/>
            </w:pPr>
            <w:r>
              <w:rPr>
                <w:sz w:val="16"/>
              </w:rPr>
              <w:t>AC6</w:t>
            </w:r>
          </w:p>
        </w:tc>
        <w:tc>
          <w:tcPr>
            <w:tcW w:type="dxa" w:w="3331"/>
            <w:vAlign w:val="center"/>
            <w:shd w:fill="F1F5F9"/>
          </w:tcPr>
          <w:p>
            <w:pPr>
              <w:spacing w:after="20"/>
            </w:pPr>
            <w:r>
              <w:rPr>
                <w:sz w:val="16"/>
              </w:rPr>
              <w:t>Bag recommendations reach ≥25% using moisturizer and mascara terms.</w:t>
            </w:r>
          </w:p>
        </w:tc>
        <w:tc>
          <w:tcPr>
            <w:tcW w:type="dxa" w:w="3331"/>
            <w:vAlign w:val="center"/>
            <w:shd w:fill="F1F5F9"/>
          </w:tcPr>
          <w:p>
            <w:pPr>
              <w:spacing w:after="20"/>
            </w:pPr>
            <w:r>
              <w:rPr>
                <w:sz w:val="16"/>
              </w:rPr>
              <w:t>CSV-driven terms; boundaries 24/25/26%.</w:t>
            </w:r>
          </w:p>
        </w:tc>
      </w:tr>
      <w:tr>
        <w:tc>
          <w:tcPr>
            <w:tcW w:type="dxa" w:w="3331"/>
            <w:vAlign w:val="center"/>
          </w:tcPr>
          <w:p>
            <w:pPr>
              <w:spacing w:after="20"/>
            </w:pPr>
            <w:r>
              <w:rPr>
                <w:sz w:val="16"/>
              </w:rPr>
              <w:t>AC7</w:t>
            </w:r>
          </w:p>
        </w:tc>
        <w:tc>
          <w:tcPr>
            <w:tcW w:type="dxa" w:w="3331"/>
            <w:vAlign w:val="center"/>
          </w:tcPr>
          <w:p>
            <w:pPr>
              <w:spacing w:after="20"/>
            </w:pPr>
            <w:r>
              <w:rPr>
                <w:sz w:val="16"/>
              </w:rPr>
              <w:t>Combined PDP and bag sample reaches ≥20%.</w:t>
            </w:r>
          </w:p>
        </w:tc>
        <w:tc>
          <w:tcPr>
            <w:tcW w:type="dxa" w:w="3331"/>
            <w:vAlign w:val="center"/>
          </w:tcPr>
          <w:p>
            <w:pPr>
              <w:spacing w:after="20"/>
            </w:pPr>
            <w:r>
              <w:rPr>
                <w:sz w:val="16"/>
              </w:rPr>
              <w:t>CSV-driven terms; boundaries 19/20/21%.</w:t>
            </w:r>
          </w:p>
        </w:tc>
      </w:tr>
    </w:tbl>
    <w:p/>
    <w:p>
      <w:r>
        <w:t>Scope: the story mentions account creation, but the acceptance checks only require the sign-in control to be accessible. Inspected automation does not create an account or check out.</w:t>
      </w:r>
    </w:p>
    <w:p>
      <w:pPr>
        <w:pStyle w:val="Heading1"/>
      </w:pPr>
      <w:r>
        <w:t>4. Test design and qTest artifacts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365D"/>
          </w:tcPr>
          <w:p>
            <w:r>
              <w:rPr>
                <w:b/>
                <w:color w:val="FFFFFF"/>
                <w:sz w:val="16"/>
              </w:rPr>
              <w:t>Artifact</w:t>
            </w:r>
          </w:p>
        </w:tc>
        <w:tc>
          <w:tcPr>
            <w:tcW w:type="dxa" w:w="3331"/>
            <w:shd w:fill="17365D"/>
          </w:tcPr>
          <w:p>
            <w:r>
              <w:rPr>
                <w:b/>
                <w:color w:val="FFFFFF"/>
                <w:sz w:val="16"/>
              </w:rPr>
              <w:t>Observed contents</w:t>
            </w:r>
          </w:p>
        </w:tc>
        <w:tc>
          <w:tcPr>
            <w:tcW w:type="dxa" w:w="3331"/>
            <w:shd w:fill="17365D"/>
          </w:tcPr>
          <w:p>
            <w:r>
              <w:rPr>
                <w:b/>
                <w:color w:val="FFFFFF"/>
                <w:sz w:val="16"/>
              </w:rPr>
              <w:t>Use / limitation</w:t>
            </w:r>
          </w:p>
        </w:tc>
      </w:tr>
      <w:tr>
        <w:tc>
          <w:tcPr>
            <w:tcW w:type="dxa" w:w="3331"/>
            <w:vAlign w:val="center"/>
          </w:tcPr>
          <w:p>
            <w:pPr>
              <w:spacing w:after="20"/>
            </w:pPr>
            <w:r>
              <w:rPr>
                <w:sz w:val="16"/>
              </w:rPr>
              <w:t>docs/test-scenarios.xlsx</w:t>
            </w:r>
          </w:p>
        </w:tc>
        <w:tc>
          <w:tcPr>
            <w:tcW w:type="dxa" w:w="3331"/>
            <w:vAlign w:val="center"/>
          </w:tcPr>
          <w:p>
            <w:pPr>
              <w:spacing w:after="20"/>
            </w:pPr>
            <w:r>
              <w:rPr>
                <w:sz w:val="16"/>
              </w:rPr>
              <w:t>18 rows and 18 unique IDs: 17 designed scenarios across AC1–AC7 plus one open-scope item. Status: Designed.</w:t>
            </w:r>
          </w:p>
        </w:tc>
        <w:tc>
          <w:tcPr>
            <w:tcW w:type="dxa" w:w="3331"/>
            <w:vAlign w:val="center"/>
          </w:tcPr>
          <w:p>
            <w:pPr>
              <w:spacing w:after="20"/>
            </w:pPr>
            <w:r>
              <w:rPr>
                <w:sz w:val="16"/>
              </w:rPr>
              <w:t>Design/review evidence; not proof of execution.</w:t>
            </w:r>
          </w:p>
        </w:tc>
      </w:tr>
      <w:tr>
        <w:tc>
          <w:tcPr>
            <w:tcW w:type="dxa" w:w="3331"/>
            <w:vAlign w:val="center"/>
            <w:shd w:fill="F1F5F9"/>
          </w:tcPr>
          <w:p>
            <w:pPr>
              <w:spacing w:after="20"/>
            </w:pPr>
            <w:r>
              <w:rPr>
                <w:sz w:val="16"/>
              </w:rPr>
              <w:t>docs/qtest-cases.xlsx</w:t>
            </w:r>
          </w:p>
        </w:tc>
        <w:tc>
          <w:tcPr>
            <w:tcW w:type="dxa" w:w="3331"/>
            <w:vAlign w:val="center"/>
            <w:shd w:fill="F1F5F9"/>
          </w:tcPr>
          <w:p>
            <w:pPr>
              <w:spacing w:after="20"/>
            </w:pPr>
            <w:r>
              <w:rPr>
                <w:sz w:val="16"/>
              </w:rPr>
              <w:t>15 unique case IDs represented across 44 case/step rows.</w:t>
            </w:r>
          </w:p>
        </w:tc>
        <w:tc>
          <w:tcPr>
            <w:tcW w:type="dxa" w:w="3331"/>
            <w:vAlign w:val="center"/>
            <w:shd w:fill="F1F5F9"/>
          </w:tcPr>
          <w:p>
            <w:pPr>
              <w:spacing w:after="20"/>
            </w:pPr>
            <w:r>
              <w:rPr>
                <w:sz w:val="16"/>
              </w:rPr>
              <w:t>qTest-style design/import aid; verify field mapping against the team template.</w:t>
            </w:r>
          </w:p>
        </w:tc>
      </w:tr>
      <w:tr>
        <w:tc>
          <w:tcPr>
            <w:tcW w:type="dxa" w:w="3331"/>
            <w:vAlign w:val="center"/>
          </w:tcPr>
          <w:p>
            <w:pPr>
              <w:spacing w:after="20"/>
            </w:pPr>
            <w:r>
              <w:rPr>
                <w:sz w:val="16"/>
              </w:rPr>
              <w:t>prompts/01_test_scenarios.md</w:t>
            </w:r>
          </w:p>
        </w:tc>
        <w:tc>
          <w:tcPr>
            <w:tcW w:type="dxa" w:w="3331"/>
            <w:vAlign w:val="center"/>
          </w:tcPr>
          <w:p>
            <w:pPr>
              <w:spacing w:after="20"/>
            </w:pPr>
            <w:r>
              <w:rPr>
                <w:sz w:val="16"/>
              </w:rPr>
              <w:t>Prompt asks for positive, negative, boundary, equivalence, UI, functional, data-driven, recommendation, E2E cases.</w:t>
            </w:r>
          </w:p>
        </w:tc>
        <w:tc>
          <w:tcPr>
            <w:tcW w:type="dxa" w:w="3331"/>
            <w:vAlign w:val="center"/>
          </w:tcPr>
          <w:p>
            <w:pPr>
              <w:spacing w:after="20"/>
            </w:pPr>
            <w:r>
              <w:rPr>
                <w:sz w:val="16"/>
              </w:rPr>
              <w:t>Prompt artifact does not prove a particular row was AI-generated.</w:t>
            </w:r>
          </w:p>
        </w:tc>
      </w:tr>
      <w:tr>
        <w:tc>
          <w:tcPr>
            <w:tcW w:type="dxa" w:w="3331"/>
            <w:vAlign w:val="center"/>
            <w:shd w:fill="F1F5F9"/>
          </w:tcPr>
          <w:p>
            <w:pPr>
              <w:spacing w:after="20"/>
            </w:pPr>
            <w:r>
              <w:rPr>
                <w:sz w:val="16"/>
              </w:rPr>
              <w:t>prompts/02_qtest_cases.md</w:t>
            </w:r>
          </w:p>
        </w:tc>
        <w:tc>
          <w:tcPr>
            <w:tcW w:type="dxa" w:w="3331"/>
            <w:vAlign w:val="center"/>
            <w:shd w:fill="F1F5F9"/>
          </w:tcPr>
          <w:p>
            <w:pPr>
              <w:spacing w:after="20"/>
            </w:pPr>
            <w:r>
              <w:rPr>
                <w:sz w:val="16"/>
              </w:rPr>
              <w:t>Prompt converts reviewed scenarios into one-row-per-step qTest-style CSV.</w:t>
            </w:r>
          </w:p>
        </w:tc>
        <w:tc>
          <w:tcPr>
            <w:tcW w:type="dxa" w:w="3331"/>
            <w:vAlign w:val="center"/>
            <w:shd w:fill="F1F5F9"/>
          </w:tcPr>
          <w:p>
            <w:pPr>
              <w:spacing w:after="20"/>
            </w:pPr>
            <w:r>
              <w:rPr>
                <w:sz w:val="16"/>
              </w:rPr>
              <w:t>Import mapping depends on the target qTest template.</w:t>
            </w:r>
          </w:p>
        </w:tc>
      </w:tr>
    </w:tbl>
    <w:p/>
    <w:p>
      <w:pPr>
        <w:pStyle w:val="Heading1"/>
      </w:pPr>
      <w:r>
        <w:t>5. AI evidence and provenance</w:t>
      </w:r>
    </w:p>
    <w:p>
      <w:r>
        <w:t>The project contains reusable prompts and downstream QA artifacts for requirements-to-scenarios, scenarios-to-qTest rows, automation guidance, and result analysis. This supports that an AI-assisted workflow was planned and documented.</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365D"/>
          </w:tcPr>
          <w:p>
            <w:r>
              <w:rPr>
                <w:b/>
                <w:color w:val="FFFFFF"/>
                <w:sz w:val="16"/>
              </w:rPr>
              <w:t>Evidence present</w:t>
            </w:r>
          </w:p>
        </w:tc>
        <w:tc>
          <w:tcPr>
            <w:tcW w:type="dxa" w:w="3331"/>
            <w:shd w:fill="17365D"/>
          </w:tcPr>
          <w:p>
            <w:r>
              <w:rPr>
                <w:b/>
                <w:color w:val="FFFFFF"/>
                <w:sz w:val="16"/>
              </w:rPr>
              <w:t>Supports</w:t>
            </w:r>
          </w:p>
        </w:tc>
        <w:tc>
          <w:tcPr>
            <w:tcW w:type="dxa" w:w="3331"/>
            <w:shd w:fill="17365D"/>
          </w:tcPr>
          <w:p>
            <w:r>
              <w:rPr>
                <w:b/>
                <w:color w:val="FFFFFF"/>
                <w:sz w:val="16"/>
              </w:rPr>
              <w:t>Does not establish</w:t>
            </w:r>
          </w:p>
        </w:tc>
      </w:tr>
      <w:tr>
        <w:tc>
          <w:tcPr>
            <w:tcW w:type="dxa" w:w="3331"/>
            <w:vAlign w:val="center"/>
          </w:tcPr>
          <w:p>
            <w:pPr>
              <w:spacing w:after="20"/>
            </w:pPr>
            <w:r>
              <w:rPr>
                <w:sz w:val="16"/>
              </w:rPr>
              <w:t>Four prompts in prompts/</w:t>
            </w:r>
          </w:p>
        </w:tc>
        <w:tc>
          <w:tcPr>
            <w:tcW w:type="dxa" w:w="3331"/>
            <w:vAlign w:val="center"/>
          </w:tcPr>
          <w:p>
            <w:pPr>
              <w:spacing w:after="20"/>
            </w:pPr>
            <w:r>
              <w:rPr>
                <w:sz w:val="16"/>
              </w:rPr>
              <w:t>Reusable, reviewable inputs for design, automation, analysis.</w:t>
            </w:r>
          </w:p>
        </w:tc>
        <w:tc>
          <w:tcPr>
            <w:tcW w:type="dxa" w:w="3331"/>
            <w:vAlign w:val="center"/>
          </w:tcPr>
          <w:p>
            <w:pPr>
              <w:spacing w:after="20"/>
            </w:pPr>
            <w:r>
              <w:rPr>
                <w:sz w:val="16"/>
              </w:rPr>
              <w:t>That Copilot was invoked for every artifact or output accepted unchanged.</w:t>
            </w:r>
          </w:p>
        </w:tc>
      </w:tr>
      <w:tr>
        <w:tc>
          <w:tcPr>
            <w:tcW w:type="dxa" w:w="3331"/>
            <w:vAlign w:val="center"/>
            <w:shd w:fill="F1F5F9"/>
          </w:tcPr>
          <w:p>
            <w:pPr>
              <w:spacing w:after="20"/>
            </w:pPr>
            <w:r>
              <w:rPr>
                <w:sz w:val="16"/>
              </w:rPr>
              <w:t>Scenario and qTest workbooks</w:t>
            </w:r>
          </w:p>
        </w:tc>
        <w:tc>
          <w:tcPr>
            <w:tcW w:type="dxa" w:w="3331"/>
            <w:vAlign w:val="center"/>
            <w:shd w:fill="F1F5F9"/>
          </w:tcPr>
          <w:p>
            <w:pPr>
              <w:spacing w:after="20"/>
            </w:pPr>
            <w:r>
              <w:rPr>
                <w:sz w:val="16"/>
              </w:rPr>
              <w:t>Structured test-design artifacts exist.</w:t>
            </w:r>
          </w:p>
        </w:tc>
        <w:tc>
          <w:tcPr>
            <w:tcW w:type="dxa" w:w="3331"/>
            <w:vAlign w:val="center"/>
            <w:shd w:fill="F1F5F9"/>
          </w:tcPr>
          <w:p>
            <w:pPr>
              <w:spacing w:after="20"/>
            </w:pPr>
            <w:r>
              <w:rPr>
                <w:sz w:val="16"/>
              </w:rPr>
              <w:t>Who authored every row or its provenance in a specific AI response.</w:t>
            </w:r>
          </w:p>
        </w:tc>
      </w:tr>
      <w:tr>
        <w:tc>
          <w:tcPr>
            <w:tcW w:type="dxa" w:w="3331"/>
            <w:vAlign w:val="center"/>
          </w:tcPr>
          <w:p>
            <w:pPr>
              <w:spacing w:after="20"/>
            </w:pPr>
            <w:r>
              <w:rPr>
                <w:sz w:val="16"/>
              </w:rPr>
              <w:t>Java/Cucumber sources</w:t>
            </w:r>
          </w:p>
        </w:tc>
        <w:tc>
          <w:tcPr>
            <w:tcW w:type="dxa" w:w="3331"/>
            <w:vAlign w:val="center"/>
          </w:tcPr>
          <w:p>
            <w:pPr>
              <w:spacing w:after="20"/>
            </w:pPr>
            <w:r>
              <w:rPr>
                <w:sz w:val="16"/>
              </w:rPr>
              <w:t>Executable framework and acceptance scenario exist.</w:t>
            </w:r>
          </w:p>
        </w:tc>
        <w:tc>
          <w:tcPr>
            <w:tcW w:type="dxa" w:w="3331"/>
            <w:vAlign w:val="center"/>
          </w:tcPr>
          <w:p>
            <w:pPr>
              <w:spacing w:after="20"/>
            </w:pPr>
            <w:r>
              <w:rPr>
                <w:sz w:val="16"/>
              </w:rPr>
              <w:t>AI authorship or human approval history for every source line.</w:t>
            </w:r>
          </w:p>
        </w:tc>
      </w:tr>
      <w:tr>
        <w:tc>
          <w:tcPr>
            <w:tcW w:type="dxa" w:w="3331"/>
            <w:vAlign w:val="center"/>
            <w:shd w:fill="F1F5F9"/>
          </w:tcPr>
          <w:p>
            <w:pPr>
              <w:spacing w:after="20"/>
            </w:pPr>
            <w:r>
              <w:rPr>
                <w:sz w:val="16"/>
              </w:rPr>
              <w:t>Cucumber/Surefire/Allure output</w:t>
            </w:r>
          </w:p>
        </w:tc>
        <w:tc>
          <w:tcPr>
            <w:tcW w:type="dxa" w:w="3331"/>
            <w:vAlign w:val="center"/>
            <w:shd w:fill="F1F5F9"/>
          </w:tcPr>
          <w:p>
            <w:pPr>
              <w:spacing w:after="20"/>
            </w:pPr>
            <w:r>
              <w:rPr>
                <w:sz w:val="16"/>
              </w:rPr>
              <w:t>A saved run records outcome and failure detail.</w:t>
            </w:r>
          </w:p>
        </w:tc>
        <w:tc>
          <w:tcPr>
            <w:tcW w:type="dxa" w:w="3331"/>
            <w:vAlign w:val="center"/>
            <w:shd w:fill="F1F5F9"/>
          </w:tcPr>
          <w:p>
            <w:pPr>
              <w:spacing w:after="20"/>
            </w:pPr>
            <w:r>
              <w:rPr>
                <w:sz w:val="16"/>
              </w:rPr>
              <w:t>Current live IntelliJ state or a Copilot conversation transcript.</w:t>
            </w:r>
          </w:p>
        </w:tc>
      </w:tr>
    </w:tbl>
    <w:p/>
    <w:p>
      <w:r>
        <w:t>For a stronger audit trail, retain dated Copilot chat/export evidence and link reviewed prompt/output to workbook rows or a commit. No transcript was present in the inspected project files.</w:t>
      </w:r>
    </w:p>
    <w:p>
      <w:pPr>
        <w:pStyle w:val="Heading1"/>
      </w:pPr>
      <w:r>
        <w:t>6. Latest saved Maven result</w:t>
      </w:r>
    </w:p>
    <w:tbl>
      <w:tblPr>
        <w:tblStyle w:val="TableGrid"/>
        <w:tblW w:type="auto" w:w="0"/>
        <w:jc w:val="center"/>
        <w:tblLook w:firstColumn="1" w:firstRow="1" w:lastColumn="0" w:lastRow="0" w:noHBand="0" w:noVBand="1" w:val="04A0"/>
      </w:tblPr>
      <w:tblGrid>
        <w:gridCol w:w="4997"/>
        <w:gridCol w:w="4997"/>
      </w:tblGrid>
      <w:tr>
        <w:tc>
          <w:tcPr>
            <w:tcW w:type="dxa" w:w="4997"/>
            <w:shd w:fill="17365D"/>
          </w:tcPr>
          <w:p>
            <w:r>
              <w:rPr>
                <w:b/>
                <w:color w:val="FFFFFF"/>
                <w:sz w:val="16"/>
              </w:rPr>
              <w:t>Metric</w:t>
            </w:r>
          </w:p>
        </w:tc>
        <w:tc>
          <w:tcPr>
            <w:tcW w:type="dxa" w:w="4997"/>
            <w:shd w:fill="17365D"/>
          </w:tcPr>
          <w:p>
            <w:r>
              <w:rPr>
                <w:b/>
                <w:color w:val="FFFFFF"/>
                <w:sz w:val="16"/>
              </w:rPr>
              <w:t>Saved report value</w:t>
            </w:r>
          </w:p>
        </w:tc>
      </w:tr>
      <w:tr>
        <w:tc>
          <w:tcPr>
            <w:tcW w:type="dxa" w:w="4997"/>
            <w:vAlign w:val="center"/>
          </w:tcPr>
          <w:p>
            <w:pPr>
              <w:spacing w:after="20"/>
            </w:pPr>
            <w:r>
              <w:rPr>
                <w:sz w:val="16"/>
              </w:rPr>
              <w:t>TestSuite totals</w:t>
            </w:r>
          </w:p>
        </w:tc>
        <w:tc>
          <w:tcPr>
            <w:tcW w:type="dxa" w:w="4997"/>
            <w:vAlign w:val="center"/>
          </w:tcPr>
          <w:p>
            <w:pPr>
              <w:spacing w:after="20"/>
            </w:pPr>
            <w:r>
              <w:rPr>
                <w:sz w:val="16"/>
              </w:rPr>
              <w:t>5 run; 4 passed; 1 failed; 0 errors; 0 skipped.</w:t>
            </w:r>
          </w:p>
        </w:tc>
      </w:tr>
      <w:tr>
        <w:tc>
          <w:tcPr>
            <w:tcW w:type="dxa" w:w="4997"/>
            <w:vAlign w:val="center"/>
            <w:shd w:fill="F1F5F9"/>
          </w:tcPr>
          <w:p>
            <w:pPr>
              <w:spacing w:after="20"/>
            </w:pPr>
            <w:r>
              <w:rPr>
                <w:sz w:val="16"/>
              </w:rPr>
              <w:t>Cucumber scenario</w:t>
            </w:r>
          </w:p>
        </w:tc>
        <w:tc>
          <w:tcPr>
            <w:tcW w:type="dxa" w:w="4997"/>
            <w:vAlign w:val="center"/>
            <w:shd w:fill="F1F5F9"/>
          </w:tcPr>
          <w:p>
            <w:pPr>
              <w:spacing w:after="20"/>
            </w:pPr>
            <w:r>
              <w:rPr>
                <w:sz w:val="16"/>
              </w:rPr>
              <w:t>1 scenario; 23 steps: 22 passed, 1 failed, 0 skipped (saved cucumber.json).</w:t>
            </w:r>
          </w:p>
        </w:tc>
      </w:tr>
      <w:tr>
        <w:tc>
          <w:tcPr>
            <w:tcW w:type="dxa" w:w="4997"/>
            <w:vAlign w:val="center"/>
          </w:tcPr>
          <w:p>
            <w:pPr>
              <w:spacing w:after="20"/>
            </w:pPr>
            <w:r>
              <w:rPr>
                <w:sz w:val="16"/>
              </w:rPr>
              <w:t>Failed step</w:t>
            </w:r>
          </w:p>
        </w:tc>
        <w:tc>
          <w:tcPr>
            <w:tcW w:type="dxa" w:w="4997"/>
            <w:vAlign w:val="center"/>
          </w:tcPr>
          <w:p>
            <w:pPr>
              <w:spacing w:after="20"/>
            </w:pPr>
            <w:r>
              <w:rPr>
                <w:sz w:val="16"/>
              </w:rPr>
              <w:t>“combined recommendations should meet the AC7 threshold” (final SoftAssert aggregation step).</w:t>
            </w:r>
          </w:p>
        </w:tc>
      </w:tr>
      <w:tr>
        <w:tc>
          <w:tcPr>
            <w:tcW w:type="dxa" w:w="4997"/>
            <w:vAlign w:val="center"/>
            <w:shd w:fill="F1F5F9"/>
          </w:tcPr>
          <w:p>
            <w:pPr>
              <w:spacing w:after="20"/>
            </w:pPr>
            <w:r>
              <w:rPr>
                <w:sz w:val="16"/>
              </w:rPr>
              <w:t>Failure detail</w:t>
            </w:r>
          </w:p>
        </w:tc>
        <w:tc>
          <w:tcPr>
            <w:tcW w:type="dxa" w:w="4997"/>
            <w:vAlign w:val="center"/>
            <w:shd w:fill="F1F5F9"/>
          </w:tcPr>
          <w:p>
            <w:pPr>
              <w:spacing w:after="20"/>
            </w:pPr>
            <w:r>
              <w:rPr>
                <w:sz w:val="16"/>
              </w:rPr>
              <w:t>AC6 recommendation relevance = 0%; expected at least 25% from 8 visible titles.</w:t>
            </w:r>
          </w:p>
        </w:tc>
      </w:tr>
      <w:tr>
        <w:tc>
          <w:tcPr>
            <w:tcW w:type="dxa" w:w="4997"/>
            <w:vAlign w:val="center"/>
          </w:tcPr>
          <w:p>
            <w:pPr>
              <w:spacing w:after="20"/>
            </w:pPr>
            <w:r>
              <w:rPr>
                <w:sz w:val="16"/>
              </w:rPr>
              <w:t>Visible sample</w:t>
            </w:r>
          </w:p>
        </w:tc>
        <w:tc>
          <w:tcPr>
            <w:tcW w:type="dxa" w:w="4997"/>
            <w:vAlign w:val="center"/>
          </w:tcPr>
          <w:p>
            <w:pPr>
              <w:spacing w:after="20"/>
            </w:pPr>
            <w:r>
              <w:rPr>
                <w:sz w:val="16"/>
              </w:rPr>
              <w:t>Morphe eyeshadow palette and lip pencil; Kitsch hair perfume; e.l.f. primer; several Shark Beauty styling products.</w:t>
            </w:r>
          </w:p>
        </w:tc>
      </w:tr>
    </w:tbl>
    <w:p/>
    <w:p>
      <w:r>
        <w:t>Interpretation: the saved output identifies AC6 as below threshold. The checks are aggregated with SoftAssert at the final step, so this report does not independently prove AC7 passed. Earlier search, add-to-bag, bag-content, and AC5 steps passed in this saved run.</w:t>
      </w:r>
    </w:p>
    <w:p>
      <w:r>
        <w:t>Ulta recommendation content can vary by session, location, inventory, and personalization. The score is keyword based. This test failure alone does not establish an application defect.</w:t>
      </w:r>
    </w:p>
    <w:p>
      <w:r>
        <w:t>Runtime note: the POM targets Java 17, while the saved Surefire environment reports JDK 27. Align IntelliJ Project SDK and Maven runner to JDK 17 for reproducibility, or intentionally revise the project target after compatibility review.</w:t>
      </w:r>
    </w:p>
    <w:p>
      <w:pPr>
        <w:pStyle w:val="Heading1"/>
      </w:pPr>
      <w:r>
        <w:t>7. Run and inspect evidence</w:t>
      </w:r>
    </w:p>
    <w:p>
      <w:r>
        <w:t>From the project root in PowerShell:</w:t>
      </w:r>
    </w:p>
    <w:p>
      <w:pPr>
        <w:spacing w:after="20"/>
        <w:ind w:left="288"/>
      </w:pPr>
      <w:r>
        <w:rPr>
          <w:rFonts w:ascii="Consolas" w:hAnsi="Consolas"/>
          <w:sz w:val="16"/>
        </w:rPr>
        <w:t>.\mvnw.cmd clean test</w:t>
      </w:r>
    </w:p>
    <w:p>
      <w:pPr>
        <w:spacing w:after="20"/>
        <w:ind w:left="288"/>
      </w:pPr>
      <w:r>
        <w:rPr>
          <w:rFonts w:ascii="Consolas" w:hAnsi="Consolas"/>
          <w:sz w:val="16"/>
        </w:rPr>
        <w:t>.\mvnw.cmd test '-Dcucumber.filter.tags=@e2e'</w:t>
      </w:r>
    </w:p>
    <w:p>
      <w:pPr>
        <w:spacing w:after="20"/>
        <w:ind w:left="288"/>
      </w:pPr>
      <w:r>
        <w:rPr>
          <w:rFonts w:ascii="Consolas" w:hAnsi="Consolas"/>
          <w:sz w:val="16"/>
        </w:rPr>
        <w:t>.\mvnw.cmd clean test -Dheadless=true</w:t>
      </w:r>
    </w:p>
    <w:p>
      <w:r>
        <w:t>Inspect target/cucumber-report.html, target/cucumber.json, target/surefire-reports/TestSuite.txt, and target/allure-results/. Compare report timestamps; stale target files can remain if the run did not clean first.</w:t>
      </w:r>
    </w:p>
    <w:p>
      <w:r>
        <w:br w:type="page"/>
      </w:r>
    </w:p>
    <w:p>
      <w:pPr>
        <w:pStyle w:val="Heading1"/>
      </w:pPr>
      <w:r>
        <w:t>Appendix A. Prompt library (project copies)</w:t>
      </w:r>
    </w:p>
    <w:p>
      <w:r>
        <w:t>Prompt bodies transcribed from the four Markdown files. Review-record notes are omitted.</w:t>
      </w:r>
    </w:p>
    <w:p>
      <w:pPr>
        <w:pStyle w:val="Heading2"/>
      </w:pPr>
      <w:r>
        <w:t>A1 • Test scenario generation — prompts/01_test_scenarios.md</w:t>
      </w:r>
    </w:p>
    <w:p>
      <w:r>
        <w:t>Act as a senior QA analyst. Review the user story and AC1–AC7 in README.md. Generate positive, negative, boundary, equivalence-partition, UI, functional, data-driven, recommendation, and end-to-end scenarios. For every scenario provide ID, AC, name, precondition, test data, steps, expected result, priority, test type, and automation candidate. Do not invent requirements. State assumptions and clarification questions separately. Include the recommendation boundaries AC5 29/30/31%, AC6 24/25/26%, and AC7 19/20/21%. Output a Markdown table for human review.</w:t>
      </w:r>
    </w:p>
    <w:p>
      <w:pPr>
        <w:pStyle w:val="Heading2"/>
      </w:pPr>
      <w:r>
        <w:t>A2 • qTest-style test cases — prompts/02_qtest_cases.md</w:t>
      </w:r>
    </w:p>
    <w:p>
      <w:r>
        <w:t>Act as a QA test designer. Convert the reviewed scenarios in docs/test-scenarios.xlsx into qTest-style step rows using these columns: Test Case ID, Test Case Name, Requirement/AC, Priority, Preconditions, Test Data, Step No, Action, Expected Result, Test Type, Automation Candidate, Status. Use one row per test step, repeat case metadata on each row, quote CSV fields correctly, and do not add requirements. Return valid CSV only. Map the approved output to the qTest import template used by the team.</w:t>
      </w:r>
    </w:p>
    <w:p>
      <w:pPr>
        <w:pStyle w:val="Heading2"/>
      </w:pPr>
      <w:r>
        <w:t>A3 • Automation code generation — prompts/03_automation.md</w:t>
      </w:r>
    </w:p>
    <w:p>
      <w:r>
        <w:t>Act as a senior Java QA automation engineer. Implement one small, named task from the existing project. Use the current package structure, Java 17, Maven, Selenium, Cucumber 7 with TestNG, explicit waits, and Page Object Model. Do not use Thread.sleep. Do not invent target-site locators: identify candidate selectors and explain how to verify them. Keep the scenario driver isolated and ensure cleanup in a finally-safe hook. Do not change unrelated files. Explain assumptions and compile risks. Review generated code before accepting it.</w:t>
      </w:r>
    </w:p>
    <w:p>
      <w:r>
        <w:t>For the Ulta journey, preserve one Cucumber scenario and one WebDriver for AC1–AC7: check the homepage controls; search moisturizer, mascara, and vitamin C serum; add each first result in the same browser; assert the cart badge increases after each add; verify all three names in the bag; then score moisturizer PDP recommendations (30%), bag recommendations using moisturizer and mascara terms (25%), and the pooled PDP-plus-bag sample (20%). Do not add account creation or checkout steps unless an acceptance criterion is approved for them. Reuse page objects and configuration; avoid a separate browser smoke test that would start a second window during mvn test.</w:t>
      </w:r>
    </w:p>
    <w:p>
      <w:pPr>
        <w:pStyle w:val="Heading2"/>
      </w:pPr>
      <w:r>
        <w:t>A4 • Cucumber execution analysis — prompts/04_ai_result_analysis.md</w:t>
      </w:r>
    </w:p>
    <w:p>
      <w:r>
        <w:t>Analyze target/cucumber.json. Report total, passed, failed, skipped, and pass percentage. Cluster failures by observed evidence: locator/wait, environment/site access, assertion/business behavior, and recommendation threshold. For each cluster include scenario IDs and error text. Label root causes as hypotheses. Identify five investigations and suggested regression tests. Do not label an environment or automation failure as an application defect without evidence. State missing or ambiguous result data. Verify all counts against the JSON before sharing the summary.</w:t>
      </w:r>
    </w:p>
    <w:p>
      <w:pPr>
        <w:pStyle w:val="Heading1"/>
      </w:pPr>
      <w:r>
        <w:t>Appendix B. Source references</w:t>
      </w:r>
    </w:p>
    <w:p>
      <w:pPr>
        <w:pStyle w:val="ListBullet"/>
      </w:pPr>
      <w:r>
        <w:t>Project root: C:\Users\mukes\IdeaProjects\AI_Powered_Test_Automation</w:t>
      </w:r>
    </w:p>
    <w:p>
      <w:pPr>
        <w:pStyle w:val="ListBullet"/>
      </w:pPr>
      <w:r>
        <w:t>Build/config: pom.xml; src/test/resources/config/config.properties; src/test/java/com/ulta/config/ConfigReader.java; src/test/java/com/ulta/driver/DriverFactory.java</w:t>
      </w:r>
    </w:p>
    <w:p>
      <w:pPr>
        <w:pStyle w:val="ListBullet"/>
      </w:pPr>
      <w:r>
        <w:t>BDD/automation: src/test/resources/features/ulta.feature; src/test/java/com/ulta/runners/TestRunner.java; hooks/Hooks.java; steps/UltaSteps.java; pages/</w:t>
      </w:r>
    </w:p>
    <w:p>
      <w:pPr>
        <w:pStyle w:val="ListBullet"/>
      </w:pPr>
      <w:r>
        <w:t>Data/scoring: src/test/resources/testdata/ulta-test-data.csv; utils/TestDataReader.java; utils/RecommendationValidator.java</w:t>
      </w:r>
    </w:p>
    <w:p>
      <w:pPr>
        <w:pStyle w:val="ListBullet"/>
      </w:pPr>
      <w:r>
        <w:t>Prompts/design: prompts/01_test_scenarios.md through prompts/04_ai_result_analysis.md; docs/test-scenarios.xlsx; docs/qtest-cases.xlsx</w:t>
      </w:r>
    </w:p>
    <w:p>
      <w:pPr>
        <w:pStyle w:val="ListBullet"/>
      </w:pPr>
      <w:r>
        <w:t>Execution evidence: target/cucumber.json; target/cucumber-report.html; target/surefire-reports/TestSuite.txt; target/allure-results/</w:t>
      </w:r>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788"/>
        <w:sz w:val="16"/>
      </w:rPr>
      <w:t>Ulta test automation • Architecture and AI evidence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788"/>
        <w:sz w:val="16"/>
      </w:rPr>
      <w:t>AI-POWERED TEST AUTOMATION  |  PROJECT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45A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45A8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Ulta Project Architecture, AI Evidence and Prompt Library</dc:title>
  <dc:subject>Evidence-based architecture and status for the Ulta test automation project</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