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jc w:val="center"/>
      </w:pPr>
      <w:r>
        <w:rPr>
          <w:rFonts w:ascii="Times New Roman" w:cs="Times New Roman" w:eastAsia="Times New Roman" w:hAnsi="Times New Roman"/>
          <w:b/>
          <w:bCs/>
          <w:sz w:val="48"/>
          <w:szCs w:val="48"/>
        </w:rPr>
        <w:t xml:space="preserve">Understanding Data Before Analysis: Observations, Variables, and Measurement Context Across Biochemistry, Electronics, and Mechanical Domains</w:t>
      </w:r>
    </w:p>
    <w:p>
      <w:pPr>
        <w:spacing w:before="1200"/>
      </w:pPr>
    </w:p>
    <w:p>
      <w:pPr>
        <w:jc w:val="center"/>
      </w:pPr>
      <w:r>
        <w:rPr>
          <w:rFonts w:ascii="Times New Roman" w:cs="Times New Roman" w:eastAsia="Times New Roman" w:hAnsi="Times New Roman"/>
          <w:b/>
          <w:bCs/>
          <w:sz w:val="28"/>
          <w:szCs w:val="28"/>
        </w:rPr>
        <w:t xml:space="preserve">Software/ML Domain — Task 3</w:t>
      </w:r>
    </w:p>
    <w:p>
      <w:pPr>
        <w:spacing w:before="800"/>
      </w:pPr>
    </w:p>
    <w:p>
      <w:pPr>
        <w:jc w:val="center"/>
      </w:pPr>
      <w:r>
        <w:rPr>
          <w:rFonts w:ascii="Times New Roman" w:cs="Times New Roman" w:eastAsia="Times New Roman" w:hAnsi="Times New Roman"/>
          <w:sz w:val="26"/>
          <w:szCs w:val="26"/>
        </w:rPr>
        <w:t xml:space="preserve">Participant Name: Mukesh Kumar C</w:t>
      </w:r>
    </w:p>
    <w:p>
      <w:pPr>
        <w:jc w:val="center"/>
      </w:pPr>
      <w:r>
        <w:rPr>
          <w:rFonts w:ascii="Times New Roman" w:cs="Times New Roman" w:eastAsia="Times New Roman" w:hAnsi="Times New Roman"/>
          <w:sz w:val="26"/>
          <w:szCs w:val="26"/>
        </w:rPr>
        <w:t xml:space="preserve">Roll Number: 251090050560</w:t>
      </w:r>
    </w:p>
    <w:p>
      <w:pPr>
        <w:jc w:val="center"/>
      </w:pPr>
      <w:r>
        <w:rPr>
          <w:rFonts w:ascii="Times New Roman" w:cs="Times New Roman" w:eastAsia="Times New Roman" w:hAnsi="Times New Roman"/>
          <w:sz w:val="26"/>
          <w:szCs w:val="26"/>
        </w:rPr>
        <w:t xml:space="preserve">Domain: Biochemistry, Electronics, and Mechanical Domain Data</w:t>
      </w:r>
    </w:p>
    <w:p>
      <w:pPr>
        <w:jc w:val="center"/>
      </w:pPr>
      <w:r>
        <w:rPr>
          <w:rFonts w:ascii="Times New Roman" w:cs="Times New Roman" w:eastAsia="Times New Roman" w:hAnsi="Times New Roman"/>
          <w:sz w:val="26"/>
          <w:szCs w:val="26"/>
        </w:rPr>
        <w:t xml:space="preserve">Task Number: Task 3 (Week 2, Day 1)</w:t>
      </w:r>
    </w:p>
    <w:p>
      <w:pPr>
        <w:jc w:val="center"/>
      </w:pPr>
      <w:r>
        <w:rPr>
          <w:rFonts w:ascii="Times New Roman" w:cs="Times New Roman" w:eastAsia="Times New Roman" w:hAnsi="Times New Roman"/>
          <w:sz w:val="26"/>
          <w:szCs w:val="26"/>
        </w:rPr>
        <w:t xml:space="preserve">Repository Link: github.com/MukeshKumarC-0309/Synergy_TP</w:t>
      </w:r>
    </w:p>
    <w:p>
      <w:pPr>
        <w:jc w:val="center"/>
      </w:pPr>
      <w:r>
        <w:rPr>
          <w:rFonts w:ascii="Times New Roman" w:cs="Times New Roman" w:eastAsia="Times New Roman" w:hAnsi="Times New Roman"/>
          <w:sz w:val="26"/>
          <w:szCs w:val="26"/>
        </w:rPr>
        <w:t xml:space="preserve">Submission Date: July 2, 2026</w:t>
      </w:r>
    </w:p>
    <w:p>
      <w:pPr>
        <w:sectPr>
          <w:pgSz w:w="11906" w:h="16838" w:orient="portrait"/>
          <w:pgMar w:top="1440" w:right="1440" w:bottom="1440" w:left="1440" w:header="708" w:footer="708" w:gutter="0"/>
          <w:pgNumType/>
          <w:docGrid w:linePitch="360"/>
        </w:sectPr>
      </w:pPr>
    </w:p>
    <w:p>
      <w:pPr>
        <w:pStyle w:val="Heading1"/>
        <w:spacing w:after="160" w:before="280"/>
        <w:jc w:val="left"/>
      </w:pPr>
      <w:r>
        <w:rPr>
          <w:rFonts w:ascii="Times New Roman" w:cs="Times New Roman" w:eastAsia="Times New Roman" w:hAnsi="Times New Roman"/>
          <w:b/>
          <w:bCs/>
          <w:color w:val="000000"/>
          <w:sz w:val="32"/>
          <w:szCs w:val="32"/>
        </w:rPr>
        <w:t xml:space="preserve">I. Introduction</w:t>
      </w:r>
    </w:p>
    <w:p>
      <w:pPr>
        <w:spacing w:after="120" w:line="276"/>
        <w:jc w:val="both"/>
      </w:pPr>
      <w:r>
        <w:rPr>
          <w:rFonts w:ascii="Times New Roman" w:cs="Times New Roman" w:eastAsia="Times New Roman" w:hAnsi="Times New Roman"/>
          <w:sz w:val="24"/>
          <w:szCs w:val="24"/>
        </w:rPr>
        <w:t xml:space="preserve">Before any dataset can be cleaned, visualised, or modelled, it has to be understood on its own terms: what each row represents, what each column measures, and what unit and context give that measurement meaning. This report addresses the core concepts of observations, variables, categorical and numerical data, raw and processed data, measurement units, and basic summary statistics, using examples grounded in Biochemistry, Electronics, and Mechanical domain data.</w:t>
      </w:r>
    </w:p>
    <w:p>
      <w:pPr>
        <w:pStyle w:val="Heading1"/>
        <w:spacing w:after="160" w:before="280"/>
        <w:jc w:val="left"/>
      </w:pPr>
      <w:r>
        <w:rPr>
          <w:rFonts w:ascii="Times New Roman" w:cs="Times New Roman" w:eastAsia="Times New Roman" w:hAnsi="Times New Roman"/>
          <w:b/>
          <w:bCs/>
          <w:color w:val="000000"/>
          <w:sz w:val="32"/>
          <w:szCs w:val="32"/>
        </w:rPr>
        <w:t xml:space="preserve">II. Observation vs. Variable</w:t>
      </w:r>
    </w:p>
    <w:p>
      <w:pPr>
        <w:spacing w:after="120" w:line="276"/>
        <w:jc w:val="both"/>
      </w:pPr>
      <w:r>
        <w:rPr>
          <w:rFonts w:ascii="Times New Roman" w:cs="Times New Roman" w:eastAsia="Times New Roman" w:hAnsi="Times New Roman"/>
          <w:sz w:val="24"/>
          <w:szCs w:val="24"/>
        </w:rPr>
        <w:t xml:space="preserve">An observation is an individual unit being reviewed or measured, whereas a variable is a property or attribute that is a part of the observation. In the context of data analysis, an observation is a singular data point — one specific instance — whereas a variable is a specific property recorded for that data point.</w:t>
      </w:r>
    </w:p>
    <w:p>
      <w:pPr>
        <w:spacing w:after="120" w:line="276"/>
        <w:jc w:val="both"/>
      </w:pPr>
      <w:r>
        <w:rPr>
          <w:rFonts w:ascii="Times New Roman" w:cs="Times New Roman" w:eastAsia="Times New Roman" w:hAnsi="Times New Roman"/>
          <w:sz w:val="24"/>
          <w:szCs w:val="24"/>
        </w:rPr>
        <w:t xml:space="preserve">Example: an observation is one specific student's record, while a variable is his enrollment number — one property of that student's record.</w:t>
      </w:r>
    </w:p>
    <w:p>
      <w:pPr>
        <w:pStyle w:val="Heading1"/>
        <w:spacing w:after="160" w:before="280"/>
        <w:jc w:val="left"/>
      </w:pPr>
      <w:r>
        <w:rPr>
          <w:rFonts w:ascii="Times New Roman" w:cs="Times New Roman" w:eastAsia="Times New Roman" w:hAnsi="Times New Roman"/>
          <w:b/>
          <w:bCs/>
          <w:color w:val="000000"/>
          <w:sz w:val="32"/>
          <w:szCs w:val="32"/>
        </w:rPr>
        <w:t xml:space="preserve">III. Categorical vs. Numerical Data</w:t>
      </w:r>
    </w:p>
    <w:p>
      <w:pPr>
        <w:spacing w:after="120" w:line="276"/>
        <w:jc w:val="both"/>
      </w:pPr>
      <w:r>
        <w:rPr>
          <w:rFonts w:ascii="Times New Roman" w:cs="Times New Roman" w:eastAsia="Times New Roman" w:hAnsi="Times New Roman"/>
          <w:sz w:val="24"/>
          <w:szCs w:val="24"/>
        </w:rPr>
        <w:t xml:space="preserve">Categorical data represents values that fall into a fixed set of groups, describing "which kind" or "which category" something belongs to, rather than a measurable quantity. Numerical data, on the other hand, consists of values that represent an actual measurable quantity and can be used in arithmetic operations such as averaging or comparison.</w:t>
      </w:r>
    </w:p>
    <w:p>
      <w:pPr>
        <w:spacing w:after="120" w:line="276"/>
        <w:jc w:val="both"/>
      </w:pPr>
      <w:r>
        <w:rPr>
          <w:rFonts w:ascii="Times New Roman" w:cs="Times New Roman" w:eastAsia="Times New Roman" w:hAnsi="Times New Roman"/>
          <w:sz w:val="24"/>
          <w:szCs w:val="24"/>
        </w:rPr>
        <w:t xml:space="preserve">Example: Categorical data — submission status (e.g., "Submitted" / "Not Submitted"). Numerical data — marks (e.g., 85, 92, 76).</w:t>
      </w:r>
    </w:p>
    <w:p>
      <w:pPr>
        <w:pStyle w:val="Heading1"/>
        <w:spacing w:after="160" w:before="280"/>
        <w:jc w:val="left"/>
      </w:pPr>
      <w:r>
        <w:rPr>
          <w:rFonts w:ascii="Times New Roman" w:cs="Times New Roman" w:eastAsia="Times New Roman" w:hAnsi="Times New Roman"/>
          <w:b/>
          <w:bCs/>
          <w:color w:val="000000"/>
          <w:sz w:val="32"/>
          <w:szCs w:val="32"/>
        </w:rPr>
        <w:t xml:space="preserve">IV. Domain Examples of Categorical and Numerical Data</w:t>
      </w:r>
    </w:p>
    <w:p>
      <w:pPr>
        <w:spacing w:after="120" w:line="276"/>
        <w:jc w:val="both"/>
      </w:pPr>
      <w:r>
        <w:rPr>
          <w:rFonts w:ascii="Times New Roman" w:cs="Times New Roman" w:eastAsia="Times New Roman" w:hAnsi="Times New Roman"/>
          <w:sz w:val="24"/>
          <w:szCs w:val="24"/>
        </w:rPr>
        <w:t xml:space="preserve">One categorical and one numerical example from each of the three assigned domains are given below, along with the unit each numerical example is expressed in.</w:t>
      </w:r>
    </w:p>
    <w:p>
      <w:pPr>
        <w:spacing w:after="80" w:before="120"/>
        <w:jc w:val="center"/>
      </w:pPr>
      <w:r>
        <w:rPr>
          <w:rFonts w:ascii="Times New Roman" w:cs="Times New Roman" w:eastAsia="Times New Roman" w:hAnsi="Times New Roman"/>
          <w:i/>
          <w:iCs/>
          <w:sz w:val="20"/>
          <w:szCs w:val="20"/>
        </w:rPr>
        <w:t xml:space="preserve">Table 1. Categorical and numerical data examples across three domains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400"/>
        <w:gridCol w:w="2360"/>
      </w:tblGrid>
      <w:tr>
        <w:tc>
          <w:tcPr>
            <w:tcW w:type="dxa" w:w="2200"/>
            <w:shd w:fill="D9D9D9"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sz w:val="22"/>
                <w:szCs w:val="22"/>
              </w:rPr>
              <w:t xml:space="preserve">Domain</w:t>
            </w:r>
          </w:p>
        </w:tc>
        <w:tc>
          <w:tcPr>
            <w:tcW w:type="dxa" w:w="2400"/>
            <w:shd w:fill="D9D9D9"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sz w:val="22"/>
                <w:szCs w:val="22"/>
              </w:rPr>
              <w:t xml:space="preserve">Categorical Example</w:t>
            </w:r>
          </w:p>
        </w:tc>
        <w:tc>
          <w:tcPr>
            <w:tcW w:type="dxa" w:w="2400"/>
            <w:shd w:fill="D9D9D9"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sz w:val="22"/>
                <w:szCs w:val="22"/>
              </w:rPr>
              <w:t xml:space="preserve">Numerical Example</w:t>
            </w:r>
          </w:p>
        </w:tc>
        <w:tc>
          <w:tcPr>
            <w:tcW w:type="dxa" w:w="2360"/>
            <w:shd w:fill="D9D9D9"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sz w:val="22"/>
                <w:szCs w:val="22"/>
              </w:rPr>
              <w:t xml:space="preserve">Why Unit/Context Matters</w:t>
            </w:r>
          </w:p>
        </w:tc>
      </w:tr>
      <w:tr>
        <w:tc>
          <w:tcPr>
            <w:tcW w:type="dxa" w:w="2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Biochemistry</w:t>
            </w:r>
          </w:p>
        </w:tc>
        <w:tc>
          <w:tcPr>
            <w:tcW w:type="dxa" w:w="2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Type of microorganism used in an experiment (e.g., bacteria vs. yeast)</w:t>
            </w:r>
          </w:p>
        </w:tc>
        <w:tc>
          <w:tcPr>
            <w:tcW w:type="dxa" w:w="2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Enzyme concentration (mg/mL)</w:t>
            </w:r>
          </w:p>
        </w:tc>
        <w:tc>
          <w:tcPr>
            <w:tcW w:type="dxa" w:w="236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An enzyme concentration of "5" only has meaning as 5 mg/mL; without the unit it could be mistaken for a different quantity such as 5 mol/L.</w:t>
            </w:r>
          </w:p>
        </w:tc>
      </w:tr>
      <w:tr>
        <w:tc>
          <w:tcPr>
            <w:tcW w:type="dxa" w:w="2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Electronics</w:t>
            </w:r>
          </w:p>
        </w:tc>
        <w:tc>
          <w:tcPr>
            <w:tcW w:type="dxa" w:w="2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Type of circuit (e.g., analog vs. digital)</w:t>
            </w:r>
          </w:p>
        </w:tc>
        <w:tc>
          <w:tcPr>
            <w:tcW w:type="dxa" w:w="2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Frequency (Hz)</w:t>
            </w:r>
          </w:p>
        </w:tc>
        <w:tc>
          <w:tcPr>
            <w:tcW w:type="dxa" w:w="236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A frequency of "50" is meaningless without knowing it is 50 Hz; the same numeral could otherwise be confused with 50 V or 50 Ω in the same circuit dataset.</w:t>
            </w:r>
          </w:p>
        </w:tc>
      </w:tr>
      <w:tr>
        <w:tc>
          <w:tcPr>
            <w:tcW w:type="dxa" w:w="2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Mechanical</w:t>
            </w:r>
          </w:p>
        </w:tc>
        <w:tc>
          <w:tcPr>
            <w:tcW w:type="dxa" w:w="2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Type of joint used in a structure (e.g., welded vs. bolted)</w:t>
            </w:r>
          </w:p>
        </w:tc>
        <w:tc>
          <w:tcPr>
            <w:tcW w:type="dxa" w:w="2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Torque (Nm)</w:t>
            </w:r>
          </w:p>
        </w:tc>
        <w:tc>
          <w:tcPr>
            <w:tcW w:type="dxa" w:w="236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A torque of "120" only makes sense as 120 Nm; treating it as a bare number could confuse it with force (N) or displacement (mm), which are dimensionally different quantities.</w:t>
            </w:r>
          </w:p>
        </w:tc>
      </w:tr>
    </w:tbl>
    <w:p>
      <w:pPr>
        <w:pStyle w:val="Heading1"/>
        <w:spacing w:after="160" w:before="280"/>
        <w:jc w:val="left"/>
      </w:pPr>
      <w:r>
        <w:rPr>
          <w:rFonts w:ascii="Times New Roman" w:cs="Times New Roman" w:eastAsia="Times New Roman" w:hAnsi="Times New Roman"/>
          <w:b/>
          <w:bCs/>
          <w:color w:val="000000"/>
          <w:sz w:val="32"/>
          <w:szCs w:val="32"/>
        </w:rPr>
        <w:t xml:space="preserve">V. Domain Thinking: Why Unit and Context Cannot Be Dropped</w:t>
      </w:r>
    </w:p>
    <w:p>
      <w:pPr>
        <w:spacing w:after="120" w:line="276"/>
        <w:jc w:val="both"/>
      </w:pPr>
      <w:r>
        <w:rPr>
          <w:rFonts w:ascii="Times New Roman" w:cs="Times New Roman" w:eastAsia="Times New Roman" w:hAnsi="Times New Roman"/>
          <w:sz w:val="24"/>
          <w:szCs w:val="24"/>
        </w:rPr>
        <w:t xml:space="preserve">A dataset is not simply a table of numbers. A value only becomes meaningful once it is connected to its variable name, its measurement unit, the condition under which it was recorded, and the domain it belongs to. The table below shows the minimum set of domain examples illustrating this principle.</w:t>
      </w:r>
    </w:p>
    <w:p>
      <w:pPr>
        <w:spacing w:after="80" w:before="120"/>
        <w:jc w:val="center"/>
      </w:pPr>
      <w:r>
        <w:rPr>
          <w:rFonts w:ascii="Times New Roman" w:cs="Times New Roman" w:eastAsia="Times New Roman" w:hAnsi="Times New Roman"/>
          <w:i/>
          <w:iCs/>
          <w:sz w:val="20"/>
          <w:szCs w:val="20"/>
        </w:rPr>
        <w:t xml:space="preserve">Table 2. Minimum required domain examples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400"/>
        <w:gridCol w:w="2360"/>
      </w:tblGrid>
      <w:tr>
        <w:tc>
          <w:tcPr>
            <w:tcW w:type="dxa" w:w="2200"/>
            <w:shd w:fill="D9D9D9"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sz w:val="22"/>
                <w:szCs w:val="22"/>
              </w:rPr>
              <w:t xml:space="preserve">Domain</w:t>
            </w:r>
          </w:p>
        </w:tc>
        <w:tc>
          <w:tcPr>
            <w:tcW w:type="dxa" w:w="2400"/>
            <w:shd w:fill="D9D9D9"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sz w:val="22"/>
                <w:szCs w:val="22"/>
              </w:rPr>
              <w:t xml:space="preserve">Categorical Example</w:t>
            </w:r>
          </w:p>
        </w:tc>
        <w:tc>
          <w:tcPr>
            <w:tcW w:type="dxa" w:w="2400"/>
            <w:shd w:fill="D9D9D9"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sz w:val="22"/>
                <w:szCs w:val="22"/>
              </w:rPr>
              <w:t xml:space="preserve">Numerical Example</w:t>
            </w:r>
          </w:p>
        </w:tc>
        <w:tc>
          <w:tcPr>
            <w:tcW w:type="dxa" w:w="2360"/>
            <w:shd w:fill="D9D9D9"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sz w:val="22"/>
                <w:szCs w:val="22"/>
              </w:rPr>
              <w:t xml:space="preserve">Why Unit/Context Matters</w:t>
            </w:r>
          </w:p>
        </w:tc>
      </w:tr>
      <w:tr>
        <w:tc>
          <w:tcPr>
            <w:tcW w:type="dxa" w:w="2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Biochemistry</w:t>
            </w:r>
          </w:p>
        </w:tc>
        <w:tc>
          <w:tcPr>
            <w:tcW w:type="dxa" w:w="2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Condition: control or heated</w:t>
            </w:r>
          </w:p>
        </w:tc>
        <w:tc>
          <w:tcPr>
            <w:tcW w:type="dxa" w:w="2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pH, concentration, absorbance</w:t>
            </w:r>
          </w:p>
        </w:tc>
        <w:tc>
          <w:tcPr>
            <w:tcW w:type="dxa" w:w="236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pH 7 and 7 volts are not comparable values.</w:t>
            </w:r>
          </w:p>
        </w:tc>
      </w:tr>
      <w:tr>
        <w:tc>
          <w:tcPr>
            <w:tcW w:type="dxa" w:w="2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Electronics</w:t>
            </w:r>
          </w:p>
        </w:tc>
        <w:tc>
          <w:tcPr>
            <w:tcW w:type="dxa" w:w="2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Load type: low load or high load</w:t>
            </w:r>
          </w:p>
        </w:tc>
        <w:tc>
          <w:tcPr>
            <w:tcW w:type="dxa" w:w="2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voltage, current, resistance</w:t>
            </w:r>
          </w:p>
        </w:tc>
        <w:tc>
          <w:tcPr>
            <w:tcW w:type="dxa" w:w="236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5 V and 5 mA represent different physical quantities.</w:t>
            </w:r>
          </w:p>
        </w:tc>
      </w:tr>
      <w:tr>
        <w:tc>
          <w:tcPr>
            <w:tcW w:type="dxa" w:w="2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Mechanical</w:t>
            </w:r>
          </w:p>
        </w:tc>
        <w:tc>
          <w:tcPr>
            <w:tcW w:type="dxa" w:w="2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Material type: A or B</w:t>
            </w:r>
          </w:p>
        </w:tc>
        <w:tc>
          <w:tcPr>
            <w:tcW w:type="dxa" w:w="2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force, strain, displacement</w:t>
            </w:r>
          </w:p>
        </w:tc>
        <w:tc>
          <w:tcPr>
            <w:tcW w:type="dxa" w:w="236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120 N means force, not score or percentage.</w:t>
            </w:r>
          </w:p>
        </w:tc>
      </w:tr>
    </w:tbl>
    <w:p>
      <w:pPr>
        <w:pStyle w:val="Heading1"/>
        <w:spacing w:after="160" w:before="280"/>
        <w:jc w:val="left"/>
      </w:pPr>
      <w:r>
        <w:rPr>
          <w:rFonts w:ascii="Times New Roman" w:cs="Times New Roman" w:eastAsia="Times New Roman" w:hAnsi="Times New Roman"/>
          <w:b/>
          <w:bCs/>
          <w:color w:val="000000"/>
          <w:sz w:val="32"/>
          <w:szCs w:val="32"/>
        </w:rPr>
        <w:t xml:space="preserve">VI. Raw Data vs. Processed Data</w:t>
      </w:r>
    </w:p>
    <w:p>
      <w:pPr>
        <w:spacing w:after="120" w:line="276"/>
        <w:jc w:val="both"/>
      </w:pPr>
      <w:r>
        <w:rPr>
          <w:rFonts w:ascii="Times New Roman" w:cs="Times New Roman" w:eastAsia="Times New Roman" w:hAnsi="Times New Roman"/>
          <w:sz w:val="24"/>
          <w:szCs w:val="24"/>
        </w:rPr>
        <w:t xml:space="preserve">Raw data refers to a dataset in its original form, before any kind of analysis or cleaning has been done — it has the data exactly as it was collected. Processed data, on the other hand, refers to a dataset that has been analysed and cleaned to handle outliers and missing values, resulting in more uniformity and consistency.</w:t>
      </w:r>
    </w:p>
    <w:p>
      <w:pPr>
        <w:pStyle w:val="Heading1"/>
        <w:spacing w:after="160" w:before="280"/>
        <w:jc w:val="left"/>
      </w:pPr>
      <w:r>
        <w:rPr>
          <w:rFonts w:ascii="Times New Roman" w:cs="Times New Roman" w:eastAsia="Times New Roman" w:hAnsi="Times New Roman"/>
          <w:b/>
          <w:bCs/>
          <w:color w:val="000000"/>
          <w:sz w:val="32"/>
          <w:szCs w:val="32"/>
        </w:rPr>
        <w:t xml:space="preserve">VII. Measurement Units and Their Importance</w:t>
      </w:r>
    </w:p>
    <w:p>
      <w:pPr>
        <w:spacing w:after="120" w:line="276"/>
        <w:jc w:val="both"/>
      </w:pPr>
      <w:r>
        <w:rPr>
          <w:rFonts w:ascii="Times New Roman" w:cs="Times New Roman" w:eastAsia="Times New Roman" w:hAnsi="Times New Roman"/>
          <w:sz w:val="24"/>
          <w:szCs w:val="24"/>
        </w:rPr>
        <w:t xml:space="preserve">A measurement unit is a standard scale assigned to a numerical value based on the variable it represents. It is extremely crucial in data analysis because it clearly differentiates values based on what they actually represent, allowing data to be processed correctly and preventing false equivalence — incorrect comparisons between values that happen to share the same number but represent entirely different quantities.</w:t>
      </w:r>
    </w:p>
    <w:p>
      <w:pPr>
        <w:pStyle w:val="Heading1"/>
        <w:spacing w:after="160" w:before="280"/>
        <w:jc w:val="left"/>
      </w:pPr>
      <w:r>
        <w:rPr>
          <w:rFonts w:ascii="Times New Roman" w:cs="Times New Roman" w:eastAsia="Times New Roman" w:hAnsi="Times New Roman"/>
          <w:b/>
          <w:bCs/>
          <w:color w:val="000000"/>
          <w:sz w:val="32"/>
          <w:szCs w:val="32"/>
        </w:rPr>
        <w:t xml:space="preserve">VIII. Danger of Comparing Values Across Units</w:t>
      </w:r>
    </w:p>
    <w:p>
      <w:pPr>
        <w:spacing w:after="120" w:line="276"/>
        <w:jc w:val="both"/>
      </w:pPr>
      <w:r>
        <w:rPr>
          <w:rFonts w:ascii="Times New Roman" w:cs="Times New Roman" w:eastAsia="Times New Roman" w:hAnsi="Times New Roman"/>
          <w:sz w:val="24"/>
          <w:szCs w:val="24"/>
        </w:rPr>
        <w:t xml:space="preserve">It is extremely dangerous to compare values from different units directly because, regardless of their numerical value, they hold entirely different meanings within the dataset. Comparing values across different units can create a false sense of relevance or correlation in the data, which could lead to flawed conclusions or errors when the data is later used to train a model.</w:t>
      </w:r>
    </w:p>
    <w:p>
      <w:pPr>
        <w:pStyle w:val="Heading1"/>
        <w:spacing w:after="160" w:before="280"/>
        <w:jc w:val="left"/>
      </w:pPr>
      <w:r>
        <w:rPr>
          <w:rFonts w:ascii="Times New Roman" w:cs="Times New Roman" w:eastAsia="Times New Roman" w:hAnsi="Times New Roman"/>
          <w:b/>
          <w:bCs/>
          <w:color w:val="000000"/>
          <w:sz w:val="32"/>
          <w:szCs w:val="32"/>
        </w:rPr>
        <w:t xml:space="preserve">IX. Summary Statistics: Mean, Median, Minimum, Maximum, and Range</w:t>
      </w:r>
    </w:p>
    <w:p>
      <w:pPr>
        <w:spacing w:after="120" w:line="276"/>
        <w:jc w:val="both"/>
      </w:pPr>
      <w:r>
        <w:rPr>
          <w:rFonts w:ascii="Times New Roman" w:cs="Times New Roman" w:eastAsia="Times New Roman" w:hAnsi="Times New Roman"/>
          <w:sz w:val="24"/>
          <w:szCs w:val="24"/>
        </w:rPr>
        <w:t xml:space="preserve">Mean refers to the overall average of a variable, calculated by summing all its values and dividing by the number of values. Median refers to the middle value of a variable when all its values are arranged in order. Minimum and maximum refer to the lowest and highest numerical values of a variable, respectively. Range refers to the difference between the maximum and minimum values of a variable, giving a measure of how spread out the data is.</w:t>
      </w:r>
    </w:p>
    <w:p>
      <w:pPr>
        <w:pStyle w:val="Heading1"/>
        <w:spacing w:after="160" w:before="280"/>
        <w:jc w:val="left"/>
      </w:pPr>
      <w:r>
        <w:rPr>
          <w:rFonts w:ascii="Times New Roman" w:cs="Times New Roman" w:eastAsia="Times New Roman" w:hAnsi="Times New Roman"/>
          <w:b/>
          <w:bCs/>
          <w:color w:val="000000"/>
          <w:sz w:val="32"/>
          <w:szCs w:val="32"/>
        </w:rPr>
        <w:t xml:space="preserve">X. When the Mean Can Be Misleading</w:t>
      </w:r>
    </w:p>
    <w:p>
      <w:pPr>
        <w:spacing w:after="120" w:line="276"/>
        <w:jc w:val="both"/>
      </w:pPr>
      <w:r>
        <w:rPr>
          <w:rFonts w:ascii="Times New Roman" w:cs="Times New Roman" w:eastAsia="Times New Roman" w:hAnsi="Times New Roman"/>
          <w:sz w:val="24"/>
          <w:szCs w:val="24"/>
        </w:rPr>
        <w:t xml:space="preserve">The mean can be misleading in the presence of outliers — extremely high or extremely low values that are far from the rest of the data. Since the mean accounts for every value in the calculation, even one or two extreme values can pull it significantly away from what most of the data actually looks like, giving a distorted picture of the "typical" value.</w:t>
      </w:r>
    </w:p>
    <w:p>
      <w:pPr>
        <w:pStyle w:val="Heading1"/>
        <w:spacing w:after="160" w:before="280"/>
        <w:jc w:val="left"/>
      </w:pPr>
      <w:r>
        <w:rPr>
          <w:rFonts w:ascii="Times New Roman" w:cs="Times New Roman" w:eastAsia="Times New Roman" w:hAnsi="Times New Roman"/>
          <w:b/>
          <w:bCs/>
          <w:color w:val="000000"/>
          <w:sz w:val="32"/>
          <w:szCs w:val="32"/>
        </w:rPr>
        <w:t xml:space="preserve">XI. Checks Required Before Analysing a Dataset</w:t>
      </w:r>
    </w:p>
    <w:p>
      <w:pPr>
        <w:spacing w:after="120" w:line="276"/>
        <w:jc w:val="both"/>
      </w:pPr>
      <w:r>
        <w:rPr>
          <w:rFonts w:ascii="Times New Roman" w:cs="Times New Roman" w:eastAsia="Times New Roman" w:hAnsi="Times New Roman"/>
          <w:sz w:val="24"/>
          <w:szCs w:val="24"/>
        </w:rPr>
        <w:t xml:space="preserve">Before doing any analysis on a dataset, the following should be inspected:</w:t>
      </w:r>
    </w:p>
    <w:p>
      <w:pPr>
        <w:spacing w:after="80" w:line="276"/>
        <w:ind w:left="360"/>
        <w:jc w:val="both"/>
      </w:pPr>
      <w:r>
        <w:rPr>
          <w:rFonts w:ascii="Times New Roman" w:cs="Times New Roman" w:eastAsia="Times New Roman" w:hAnsi="Times New Roman"/>
          <w:sz w:val="24"/>
          <w:szCs w:val="24"/>
        </w:rPr>
        <w:t xml:space="preserve">•  Missing data — checking for null or absent values that could affect the analysis.</w:t>
      </w:r>
    </w:p>
    <w:p>
      <w:pPr>
        <w:spacing w:after="80" w:line="276"/>
        <w:ind w:left="360"/>
        <w:jc w:val="both"/>
      </w:pPr>
      <w:r>
        <w:rPr>
          <w:rFonts w:ascii="Times New Roman" w:cs="Times New Roman" w:eastAsia="Times New Roman" w:hAnsi="Times New Roman"/>
          <w:sz w:val="24"/>
          <w:szCs w:val="24"/>
        </w:rPr>
        <w:t xml:space="preserve">•  Type mismatch — verifying that each variable's data type (numerical, categorical, etc.) is consistent and correctly assigned.</w:t>
      </w:r>
    </w:p>
    <w:p>
      <w:pPr>
        <w:spacing w:after="80" w:line="276"/>
        <w:ind w:left="360"/>
        <w:jc w:val="both"/>
      </w:pPr>
      <w:r>
        <w:rPr>
          <w:rFonts w:ascii="Times New Roman" w:cs="Times New Roman" w:eastAsia="Times New Roman" w:hAnsi="Times New Roman"/>
          <w:sz w:val="24"/>
          <w:szCs w:val="24"/>
        </w:rPr>
        <w:t xml:space="preserve">•  Inconsistent representation of a single variable — checking whether the same variable is recorded in multiple different formats or units across observations.</w:t>
      </w:r>
    </w:p>
    <w:p>
      <w:pPr>
        <w:pStyle w:val="Heading1"/>
        <w:spacing w:after="160" w:before="280"/>
        <w:jc w:val="left"/>
      </w:pPr>
      <w:r>
        <w:rPr>
          <w:rFonts w:ascii="Times New Roman" w:cs="Times New Roman" w:eastAsia="Times New Roman" w:hAnsi="Times New Roman"/>
          <w:b/>
          <w:bCs/>
          <w:color w:val="000000"/>
          <w:sz w:val="32"/>
          <w:szCs w:val="32"/>
        </w:rPr>
        <w:t xml:space="preserve">XII. Questions to Ask Before Analysing Domain Data From Another Team</w:t>
      </w:r>
    </w:p>
    <w:p>
      <w:pPr>
        <w:spacing w:after="120" w:line="276"/>
        <w:jc w:val="both"/>
      </w:pPr>
      <w:r>
        <w:rPr>
          <w:rFonts w:ascii="Times New Roman" w:cs="Times New Roman" w:eastAsia="Times New Roman" w:hAnsi="Times New Roman"/>
          <w:sz w:val="24"/>
          <w:szCs w:val="24"/>
        </w:rPr>
        <w:t xml:space="preserve">When domain data is received from another team, the following questions should be asked:</w:t>
      </w:r>
    </w:p>
    <w:p>
      <w:pPr>
        <w:spacing w:after="80" w:line="276"/>
        <w:ind w:left="360"/>
        <w:jc w:val="both"/>
      </w:pPr>
      <w:r>
        <w:rPr>
          <w:rFonts w:ascii="Times New Roman" w:cs="Times New Roman" w:eastAsia="Times New Roman" w:hAnsi="Times New Roman"/>
          <w:sz w:val="24"/>
          <w:szCs w:val="24"/>
        </w:rPr>
        <w:t xml:space="preserve">•  Has the data already been cleaned/preprocessed, or is this raw data?</w:t>
      </w:r>
    </w:p>
    <w:p>
      <w:pPr>
        <w:spacing w:after="80" w:line="276"/>
        <w:ind w:left="360"/>
        <w:jc w:val="both"/>
      </w:pPr>
      <w:r>
        <w:rPr>
          <w:rFonts w:ascii="Times New Roman" w:cs="Times New Roman" w:eastAsia="Times New Roman" w:hAnsi="Times New Roman"/>
          <w:sz w:val="24"/>
          <w:szCs w:val="24"/>
        </w:rPr>
        <w:t xml:space="preserve">•  What data cleaning methods were followed?</w:t>
      </w:r>
    </w:p>
    <w:p>
      <w:pPr>
        <w:spacing w:after="80" w:line="276"/>
        <w:ind w:left="360"/>
        <w:jc w:val="both"/>
      </w:pPr>
      <w:r>
        <w:rPr>
          <w:rFonts w:ascii="Times New Roman" w:cs="Times New Roman" w:eastAsia="Times New Roman" w:hAnsi="Times New Roman"/>
          <w:sz w:val="24"/>
          <w:szCs w:val="24"/>
        </w:rPr>
        <w:t xml:space="preserve">•  Was data normalization carried out?</w:t>
      </w:r>
    </w:p>
    <w:p>
      <w:pPr>
        <w:spacing w:after="80" w:line="276"/>
        <w:ind w:left="360"/>
        <w:jc w:val="both"/>
      </w:pPr>
      <w:r>
        <w:rPr>
          <w:rFonts w:ascii="Times New Roman" w:cs="Times New Roman" w:eastAsia="Times New Roman" w:hAnsi="Times New Roman"/>
          <w:sz w:val="24"/>
          <w:szCs w:val="24"/>
        </w:rPr>
        <w:t xml:space="preserve">•  What are the standard units used for each variable, and are they clearly mentioned in the variable headers?</w:t>
      </w:r>
    </w:p>
    <w:p>
      <w:pPr>
        <w:pStyle w:val="Heading1"/>
        <w:spacing w:after="160" w:before="280"/>
        <w:jc w:val="left"/>
      </w:pPr>
      <w:r>
        <w:rPr>
          <w:rFonts w:ascii="Times New Roman" w:cs="Times New Roman" w:eastAsia="Times New Roman" w:hAnsi="Times New Roman"/>
          <w:b/>
          <w:bCs/>
          <w:color w:val="000000"/>
          <w:sz w:val="32"/>
          <w:szCs w:val="32"/>
        </w:rPr>
        <w:t xml:space="preserve">XIII. Conclusion</w:t>
      </w:r>
    </w:p>
    <w:p>
      <w:pPr>
        <w:spacing w:after="120" w:line="276"/>
        <w:jc w:val="both"/>
      </w:pPr>
      <w:r>
        <w:rPr>
          <w:rFonts w:ascii="Times New Roman" w:cs="Times New Roman" w:eastAsia="Times New Roman" w:hAnsi="Times New Roman"/>
          <w:sz w:val="24"/>
          <w:szCs w:val="24"/>
        </w:rPr>
        <w:t xml:space="preserve">A dataset is not simply a table of numbers; each value is only meaningful once it is tied to its variable name, its measurement unit, the condition under which it was recorded, and the domain it comes from. Establishing this understanding — distinguishing observations from variables, categorical from numerical data, and raw from processed data, while recognising the limits of summary statistics such as the mean — is the necessary first step before any dataset from Biochemistry, Electronics, or Mechanical domains can be responsibly analysed.</w:t>
      </w:r>
    </w:p>
    <w:p>
      <w:pPr>
        <w:pStyle w:val="Heading1"/>
        <w:spacing w:after="160" w:before="280"/>
        <w:jc w:val="left"/>
      </w:pPr>
      <w:r>
        <w:rPr>
          <w:rFonts w:ascii="Times New Roman" w:cs="Times New Roman" w:eastAsia="Times New Roman" w:hAnsi="Times New Roman"/>
          <w:b/>
          <w:bCs/>
          <w:color w:val="000000"/>
          <w:sz w:val="32"/>
          <w:szCs w:val="32"/>
        </w:rPr>
        <w:t xml:space="preserve">References</w:t>
      </w:r>
    </w:p>
    <w:p>
      <w:pPr>
        <w:spacing w:after="100" w:line="276"/>
        <w:ind w:left="360" w:hanging="360"/>
        <w:jc w:val="both"/>
      </w:pPr>
      <w:r>
        <w:rPr>
          <w:rFonts w:ascii="Times New Roman" w:cs="Times New Roman" w:eastAsia="Times New Roman" w:hAnsi="Times New Roman"/>
          <w:sz w:val="24"/>
          <w:szCs w:val="24"/>
        </w:rPr>
        <w:t xml:space="preserve">[1]  Khan Academy, "Statistics and probability," Khan Academy. [Online]. Available: https://www.khanacademy.org/math/statistics-probability</w:t>
      </w:r>
    </w:p>
    <w:p>
      <w:pPr>
        <w:spacing w:after="100" w:line="276"/>
        <w:ind w:left="360" w:hanging="360"/>
        <w:jc w:val="both"/>
      </w:pPr>
      <w:r>
        <w:rPr>
          <w:rFonts w:ascii="Times New Roman" w:cs="Times New Roman" w:eastAsia="Times New Roman" w:hAnsi="Times New Roman"/>
          <w:sz w:val="24"/>
          <w:szCs w:val="24"/>
        </w:rPr>
        <w:t xml:space="preserve">[2]  D. Diez, M. Çetinkaya-Rundel, and C. D. Barr, OpenIntro Statistics, 4th ed. Boston, MA, USA: OpenIntro, 2019. [Online]. Available: https://www.openintro.org/book/os/</w:t>
      </w:r>
    </w:p>
    <w:p>
      <w:pPr>
        <w:spacing w:after="100" w:line="276"/>
        <w:ind w:left="360" w:hanging="360"/>
        <w:jc w:val="both"/>
      </w:pPr>
      <w:r>
        <w:rPr>
          <w:rFonts w:ascii="Times New Roman" w:cs="Times New Roman" w:eastAsia="Times New Roman" w:hAnsi="Times New Roman"/>
          <w:sz w:val="24"/>
          <w:szCs w:val="24"/>
        </w:rPr>
        <w:t xml:space="preserve">[3]  NIST/SEMATECH, "Exploratory data analysis," e-Handbook of Statistical Methods, National Institute of Standards and Technology. [Online]. Available: https://www.itl.nist.gov/div898/handbook/eda/eda.htm</w:t>
      </w:r>
    </w:p>
    <w:p>
      <w:pPr>
        <w:spacing w:after="100" w:line="276"/>
        <w:ind w:left="360" w:hanging="360"/>
        <w:jc w:val="both"/>
      </w:pPr>
      <w:r>
        <w:rPr>
          <w:rFonts w:ascii="Times New Roman" w:cs="Times New Roman" w:eastAsia="Times New Roman" w:hAnsi="Times New Roman"/>
          <w:sz w:val="24"/>
          <w:szCs w:val="24"/>
        </w:rPr>
        <w:t xml:space="preserve">[4]  A. Thompson and B. N. Taylor, Guide for the Use of the International System of Units (SI), NIST Special Publication 811, National Institute of Standards and Technology, Gaithersburg, MD, USA, 2008. [Online]. Available: https://physics.nist.gov/cuu/pdf/sp811.pdf</w:t>
      </w:r>
    </w:p>
    <w:p>
      <w:pPr>
        <w:spacing w:after="100" w:line="276"/>
        <w:ind w:left="360" w:hanging="360"/>
        <w:jc w:val="both"/>
      </w:pPr>
      <w:r>
        <w:rPr>
          <w:rFonts w:ascii="Times New Roman" w:cs="Times New Roman" w:eastAsia="Times New Roman" w:hAnsi="Times New Roman"/>
          <w:sz w:val="24"/>
          <w:szCs w:val="24"/>
        </w:rPr>
        <w:t xml:space="preserve">[5]  Harvard Library, "Types of data," Education Data and Statistics Research Guides, Harvard University. [Online]. Available: https://guides.library.harvard.edu/c.php?g=1324910&amp;p=9889267</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2026-07-01T18:20:35.949Z</dcterms:created>
  <dcterms:modified xsi:type="dcterms:W3CDTF">2026-07-01T18:20:35.949Z</dcterms:modified>
</cp:coreProperties>
</file>

<file path=docProps/custom.xml><?xml version="1.0" encoding="utf-8"?>
<Properties xmlns="http://schemas.openxmlformats.org/officeDocument/2006/custom-properties" xmlns:vt="http://schemas.openxmlformats.org/officeDocument/2006/docPropsVTypes"/>
</file>