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Product Catalog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Pearflam-SP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Accelofenac, Serratiopeptidase &amp; Paracetamol Tablets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Each tablet contains Accelofenac 100mg, Serratiopeptidase 15mg, and Paracetamol 500mg.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For the treatment of pain and inflammation in conditions like rheumatoid arthritis, osteoarthritis, ankylosing spondylitis, dental pain, and post-operative inflammation.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As directed by the physician. Usually 1 tablet twice daily after meals.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10 strips of 10 tablets each</w:t>
        <w:br/>
      </w:r>
      <w:r>
        <w:rPr>
          <w:rFonts w:ascii="Arial" w:hAnsi="Arial"/>
          <w:b/>
          <w:bCs/>
          <w:sz w:val="28"/>
          <w:szCs w:val="28"/>
        </w:rPr>
        <w:t>Packaging Material:</w:t>
      </w:r>
      <w:r>
        <w:rPr>
          <w:rFonts w:ascii="Arial" w:hAnsi="Arial"/>
          <w:sz w:val="28"/>
          <w:szCs w:val="28"/>
        </w:rPr>
        <w:t xml:space="preserve"> Aluminum Foil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BITSON-B12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Methylcobalamin, Niacinamide &amp; Pyridoxine Injection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Each ampoule contains Methylcobalamin 1500mcg, Niacinamide 100mg, Pyridoxine HCl 100mg.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Used in the treatment of peripheral neuropathy, vitamin B12 deficiency, and general weakness.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As prescribed by the physician.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1ml ampoule, box of 5 ampoules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Cefvit 1gm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Ceftriaxone Injection IP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Each vial contains Ceftriaxone Sodium equivalent to Ceftriaxone 1gm.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Bacterial infections including respiratory tract, urinary tract, skin, soft tissue, and gynecological infections.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As directed by the physician. Administered IM/IV.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Vial with sterile water for injection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Clavson CV 625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Amoxicillin &amp; Potassium Clavulanate Tablets IP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Amoxicillin 500mg + Clavulanic Acid 125mg.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Effective in respiratory tract infections, sinusitis, urinary tract infections, skin infections, and dental infections.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As directed by the physician. Usually 1 tablet every 8 or 12 hours.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10 strips of 10 tablets each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Limson LC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Levocetirizine &amp; Montelukast Tablets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Levocetirizine 5mg + Montelukast 10mg.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Allergic rhinitis, hay fever, and chronic urticaria.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As prescribed by the physician. Usually once daily at night.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10 strips of 10 tablets each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Oflar OZ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Ofloxacin &amp; Ornidazole Tablets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Ofloxacin 200mg + Ornidazole 500mg.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Acute diarrhea, dysentery, and other gastrointestinal infections.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As directed by the physician. Typically twice daily.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10 strips of 10 tablets each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PearCEF 200 DT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Cefixime Dispersible Tablets 200mg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Each dispersible tablet contains Cefixime 200mg.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Used for respiratory tract infections, urinary tract infections, and otitis media.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As advised by the physician.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10 strips of 10 dispersible tablets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Rson-DSR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Rabeprazole Sodium (EC) &amp; Domperidone (SR) Capsules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Rabeprazole Sodium 20mg (enteric coated) + Domperidone 30mg (sustained release).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GERD, acid reflux, and other gastric disorders.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One capsule daily before meal or as directed by physician.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10 strips of 10 capsules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Qcold-X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Terbutaline, Guaiphenesin, Ambroxol HCL &amp; Menthol Syrup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Terbutaline 1.25mg, Guaiphenesin 50mg, Ambroxol HCL 15mg, Menthol 2.5mg per 5ml.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Relief from productive cough, congestion, and bronchospasm.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5ml 2–3 times daily or as prescribed.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100ml bottle with measuring cap</w:t>
        <w:br/>
      </w:r>
      <w:r>
        <w:rPr>
          <w:rFonts w:ascii="Arial" w:hAnsi="Arial"/>
          <w:b/>
          <w:bCs/>
          <w:sz w:val="28"/>
          <w:szCs w:val="28"/>
        </w:rPr>
        <w:t>Flavour:</w:t>
      </w:r>
      <w:r>
        <w:rPr>
          <w:rFonts w:ascii="Arial" w:hAnsi="Arial"/>
          <w:sz w:val="28"/>
          <w:szCs w:val="28"/>
        </w:rPr>
        <w:t xml:space="preserve"> Mix Fruit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Qcold-Dx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Dextromethorphan, Phenylephrine HCL &amp; Chlorpheniramine Maleate Syrup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Composition:</w:t>
      </w:r>
      <w:r>
        <w:rPr>
          <w:rFonts w:ascii="Arial" w:hAnsi="Arial"/>
          <w:sz w:val="28"/>
          <w:szCs w:val="28"/>
        </w:rPr>
        <w:t xml:space="preserve"> Dextromethorphan 10mg, Phenylephrine 5mg, Chlorpheniramine Maleate 2mg per 5ml.</w:t>
        <w:br/>
      </w:r>
      <w:r>
        <w:rPr>
          <w:rFonts w:ascii="Arial" w:hAnsi="Arial"/>
          <w:b/>
          <w:bCs/>
          <w:sz w:val="28"/>
          <w:szCs w:val="28"/>
        </w:rPr>
        <w:t>Indications:</w:t>
      </w:r>
      <w:r>
        <w:rPr>
          <w:rFonts w:ascii="Arial" w:hAnsi="Arial"/>
          <w:sz w:val="28"/>
          <w:szCs w:val="28"/>
        </w:rPr>
        <w:t xml:space="preserve"> Dry cough, cold, nasal congestion, and allergic symptoms.</w:t>
        <w:br/>
      </w:r>
      <w:r>
        <w:rPr>
          <w:rFonts w:ascii="Arial" w:hAnsi="Arial"/>
          <w:b/>
          <w:bCs/>
          <w:sz w:val="28"/>
          <w:szCs w:val="28"/>
        </w:rPr>
        <w:t>Dosage:</w:t>
      </w:r>
      <w:r>
        <w:rPr>
          <w:rFonts w:ascii="Arial" w:hAnsi="Arial"/>
          <w:sz w:val="28"/>
          <w:szCs w:val="28"/>
        </w:rPr>
        <w:t xml:space="preserve"> 5ml 2–3 times daily or as directed.</w:t>
        <w:br/>
      </w:r>
      <w:r>
        <w:rPr>
          <w:rFonts w:ascii="Arial" w:hAnsi="Arial"/>
          <w:b/>
          <w:bCs/>
          <w:sz w:val="28"/>
          <w:szCs w:val="28"/>
        </w:rPr>
        <w:t>Packaging:</w:t>
      </w:r>
      <w:r>
        <w:rPr>
          <w:rFonts w:ascii="Arial" w:hAnsi="Arial"/>
          <w:sz w:val="28"/>
          <w:szCs w:val="28"/>
        </w:rPr>
        <w:t xml:space="preserve"> 100ml bottle with measuring cap</w:t>
        <w:br/>
      </w:r>
      <w:r>
        <w:rPr>
          <w:rFonts w:ascii="Arial" w:hAnsi="Arial"/>
          <w:b/>
          <w:bCs/>
          <w:sz w:val="28"/>
          <w:szCs w:val="28"/>
        </w:rPr>
        <w:t>Flavour:</w:t>
      </w:r>
      <w:r>
        <w:rPr>
          <w:rFonts w:ascii="Arial" w:hAnsi="Arial"/>
          <w:sz w:val="28"/>
          <w:szCs w:val="28"/>
        </w:rPr>
        <w:t xml:space="preserve"> Strawberry</w:t>
      </w:r>
    </w:p>
    <w:p>
      <w:pPr>
        <w:pStyle w:val="Normal"/>
        <w:spacing w:before="0" w:after="200"/>
        <w:rPr>
          <w:rFonts w:ascii="Arial" w:hAnsi="Arial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LibreOffice/24.2.0.3$Windows_X86_64 LibreOffice_project/da48488a73ddd66ea24cf16bbc4f7b9c08e9bea1</Application>
  <AppVersion>15.0000</AppVersion>
  <Pages>3</Pages>
  <Words>451</Words>
  <Characters>2983</Characters>
  <CharactersWithSpaces>3421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2025-08-25T17:22:57Z</dcterms:created>
  <dc:creator/>
  <dc:description/>
  <dc:language>en-IN</dc:language>
  <cp:lastModifiedBy/>
  <dcterms:modified xsi:type="dcterms:W3CDTF">2025-09-03T20:50:48Z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