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743CB" w14:textId="77777777" w:rsidR="008B1764" w:rsidRDefault="00000000">
      <w:pPr>
        <w:pStyle w:val="Heading1"/>
      </w:pPr>
      <w:r>
        <w:t>MinneMUDAC 2026 Undergraduate Strategy and Initial Analysis</w:t>
      </w:r>
    </w:p>
    <w:p w14:paraId="5220A8CC" w14:textId="77777777" w:rsidR="008B1764" w:rsidRDefault="00000000">
      <w:pPr>
        <w:pStyle w:val="Heading2"/>
      </w:pPr>
      <w:r>
        <w:t>Executive summary</w:t>
      </w:r>
    </w:p>
    <w:p w14:paraId="49F88315" w14:textId="77777777" w:rsidR="008B1764" w:rsidRDefault="00000000">
      <w:pPr>
        <w:pStyle w:val="BodyText"/>
      </w:pPr>
      <w:r>
        <w:t xml:space="preserve">The competition asks your team to help The Food Group distinguish </w:t>
      </w:r>
      <w:r>
        <w:rPr>
          <w:b/>
        </w:rPr>
        <w:t>need</w:t>
      </w:r>
      <w:r>
        <w:t xml:space="preserve"> from </w:t>
      </w:r>
      <w:r>
        <w:rPr>
          <w:b/>
        </w:rPr>
        <w:t>observed demand</w:t>
      </w:r>
      <w:r>
        <w:t>. Need includes people who lack enough food, including people who never reach the system. Demand is what appears in operational records: visits, individuals served, pounds distributed, calls, and program participation.</w:t>
      </w:r>
    </w:p>
    <w:p w14:paraId="5DC9A8D3" w14:textId="77777777" w:rsidR="008B1764" w:rsidRDefault="00000000">
      <w:pPr>
        <w:pStyle w:val="BodyText"/>
      </w:pPr>
      <w:r>
        <w:t>The undergraduate division must answer Questions 1, 4, 5, 6, and 7. A strong entry should build one reusable county-month data panel, answer all five questions from it, and finish with specific decisions for The Food Group: where observed activity understates likely need, what economic signals should trigger planning, how SNAP changes relate to food-shelf use, and how much activity to prepare for in August.</w:t>
      </w:r>
    </w:p>
    <w:p w14:paraId="1C5E8B95" w14:textId="77777777" w:rsidR="008B1764" w:rsidRDefault="00000000">
      <w:pPr>
        <w:pStyle w:val="BodyText"/>
      </w:pPr>
      <w:r>
        <w:t>The best strategy is not the most complicated model. The organizers repeatedly emphasize explainability, defensible source choices, policy recommendations, and knowing where every number came from.</w:t>
      </w:r>
    </w:p>
    <w:p w14:paraId="721DA04D" w14:textId="77777777" w:rsidR="008B1764" w:rsidRDefault="00000000">
      <w:pPr>
        <w:pStyle w:val="Heading2"/>
      </w:pPr>
      <w:r>
        <w:t>What was provided</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8B1764" w14:paraId="244169A5" w14:textId="77777777">
        <w:trPr>
          <w:tblHeader/>
        </w:trPr>
        <w:tc>
          <w:tcPr>
            <w:tcW w:w="3212" w:type="dxa"/>
            <w:tcBorders>
              <w:top w:val="single" w:sz="4" w:space="0" w:color="000000"/>
              <w:left w:val="single" w:sz="4" w:space="0" w:color="000000"/>
              <w:bottom w:val="single" w:sz="4" w:space="0" w:color="000000"/>
            </w:tcBorders>
          </w:tcPr>
          <w:p w14:paraId="759BAD9E" w14:textId="77777777" w:rsidR="008B1764" w:rsidRDefault="00000000">
            <w:pPr>
              <w:pStyle w:val="TableHeading"/>
              <w:jc w:val="left"/>
            </w:pPr>
            <w:r>
              <w:t>Material</w:t>
            </w:r>
          </w:p>
        </w:tc>
        <w:tc>
          <w:tcPr>
            <w:tcW w:w="3213" w:type="dxa"/>
            <w:tcBorders>
              <w:top w:val="single" w:sz="4" w:space="0" w:color="000000"/>
              <w:left w:val="single" w:sz="4" w:space="0" w:color="000000"/>
              <w:bottom w:val="single" w:sz="4" w:space="0" w:color="000000"/>
            </w:tcBorders>
          </w:tcPr>
          <w:p w14:paraId="70608C25" w14:textId="77777777" w:rsidR="008B1764" w:rsidRDefault="00000000">
            <w:pPr>
              <w:pStyle w:val="TableHeading"/>
              <w:jc w:val="left"/>
            </w:pPr>
            <w:r>
              <w:t>What it contains</w:t>
            </w:r>
          </w:p>
        </w:tc>
        <w:tc>
          <w:tcPr>
            <w:tcW w:w="3213" w:type="dxa"/>
            <w:tcBorders>
              <w:top w:val="single" w:sz="4" w:space="0" w:color="000000"/>
              <w:left w:val="single" w:sz="4" w:space="0" w:color="000000"/>
              <w:bottom w:val="single" w:sz="4" w:space="0" w:color="000000"/>
              <w:right w:val="single" w:sz="4" w:space="0" w:color="000000"/>
            </w:tcBorders>
          </w:tcPr>
          <w:p w14:paraId="42ED4A1F" w14:textId="77777777" w:rsidR="008B1764" w:rsidRDefault="00000000">
            <w:pPr>
              <w:pStyle w:val="TableHeading"/>
              <w:jc w:val="left"/>
            </w:pPr>
            <w:r>
              <w:t>How to use it</w:t>
            </w:r>
          </w:p>
        </w:tc>
      </w:tr>
      <w:tr w:rsidR="008B1764" w14:paraId="1BA8D2DD" w14:textId="77777777">
        <w:tc>
          <w:tcPr>
            <w:tcW w:w="3212" w:type="dxa"/>
            <w:tcBorders>
              <w:left w:val="single" w:sz="4" w:space="0" w:color="000000"/>
              <w:bottom w:val="single" w:sz="4" w:space="0" w:color="000000"/>
            </w:tcBorders>
          </w:tcPr>
          <w:p w14:paraId="7C7EA55F" w14:textId="77777777" w:rsidR="008B1764" w:rsidRDefault="00000000">
            <w:pPr>
              <w:pStyle w:val="TableContents"/>
            </w:pPr>
            <w:r>
              <w:rPr>
                <w:rFonts w:ascii="Liberation Mono" w:hAnsi="Liberation Mono"/>
              </w:rPr>
              <w:t>TFG_MinneMUDAC_Challenge_Brief.pdf</w:t>
            </w:r>
          </w:p>
        </w:tc>
        <w:tc>
          <w:tcPr>
            <w:tcW w:w="3213" w:type="dxa"/>
            <w:tcBorders>
              <w:left w:val="single" w:sz="4" w:space="0" w:color="000000"/>
              <w:bottom w:val="single" w:sz="4" w:space="0" w:color="000000"/>
            </w:tcBorders>
          </w:tcPr>
          <w:p w14:paraId="219B23D3" w14:textId="77777777" w:rsidR="008B1764" w:rsidRDefault="00000000">
            <w:pPr>
              <w:pStyle w:val="TableContents"/>
            </w:pPr>
            <w:r>
              <w:t>Competition purpose, datasets, division scope, and eight questions</w:t>
            </w:r>
          </w:p>
        </w:tc>
        <w:tc>
          <w:tcPr>
            <w:tcW w:w="3213" w:type="dxa"/>
            <w:tcBorders>
              <w:left w:val="single" w:sz="4" w:space="0" w:color="000000"/>
              <w:bottom w:val="single" w:sz="4" w:space="0" w:color="000000"/>
              <w:right w:val="single" w:sz="4" w:space="0" w:color="000000"/>
            </w:tcBorders>
          </w:tcPr>
          <w:p w14:paraId="57BA284C" w14:textId="77777777" w:rsidR="008B1764" w:rsidRDefault="00000000">
            <w:pPr>
              <w:pStyle w:val="TableContents"/>
            </w:pPr>
            <w:r>
              <w:t>Treat as the governing problem statement</w:t>
            </w:r>
          </w:p>
        </w:tc>
      </w:tr>
      <w:tr w:rsidR="008B1764" w14:paraId="6EE55DA2" w14:textId="77777777">
        <w:tc>
          <w:tcPr>
            <w:tcW w:w="3212" w:type="dxa"/>
            <w:tcBorders>
              <w:left w:val="single" w:sz="4" w:space="0" w:color="000000"/>
              <w:bottom w:val="single" w:sz="4" w:space="0" w:color="000000"/>
            </w:tcBorders>
          </w:tcPr>
          <w:p w14:paraId="36AE274D" w14:textId="77777777" w:rsidR="008B1764" w:rsidRDefault="00000000">
            <w:pPr>
              <w:pStyle w:val="TableContents"/>
            </w:pPr>
            <w:r>
              <w:rPr>
                <w:rFonts w:ascii="Liberation Mono" w:hAnsi="Liberation Mono"/>
              </w:rPr>
              <w:t>TFG_MinneMUDAC_Data_Question_SlideDeck.pdf</w:t>
            </w:r>
          </w:p>
        </w:tc>
        <w:tc>
          <w:tcPr>
            <w:tcW w:w="3213" w:type="dxa"/>
            <w:tcBorders>
              <w:left w:val="single" w:sz="4" w:space="0" w:color="000000"/>
              <w:bottom w:val="single" w:sz="4" w:space="0" w:color="000000"/>
            </w:tcBorders>
          </w:tcPr>
          <w:p w14:paraId="52268598" w14:textId="77777777" w:rsidR="008B1764" w:rsidRDefault="00000000">
            <w:pPr>
              <w:pStyle w:val="TableContents"/>
            </w:pPr>
            <w:r>
              <w:t>Concise explanation of the datasets, sources, rules, and presentation expectations</w:t>
            </w:r>
          </w:p>
        </w:tc>
        <w:tc>
          <w:tcPr>
            <w:tcW w:w="3213" w:type="dxa"/>
            <w:tcBorders>
              <w:left w:val="single" w:sz="4" w:space="0" w:color="000000"/>
              <w:bottom w:val="single" w:sz="4" w:space="0" w:color="000000"/>
              <w:right w:val="single" w:sz="4" w:space="0" w:color="000000"/>
            </w:tcBorders>
          </w:tcPr>
          <w:p w14:paraId="2AE00325" w14:textId="77777777" w:rsidR="008B1764" w:rsidRDefault="00000000">
            <w:pPr>
              <w:pStyle w:val="TableContents"/>
            </w:pPr>
            <w:r>
              <w:t>Use as a checklist for scope and presentation</w:t>
            </w:r>
          </w:p>
        </w:tc>
      </w:tr>
      <w:tr w:rsidR="008B1764" w14:paraId="4300F152" w14:textId="77777777">
        <w:tc>
          <w:tcPr>
            <w:tcW w:w="3212" w:type="dxa"/>
            <w:tcBorders>
              <w:left w:val="single" w:sz="4" w:space="0" w:color="000000"/>
              <w:bottom w:val="single" w:sz="4" w:space="0" w:color="000000"/>
            </w:tcBorders>
          </w:tcPr>
          <w:p w14:paraId="7045FCB8" w14:textId="77777777" w:rsidR="008B1764" w:rsidRDefault="00000000">
            <w:pPr>
              <w:pStyle w:val="TableContents"/>
            </w:pPr>
            <w:r>
              <w:rPr>
                <w:rFonts w:ascii="Liberation Mono" w:hAnsi="Liberation Mono"/>
              </w:rPr>
              <w:t>TFG_SlideDeck.pdf</w:t>
            </w:r>
          </w:p>
        </w:tc>
        <w:tc>
          <w:tcPr>
            <w:tcW w:w="3213" w:type="dxa"/>
            <w:tcBorders>
              <w:left w:val="single" w:sz="4" w:space="0" w:color="000000"/>
              <w:bottom w:val="single" w:sz="4" w:space="0" w:color="000000"/>
            </w:tcBorders>
          </w:tcPr>
          <w:p w14:paraId="47FD1C33" w14:textId="77777777" w:rsidR="008B1764" w:rsidRDefault="00000000">
            <w:pPr>
              <w:pStyle w:val="TableContents"/>
            </w:pPr>
            <w:r>
              <w:t>The Food Group's mission, current operating context, and recent hunger trends</w:t>
            </w:r>
          </w:p>
        </w:tc>
        <w:tc>
          <w:tcPr>
            <w:tcW w:w="3213" w:type="dxa"/>
            <w:tcBorders>
              <w:left w:val="single" w:sz="4" w:space="0" w:color="000000"/>
              <w:bottom w:val="single" w:sz="4" w:space="0" w:color="000000"/>
              <w:right w:val="single" w:sz="4" w:space="0" w:color="000000"/>
            </w:tcBorders>
          </w:tcPr>
          <w:p w14:paraId="542FA605" w14:textId="77777777" w:rsidR="008B1764" w:rsidRDefault="00000000">
            <w:pPr>
              <w:pStyle w:val="TableContents"/>
            </w:pPr>
            <w:r>
              <w:t>Use to frame recommendations for the client</w:t>
            </w:r>
          </w:p>
        </w:tc>
      </w:tr>
      <w:tr w:rsidR="008B1764" w14:paraId="11528D75" w14:textId="77777777">
        <w:tc>
          <w:tcPr>
            <w:tcW w:w="3212" w:type="dxa"/>
            <w:tcBorders>
              <w:left w:val="single" w:sz="4" w:space="0" w:color="000000"/>
              <w:bottom w:val="single" w:sz="4" w:space="0" w:color="000000"/>
            </w:tcBorders>
          </w:tcPr>
          <w:p w14:paraId="1636B906" w14:textId="77777777" w:rsidR="008B1764" w:rsidRDefault="00000000">
            <w:pPr>
              <w:pStyle w:val="TableContents"/>
            </w:pPr>
            <w:r>
              <w:rPr>
                <w:rFonts w:ascii="Liberation Mono" w:hAnsi="Liberation Mono"/>
              </w:rPr>
              <w:t>Glossary_of_Terms.docx</w:t>
            </w:r>
          </w:p>
        </w:tc>
        <w:tc>
          <w:tcPr>
            <w:tcW w:w="3213" w:type="dxa"/>
            <w:tcBorders>
              <w:left w:val="single" w:sz="4" w:space="0" w:color="000000"/>
              <w:bottom w:val="single" w:sz="4" w:space="0" w:color="000000"/>
            </w:tcBorders>
          </w:tcPr>
          <w:p w14:paraId="4C64D3AD" w14:textId="77777777" w:rsidR="008B1764" w:rsidRDefault="00000000">
            <w:pPr>
              <w:pStyle w:val="TableContents"/>
            </w:pPr>
            <w:r>
              <w:t>Official definitions of need, demand, unmet need, latent demand, food shelf, SNAP, and other terms</w:t>
            </w:r>
          </w:p>
        </w:tc>
        <w:tc>
          <w:tcPr>
            <w:tcW w:w="3213" w:type="dxa"/>
            <w:tcBorders>
              <w:left w:val="single" w:sz="4" w:space="0" w:color="000000"/>
              <w:bottom w:val="single" w:sz="4" w:space="0" w:color="000000"/>
              <w:right w:val="single" w:sz="4" w:space="0" w:color="000000"/>
            </w:tcBorders>
          </w:tcPr>
          <w:p w14:paraId="53196C0A" w14:textId="77777777" w:rsidR="008B1764" w:rsidRDefault="00000000">
            <w:pPr>
              <w:pStyle w:val="TableContents"/>
            </w:pPr>
            <w:r>
              <w:t>Use these definitions consistently in analysis and slides</w:t>
            </w:r>
          </w:p>
        </w:tc>
      </w:tr>
      <w:tr w:rsidR="008B1764" w14:paraId="7D4A00FF" w14:textId="77777777">
        <w:tc>
          <w:tcPr>
            <w:tcW w:w="3212" w:type="dxa"/>
            <w:tcBorders>
              <w:left w:val="single" w:sz="4" w:space="0" w:color="000000"/>
              <w:bottom w:val="single" w:sz="4" w:space="0" w:color="000000"/>
            </w:tcBorders>
          </w:tcPr>
          <w:p w14:paraId="27098278" w14:textId="77777777" w:rsidR="008B1764" w:rsidRDefault="00000000">
            <w:pPr>
              <w:pStyle w:val="TableContents"/>
            </w:pPr>
            <w:r>
              <w:rPr>
                <w:rFonts w:ascii="Liberation Mono" w:hAnsi="Liberation Mono"/>
              </w:rPr>
              <w:t>Division Descriptions.docx</w:t>
            </w:r>
          </w:p>
        </w:tc>
        <w:tc>
          <w:tcPr>
            <w:tcW w:w="3213" w:type="dxa"/>
            <w:tcBorders>
              <w:left w:val="single" w:sz="4" w:space="0" w:color="000000"/>
              <w:bottom w:val="single" w:sz="4" w:space="0" w:color="000000"/>
            </w:tcBorders>
          </w:tcPr>
          <w:p w14:paraId="32DEFB94" w14:textId="77777777" w:rsidR="008B1764" w:rsidRDefault="00000000">
            <w:pPr>
              <w:pStyle w:val="TableContents"/>
            </w:pPr>
            <w:r>
              <w:t>Skill and policy expectations by division</w:t>
            </w:r>
          </w:p>
        </w:tc>
        <w:tc>
          <w:tcPr>
            <w:tcW w:w="3213" w:type="dxa"/>
            <w:tcBorders>
              <w:left w:val="single" w:sz="4" w:space="0" w:color="000000"/>
              <w:bottom w:val="single" w:sz="4" w:space="0" w:color="000000"/>
              <w:right w:val="single" w:sz="4" w:space="0" w:color="000000"/>
            </w:tcBorders>
          </w:tcPr>
          <w:p w14:paraId="2F662945" w14:textId="77777777" w:rsidR="008B1764" w:rsidRDefault="00000000">
            <w:pPr>
              <w:pStyle w:val="TableContents"/>
            </w:pPr>
            <w:r>
              <w:t>Undergraduate teams should connect findings to basic policy recommendations</w:t>
            </w:r>
          </w:p>
        </w:tc>
      </w:tr>
      <w:tr w:rsidR="008B1764" w14:paraId="5E9C3B0B" w14:textId="77777777">
        <w:tc>
          <w:tcPr>
            <w:tcW w:w="3212" w:type="dxa"/>
            <w:tcBorders>
              <w:left w:val="single" w:sz="4" w:space="0" w:color="000000"/>
              <w:bottom w:val="single" w:sz="4" w:space="0" w:color="000000"/>
            </w:tcBorders>
          </w:tcPr>
          <w:p w14:paraId="1B153B0A" w14:textId="77777777" w:rsidR="008B1764" w:rsidRDefault="00000000">
            <w:pPr>
              <w:pStyle w:val="TableContents"/>
            </w:pPr>
            <w:r>
              <w:rPr>
                <w:rFonts w:ascii="Liberation Mono" w:hAnsi="Liberation Mono"/>
              </w:rPr>
              <w:t>Data/Data_Dictionary.xlsx</w:t>
            </w:r>
          </w:p>
        </w:tc>
        <w:tc>
          <w:tcPr>
            <w:tcW w:w="3213" w:type="dxa"/>
            <w:tcBorders>
              <w:left w:val="single" w:sz="4" w:space="0" w:color="000000"/>
              <w:bottom w:val="single" w:sz="4" w:space="0" w:color="000000"/>
            </w:tcBorders>
          </w:tcPr>
          <w:p w14:paraId="1886A09D" w14:textId="77777777" w:rsidR="008B1764" w:rsidRDefault="00000000">
            <w:pPr>
              <w:pStyle w:val="TableContents"/>
            </w:pPr>
            <w:r>
              <w:t>Field definitions and dataset context</w:t>
            </w:r>
          </w:p>
        </w:tc>
        <w:tc>
          <w:tcPr>
            <w:tcW w:w="3213" w:type="dxa"/>
            <w:tcBorders>
              <w:left w:val="single" w:sz="4" w:space="0" w:color="000000"/>
              <w:bottom w:val="single" w:sz="4" w:space="0" w:color="000000"/>
              <w:right w:val="single" w:sz="4" w:space="0" w:color="000000"/>
            </w:tcBorders>
          </w:tcPr>
          <w:p w14:paraId="7FCC606D" w14:textId="77777777" w:rsidR="008B1764" w:rsidRDefault="00000000">
            <w:pPr>
              <w:pStyle w:val="TableContents"/>
            </w:pPr>
            <w:r>
              <w:t>Use before every join and metric choice</w:t>
            </w:r>
          </w:p>
        </w:tc>
      </w:tr>
      <w:tr w:rsidR="008B1764" w14:paraId="62E8EA17" w14:textId="77777777">
        <w:tc>
          <w:tcPr>
            <w:tcW w:w="3212" w:type="dxa"/>
            <w:tcBorders>
              <w:left w:val="single" w:sz="4" w:space="0" w:color="000000"/>
              <w:bottom w:val="single" w:sz="4" w:space="0" w:color="000000"/>
            </w:tcBorders>
          </w:tcPr>
          <w:p w14:paraId="2A92022B" w14:textId="77777777" w:rsidR="008B1764" w:rsidRDefault="00000000">
            <w:pPr>
              <w:pStyle w:val="TableContents"/>
            </w:pPr>
            <w:r>
              <w:rPr>
                <w:rFonts w:ascii="Liberation Mono" w:hAnsi="Liberation Mono"/>
              </w:rPr>
              <w:t>Data/org_FSStats.xlsx</w:t>
            </w:r>
          </w:p>
        </w:tc>
        <w:tc>
          <w:tcPr>
            <w:tcW w:w="3213" w:type="dxa"/>
            <w:tcBorders>
              <w:left w:val="single" w:sz="4" w:space="0" w:color="000000"/>
              <w:bottom w:val="single" w:sz="4" w:space="0" w:color="000000"/>
            </w:tcBorders>
          </w:tcPr>
          <w:p w14:paraId="3E69F80C" w14:textId="77777777" w:rsidR="008B1764" w:rsidRDefault="00000000">
            <w:pPr>
              <w:pStyle w:val="TableContents"/>
            </w:pPr>
            <w:r>
              <w:t>28,287 food-shelf site-month records, January 2022 through July 2026</w:t>
            </w:r>
          </w:p>
        </w:tc>
        <w:tc>
          <w:tcPr>
            <w:tcW w:w="3213" w:type="dxa"/>
            <w:tcBorders>
              <w:left w:val="single" w:sz="4" w:space="0" w:color="000000"/>
              <w:bottom w:val="single" w:sz="4" w:space="0" w:color="000000"/>
              <w:right w:val="single" w:sz="4" w:space="0" w:color="000000"/>
            </w:tcBorders>
          </w:tcPr>
          <w:p w14:paraId="025DC8B1" w14:textId="77777777" w:rsidR="008B1764" w:rsidRDefault="00000000">
            <w:pPr>
              <w:pStyle w:val="TableContents"/>
            </w:pPr>
            <w:r>
              <w:t>Main outcome dataset for all five undergraduate questions</w:t>
            </w:r>
          </w:p>
        </w:tc>
      </w:tr>
      <w:tr w:rsidR="008B1764" w14:paraId="75DA118D" w14:textId="77777777">
        <w:tc>
          <w:tcPr>
            <w:tcW w:w="3212" w:type="dxa"/>
            <w:tcBorders>
              <w:left w:val="single" w:sz="4" w:space="0" w:color="000000"/>
              <w:bottom w:val="single" w:sz="4" w:space="0" w:color="000000"/>
            </w:tcBorders>
          </w:tcPr>
          <w:p w14:paraId="1C69729D" w14:textId="77777777" w:rsidR="008B1764" w:rsidRDefault="00000000">
            <w:pPr>
              <w:pStyle w:val="TableContents"/>
            </w:pPr>
            <w:r>
              <w:rPr>
                <w:rFonts w:ascii="Liberation Mono" w:hAnsi="Liberation Mono"/>
              </w:rPr>
              <w:t>Data/Organization.xlsx</w:t>
            </w:r>
          </w:p>
        </w:tc>
        <w:tc>
          <w:tcPr>
            <w:tcW w:w="3213" w:type="dxa"/>
            <w:tcBorders>
              <w:left w:val="single" w:sz="4" w:space="0" w:color="000000"/>
              <w:bottom w:val="single" w:sz="4" w:space="0" w:color="000000"/>
            </w:tcBorders>
          </w:tcPr>
          <w:p w14:paraId="145EBDFD" w14:textId="77777777" w:rsidR="008B1764" w:rsidRDefault="00000000">
            <w:pPr>
              <w:pStyle w:val="TableContents"/>
            </w:pPr>
            <w:r>
              <w:t xml:space="preserve">1,202 partner and site records with type, status, county, and </w:t>
            </w:r>
            <w:r>
              <w:lastRenderedPageBreak/>
              <w:t>approximate Census block geography</w:t>
            </w:r>
          </w:p>
        </w:tc>
        <w:tc>
          <w:tcPr>
            <w:tcW w:w="3213" w:type="dxa"/>
            <w:tcBorders>
              <w:left w:val="single" w:sz="4" w:space="0" w:color="000000"/>
              <w:bottom w:val="single" w:sz="4" w:space="0" w:color="000000"/>
              <w:right w:val="single" w:sz="4" w:space="0" w:color="000000"/>
            </w:tcBorders>
          </w:tcPr>
          <w:p w14:paraId="11AB5B4B" w14:textId="77777777" w:rsidR="008B1764" w:rsidRDefault="00000000">
            <w:pPr>
              <w:pStyle w:val="TableContents"/>
            </w:pPr>
            <w:r>
              <w:lastRenderedPageBreak/>
              <w:t xml:space="preserve">Site classification, status checks, geography, and network </w:t>
            </w:r>
            <w:r>
              <w:lastRenderedPageBreak/>
              <w:t>context</w:t>
            </w:r>
          </w:p>
        </w:tc>
      </w:tr>
      <w:tr w:rsidR="008B1764" w14:paraId="6259BD8D" w14:textId="77777777">
        <w:tc>
          <w:tcPr>
            <w:tcW w:w="3212" w:type="dxa"/>
            <w:tcBorders>
              <w:left w:val="single" w:sz="4" w:space="0" w:color="000000"/>
              <w:bottom w:val="single" w:sz="4" w:space="0" w:color="000000"/>
            </w:tcBorders>
          </w:tcPr>
          <w:p w14:paraId="49E04F19" w14:textId="77777777" w:rsidR="008B1764" w:rsidRDefault="00000000">
            <w:pPr>
              <w:pStyle w:val="TableContents"/>
            </w:pPr>
            <w:r>
              <w:rPr>
                <w:rFonts w:ascii="Liberation Mono" w:hAnsi="Liberation Mono"/>
              </w:rPr>
              <w:lastRenderedPageBreak/>
              <w:t>Data/Incoming Call.xlsx</w:t>
            </w:r>
          </w:p>
        </w:tc>
        <w:tc>
          <w:tcPr>
            <w:tcW w:w="3213" w:type="dxa"/>
            <w:tcBorders>
              <w:left w:val="single" w:sz="4" w:space="0" w:color="000000"/>
              <w:bottom w:val="single" w:sz="4" w:space="0" w:color="000000"/>
            </w:tcBorders>
          </w:tcPr>
          <w:p w14:paraId="3D475C1B" w14:textId="77777777" w:rsidR="008B1764" w:rsidRDefault="00000000">
            <w:pPr>
              <w:pStyle w:val="TableContents"/>
            </w:pPr>
            <w:r>
              <w:t>49,727 helpline contacts from February 2022 through July 2026</w:t>
            </w:r>
          </w:p>
        </w:tc>
        <w:tc>
          <w:tcPr>
            <w:tcW w:w="3213" w:type="dxa"/>
            <w:tcBorders>
              <w:left w:val="single" w:sz="4" w:space="0" w:color="000000"/>
              <w:bottom w:val="single" w:sz="4" w:space="0" w:color="000000"/>
              <w:right w:val="single" w:sz="4" w:space="0" w:color="000000"/>
            </w:tcBorders>
          </w:tcPr>
          <w:p w14:paraId="75A55278" w14:textId="77777777" w:rsidR="008B1764" w:rsidRDefault="00000000">
            <w:pPr>
              <w:pStyle w:val="TableContents"/>
            </w:pPr>
            <w:r>
              <w:t>Optional supporting signal; not directly scored for undergraduates</w:t>
            </w:r>
          </w:p>
        </w:tc>
      </w:tr>
      <w:tr w:rsidR="008B1764" w14:paraId="73E3A3DC" w14:textId="77777777">
        <w:tc>
          <w:tcPr>
            <w:tcW w:w="3212" w:type="dxa"/>
            <w:tcBorders>
              <w:left w:val="single" w:sz="4" w:space="0" w:color="000000"/>
              <w:bottom w:val="single" w:sz="4" w:space="0" w:color="000000"/>
            </w:tcBorders>
          </w:tcPr>
          <w:p w14:paraId="27C9C315" w14:textId="77777777" w:rsidR="008B1764" w:rsidRDefault="00000000">
            <w:pPr>
              <w:pStyle w:val="TableContents"/>
            </w:pPr>
            <w:r>
              <w:rPr>
                <w:rFonts w:ascii="Liberation Mono" w:hAnsi="Liberation Mono"/>
              </w:rPr>
              <w:t>Data/marketbucksUsage.xlsx</w:t>
            </w:r>
          </w:p>
        </w:tc>
        <w:tc>
          <w:tcPr>
            <w:tcW w:w="3213" w:type="dxa"/>
            <w:tcBorders>
              <w:left w:val="single" w:sz="4" w:space="0" w:color="000000"/>
              <w:bottom w:val="single" w:sz="4" w:space="0" w:color="000000"/>
            </w:tcBorders>
          </w:tcPr>
          <w:p w14:paraId="024DD5F3" w14:textId="77777777" w:rsidR="008B1764" w:rsidRDefault="00000000">
            <w:pPr>
              <w:pStyle w:val="TableContents"/>
            </w:pPr>
            <w:r>
              <w:t>13,573 farmers-market session records from January 2022 through July 2026</w:t>
            </w:r>
          </w:p>
        </w:tc>
        <w:tc>
          <w:tcPr>
            <w:tcW w:w="3213" w:type="dxa"/>
            <w:tcBorders>
              <w:left w:val="single" w:sz="4" w:space="0" w:color="000000"/>
              <w:bottom w:val="single" w:sz="4" w:space="0" w:color="000000"/>
              <w:right w:val="single" w:sz="4" w:space="0" w:color="000000"/>
            </w:tcBorders>
          </w:tcPr>
          <w:p w14:paraId="7F156C2B" w14:textId="77777777" w:rsidR="008B1764" w:rsidRDefault="00000000">
            <w:pPr>
              <w:pStyle w:val="TableContents"/>
            </w:pPr>
            <w:r>
              <w:t>Optional supporting signal; not directly scored for undergraduates</w:t>
            </w:r>
          </w:p>
        </w:tc>
      </w:tr>
      <w:tr w:rsidR="008B1764" w14:paraId="388F012C" w14:textId="77777777">
        <w:tc>
          <w:tcPr>
            <w:tcW w:w="3212" w:type="dxa"/>
            <w:tcBorders>
              <w:left w:val="single" w:sz="4" w:space="0" w:color="000000"/>
              <w:bottom w:val="single" w:sz="4" w:space="0" w:color="000000"/>
            </w:tcBorders>
          </w:tcPr>
          <w:p w14:paraId="7F121199" w14:textId="77777777" w:rsidR="008B1764" w:rsidRDefault="00000000">
            <w:pPr>
              <w:pStyle w:val="TableContents"/>
            </w:pPr>
            <w:r>
              <w:t>Zoom transcripts and summaries</w:t>
            </w:r>
          </w:p>
        </w:tc>
        <w:tc>
          <w:tcPr>
            <w:tcW w:w="3213" w:type="dxa"/>
            <w:tcBorders>
              <w:left w:val="single" w:sz="4" w:space="0" w:color="000000"/>
              <w:bottom w:val="single" w:sz="4" w:space="0" w:color="000000"/>
            </w:tcBorders>
          </w:tcPr>
          <w:p w14:paraId="733A2353" w14:textId="77777777" w:rsidR="008B1764" w:rsidRDefault="00000000">
            <w:pPr>
              <w:pStyle w:val="TableContents"/>
            </w:pPr>
            <w:r>
              <w:t>Organizer clarifications</w:t>
            </w:r>
          </w:p>
        </w:tc>
        <w:tc>
          <w:tcPr>
            <w:tcW w:w="3213" w:type="dxa"/>
            <w:tcBorders>
              <w:left w:val="single" w:sz="4" w:space="0" w:color="000000"/>
              <w:bottom w:val="single" w:sz="4" w:space="0" w:color="000000"/>
              <w:right w:val="single" w:sz="4" w:space="0" w:color="000000"/>
            </w:tcBorders>
          </w:tcPr>
          <w:p w14:paraId="186A1407" w14:textId="77777777" w:rsidR="008B1764" w:rsidRDefault="00000000">
            <w:pPr>
              <w:pStyle w:val="TableContents"/>
            </w:pPr>
            <w:r>
              <w:t>Important: external data must be free and publicly available; Questions 2 and 3 are not judged for undergraduates; prediction instructions and rubrics are still forthcoming</w:t>
            </w:r>
          </w:p>
        </w:tc>
      </w:tr>
      <w:tr w:rsidR="008B1764" w14:paraId="56F4A1C2" w14:textId="77777777">
        <w:tc>
          <w:tcPr>
            <w:tcW w:w="3212" w:type="dxa"/>
            <w:tcBorders>
              <w:left w:val="single" w:sz="4" w:space="0" w:color="000000"/>
              <w:bottom w:val="single" w:sz="4" w:space="0" w:color="000000"/>
            </w:tcBorders>
          </w:tcPr>
          <w:p w14:paraId="612CCA67" w14:textId="77777777" w:rsidR="008B1764" w:rsidRDefault="00000000">
            <w:pPr>
              <w:pStyle w:val="TableContents"/>
            </w:pPr>
            <w:r>
              <w:t>Rubric and prediction folders</w:t>
            </w:r>
          </w:p>
        </w:tc>
        <w:tc>
          <w:tcPr>
            <w:tcW w:w="3213" w:type="dxa"/>
            <w:tcBorders>
              <w:left w:val="single" w:sz="4" w:space="0" w:color="000000"/>
              <w:bottom w:val="single" w:sz="4" w:space="0" w:color="000000"/>
            </w:tcBorders>
          </w:tcPr>
          <w:p w14:paraId="0E5DADF5" w14:textId="77777777" w:rsidR="008B1764" w:rsidRDefault="00000000">
            <w:pPr>
              <w:pStyle w:val="TableContents"/>
            </w:pPr>
            <w:r>
              <w:t>Placeholder documents only as of this review</w:t>
            </w:r>
          </w:p>
        </w:tc>
        <w:tc>
          <w:tcPr>
            <w:tcW w:w="3213" w:type="dxa"/>
            <w:tcBorders>
              <w:left w:val="single" w:sz="4" w:space="0" w:color="000000"/>
              <w:bottom w:val="single" w:sz="4" w:space="0" w:color="000000"/>
              <w:right w:val="single" w:sz="4" w:space="0" w:color="000000"/>
            </w:tcBorders>
          </w:tcPr>
          <w:p w14:paraId="3AE74FFE" w14:textId="77777777" w:rsidR="008B1764" w:rsidRDefault="00000000">
            <w:pPr>
              <w:pStyle w:val="TableContents"/>
            </w:pPr>
            <w:r>
              <w:t>Recheck after the September 29 and October 5 webinars</w:t>
            </w:r>
          </w:p>
        </w:tc>
      </w:tr>
    </w:tbl>
    <w:p w14:paraId="01EE6B31" w14:textId="77777777" w:rsidR="008B1764" w:rsidRDefault="008B1764">
      <w:pPr>
        <w:pStyle w:val="BodyText"/>
      </w:pPr>
    </w:p>
    <w:p w14:paraId="3292F6DE" w14:textId="77777777" w:rsidR="008B1764" w:rsidRDefault="00000000">
      <w:pPr>
        <w:pStyle w:val="Heading2"/>
      </w:pPr>
      <w:r>
        <w:t>How the supplied data flows</w:t>
      </w:r>
    </w:p>
    <w:p w14:paraId="4B1561BD" w14:textId="77777777" w:rsidR="008B1764" w:rsidRDefault="00000000">
      <w:pPr>
        <w:pStyle w:val="PreformattedText"/>
        <w:shd w:val="clear" w:color="auto" w:fill="E1E1E1"/>
        <w:spacing w:after="283"/>
      </w:pPr>
      <w:r>
        <w:t>Organization master</w:t>
      </w:r>
      <w:r>
        <w:br/>
        <w:t xml:space="preserve">  site ID, site type, status, county, approximate Census block</w:t>
      </w:r>
      <w:r>
        <w:br/>
        <w:t xml:space="preserve">           |</w:t>
      </w:r>
      <w:r>
        <w:br/>
        <w:t xml:space="preserve">           +----&gt; Food-shelf statistics: one site x one month</w:t>
      </w:r>
      <w:r>
        <w:br/>
        <w:t xml:space="preserve">           |       visits, pounds, adults, children, seniors, individuals</w:t>
      </w:r>
      <w:r>
        <w:br/>
        <w:t xml:space="preserve">           |</w:t>
      </w:r>
      <w:r>
        <w:br/>
        <w:t xml:space="preserve">           +----&gt; MarketBucks: one market site x event date</w:t>
      </w:r>
      <w:r>
        <w:br/>
        <w:t xml:space="preserve">                   SNAP and incentive dollars, customers, transactions</w:t>
      </w:r>
      <w:r>
        <w:br/>
      </w:r>
      <w:r>
        <w:br/>
        <w:t>Incoming calls: one contact x date</w:t>
      </w:r>
      <w:r>
        <w:br/>
        <w:t xml:space="preserve">  county, region, reason, SNAP status, referral information</w:t>
      </w:r>
      <w:r>
        <w:br/>
      </w:r>
      <w:r>
        <w:br/>
        <w:t>Public data</w:t>
      </w:r>
      <w:r>
        <w:br/>
        <w:t xml:space="preserve">  Feeding America + prices + SNAP + Census/economic measures</w:t>
      </w:r>
      <w:r>
        <w:br/>
        <w:t xml:space="preserve">           |</w:t>
      </w:r>
      <w:r>
        <w:br/>
        <w:t xml:space="preserve">           v</w:t>
      </w:r>
      <w:r>
        <w:br/>
        <w:t>Canonical county-month and county-year analysis panels</w:t>
      </w:r>
      <w:r>
        <w:br/>
        <w:t xml:space="preserve">           |</w:t>
      </w:r>
      <w:r>
        <w:br/>
        <w:t xml:space="preserve">           +----&gt; Q1 need versus observed activity</w:t>
      </w:r>
      <w:r>
        <w:br/>
        <w:t xml:space="preserve">           +----&gt; Q4 food prices and activity</w:t>
      </w:r>
      <w:r>
        <w:br/>
        <w:t xml:space="preserve">           +----&gt; Q5 SNAP and activity</w:t>
      </w:r>
      <w:r>
        <w:br/>
        <w:t xml:space="preserve">           +----&gt; Q6 need-demand divergence score</w:t>
      </w:r>
      <w:r>
        <w:br/>
        <w:t xml:space="preserve">           +----&gt; Q7 August forecast</w:t>
      </w:r>
    </w:p>
    <w:p w14:paraId="34DF1DCF" w14:textId="77777777" w:rsidR="002E753D" w:rsidRDefault="002E753D">
      <w:pPr>
        <w:pStyle w:val="BodyText"/>
      </w:pPr>
    </w:p>
    <w:p w14:paraId="59115770" w14:textId="77777777" w:rsidR="002E753D" w:rsidRDefault="002E753D">
      <w:pPr>
        <w:pStyle w:val="BodyText"/>
      </w:pPr>
    </w:p>
    <w:p w14:paraId="7FE5F46B" w14:textId="77777777" w:rsidR="002E753D" w:rsidRDefault="002E753D">
      <w:pPr>
        <w:pStyle w:val="BodyText"/>
      </w:pPr>
    </w:p>
    <w:p w14:paraId="00240958" w14:textId="77777777" w:rsidR="002E753D" w:rsidRDefault="002E753D">
      <w:pPr>
        <w:pStyle w:val="BodyText"/>
      </w:pPr>
    </w:p>
    <w:p w14:paraId="388F15F1" w14:textId="77777777" w:rsidR="002E753D" w:rsidRDefault="002E753D">
      <w:pPr>
        <w:pStyle w:val="BodyText"/>
      </w:pPr>
    </w:p>
    <w:p w14:paraId="0E537E42" w14:textId="3C474396" w:rsidR="008B1764" w:rsidRDefault="00000000">
      <w:pPr>
        <w:pStyle w:val="BodyText"/>
      </w:pPr>
      <w:r>
        <w:lastRenderedPageBreak/>
        <w:t>For the food-shelf file, use the regular fields as the primary measures:</w:t>
      </w:r>
    </w:p>
    <w:p w14:paraId="341F615A" w14:textId="77777777" w:rsidR="008B1764" w:rsidRDefault="00000000">
      <w:pPr>
        <w:pStyle w:val="BodyText"/>
        <w:numPr>
          <w:ilvl w:val="0"/>
          <w:numId w:val="2"/>
        </w:numPr>
        <w:tabs>
          <w:tab w:val="left" w:pos="709"/>
        </w:tabs>
      </w:pPr>
      <w:r>
        <w:t xml:space="preserve">Visits: </w:t>
      </w:r>
      <w:r>
        <w:rPr>
          <w:rFonts w:ascii="Liberation Mono" w:hAnsi="Liberation Mono"/>
        </w:rPr>
        <w:t>HouseholdsReg</w:t>
      </w:r>
    </w:p>
    <w:p w14:paraId="32E67617" w14:textId="77777777" w:rsidR="008B1764" w:rsidRDefault="00000000">
      <w:pPr>
        <w:pStyle w:val="BodyText"/>
        <w:numPr>
          <w:ilvl w:val="0"/>
          <w:numId w:val="2"/>
        </w:numPr>
        <w:tabs>
          <w:tab w:val="left" w:pos="709"/>
        </w:tabs>
      </w:pPr>
      <w:r>
        <w:t xml:space="preserve">Pounds distributed: </w:t>
      </w:r>
      <w:r>
        <w:rPr>
          <w:rFonts w:ascii="Liberation Mono" w:hAnsi="Liberation Mono"/>
        </w:rPr>
        <w:t>PoundsReg</w:t>
      </w:r>
    </w:p>
    <w:p w14:paraId="4E4D1344" w14:textId="77777777" w:rsidR="008B1764" w:rsidRDefault="00000000">
      <w:pPr>
        <w:pStyle w:val="BodyText"/>
        <w:numPr>
          <w:ilvl w:val="0"/>
          <w:numId w:val="2"/>
        </w:numPr>
        <w:tabs>
          <w:tab w:val="left" w:pos="709"/>
        </w:tabs>
      </w:pPr>
      <w:r>
        <w:t xml:space="preserve">Individuals served: </w:t>
      </w:r>
      <w:r>
        <w:rPr>
          <w:rFonts w:ascii="Liberation Mono" w:hAnsi="Liberation Mono"/>
        </w:rPr>
        <w:t>IndividualsReg</w:t>
      </w:r>
    </w:p>
    <w:p w14:paraId="7DE8F968" w14:textId="77777777" w:rsidR="008B1764" w:rsidRDefault="00000000">
      <w:pPr>
        <w:pStyle w:val="BodyText"/>
        <w:numPr>
          <w:ilvl w:val="0"/>
          <w:numId w:val="2"/>
        </w:numPr>
        <w:tabs>
          <w:tab w:val="left" w:pos="709"/>
        </w:tabs>
      </w:pPr>
      <w:r>
        <w:t xml:space="preserve">Demographic checks: </w:t>
      </w:r>
      <w:r>
        <w:rPr>
          <w:rFonts w:ascii="Liberation Mono" w:hAnsi="Liberation Mono"/>
        </w:rPr>
        <w:t>AdultsReg + ChildrenReg + SeniorsReg = IndividualsReg</w:t>
      </w:r>
    </w:p>
    <w:p w14:paraId="6DB50596" w14:textId="77777777" w:rsidR="008B1764" w:rsidRDefault="00000000">
      <w:pPr>
        <w:pStyle w:val="BodyText"/>
      </w:pPr>
      <w:r>
        <w:t xml:space="preserve">Do not use </w:t>
      </w:r>
      <w:r>
        <w:rPr>
          <w:rFonts w:ascii="Liberation Mono" w:hAnsi="Liberation Mono"/>
        </w:rPr>
        <w:t>UniqueVisitsReg</w:t>
      </w:r>
      <w:r>
        <w:t xml:space="preserve"> as the main visit measure; it has only 19 populated rows. The </w:t>
      </w:r>
      <w:r>
        <w:rPr>
          <w:rFonts w:ascii="Liberation Mono" w:hAnsi="Liberation Mono"/>
        </w:rPr>
        <w:t>Total</w:t>
      </w:r>
      <w:r>
        <w:t xml:space="preserve">, </w:t>
      </w:r>
      <w:r>
        <w:rPr>
          <w:rFonts w:ascii="Liberation Mono" w:hAnsi="Liberation Mono"/>
        </w:rPr>
        <w:t>Extra</w:t>
      </w:r>
      <w:r>
        <w:t xml:space="preserve">, </w:t>
      </w:r>
      <w:r>
        <w:rPr>
          <w:rFonts w:ascii="Liberation Mono" w:hAnsi="Liberation Mono"/>
        </w:rPr>
        <w:t>Produce</w:t>
      </w:r>
      <w:r>
        <w:t xml:space="preserve">, and </w:t>
      </w:r>
      <w:r>
        <w:rPr>
          <w:rFonts w:ascii="Liberation Mono" w:hAnsi="Liberation Mono"/>
        </w:rPr>
        <w:t>Holiday</w:t>
      </w:r>
      <w:r>
        <w:t xml:space="preserve"> fields are marked deprecated in the data dictionary. Recalculate ratios directly rather than trusting the supplied ratio fields.</w:t>
      </w:r>
    </w:p>
    <w:p w14:paraId="54A4409B" w14:textId="77777777" w:rsidR="008B1764" w:rsidRDefault="00000000">
      <w:pPr>
        <w:pStyle w:val="Heading2"/>
      </w:pPr>
      <w:r>
        <w:t>Important issues found in the first audit</w:t>
      </w:r>
    </w:p>
    <w:p w14:paraId="3C4F508D" w14:textId="77777777" w:rsidR="008B1764" w:rsidRDefault="00000000">
      <w:pPr>
        <w:pStyle w:val="BodyText"/>
        <w:numPr>
          <w:ilvl w:val="0"/>
          <w:numId w:val="3"/>
        </w:numPr>
        <w:tabs>
          <w:tab w:val="left" w:pos="709"/>
        </w:tabs>
      </w:pPr>
      <w:r>
        <w:rPr>
          <w:b/>
        </w:rPr>
        <w:t>County names need harmonization.</w:t>
      </w:r>
      <w:r>
        <w:t xml:space="preserve"> The operational data uses separate labels for Minneapolis/suburban Hennepin and Saint Paul/suburban Ramsey, plus both </w:t>
      </w:r>
      <w:r>
        <w:rPr>
          <w:rFonts w:ascii="Liberation Mono" w:hAnsi="Liberation Mono"/>
        </w:rPr>
        <w:t>Saint Louis</w:t>
      </w:r>
      <w:r>
        <w:t xml:space="preserve"> and </w:t>
      </w:r>
      <w:r>
        <w:rPr>
          <w:rFonts w:ascii="Liberation Mono" w:hAnsi="Liberation Mono"/>
        </w:rPr>
        <w:t>St. Louis</w:t>
      </w:r>
      <w:r>
        <w:t>. After collapsing these, the file covers 86 of Minnesota's 87 counties; Wilkin appears absent.</w:t>
      </w:r>
    </w:p>
    <w:p w14:paraId="49D20DAF" w14:textId="77777777" w:rsidR="008B1764" w:rsidRDefault="00000000">
      <w:pPr>
        <w:pStyle w:val="BodyText"/>
        <w:numPr>
          <w:ilvl w:val="0"/>
          <w:numId w:val="3"/>
        </w:numPr>
        <w:tabs>
          <w:tab w:val="left" w:pos="709"/>
        </w:tabs>
      </w:pPr>
      <w:r>
        <w:rPr>
          <w:b/>
        </w:rPr>
        <w:t>The stated site join deserves verification.</w:t>
      </w:r>
      <w:r>
        <w:t xml:space="preserve"> The dictionary says </w:t>
      </w:r>
      <w:r>
        <w:rPr>
          <w:rFonts w:ascii="Liberation Mono" w:hAnsi="Liberation Mono"/>
        </w:rPr>
        <w:t>_id_site</w:t>
      </w:r>
      <w:r>
        <w:t xml:space="preserve"> matches </w:t>
      </w:r>
      <w:r>
        <w:rPr>
          <w:rFonts w:ascii="Liberation Mono" w:hAnsi="Liberation Mono"/>
        </w:rPr>
        <w:t>id_agency</w:t>
      </w:r>
      <w:r>
        <w:t xml:space="preserve">, but only 639 food-shelf rows match that field. Matching </w:t>
      </w:r>
      <w:r>
        <w:rPr>
          <w:rFonts w:ascii="Liberation Mono" w:hAnsi="Liberation Mono"/>
        </w:rPr>
        <w:t>_id_site</w:t>
      </w:r>
      <w:r>
        <w:t xml:space="preserve"> to </w:t>
      </w:r>
      <w:r>
        <w:rPr>
          <w:rFonts w:ascii="Liberation Mono" w:hAnsi="Liberation Mono"/>
        </w:rPr>
        <w:t>Organization.__ID</w:t>
      </w:r>
      <w:r>
        <w:t xml:space="preserve"> links 28,250 of 28,287 rows. The team should confirm this with organizers before finalizing site-level work.</w:t>
      </w:r>
    </w:p>
    <w:p w14:paraId="1A63D1F6" w14:textId="77777777" w:rsidR="008B1764" w:rsidRDefault="00000000">
      <w:pPr>
        <w:pStyle w:val="BodyText"/>
        <w:numPr>
          <w:ilvl w:val="0"/>
          <w:numId w:val="3"/>
        </w:numPr>
        <w:tabs>
          <w:tab w:val="left" w:pos="709"/>
        </w:tabs>
      </w:pPr>
      <w:r>
        <w:rPr>
          <w:b/>
        </w:rPr>
        <w:t>There are obvious candidate entry errors.</w:t>
      </w:r>
      <w:r>
        <w:t xml:space="preserve"> Waseca site 1197 reports 273,385 visits in July 2023, surrounded by monthly values near 300 and paired with only 646 individuals. Ramsey site 1304 reports 83,909 visits in March 2025, exactly equal to pounds distributed and surrounded by roughly 3,000 monthly visits. Do not silently delete or correct these values. Create a flagged raw version and a documented sensitivity version.</w:t>
      </w:r>
    </w:p>
    <w:p w14:paraId="027A869D" w14:textId="77777777" w:rsidR="008B1764" w:rsidRDefault="00000000">
      <w:pPr>
        <w:pStyle w:val="BodyText"/>
        <w:numPr>
          <w:ilvl w:val="0"/>
          <w:numId w:val="3"/>
        </w:numPr>
        <w:tabs>
          <w:tab w:val="left" w:pos="709"/>
        </w:tabs>
      </w:pPr>
      <w:r>
        <w:rPr>
          <w:b/>
        </w:rPr>
        <w:t>Four pound records are negative.</w:t>
      </w:r>
      <w:r>
        <w:t xml:space="preserve"> Two are -1/-2 adjustment-like values, while one is -4,415 with nonzero households and individuals. Decide whether these represent corrections or errors and show sensitivity.</w:t>
      </w:r>
    </w:p>
    <w:p w14:paraId="318AEA03" w14:textId="77777777" w:rsidR="008B1764" w:rsidRDefault="00000000">
      <w:pPr>
        <w:pStyle w:val="BodyText"/>
        <w:numPr>
          <w:ilvl w:val="0"/>
          <w:numId w:val="3"/>
        </w:numPr>
        <w:tabs>
          <w:tab w:val="left" w:pos="709"/>
        </w:tabs>
      </w:pPr>
      <w:r>
        <w:rPr>
          <w:b/>
        </w:rPr>
        <w:t xml:space="preserve">The </w:t>
      </w:r>
      <w:r>
        <w:rPr>
          <w:rFonts w:ascii="Liberation Mono" w:hAnsi="Liberation Mono"/>
          <w:b/>
        </w:rPr>
        <w:t>_Month</w:t>
      </w:r>
      <w:r>
        <w:rPr>
          <w:b/>
        </w:rPr>
        <w:t xml:space="preserve"> field contains values 0 and 15.</w:t>
      </w:r>
      <w:r>
        <w:t xml:space="preserve"> Use </w:t>
      </w:r>
      <w:r>
        <w:rPr>
          <w:rFonts w:ascii="Liberation Mono" w:hAnsi="Liberation Mono"/>
        </w:rPr>
        <w:t>DateForSearch</w:t>
      </w:r>
      <w:r>
        <w:t xml:space="preserve"> as the authoritative monthly date after checking it against </w:t>
      </w:r>
      <w:r>
        <w:rPr>
          <w:rFonts w:ascii="Liberation Mono" w:hAnsi="Liberation Mono"/>
        </w:rPr>
        <w:t>_YearMonth</w:t>
      </w:r>
      <w:r>
        <w:t>.</w:t>
      </w:r>
    </w:p>
    <w:p w14:paraId="394038AE" w14:textId="77777777" w:rsidR="008B1764" w:rsidRDefault="00000000">
      <w:pPr>
        <w:pStyle w:val="BodyText"/>
        <w:numPr>
          <w:ilvl w:val="0"/>
          <w:numId w:val="3"/>
        </w:numPr>
        <w:tabs>
          <w:tab w:val="left" w:pos="709"/>
        </w:tabs>
      </w:pPr>
      <w:r>
        <w:rPr>
          <w:b/>
        </w:rPr>
        <w:t>Site types change over time.</w:t>
      </w:r>
      <w:r>
        <w:t xml:space="preserve"> </w:t>
      </w:r>
      <w:r>
        <w:rPr>
          <w:rFonts w:ascii="Liberation Mono" w:hAnsi="Liberation Mono"/>
        </w:rPr>
        <w:t>Food Shelf</w:t>
      </w:r>
      <w:r>
        <w:t xml:space="preserve"> and </w:t>
      </w:r>
      <w:r>
        <w:rPr>
          <w:rFonts w:ascii="Liberation Mono" w:hAnsi="Liberation Mono"/>
        </w:rPr>
        <w:t>Brick and Mortar Site</w:t>
      </w:r>
      <w:r>
        <w:t xml:space="preserve"> appear to be closely related classifications across different periods. Filtering by a single label can create a false time break. Build and document a crosswalk before excluding types.</w:t>
      </w:r>
    </w:p>
    <w:p w14:paraId="6FCB2F8B" w14:textId="77777777" w:rsidR="008B1764" w:rsidRDefault="00000000">
      <w:pPr>
        <w:pStyle w:val="BodyText"/>
        <w:numPr>
          <w:ilvl w:val="0"/>
          <w:numId w:val="3"/>
        </w:numPr>
        <w:tabs>
          <w:tab w:val="left" w:pos="709"/>
        </w:tabs>
      </w:pPr>
      <w:r>
        <w:rPr>
          <w:b/>
        </w:rPr>
        <w:t>The call file has substantial missing geography.</w:t>
      </w:r>
      <w:r>
        <w:t xml:space="preserve"> County is missing for about 15,000 of 49,727 calls, and county labels have the same metro splits. Calls can support another question, but should not consume undergraduate time until the five scored questions are stable.</w:t>
      </w:r>
    </w:p>
    <w:p w14:paraId="60EBDA82" w14:textId="77777777" w:rsidR="008B1764" w:rsidRDefault="00000000">
      <w:pPr>
        <w:pStyle w:val="Heading2"/>
        <w:numPr>
          <w:ilvl w:val="0"/>
          <w:numId w:val="0"/>
        </w:numPr>
      </w:pPr>
      <w:r>
        <w:lastRenderedPageBreak/>
        <w:t>Initial descriptive findings</w:t>
      </w:r>
    </w:p>
    <w:p w14:paraId="532AA689" w14:textId="77777777" w:rsidR="008B1764" w:rsidRDefault="00000000">
      <w:pPr>
        <w:pStyle w:val="BodyText"/>
      </w:pPr>
      <w:r>
        <w:t>The following raw statewide totals use the regular food-shelf fields. The 2023 visit total contains the Waseca candidate error described above.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8B1764" w14:paraId="7D3F4072" w14:textId="77777777">
        <w:trPr>
          <w:tblHeader/>
        </w:trPr>
        <w:tc>
          <w:tcPr>
            <w:tcW w:w="2409" w:type="dxa"/>
            <w:tcBorders>
              <w:top w:val="single" w:sz="4" w:space="0" w:color="000000"/>
              <w:left w:val="single" w:sz="4" w:space="0" w:color="000000"/>
              <w:bottom w:val="single" w:sz="4" w:space="0" w:color="000000"/>
            </w:tcBorders>
          </w:tcPr>
          <w:p w14:paraId="2643B288" w14:textId="77777777" w:rsidR="008B1764" w:rsidRDefault="00000000">
            <w:pPr>
              <w:pStyle w:val="TableHeading"/>
              <w:jc w:val="right"/>
            </w:pPr>
            <w:r>
              <w:t>Year</w:t>
            </w:r>
          </w:p>
        </w:tc>
        <w:tc>
          <w:tcPr>
            <w:tcW w:w="2410" w:type="dxa"/>
            <w:tcBorders>
              <w:top w:val="single" w:sz="4" w:space="0" w:color="000000"/>
              <w:left w:val="single" w:sz="4" w:space="0" w:color="000000"/>
              <w:bottom w:val="single" w:sz="4" w:space="0" w:color="000000"/>
            </w:tcBorders>
          </w:tcPr>
          <w:p w14:paraId="0E24E04E" w14:textId="77777777" w:rsidR="008B1764" w:rsidRDefault="00000000">
            <w:pPr>
              <w:pStyle w:val="TableHeading"/>
              <w:jc w:val="right"/>
            </w:pPr>
            <w:r>
              <w:t>Visits</w:t>
            </w:r>
          </w:p>
        </w:tc>
        <w:tc>
          <w:tcPr>
            <w:tcW w:w="2409" w:type="dxa"/>
            <w:tcBorders>
              <w:top w:val="single" w:sz="4" w:space="0" w:color="000000"/>
              <w:left w:val="single" w:sz="4" w:space="0" w:color="000000"/>
              <w:bottom w:val="single" w:sz="4" w:space="0" w:color="000000"/>
            </w:tcBorders>
          </w:tcPr>
          <w:p w14:paraId="37BDBC18" w14:textId="77777777" w:rsidR="008B1764" w:rsidRDefault="00000000">
            <w:pPr>
              <w:pStyle w:val="TableHeading"/>
              <w:jc w:val="right"/>
            </w:pPr>
            <w:r>
              <w:t>Pounds distributed</w:t>
            </w:r>
          </w:p>
        </w:tc>
        <w:tc>
          <w:tcPr>
            <w:tcW w:w="2410" w:type="dxa"/>
            <w:tcBorders>
              <w:top w:val="single" w:sz="4" w:space="0" w:color="000000"/>
              <w:left w:val="single" w:sz="4" w:space="0" w:color="000000"/>
              <w:bottom w:val="single" w:sz="4" w:space="0" w:color="000000"/>
              <w:right w:val="single" w:sz="4" w:space="0" w:color="000000"/>
            </w:tcBorders>
          </w:tcPr>
          <w:p w14:paraId="04E5C18F" w14:textId="77777777" w:rsidR="008B1764" w:rsidRDefault="00000000">
            <w:pPr>
              <w:pStyle w:val="TableHeading"/>
              <w:jc w:val="right"/>
            </w:pPr>
            <w:r>
              <w:t>Individuals served</w:t>
            </w:r>
          </w:p>
        </w:tc>
      </w:tr>
      <w:tr w:rsidR="008B1764" w14:paraId="7232947B" w14:textId="77777777">
        <w:tc>
          <w:tcPr>
            <w:tcW w:w="2409" w:type="dxa"/>
            <w:tcBorders>
              <w:left w:val="single" w:sz="4" w:space="0" w:color="000000"/>
              <w:bottom w:val="single" w:sz="4" w:space="0" w:color="000000"/>
            </w:tcBorders>
          </w:tcPr>
          <w:p w14:paraId="7E9849C6" w14:textId="77777777" w:rsidR="008B1764" w:rsidRDefault="00000000">
            <w:pPr>
              <w:pStyle w:val="TableContents"/>
              <w:jc w:val="right"/>
            </w:pPr>
            <w:r>
              <w:t>2022</w:t>
            </w:r>
          </w:p>
        </w:tc>
        <w:tc>
          <w:tcPr>
            <w:tcW w:w="2410" w:type="dxa"/>
            <w:tcBorders>
              <w:left w:val="single" w:sz="4" w:space="0" w:color="000000"/>
              <w:bottom w:val="single" w:sz="4" w:space="0" w:color="000000"/>
            </w:tcBorders>
          </w:tcPr>
          <w:p w14:paraId="33533494" w14:textId="77777777" w:rsidR="008B1764" w:rsidRDefault="00000000">
            <w:pPr>
              <w:pStyle w:val="TableContents"/>
              <w:jc w:val="right"/>
            </w:pPr>
            <w:r>
              <w:t>1,963,756</w:t>
            </w:r>
          </w:p>
        </w:tc>
        <w:tc>
          <w:tcPr>
            <w:tcW w:w="2409" w:type="dxa"/>
            <w:tcBorders>
              <w:left w:val="single" w:sz="4" w:space="0" w:color="000000"/>
              <w:bottom w:val="single" w:sz="4" w:space="0" w:color="000000"/>
            </w:tcBorders>
          </w:tcPr>
          <w:p w14:paraId="1A14F127" w14:textId="77777777" w:rsidR="008B1764" w:rsidRDefault="00000000">
            <w:pPr>
              <w:pStyle w:val="TableContents"/>
              <w:jc w:val="right"/>
            </w:pPr>
            <w:r>
              <w:t>118,730,413</w:t>
            </w:r>
          </w:p>
        </w:tc>
        <w:tc>
          <w:tcPr>
            <w:tcW w:w="2410" w:type="dxa"/>
            <w:tcBorders>
              <w:left w:val="single" w:sz="4" w:space="0" w:color="000000"/>
              <w:bottom w:val="single" w:sz="4" w:space="0" w:color="000000"/>
              <w:right w:val="single" w:sz="4" w:space="0" w:color="000000"/>
            </w:tcBorders>
          </w:tcPr>
          <w:p w14:paraId="30742169" w14:textId="77777777" w:rsidR="008B1764" w:rsidRDefault="00000000">
            <w:pPr>
              <w:pStyle w:val="TableContents"/>
              <w:jc w:val="right"/>
            </w:pPr>
            <w:r>
              <w:t>5,647,197</w:t>
            </w:r>
          </w:p>
        </w:tc>
      </w:tr>
      <w:tr w:rsidR="008B1764" w14:paraId="4BFCF2D6" w14:textId="77777777">
        <w:tc>
          <w:tcPr>
            <w:tcW w:w="2409" w:type="dxa"/>
            <w:tcBorders>
              <w:left w:val="single" w:sz="4" w:space="0" w:color="000000"/>
              <w:bottom w:val="single" w:sz="4" w:space="0" w:color="000000"/>
            </w:tcBorders>
          </w:tcPr>
          <w:p w14:paraId="19771CA3" w14:textId="77777777" w:rsidR="008B1764" w:rsidRDefault="00000000">
            <w:pPr>
              <w:pStyle w:val="TableContents"/>
              <w:jc w:val="right"/>
            </w:pPr>
            <w:r>
              <w:t>2023 raw</w:t>
            </w:r>
          </w:p>
        </w:tc>
        <w:tc>
          <w:tcPr>
            <w:tcW w:w="2410" w:type="dxa"/>
            <w:tcBorders>
              <w:left w:val="single" w:sz="4" w:space="0" w:color="000000"/>
              <w:bottom w:val="single" w:sz="4" w:space="0" w:color="000000"/>
            </w:tcBorders>
          </w:tcPr>
          <w:p w14:paraId="099246B3" w14:textId="77777777" w:rsidR="008B1764" w:rsidRDefault="00000000">
            <w:pPr>
              <w:pStyle w:val="TableContents"/>
              <w:jc w:val="right"/>
            </w:pPr>
            <w:r>
              <w:t>2,797,006</w:t>
            </w:r>
          </w:p>
        </w:tc>
        <w:tc>
          <w:tcPr>
            <w:tcW w:w="2409" w:type="dxa"/>
            <w:tcBorders>
              <w:left w:val="single" w:sz="4" w:space="0" w:color="000000"/>
              <w:bottom w:val="single" w:sz="4" w:space="0" w:color="000000"/>
            </w:tcBorders>
          </w:tcPr>
          <w:p w14:paraId="4BAEFE51" w14:textId="77777777" w:rsidR="008B1764" w:rsidRDefault="00000000">
            <w:pPr>
              <w:pStyle w:val="TableContents"/>
              <w:jc w:val="right"/>
            </w:pPr>
            <w:r>
              <w:t>141,883,496</w:t>
            </w:r>
          </w:p>
        </w:tc>
        <w:tc>
          <w:tcPr>
            <w:tcW w:w="2410" w:type="dxa"/>
            <w:tcBorders>
              <w:left w:val="single" w:sz="4" w:space="0" w:color="000000"/>
              <w:bottom w:val="single" w:sz="4" w:space="0" w:color="000000"/>
              <w:right w:val="single" w:sz="4" w:space="0" w:color="000000"/>
            </w:tcBorders>
          </w:tcPr>
          <w:p w14:paraId="135F5999" w14:textId="77777777" w:rsidR="008B1764" w:rsidRDefault="00000000">
            <w:pPr>
              <w:pStyle w:val="TableContents"/>
              <w:jc w:val="right"/>
            </w:pPr>
            <w:r>
              <w:t>7,758,703</w:t>
            </w:r>
          </w:p>
        </w:tc>
      </w:tr>
      <w:tr w:rsidR="008B1764" w14:paraId="5F4387EA" w14:textId="77777777">
        <w:tc>
          <w:tcPr>
            <w:tcW w:w="2409" w:type="dxa"/>
            <w:tcBorders>
              <w:left w:val="single" w:sz="4" w:space="0" w:color="000000"/>
              <w:bottom w:val="single" w:sz="4" w:space="0" w:color="000000"/>
            </w:tcBorders>
          </w:tcPr>
          <w:p w14:paraId="41FCD4AF" w14:textId="77777777" w:rsidR="008B1764" w:rsidRDefault="00000000">
            <w:pPr>
              <w:pStyle w:val="TableContents"/>
              <w:jc w:val="right"/>
            </w:pPr>
            <w:r>
              <w:t>2023 sensitivity, replacing the Waseca value with its local median</w:t>
            </w:r>
          </w:p>
        </w:tc>
        <w:tc>
          <w:tcPr>
            <w:tcW w:w="2410" w:type="dxa"/>
            <w:tcBorders>
              <w:left w:val="single" w:sz="4" w:space="0" w:color="000000"/>
              <w:bottom w:val="single" w:sz="4" w:space="0" w:color="000000"/>
            </w:tcBorders>
          </w:tcPr>
          <w:p w14:paraId="1B78085B" w14:textId="77777777" w:rsidR="008B1764" w:rsidRDefault="00000000">
            <w:pPr>
              <w:pStyle w:val="TableContents"/>
              <w:jc w:val="right"/>
            </w:pPr>
            <w:r>
              <w:t>2,523,949</w:t>
            </w:r>
          </w:p>
        </w:tc>
        <w:tc>
          <w:tcPr>
            <w:tcW w:w="2409" w:type="dxa"/>
            <w:tcBorders>
              <w:left w:val="single" w:sz="4" w:space="0" w:color="000000"/>
              <w:bottom w:val="single" w:sz="4" w:space="0" w:color="000000"/>
            </w:tcBorders>
          </w:tcPr>
          <w:p w14:paraId="66E5492C" w14:textId="77777777" w:rsidR="008B1764" w:rsidRDefault="00000000">
            <w:pPr>
              <w:pStyle w:val="TableContents"/>
              <w:jc w:val="right"/>
            </w:pPr>
            <w:r>
              <w:t>unchanged</w:t>
            </w:r>
          </w:p>
        </w:tc>
        <w:tc>
          <w:tcPr>
            <w:tcW w:w="2410" w:type="dxa"/>
            <w:tcBorders>
              <w:left w:val="single" w:sz="4" w:space="0" w:color="000000"/>
              <w:bottom w:val="single" w:sz="4" w:space="0" w:color="000000"/>
              <w:right w:val="single" w:sz="4" w:space="0" w:color="000000"/>
            </w:tcBorders>
          </w:tcPr>
          <w:p w14:paraId="05350D15" w14:textId="77777777" w:rsidR="008B1764" w:rsidRDefault="00000000">
            <w:pPr>
              <w:pStyle w:val="TableContents"/>
              <w:jc w:val="right"/>
            </w:pPr>
            <w:r>
              <w:t>unchanged</w:t>
            </w:r>
          </w:p>
        </w:tc>
      </w:tr>
      <w:tr w:rsidR="008B1764" w14:paraId="613C80CC" w14:textId="77777777">
        <w:tc>
          <w:tcPr>
            <w:tcW w:w="2409" w:type="dxa"/>
            <w:tcBorders>
              <w:left w:val="single" w:sz="4" w:space="0" w:color="000000"/>
              <w:bottom w:val="single" w:sz="4" w:space="0" w:color="000000"/>
            </w:tcBorders>
          </w:tcPr>
          <w:p w14:paraId="3CC1F912" w14:textId="77777777" w:rsidR="008B1764" w:rsidRDefault="00000000">
            <w:pPr>
              <w:pStyle w:val="TableContents"/>
              <w:jc w:val="right"/>
            </w:pPr>
            <w:r>
              <w:t>2024</w:t>
            </w:r>
          </w:p>
        </w:tc>
        <w:tc>
          <w:tcPr>
            <w:tcW w:w="2410" w:type="dxa"/>
            <w:tcBorders>
              <w:left w:val="single" w:sz="4" w:space="0" w:color="000000"/>
              <w:bottom w:val="single" w:sz="4" w:space="0" w:color="000000"/>
            </w:tcBorders>
          </w:tcPr>
          <w:p w14:paraId="787CF1F1" w14:textId="77777777" w:rsidR="008B1764" w:rsidRDefault="00000000">
            <w:pPr>
              <w:pStyle w:val="TableContents"/>
              <w:jc w:val="right"/>
            </w:pPr>
            <w:r>
              <w:t>2,918,681</w:t>
            </w:r>
          </w:p>
        </w:tc>
        <w:tc>
          <w:tcPr>
            <w:tcW w:w="2409" w:type="dxa"/>
            <w:tcBorders>
              <w:left w:val="single" w:sz="4" w:space="0" w:color="000000"/>
              <w:bottom w:val="single" w:sz="4" w:space="0" w:color="000000"/>
            </w:tcBorders>
          </w:tcPr>
          <w:p w14:paraId="6C5A928D" w14:textId="77777777" w:rsidR="008B1764" w:rsidRDefault="00000000">
            <w:pPr>
              <w:pStyle w:val="TableContents"/>
              <w:jc w:val="right"/>
            </w:pPr>
            <w:r>
              <w:t>157,814,745</w:t>
            </w:r>
          </w:p>
        </w:tc>
        <w:tc>
          <w:tcPr>
            <w:tcW w:w="2410" w:type="dxa"/>
            <w:tcBorders>
              <w:left w:val="single" w:sz="4" w:space="0" w:color="000000"/>
              <w:bottom w:val="single" w:sz="4" w:space="0" w:color="000000"/>
              <w:right w:val="single" w:sz="4" w:space="0" w:color="000000"/>
            </w:tcBorders>
          </w:tcPr>
          <w:p w14:paraId="69B5098E" w14:textId="77777777" w:rsidR="008B1764" w:rsidRDefault="00000000">
            <w:pPr>
              <w:pStyle w:val="TableContents"/>
              <w:jc w:val="right"/>
            </w:pPr>
            <w:r>
              <w:t>9,146,625</w:t>
            </w:r>
          </w:p>
        </w:tc>
      </w:tr>
    </w:tbl>
    <w:p w14:paraId="692607BF" w14:textId="77777777" w:rsidR="008B1764" w:rsidRDefault="008B1764">
      <w:pPr>
        <w:pStyle w:val="BodyText"/>
      </w:pPr>
    </w:p>
    <w:p w14:paraId="73040AF7" w14:textId="77777777" w:rsidR="008B1764" w:rsidRDefault="00000000">
      <w:pPr>
        <w:pStyle w:val="BodyText"/>
      </w:pPr>
      <w:r>
        <w:t>Across 2022-2024 county totals, the three activity measures are strongly related but not identical. After the single Waseca sensitivity correction, Pearson correlations range from 0.982 to 0.998, while rank correlations range from 0.965 to 0.990. The lower rank agreement is useful: it shows that a county can rank differently depending on whether the team measures visits, people, or pounds. Douglas and Pennington rank much higher on pounds than visits; Houston and Waseca rank higher on visits than pounds after the sensitivity correction. These are starting points for investigation, not conclusions about need.</w:t>
      </w:r>
    </w:p>
    <w:p w14:paraId="7D25AB19" w14:textId="77777777" w:rsidR="008B1764" w:rsidRDefault="00000000">
      <w:pPr>
        <w:pStyle w:val="Heading2"/>
      </w:pPr>
      <w:r>
        <w:t>Recommended analytical plan by question</w:t>
      </w:r>
    </w:p>
    <w:p w14:paraId="2921EA93" w14:textId="77777777" w:rsidR="008B1764" w:rsidRDefault="00000000">
      <w:pPr>
        <w:pStyle w:val="Heading3"/>
      </w:pPr>
      <w:r>
        <w:t>Question 1 Need estimates against observed activity</w:t>
      </w:r>
    </w:p>
    <w:p w14:paraId="1530D30F" w14:textId="77777777" w:rsidR="008B1764" w:rsidRDefault="00000000">
      <w:pPr>
        <w:pStyle w:val="BodyText"/>
      </w:pPr>
      <w:r>
        <w:t>Build a county-year panel for 2022-2024. Match Feeding America's annual vintage to the same underlying year: the 2024 report for 2022 data, the 2025 report for 2023 data, and the 2026 report for 2024 data.</w:t>
      </w:r>
    </w:p>
    <w:p w14:paraId="0D1DAF22" w14:textId="77777777" w:rsidR="008B1764" w:rsidRDefault="00000000">
      <w:pPr>
        <w:pStyle w:val="BodyText"/>
      </w:pPr>
      <w:r>
        <w:t>For each county-year, calculate:</w:t>
      </w:r>
    </w:p>
    <w:p w14:paraId="46D4662C" w14:textId="77777777" w:rsidR="008B1764" w:rsidRDefault="00000000">
      <w:pPr>
        <w:pStyle w:val="BodyText"/>
        <w:numPr>
          <w:ilvl w:val="0"/>
          <w:numId w:val="4"/>
        </w:numPr>
        <w:tabs>
          <w:tab w:val="left" w:pos="709"/>
        </w:tabs>
      </w:pPr>
      <w:r>
        <w:t>total and per-capita visits, pounds, and individuals served;</w:t>
      </w:r>
    </w:p>
    <w:p w14:paraId="5D607003" w14:textId="77777777" w:rsidR="008B1764" w:rsidRDefault="00000000">
      <w:pPr>
        <w:pStyle w:val="BodyText"/>
        <w:numPr>
          <w:ilvl w:val="0"/>
          <w:numId w:val="4"/>
        </w:numPr>
        <w:tabs>
          <w:tab w:val="left" w:pos="709"/>
        </w:tabs>
      </w:pPr>
      <w:r>
        <w:t>each metric per estimated food-insecure person;</w:t>
      </w:r>
    </w:p>
    <w:p w14:paraId="57B60E9C" w14:textId="77777777" w:rsidR="008B1764" w:rsidRDefault="00000000">
      <w:pPr>
        <w:pStyle w:val="BodyText"/>
        <w:numPr>
          <w:ilvl w:val="0"/>
          <w:numId w:val="4"/>
        </w:numPr>
        <w:tabs>
          <w:tab w:val="left" w:pos="709"/>
        </w:tabs>
      </w:pPr>
      <w:r>
        <w:t>Pearson correlation for linear association and Spearman correlation for rank agreement;</w:t>
      </w:r>
    </w:p>
    <w:p w14:paraId="7E5B699C" w14:textId="77777777" w:rsidR="008B1764" w:rsidRDefault="00000000">
      <w:pPr>
        <w:pStyle w:val="BodyText"/>
        <w:numPr>
          <w:ilvl w:val="0"/>
          <w:numId w:val="4"/>
        </w:numPr>
        <w:tabs>
          <w:tab w:val="left" w:pos="709"/>
        </w:tabs>
      </w:pPr>
      <w:r>
        <w:t>a log-log regression of activity on estimated food-insecure people and population;</w:t>
      </w:r>
    </w:p>
    <w:p w14:paraId="13EF77F1" w14:textId="77777777" w:rsidR="008B1764" w:rsidRDefault="00000000">
      <w:pPr>
        <w:pStyle w:val="BodyText"/>
        <w:numPr>
          <w:ilvl w:val="0"/>
          <w:numId w:val="4"/>
        </w:numPr>
        <w:tabs>
          <w:tab w:val="left" w:pos="709"/>
        </w:tabs>
      </w:pPr>
      <w:r>
        <w:t>standardized residuals to identify counties with more or less activity than expected;</w:t>
      </w:r>
    </w:p>
    <w:p w14:paraId="64D90C2D" w14:textId="77777777" w:rsidR="008B1764" w:rsidRDefault="00000000">
      <w:pPr>
        <w:pStyle w:val="BodyText"/>
        <w:numPr>
          <w:ilvl w:val="0"/>
          <w:numId w:val="4"/>
        </w:numPr>
        <w:tabs>
          <w:tab w:val="left" w:pos="709"/>
        </w:tabs>
      </w:pPr>
      <w:r>
        <w:t>confidence/sensitivity flags for missing sites, data corrections, and small counties.</w:t>
      </w:r>
    </w:p>
    <w:p w14:paraId="75B4F9F4" w14:textId="77777777" w:rsidR="008B1764" w:rsidRDefault="00000000">
      <w:pPr>
        <w:pStyle w:val="BodyText"/>
      </w:pPr>
      <w:r>
        <w:t>Explain mismatches using a small, defensible set of variables: poverty, median household income, rural share, unemployment, SNAP enrollment, vehicle access, and a practical access measure such as number of active food-shelf sites per 10,000 residents or approximate distance to the nearest site. Avoid throwing dozens of correlated Census variables into one model.</w:t>
      </w:r>
    </w:p>
    <w:p w14:paraId="3AE5FD27" w14:textId="77777777" w:rsidR="008B1764" w:rsidRDefault="00000000">
      <w:pPr>
        <w:pStyle w:val="Heading3"/>
      </w:pPr>
      <w:r>
        <w:lastRenderedPageBreak/>
        <w:t>Question 4 Food prices and food-shelf activity</w:t>
      </w:r>
    </w:p>
    <w:p w14:paraId="242D9038" w14:textId="77777777" w:rsidR="008B1764" w:rsidRDefault="00000000">
      <w:pPr>
        <w:pStyle w:val="BodyText"/>
      </w:pPr>
      <w:r>
        <w:t xml:space="preserve">Use the BLS Midwest CPI-U </w:t>
      </w:r>
      <w:r>
        <w:rPr>
          <w:rFonts w:ascii="Liberation Mono" w:hAnsi="Liberation Mono"/>
        </w:rPr>
        <w:t>Food at home</w:t>
      </w:r>
      <w:r>
        <w:t xml:space="preserve"> monthly index as the primary price series because it is monthly, covers the full study period, and is more relevant than the national index. Consider Minneapolis-St. Paul only as a sensitivity series because its publication frequency and geographic coverage are weaker for statewide work.</w:t>
      </w:r>
    </w:p>
    <w:p w14:paraId="03028006" w14:textId="77777777" w:rsidR="008B1764" w:rsidRDefault="00000000">
      <w:pPr>
        <w:pStyle w:val="BodyText"/>
      </w:pPr>
      <w:r>
        <w:t>Start with statewide monthly plots, then estimate a distributed-lag model with price changes at lags 0-6 months. Include month-of-year indicators and a time trend. With only about 55 months, keep the model parsimonious. Report all three outcomes separately and show whether the strongest association is immediate or delayed. Treat the result as association unless the team has a credible causal design.</w:t>
      </w:r>
    </w:p>
    <w:p w14:paraId="11F62B31" w14:textId="77777777" w:rsidR="008B1764" w:rsidRDefault="00000000">
      <w:pPr>
        <w:pStyle w:val="Heading3"/>
      </w:pPr>
      <w:r>
        <w:t>Question 5 SNAP enrollment and food-shelf use</w:t>
      </w:r>
    </w:p>
    <w:p w14:paraId="2BE3B572" w14:textId="77777777" w:rsidR="008B1764" w:rsidRDefault="00000000">
      <w:pPr>
        <w:pStyle w:val="BodyText"/>
      </w:pPr>
      <w:r>
        <w:t>Use Minnesota's official monthly county SNAP files with cases, people, and net expenditure. Build a county-month panel and use county fixed effects plus month/year controls. Examine contemporaneous values and short lags.</w:t>
      </w:r>
    </w:p>
    <w:p w14:paraId="59B49B32" w14:textId="77777777" w:rsidR="008B1764" w:rsidRDefault="00000000">
      <w:pPr>
        <w:pStyle w:val="BodyText"/>
      </w:pPr>
      <w:r>
        <w:t>Use the end of federal SNAP emergency allotments after the February 2023 issuance as an event-study feature, but do not claim a clean causal effect without testing pre-trends and acknowledging concurrent changes. A practical model is:</w:t>
      </w:r>
    </w:p>
    <w:p w14:paraId="00B2C3A1" w14:textId="77777777" w:rsidR="008B1764" w:rsidRDefault="00000000">
      <w:pPr>
        <w:pStyle w:val="PreformattedText"/>
        <w:shd w:val="clear" w:color="auto" w:fill="E1E1E1"/>
        <w:spacing w:after="283"/>
      </w:pPr>
      <w:r>
        <w:t>food shelf metric per capita</w:t>
      </w:r>
      <w:r>
        <w:br/>
        <w:t xml:space="preserve">  = county effect</w:t>
      </w:r>
      <w:r>
        <w:br/>
        <w:t xml:space="preserve">  + calendar-month effect</w:t>
      </w:r>
      <w:r>
        <w:br/>
        <w:t xml:space="preserve">  + time trend</w:t>
      </w:r>
      <w:r>
        <w:br/>
        <w:t xml:space="preserve">  + SNAP people per capita</w:t>
      </w:r>
      <w:r>
        <w:br/>
        <w:t xml:space="preserve">  + SNAP dollars per participant</w:t>
      </w:r>
      <w:r>
        <w:br/>
        <w:t xml:space="preserve">  + lagged SNAP terms</w:t>
      </w:r>
    </w:p>
    <w:p w14:paraId="6507B1A1" w14:textId="77777777" w:rsidR="008B1764" w:rsidRDefault="00000000">
      <w:pPr>
        <w:pStyle w:val="BodyText"/>
      </w:pPr>
      <w:r>
        <w:t>Compare metro/non-metro or rurality interactions rather than fitting 87 unrelated county regressions.</w:t>
      </w:r>
    </w:p>
    <w:p w14:paraId="73366BE4" w14:textId="77777777" w:rsidR="008B1764" w:rsidRDefault="00000000">
      <w:pPr>
        <w:pStyle w:val="Heading3"/>
      </w:pPr>
      <w:r>
        <w:t>Question 6 Divergence measure for need and demand</w:t>
      </w:r>
    </w:p>
    <w:p w14:paraId="09D5FF8B" w14:textId="77777777" w:rsidR="008B1764" w:rsidRDefault="00000000">
      <w:pPr>
        <w:pStyle w:val="BodyText"/>
      </w:pPr>
      <w:r>
        <w:t>Create two transparent components rather than one opaque score.</w:t>
      </w:r>
    </w:p>
    <w:p w14:paraId="71B938C2" w14:textId="77777777" w:rsidR="008B1764" w:rsidRDefault="00000000">
      <w:pPr>
        <w:pStyle w:val="BodyText"/>
      </w:pPr>
      <w:r>
        <w:rPr>
          <w:b/>
        </w:rPr>
        <w:t>Need Exposure Index</w:t>
      </w:r>
    </w:p>
    <w:p w14:paraId="69C34C55" w14:textId="77777777" w:rsidR="008B1764" w:rsidRDefault="00000000">
      <w:pPr>
        <w:pStyle w:val="BodyText"/>
        <w:numPr>
          <w:ilvl w:val="0"/>
          <w:numId w:val="5"/>
        </w:numPr>
        <w:tabs>
          <w:tab w:val="left" w:pos="709"/>
        </w:tabs>
      </w:pPr>
      <w:r>
        <w:t>Feeding America food-insecurity rate or count;</w:t>
      </w:r>
    </w:p>
    <w:p w14:paraId="04543B6A" w14:textId="77777777" w:rsidR="008B1764" w:rsidRDefault="00000000">
      <w:pPr>
        <w:pStyle w:val="BodyText"/>
        <w:numPr>
          <w:ilvl w:val="0"/>
          <w:numId w:val="5"/>
        </w:numPr>
        <w:tabs>
          <w:tab w:val="left" w:pos="709"/>
        </w:tabs>
      </w:pPr>
      <w:r>
        <w:t>poverty rate;</w:t>
      </w:r>
    </w:p>
    <w:p w14:paraId="2E77FF84" w14:textId="77777777" w:rsidR="008B1764" w:rsidRDefault="00000000">
      <w:pPr>
        <w:pStyle w:val="BodyText"/>
        <w:numPr>
          <w:ilvl w:val="0"/>
          <w:numId w:val="5"/>
        </w:numPr>
        <w:tabs>
          <w:tab w:val="left" w:pos="709"/>
        </w:tabs>
      </w:pPr>
      <w:r>
        <w:t>housing-cost burden or low income;</w:t>
      </w:r>
    </w:p>
    <w:p w14:paraId="4C9232A9" w14:textId="77777777" w:rsidR="008B1764" w:rsidRDefault="00000000">
      <w:pPr>
        <w:pStyle w:val="BodyText"/>
        <w:numPr>
          <w:ilvl w:val="0"/>
          <w:numId w:val="5"/>
        </w:numPr>
        <w:tabs>
          <w:tab w:val="left" w:pos="709"/>
        </w:tabs>
      </w:pPr>
      <w:r>
        <w:t>unemployment;</w:t>
      </w:r>
    </w:p>
    <w:p w14:paraId="1FAE50B8" w14:textId="77777777" w:rsidR="008B1764" w:rsidRDefault="00000000">
      <w:pPr>
        <w:pStyle w:val="BodyText"/>
        <w:numPr>
          <w:ilvl w:val="0"/>
          <w:numId w:val="5"/>
        </w:numPr>
        <w:tabs>
          <w:tab w:val="left" w:pos="709"/>
        </w:tabs>
      </w:pPr>
      <w:r>
        <w:t>an access barrier such as low vehicle availability, rurality, or sparse food-shelf coverage.</w:t>
      </w:r>
    </w:p>
    <w:p w14:paraId="7D5B55B7" w14:textId="77777777" w:rsidR="008B1764" w:rsidRDefault="00000000">
      <w:pPr>
        <w:pStyle w:val="BodyText"/>
      </w:pPr>
      <w:r>
        <w:t>Standardize each component within the same year, reverse-code protective factors, and average them with equal weights initially. Equal weights are easy to explain. Test alternative weights as sensitivity checks.</w:t>
      </w:r>
    </w:p>
    <w:p w14:paraId="33F45A7F" w14:textId="77777777" w:rsidR="008B1764" w:rsidRDefault="00000000">
      <w:pPr>
        <w:pStyle w:val="BodyText"/>
      </w:pPr>
      <w:r>
        <w:rPr>
          <w:b/>
        </w:rPr>
        <w:t>Observed Demand Index</w:t>
      </w:r>
    </w:p>
    <w:p w14:paraId="40408E48" w14:textId="77777777" w:rsidR="008B1764" w:rsidRDefault="00000000">
      <w:pPr>
        <w:pStyle w:val="BodyText"/>
        <w:numPr>
          <w:ilvl w:val="0"/>
          <w:numId w:val="6"/>
        </w:numPr>
        <w:tabs>
          <w:tab w:val="left" w:pos="709"/>
        </w:tabs>
      </w:pPr>
      <w:r>
        <w:lastRenderedPageBreak/>
        <w:t>per-capita visits;</w:t>
      </w:r>
    </w:p>
    <w:p w14:paraId="079F3953" w14:textId="77777777" w:rsidR="008B1764" w:rsidRDefault="00000000">
      <w:pPr>
        <w:pStyle w:val="BodyText"/>
        <w:numPr>
          <w:ilvl w:val="0"/>
          <w:numId w:val="6"/>
        </w:numPr>
        <w:tabs>
          <w:tab w:val="left" w:pos="709"/>
        </w:tabs>
      </w:pPr>
      <w:r>
        <w:t>per-capita individuals served;</w:t>
      </w:r>
    </w:p>
    <w:p w14:paraId="0266DE7A" w14:textId="77777777" w:rsidR="008B1764" w:rsidRDefault="00000000">
      <w:pPr>
        <w:pStyle w:val="BodyText"/>
        <w:numPr>
          <w:ilvl w:val="0"/>
          <w:numId w:val="6"/>
        </w:numPr>
        <w:tabs>
          <w:tab w:val="left" w:pos="709"/>
        </w:tabs>
      </w:pPr>
      <w:r>
        <w:t>per-capita pounds distributed.</w:t>
      </w:r>
    </w:p>
    <w:p w14:paraId="3F71A013" w14:textId="77777777" w:rsidR="008B1764" w:rsidRDefault="00000000">
      <w:pPr>
        <w:pStyle w:val="BodyText"/>
      </w:pPr>
      <w:r>
        <w:t>Use percentile ranks or robust z-scores so one large county or one data-entry error does not dominate. Define the main divergence score as:</w:t>
      </w:r>
    </w:p>
    <w:p w14:paraId="0516C3C3" w14:textId="77777777" w:rsidR="008B1764" w:rsidRDefault="00000000">
      <w:pPr>
        <w:pStyle w:val="PreformattedText"/>
        <w:shd w:val="clear" w:color="auto" w:fill="E1E1E1"/>
        <w:spacing w:after="283"/>
      </w:pPr>
      <w:r>
        <w:t>Divergence = Need Exposure Index - Observed Demand Index</w:t>
      </w:r>
    </w:p>
    <w:p w14:paraId="5560C590" w14:textId="77777777" w:rsidR="008B1764" w:rsidRDefault="00000000">
      <w:pPr>
        <w:pStyle w:val="BodyText"/>
      </w:pPr>
      <w:r>
        <w:t>A high positive value means estimated need is high relative to recorded activity. A negative value means activity is high relative to the need indicators. Call the first group “potentially underserved” rather than “underserved,” because the measure is an estimate. Show how rankings change when each component is removed.</w:t>
      </w:r>
    </w:p>
    <w:p w14:paraId="7C880837" w14:textId="77777777" w:rsidR="008B1764" w:rsidRDefault="00000000">
      <w:pPr>
        <w:pStyle w:val="Heading3"/>
      </w:pPr>
      <w:r>
        <w:t>Question 7 Forecast August activity</w:t>
      </w:r>
    </w:p>
    <w:p w14:paraId="09B01D32" w14:textId="77777777" w:rsidR="008B1764" w:rsidRDefault="00000000">
      <w:pPr>
        <w:pStyle w:val="BodyText"/>
      </w:pPr>
      <w:r>
        <w:t>Maintain a strict information cutoff of July 31, 2026 for every internal and external feature. Do not use any August 2026 outcome or predictor. Keep the prediction pipeline in a separate folder with a written cutoff check.</w:t>
      </w:r>
    </w:p>
    <w:p w14:paraId="445CBA57" w14:textId="77777777" w:rsidR="008B1764" w:rsidRDefault="00000000">
      <w:pPr>
        <w:pStyle w:val="BodyText"/>
      </w:pPr>
      <w:r>
        <w:t>Backtest by pretending to forecast August 2023, 2024, and 2025 using only information that would have been available through each July. Compare:</w:t>
      </w:r>
    </w:p>
    <w:p w14:paraId="346577C5" w14:textId="77777777" w:rsidR="008B1764" w:rsidRDefault="00000000">
      <w:pPr>
        <w:pStyle w:val="BodyText"/>
        <w:numPr>
          <w:ilvl w:val="0"/>
          <w:numId w:val="7"/>
        </w:numPr>
        <w:tabs>
          <w:tab w:val="left" w:pos="709"/>
        </w:tabs>
      </w:pPr>
      <w:r>
        <w:t>seasonal naive: previous August;</w:t>
      </w:r>
    </w:p>
    <w:p w14:paraId="33B08414" w14:textId="77777777" w:rsidR="008B1764" w:rsidRDefault="00000000">
      <w:pPr>
        <w:pStyle w:val="BodyText"/>
        <w:numPr>
          <w:ilvl w:val="0"/>
          <w:numId w:val="7"/>
        </w:numPr>
        <w:tabs>
          <w:tab w:val="left" w:pos="709"/>
        </w:tabs>
      </w:pPr>
      <w:r>
        <w:t>year-to-date growth applied to previous August;</w:t>
      </w:r>
    </w:p>
    <w:p w14:paraId="15C7BFFF" w14:textId="77777777" w:rsidR="008B1764" w:rsidRDefault="00000000">
      <w:pPr>
        <w:pStyle w:val="BodyText"/>
        <w:numPr>
          <w:ilvl w:val="0"/>
          <w:numId w:val="7"/>
        </w:numPr>
        <w:tabs>
          <w:tab w:val="left" w:pos="709"/>
        </w:tabs>
      </w:pPr>
      <w:r>
        <w:t>July multiplied by a historical August/July seasonal ratio;</w:t>
      </w:r>
    </w:p>
    <w:p w14:paraId="2B1D4D1D" w14:textId="77777777" w:rsidR="008B1764" w:rsidRDefault="00000000">
      <w:pPr>
        <w:pStyle w:val="BodyText"/>
        <w:numPr>
          <w:ilvl w:val="0"/>
          <w:numId w:val="7"/>
        </w:numPr>
        <w:tabs>
          <w:tab w:val="left" w:pos="709"/>
        </w:tabs>
      </w:pPr>
      <w:r>
        <w:t>a trend plus month-of-year regression;</w:t>
      </w:r>
    </w:p>
    <w:p w14:paraId="1E242336" w14:textId="77777777" w:rsidR="008B1764" w:rsidRDefault="00000000">
      <w:pPr>
        <w:pStyle w:val="BodyText"/>
        <w:numPr>
          <w:ilvl w:val="0"/>
          <w:numId w:val="7"/>
        </w:numPr>
        <w:tabs>
          <w:tab w:val="left" w:pos="709"/>
        </w:tabs>
      </w:pPr>
      <w:r>
        <w:t>a small robust ensemble.</w:t>
      </w:r>
    </w:p>
    <w:p w14:paraId="6B6781A4" w14:textId="77777777" w:rsidR="008B1764" w:rsidRDefault="00000000">
      <w:pPr>
        <w:pStyle w:val="BodyText"/>
      </w:pPr>
      <w:r>
        <w:t>In the initial raw-data backtest, the previous-August seasonal naive model had the lowest mean absolute percentage error for all three outcomes: approximately 7.4% for visits, 7.7% for pounds, and 10.2% for individuals. A preliminary baseline, using only the supplied file through July 2026, is therefore: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8B1764" w14:paraId="12D3A4EE" w14:textId="77777777">
        <w:trPr>
          <w:tblHeader/>
        </w:trPr>
        <w:tc>
          <w:tcPr>
            <w:tcW w:w="4819" w:type="dxa"/>
            <w:tcBorders>
              <w:top w:val="single" w:sz="4" w:space="0" w:color="000000"/>
              <w:left w:val="single" w:sz="4" w:space="0" w:color="000000"/>
              <w:bottom w:val="single" w:sz="4" w:space="0" w:color="000000"/>
            </w:tcBorders>
          </w:tcPr>
          <w:p w14:paraId="7CE5652A" w14:textId="77777777" w:rsidR="008B1764" w:rsidRDefault="00000000">
            <w:pPr>
              <w:pStyle w:val="TableHeading"/>
              <w:jc w:val="left"/>
            </w:pPr>
            <w:r>
              <w:t>Metric</w:t>
            </w:r>
          </w:p>
        </w:tc>
        <w:tc>
          <w:tcPr>
            <w:tcW w:w="4819" w:type="dxa"/>
            <w:tcBorders>
              <w:top w:val="single" w:sz="4" w:space="0" w:color="000000"/>
              <w:left w:val="single" w:sz="4" w:space="0" w:color="000000"/>
              <w:bottom w:val="single" w:sz="4" w:space="0" w:color="000000"/>
              <w:right w:val="single" w:sz="4" w:space="0" w:color="000000"/>
            </w:tcBorders>
          </w:tcPr>
          <w:p w14:paraId="0766EE61" w14:textId="77777777" w:rsidR="008B1764" w:rsidRDefault="00000000">
            <w:pPr>
              <w:pStyle w:val="TableHeading"/>
              <w:jc w:val="right"/>
            </w:pPr>
            <w:r>
              <w:t>Preliminary seasonal-naive forecast</w:t>
            </w:r>
          </w:p>
        </w:tc>
      </w:tr>
      <w:tr w:rsidR="008B1764" w14:paraId="19EA0BDE" w14:textId="77777777">
        <w:tc>
          <w:tcPr>
            <w:tcW w:w="4819" w:type="dxa"/>
            <w:tcBorders>
              <w:left w:val="single" w:sz="4" w:space="0" w:color="000000"/>
              <w:bottom w:val="single" w:sz="4" w:space="0" w:color="000000"/>
            </w:tcBorders>
          </w:tcPr>
          <w:p w14:paraId="5C6AFFF2" w14:textId="77777777" w:rsidR="008B1764" w:rsidRDefault="00000000">
            <w:pPr>
              <w:pStyle w:val="TableContents"/>
            </w:pPr>
            <w:r>
              <w:t>Visits</w:t>
            </w:r>
          </w:p>
        </w:tc>
        <w:tc>
          <w:tcPr>
            <w:tcW w:w="4819" w:type="dxa"/>
            <w:tcBorders>
              <w:left w:val="single" w:sz="4" w:space="0" w:color="000000"/>
              <w:bottom w:val="single" w:sz="4" w:space="0" w:color="000000"/>
              <w:right w:val="single" w:sz="4" w:space="0" w:color="000000"/>
            </w:tcBorders>
          </w:tcPr>
          <w:p w14:paraId="0FE9DDAE" w14:textId="77777777" w:rsidR="008B1764" w:rsidRDefault="00000000">
            <w:pPr>
              <w:pStyle w:val="TableContents"/>
              <w:jc w:val="right"/>
            </w:pPr>
            <w:r>
              <w:t>240,290</w:t>
            </w:r>
          </w:p>
        </w:tc>
      </w:tr>
      <w:tr w:rsidR="008B1764" w14:paraId="39DD0FB2" w14:textId="77777777">
        <w:tc>
          <w:tcPr>
            <w:tcW w:w="4819" w:type="dxa"/>
            <w:tcBorders>
              <w:left w:val="single" w:sz="4" w:space="0" w:color="000000"/>
              <w:bottom w:val="single" w:sz="4" w:space="0" w:color="000000"/>
            </w:tcBorders>
          </w:tcPr>
          <w:p w14:paraId="42D60B35" w14:textId="77777777" w:rsidR="008B1764" w:rsidRDefault="00000000">
            <w:pPr>
              <w:pStyle w:val="TableContents"/>
            </w:pPr>
            <w:r>
              <w:t>Pounds distributed</w:t>
            </w:r>
          </w:p>
        </w:tc>
        <w:tc>
          <w:tcPr>
            <w:tcW w:w="4819" w:type="dxa"/>
            <w:tcBorders>
              <w:left w:val="single" w:sz="4" w:space="0" w:color="000000"/>
              <w:bottom w:val="single" w:sz="4" w:space="0" w:color="000000"/>
              <w:right w:val="single" w:sz="4" w:space="0" w:color="000000"/>
            </w:tcBorders>
          </w:tcPr>
          <w:p w14:paraId="2878B5A4" w14:textId="77777777" w:rsidR="008B1764" w:rsidRDefault="00000000">
            <w:pPr>
              <w:pStyle w:val="TableContents"/>
              <w:jc w:val="right"/>
            </w:pPr>
            <w:r>
              <w:t>12,821,573</w:t>
            </w:r>
          </w:p>
        </w:tc>
      </w:tr>
      <w:tr w:rsidR="008B1764" w14:paraId="41BB48A2" w14:textId="77777777">
        <w:tc>
          <w:tcPr>
            <w:tcW w:w="4819" w:type="dxa"/>
            <w:tcBorders>
              <w:left w:val="single" w:sz="4" w:space="0" w:color="000000"/>
              <w:bottom w:val="single" w:sz="4" w:space="0" w:color="000000"/>
            </w:tcBorders>
          </w:tcPr>
          <w:p w14:paraId="70B00590" w14:textId="77777777" w:rsidR="008B1764" w:rsidRDefault="00000000">
            <w:pPr>
              <w:pStyle w:val="TableContents"/>
            </w:pPr>
            <w:r>
              <w:t>Individuals served</w:t>
            </w:r>
          </w:p>
        </w:tc>
        <w:tc>
          <w:tcPr>
            <w:tcW w:w="4819" w:type="dxa"/>
            <w:tcBorders>
              <w:left w:val="single" w:sz="4" w:space="0" w:color="000000"/>
              <w:bottom w:val="single" w:sz="4" w:space="0" w:color="000000"/>
              <w:right w:val="single" w:sz="4" w:space="0" w:color="000000"/>
            </w:tcBorders>
          </w:tcPr>
          <w:p w14:paraId="2BD266B7" w14:textId="77777777" w:rsidR="008B1764" w:rsidRDefault="00000000">
            <w:pPr>
              <w:pStyle w:val="TableContents"/>
              <w:jc w:val="right"/>
            </w:pPr>
            <w:r>
              <w:t>727,272</w:t>
            </w:r>
          </w:p>
        </w:tc>
      </w:tr>
    </w:tbl>
    <w:p w14:paraId="48DE33A3" w14:textId="77777777" w:rsidR="008B1764" w:rsidRDefault="008B1764">
      <w:pPr>
        <w:pStyle w:val="BodyText"/>
      </w:pPr>
    </w:p>
    <w:p w14:paraId="0F6FC451" w14:textId="77777777" w:rsidR="008B1764" w:rsidRDefault="00000000">
      <w:pPr>
        <w:pStyle w:val="BodyText"/>
      </w:pPr>
      <w:r>
        <w:t>These are reference baselines, not final submissions. The prediction instructions are still forthcoming, the scoring rule was described only tentatively, and the outlier policy must be locked before final model selection. A final model should beat these values consistently in rolling backtests, not just fit the historical series more closely.</w:t>
      </w:r>
    </w:p>
    <w:p w14:paraId="6A065F3C" w14:textId="77777777" w:rsidR="00911EC3" w:rsidRDefault="00911EC3">
      <w:pPr>
        <w:pStyle w:val="BodyText"/>
      </w:pPr>
    </w:p>
    <w:p w14:paraId="0632D918" w14:textId="77777777" w:rsidR="00911EC3" w:rsidRDefault="00911EC3">
      <w:pPr>
        <w:pStyle w:val="BodyText"/>
      </w:pPr>
    </w:p>
    <w:p w14:paraId="5FD755BD" w14:textId="77777777" w:rsidR="00911EC3" w:rsidRDefault="00911EC3">
      <w:pPr>
        <w:pStyle w:val="BodyText"/>
      </w:pPr>
    </w:p>
    <w:p w14:paraId="3EB40807" w14:textId="77777777" w:rsidR="00911EC3" w:rsidRDefault="00911EC3">
      <w:pPr>
        <w:pStyle w:val="BodyText"/>
      </w:pPr>
    </w:p>
    <w:p w14:paraId="1D858C27" w14:textId="77777777" w:rsidR="00911EC3" w:rsidRDefault="00911EC3">
      <w:pPr>
        <w:pStyle w:val="BodyText"/>
      </w:pPr>
    </w:p>
    <w:p w14:paraId="4DCB1192" w14:textId="77777777" w:rsidR="008B1764" w:rsidRDefault="00000000">
      <w:pPr>
        <w:pStyle w:val="Heading2"/>
      </w:pPr>
      <w:r>
        <w:t>Four-person team split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8B1764" w14:paraId="3D586BE8" w14:textId="77777777">
        <w:trPr>
          <w:tblHeader/>
        </w:trPr>
        <w:tc>
          <w:tcPr>
            <w:tcW w:w="2409" w:type="dxa"/>
            <w:tcBorders>
              <w:top w:val="single" w:sz="4" w:space="0" w:color="000000"/>
              <w:left w:val="single" w:sz="4" w:space="0" w:color="000000"/>
              <w:bottom w:val="single" w:sz="4" w:space="0" w:color="000000"/>
            </w:tcBorders>
          </w:tcPr>
          <w:p w14:paraId="026DE615" w14:textId="77777777" w:rsidR="008B1764" w:rsidRDefault="00000000">
            <w:pPr>
              <w:pStyle w:val="TableHeading"/>
              <w:jc w:val="left"/>
            </w:pPr>
            <w:r>
              <w:t>Person</w:t>
            </w:r>
          </w:p>
        </w:tc>
        <w:tc>
          <w:tcPr>
            <w:tcW w:w="2410" w:type="dxa"/>
            <w:tcBorders>
              <w:top w:val="single" w:sz="4" w:space="0" w:color="000000"/>
              <w:left w:val="single" w:sz="4" w:space="0" w:color="000000"/>
              <w:bottom w:val="single" w:sz="4" w:space="0" w:color="000000"/>
            </w:tcBorders>
          </w:tcPr>
          <w:p w14:paraId="4D207783" w14:textId="77777777" w:rsidR="008B1764" w:rsidRDefault="00000000">
            <w:pPr>
              <w:pStyle w:val="TableHeading"/>
              <w:jc w:val="left"/>
            </w:pPr>
            <w:r>
              <w:t>Primary ownership</w:t>
            </w:r>
          </w:p>
        </w:tc>
        <w:tc>
          <w:tcPr>
            <w:tcW w:w="2409" w:type="dxa"/>
            <w:tcBorders>
              <w:top w:val="single" w:sz="4" w:space="0" w:color="000000"/>
              <w:left w:val="single" w:sz="4" w:space="0" w:color="000000"/>
              <w:bottom w:val="single" w:sz="4" w:space="0" w:color="000000"/>
            </w:tcBorders>
          </w:tcPr>
          <w:p w14:paraId="7195CC28" w14:textId="77777777" w:rsidR="008B1764" w:rsidRDefault="00000000">
            <w:pPr>
              <w:pStyle w:val="TableHeading"/>
              <w:jc w:val="left"/>
            </w:pPr>
            <w:r>
              <w:t>Concrete outputs</w:t>
            </w:r>
          </w:p>
        </w:tc>
        <w:tc>
          <w:tcPr>
            <w:tcW w:w="2410" w:type="dxa"/>
            <w:tcBorders>
              <w:top w:val="single" w:sz="4" w:space="0" w:color="000000"/>
              <w:left w:val="single" w:sz="4" w:space="0" w:color="000000"/>
              <w:bottom w:val="single" w:sz="4" w:space="0" w:color="000000"/>
              <w:right w:val="single" w:sz="4" w:space="0" w:color="000000"/>
            </w:tcBorders>
          </w:tcPr>
          <w:p w14:paraId="1AC61D22" w14:textId="77777777" w:rsidR="008B1764" w:rsidRDefault="00000000">
            <w:pPr>
              <w:pStyle w:val="TableHeading"/>
              <w:jc w:val="left"/>
            </w:pPr>
            <w:r>
              <w:t>Reviewer</w:t>
            </w:r>
          </w:p>
        </w:tc>
      </w:tr>
      <w:tr w:rsidR="008B1764" w14:paraId="1D8EAC75" w14:textId="77777777">
        <w:tc>
          <w:tcPr>
            <w:tcW w:w="2409" w:type="dxa"/>
            <w:tcBorders>
              <w:left w:val="single" w:sz="4" w:space="0" w:color="000000"/>
              <w:bottom w:val="single" w:sz="4" w:space="0" w:color="000000"/>
            </w:tcBorders>
          </w:tcPr>
          <w:p w14:paraId="043072DC" w14:textId="77777777" w:rsidR="008B1764" w:rsidRDefault="00000000">
            <w:pPr>
              <w:pStyle w:val="TableContents"/>
            </w:pPr>
            <w:r>
              <w:t>1 Data and Q1 lead</w:t>
            </w:r>
          </w:p>
        </w:tc>
        <w:tc>
          <w:tcPr>
            <w:tcW w:w="2410" w:type="dxa"/>
            <w:tcBorders>
              <w:left w:val="single" w:sz="4" w:space="0" w:color="000000"/>
              <w:bottom w:val="single" w:sz="4" w:space="0" w:color="000000"/>
            </w:tcBorders>
          </w:tcPr>
          <w:p w14:paraId="51B311A7" w14:textId="77777777" w:rsidR="008B1764" w:rsidRDefault="00000000">
            <w:pPr>
              <w:pStyle w:val="TableContents"/>
            </w:pPr>
            <w:r>
              <w:t>Source inventory, county/site crosswalk, master panel, Feeding America request, Q1</w:t>
            </w:r>
          </w:p>
        </w:tc>
        <w:tc>
          <w:tcPr>
            <w:tcW w:w="2409" w:type="dxa"/>
            <w:tcBorders>
              <w:left w:val="single" w:sz="4" w:space="0" w:color="000000"/>
              <w:bottom w:val="single" w:sz="4" w:space="0" w:color="000000"/>
            </w:tcBorders>
          </w:tcPr>
          <w:p w14:paraId="5DB90231" w14:textId="77777777" w:rsidR="008B1764" w:rsidRDefault="00000000">
            <w:pPr>
              <w:pStyle w:val="TableContents"/>
            </w:pPr>
            <w:r>
              <w:t>Clean county-year panel, join audit, Q1 correlations/residual map, source log</w:t>
            </w:r>
          </w:p>
        </w:tc>
        <w:tc>
          <w:tcPr>
            <w:tcW w:w="2410" w:type="dxa"/>
            <w:tcBorders>
              <w:left w:val="single" w:sz="4" w:space="0" w:color="000000"/>
              <w:bottom w:val="single" w:sz="4" w:space="0" w:color="000000"/>
              <w:right w:val="single" w:sz="4" w:space="0" w:color="000000"/>
            </w:tcBorders>
          </w:tcPr>
          <w:p w14:paraId="1D95F96E" w14:textId="77777777" w:rsidR="008B1764" w:rsidRDefault="00000000">
            <w:pPr>
              <w:pStyle w:val="TableContents"/>
            </w:pPr>
            <w:r>
              <w:t>Person 4</w:t>
            </w:r>
          </w:p>
        </w:tc>
      </w:tr>
      <w:tr w:rsidR="008B1764" w14:paraId="720A67AE" w14:textId="77777777">
        <w:tc>
          <w:tcPr>
            <w:tcW w:w="2409" w:type="dxa"/>
            <w:tcBorders>
              <w:left w:val="single" w:sz="4" w:space="0" w:color="000000"/>
              <w:bottom w:val="single" w:sz="4" w:space="0" w:color="000000"/>
            </w:tcBorders>
          </w:tcPr>
          <w:p w14:paraId="057AC086" w14:textId="77777777" w:rsidR="008B1764" w:rsidRDefault="00000000">
            <w:pPr>
              <w:pStyle w:val="TableContents"/>
            </w:pPr>
            <w:r>
              <w:t>2 Economics lead</w:t>
            </w:r>
          </w:p>
        </w:tc>
        <w:tc>
          <w:tcPr>
            <w:tcW w:w="2410" w:type="dxa"/>
            <w:tcBorders>
              <w:left w:val="single" w:sz="4" w:space="0" w:color="000000"/>
              <w:bottom w:val="single" w:sz="4" w:space="0" w:color="000000"/>
            </w:tcBorders>
          </w:tcPr>
          <w:p w14:paraId="51389B1D" w14:textId="77777777" w:rsidR="008B1764" w:rsidRDefault="00000000">
            <w:pPr>
              <w:pStyle w:val="TableContents"/>
            </w:pPr>
            <w:r>
              <w:t>Q4 prices and Q5 SNAP</w:t>
            </w:r>
          </w:p>
        </w:tc>
        <w:tc>
          <w:tcPr>
            <w:tcW w:w="2409" w:type="dxa"/>
            <w:tcBorders>
              <w:left w:val="single" w:sz="4" w:space="0" w:color="000000"/>
              <w:bottom w:val="single" w:sz="4" w:space="0" w:color="000000"/>
            </w:tcBorders>
          </w:tcPr>
          <w:p w14:paraId="03A3777D" w14:textId="77777777" w:rsidR="008B1764" w:rsidRDefault="00000000">
            <w:pPr>
              <w:pStyle w:val="TableContents"/>
            </w:pPr>
            <w:r>
              <w:t>CPI lag analysis, SNAP county-month model, event-study checks, policy interpretation</w:t>
            </w:r>
          </w:p>
        </w:tc>
        <w:tc>
          <w:tcPr>
            <w:tcW w:w="2410" w:type="dxa"/>
            <w:tcBorders>
              <w:left w:val="single" w:sz="4" w:space="0" w:color="000000"/>
              <w:bottom w:val="single" w:sz="4" w:space="0" w:color="000000"/>
              <w:right w:val="single" w:sz="4" w:space="0" w:color="000000"/>
            </w:tcBorders>
          </w:tcPr>
          <w:p w14:paraId="312BA29E" w14:textId="77777777" w:rsidR="008B1764" w:rsidRDefault="00000000">
            <w:pPr>
              <w:pStyle w:val="TableContents"/>
            </w:pPr>
            <w:r>
              <w:t>Person 3</w:t>
            </w:r>
          </w:p>
        </w:tc>
      </w:tr>
      <w:tr w:rsidR="008B1764" w14:paraId="7731406E" w14:textId="77777777">
        <w:tc>
          <w:tcPr>
            <w:tcW w:w="2409" w:type="dxa"/>
            <w:tcBorders>
              <w:left w:val="single" w:sz="4" w:space="0" w:color="000000"/>
              <w:bottom w:val="single" w:sz="4" w:space="0" w:color="000000"/>
            </w:tcBorders>
          </w:tcPr>
          <w:p w14:paraId="143867B7" w14:textId="77777777" w:rsidR="008B1764" w:rsidRDefault="00000000">
            <w:pPr>
              <w:pStyle w:val="TableContents"/>
            </w:pPr>
            <w:r>
              <w:t>3 Need and geography lead</w:t>
            </w:r>
          </w:p>
        </w:tc>
        <w:tc>
          <w:tcPr>
            <w:tcW w:w="2410" w:type="dxa"/>
            <w:tcBorders>
              <w:left w:val="single" w:sz="4" w:space="0" w:color="000000"/>
              <w:bottom w:val="single" w:sz="4" w:space="0" w:color="000000"/>
            </w:tcBorders>
          </w:tcPr>
          <w:p w14:paraId="52EF815D" w14:textId="77777777" w:rsidR="008B1764" w:rsidRDefault="00000000">
            <w:pPr>
              <w:pStyle w:val="TableContents"/>
            </w:pPr>
            <w:r>
              <w:t>Q6 divergence measure</w:t>
            </w:r>
          </w:p>
        </w:tc>
        <w:tc>
          <w:tcPr>
            <w:tcW w:w="2409" w:type="dxa"/>
            <w:tcBorders>
              <w:left w:val="single" w:sz="4" w:space="0" w:color="000000"/>
              <w:bottom w:val="single" w:sz="4" w:space="0" w:color="000000"/>
            </w:tcBorders>
          </w:tcPr>
          <w:p w14:paraId="4942BB3B" w14:textId="77777777" w:rsidR="008B1764" w:rsidRDefault="00000000">
            <w:pPr>
              <w:pStyle w:val="TableContents"/>
            </w:pPr>
            <w:r>
              <w:t>Need/demand definitions, index construction, sensitivity tests, county priority map</w:t>
            </w:r>
          </w:p>
        </w:tc>
        <w:tc>
          <w:tcPr>
            <w:tcW w:w="2410" w:type="dxa"/>
            <w:tcBorders>
              <w:left w:val="single" w:sz="4" w:space="0" w:color="000000"/>
              <w:bottom w:val="single" w:sz="4" w:space="0" w:color="000000"/>
              <w:right w:val="single" w:sz="4" w:space="0" w:color="000000"/>
            </w:tcBorders>
          </w:tcPr>
          <w:p w14:paraId="2015963C" w14:textId="77777777" w:rsidR="008B1764" w:rsidRDefault="00000000">
            <w:pPr>
              <w:pStyle w:val="TableContents"/>
            </w:pPr>
            <w:r>
              <w:t>Person 2</w:t>
            </w:r>
          </w:p>
        </w:tc>
      </w:tr>
      <w:tr w:rsidR="008B1764" w14:paraId="02F64A97" w14:textId="77777777">
        <w:tc>
          <w:tcPr>
            <w:tcW w:w="2409" w:type="dxa"/>
            <w:tcBorders>
              <w:left w:val="single" w:sz="4" w:space="0" w:color="000000"/>
              <w:bottom w:val="single" w:sz="4" w:space="0" w:color="000000"/>
            </w:tcBorders>
          </w:tcPr>
          <w:p w14:paraId="3781A47D" w14:textId="77777777" w:rsidR="008B1764" w:rsidRDefault="00000000">
            <w:pPr>
              <w:pStyle w:val="TableContents"/>
            </w:pPr>
            <w:r>
              <w:t>4 Forecast and validation lead</w:t>
            </w:r>
          </w:p>
        </w:tc>
        <w:tc>
          <w:tcPr>
            <w:tcW w:w="2410" w:type="dxa"/>
            <w:tcBorders>
              <w:left w:val="single" w:sz="4" w:space="0" w:color="000000"/>
              <w:bottom w:val="single" w:sz="4" w:space="0" w:color="000000"/>
            </w:tcBorders>
          </w:tcPr>
          <w:p w14:paraId="039011E0" w14:textId="77777777" w:rsidR="008B1764" w:rsidRDefault="00000000">
            <w:pPr>
              <w:pStyle w:val="TableContents"/>
            </w:pPr>
            <w:r>
              <w:t>Q7, experiment tracking, reproducibility, final QA</w:t>
            </w:r>
          </w:p>
        </w:tc>
        <w:tc>
          <w:tcPr>
            <w:tcW w:w="2409" w:type="dxa"/>
            <w:tcBorders>
              <w:left w:val="single" w:sz="4" w:space="0" w:color="000000"/>
              <w:bottom w:val="single" w:sz="4" w:space="0" w:color="000000"/>
            </w:tcBorders>
          </w:tcPr>
          <w:p w14:paraId="490A7645" w14:textId="77777777" w:rsidR="008B1764" w:rsidRDefault="00000000">
            <w:pPr>
              <w:pStyle w:val="TableContents"/>
            </w:pPr>
            <w:r>
              <w:t>Rolling-origin backtest, leakage checklist, prediction file, common chart and code standards</w:t>
            </w:r>
          </w:p>
        </w:tc>
        <w:tc>
          <w:tcPr>
            <w:tcW w:w="2410" w:type="dxa"/>
            <w:tcBorders>
              <w:left w:val="single" w:sz="4" w:space="0" w:color="000000"/>
              <w:bottom w:val="single" w:sz="4" w:space="0" w:color="000000"/>
              <w:right w:val="single" w:sz="4" w:space="0" w:color="000000"/>
            </w:tcBorders>
          </w:tcPr>
          <w:p w14:paraId="3168223D" w14:textId="77777777" w:rsidR="008B1764" w:rsidRDefault="00000000">
            <w:pPr>
              <w:pStyle w:val="TableContents"/>
            </w:pPr>
            <w:r>
              <w:t>Person 1</w:t>
            </w:r>
          </w:p>
        </w:tc>
      </w:tr>
    </w:tbl>
    <w:p w14:paraId="3D9840D2" w14:textId="77777777" w:rsidR="008B1764" w:rsidRDefault="008B1764">
      <w:pPr>
        <w:pStyle w:val="BodyText"/>
      </w:pPr>
    </w:p>
    <w:p w14:paraId="14FB9A73" w14:textId="77777777" w:rsidR="008B1764" w:rsidRDefault="00000000">
      <w:pPr>
        <w:pStyle w:val="BodyText"/>
      </w:pPr>
      <w:r>
        <w:t>All four members should speak. Person 1 should explain the data foundation, Person 2 the economic signals, Person 3 the need-demand gap and recommended locations, and Person 4 the forecast and validation. Each owner should write a one-page method note that another teammate can defend without them.</w:t>
      </w:r>
    </w:p>
    <w:p w14:paraId="1360F650" w14:textId="77777777" w:rsidR="008B1764" w:rsidRDefault="00000000">
      <w:pPr>
        <w:pStyle w:val="Heading2"/>
      </w:pPr>
      <w:r>
        <w:t>Three-week execution plan</w:t>
      </w:r>
    </w:p>
    <w:p w14:paraId="09D607F3" w14:textId="77777777" w:rsidR="008B1764" w:rsidRDefault="00000000">
      <w:pPr>
        <w:pStyle w:val="Heading3"/>
      </w:pPr>
      <w:r>
        <w:t>September 27-30</w:t>
      </w:r>
    </w:p>
    <w:p w14:paraId="72FBA12F" w14:textId="77777777" w:rsidR="008B1764" w:rsidRDefault="00000000">
      <w:pPr>
        <w:pStyle w:val="BodyText"/>
        <w:numPr>
          <w:ilvl w:val="0"/>
          <w:numId w:val="8"/>
        </w:numPr>
        <w:tabs>
          <w:tab w:val="left" w:pos="709"/>
        </w:tabs>
      </w:pPr>
      <w:r>
        <w:t>Request Feeding America data immediately.</w:t>
      </w:r>
    </w:p>
    <w:p w14:paraId="3A6372D9" w14:textId="77777777" w:rsidR="008B1764" w:rsidRDefault="00000000">
      <w:pPr>
        <w:pStyle w:val="BodyText"/>
        <w:numPr>
          <w:ilvl w:val="0"/>
          <w:numId w:val="8"/>
        </w:numPr>
        <w:tabs>
          <w:tab w:val="left" w:pos="709"/>
        </w:tabs>
      </w:pPr>
      <w:r>
        <w:t>Attend the September 29 rubric webinar and update priorities.</w:t>
      </w:r>
    </w:p>
    <w:p w14:paraId="1439C288" w14:textId="77777777" w:rsidR="008B1764" w:rsidRDefault="00000000">
      <w:pPr>
        <w:pStyle w:val="BodyText"/>
        <w:numPr>
          <w:ilvl w:val="0"/>
          <w:numId w:val="8"/>
        </w:numPr>
        <w:tabs>
          <w:tab w:val="left" w:pos="709"/>
        </w:tabs>
      </w:pPr>
      <w:r>
        <w:t>Lock the county crosswalk, date rules, metric definitions, and outlier log.</w:t>
      </w:r>
    </w:p>
    <w:p w14:paraId="06E88AC4" w14:textId="77777777" w:rsidR="008B1764" w:rsidRDefault="00000000">
      <w:pPr>
        <w:pStyle w:val="BodyText"/>
        <w:numPr>
          <w:ilvl w:val="0"/>
          <w:numId w:val="8"/>
        </w:numPr>
        <w:tabs>
          <w:tab w:val="left" w:pos="709"/>
        </w:tabs>
      </w:pPr>
      <w:r>
        <w:t>Build one source register containing publisher, exact series, geographic grain, time grain, vintage, lag, and rationale.</w:t>
      </w:r>
    </w:p>
    <w:p w14:paraId="22202CE3" w14:textId="77777777" w:rsidR="008B1764" w:rsidRDefault="00000000">
      <w:pPr>
        <w:pStyle w:val="Heading3"/>
        <w:numPr>
          <w:ilvl w:val="0"/>
          <w:numId w:val="0"/>
        </w:numPr>
      </w:pPr>
      <w:r>
        <w:t>October 1-5</w:t>
      </w:r>
    </w:p>
    <w:p w14:paraId="4766D655" w14:textId="77777777" w:rsidR="008B1764" w:rsidRDefault="00000000">
      <w:pPr>
        <w:pStyle w:val="BodyText"/>
        <w:numPr>
          <w:ilvl w:val="0"/>
          <w:numId w:val="9"/>
        </w:numPr>
        <w:tabs>
          <w:tab w:val="left" w:pos="709"/>
        </w:tabs>
      </w:pPr>
      <w:r>
        <w:t>Finish baseline answers for all five questions.</w:t>
      </w:r>
    </w:p>
    <w:p w14:paraId="4F395ADD" w14:textId="77777777" w:rsidR="008B1764" w:rsidRDefault="00000000">
      <w:pPr>
        <w:pStyle w:val="BodyText"/>
        <w:numPr>
          <w:ilvl w:val="0"/>
          <w:numId w:val="9"/>
        </w:numPr>
        <w:tabs>
          <w:tab w:val="left" w:pos="709"/>
        </w:tabs>
      </w:pPr>
      <w:r>
        <w:lastRenderedPageBreak/>
        <w:t>Attend the October 5 prediction webinar and replace any assumptions about file format or scoring.</w:t>
      </w:r>
    </w:p>
    <w:p w14:paraId="665F9DE9" w14:textId="77777777" w:rsidR="008B1764" w:rsidRDefault="00000000">
      <w:pPr>
        <w:pStyle w:val="BodyText"/>
        <w:numPr>
          <w:ilvl w:val="0"/>
          <w:numId w:val="9"/>
        </w:numPr>
        <w:tabs>
          <w:tab w:val="left" w:pos="709"/>
        </w:tabs>
      </w:pPr>
      <w:r>
        <w:t>Produce the first county-year and county-month panels.</w:t>
      </w:r>
    </w:p>
    <w:p w14:paraId="7D39D460" w14:textId="77777777" w:rsidR="008B1764" w:rsidRDefault="00000000">
      <w:pPr>
        <w:pStyle w:val="Heading3"/>
        <w:numPr>
          <w:ilvl w:val="0"/>
          <w:numId w:val="0"/>
        </w:numPr>
      </w:pPr>
      <w:r>
        <w:t>October 6-10</w:t>
      </w:r>
    </w:p>
    <w:p w14:paraId="2E9553D2" w14:textId="77777777" w:rsidR="008B1764" w:rsidRDefault="00000000">
      <w:pPr>
        <w:pStyle w:val="BodyText"/>
        <w:numPr>
          <w:ilvl w:val="0"/>
          <w:numId w:val="10"/>
        </w:numPr>
        <w:tabs>
          <w:tab w:val="left" w:pos="709"/>
        </w:tabs>
      </w:pPr>
      <w:r>
        <w:t>Run robustness checks and sensitivity analyses.</w:t>
      </w:r>
    </w:p>
    <w:p w14:paraId="31BD7D53" w14:textId="77777777" w:rsidR="008B1764" w:rsidRDefault="00000000">
      <w:pPr>
        <w:pStyle w:val="BodyText"/>
        <w:numPr>
          <w:ilvl w:val="0"/>
          <w:numId w:val="10"/>
        </w:numPr>
        <w:tabs>
          <w:tab w:val="left" w:pos="709"/>
        </w:tabs>
      </w:pPr>
      <w:r>
        <w:t>Convert every finding into a decision for The Food Group.</w:t>
      </w:r>
    </w:p>
    <w:p w14:paraId="4D7DB16B" w14:textId="77777777" w:rsidR="008B1764" w:rsidRDefault="00000000">
      <w:pPr>
        <w:pStyle w:val="BodyText"/>
        <w:numPr>
          <w:ilvl w:val="0"/>
          <w:numId w:val="10"/>
        </w:numPr>
        <w:tabs>
          <w:tab w:val="left" w:pos="709"/>
        </w:tabs>
      </w:pPr>
      <w:r>
        <w:t>Select no more than two core charts per question.</w:t>
      </w:r>
    </w:p>
    <w:p w14:paraId="6A0C2EA9" w14:textId="77777777" w:rsidR="008B1764" w:rsidRDefault="00000000">
      <w:pPr>
        <w:pStyle w:val="Heading3"/>
        <w:numPr>
          <w:ilvl w:val="0"/>
          <w:numId w:val="0"/>
        </w:numPr>
      </w:pPr>
      <w:r>
        <w:t>October 11-14</w:t>
      </w:r>
    </w:p>
    <w:p w14:paraId="7066EC99" w14:textId="77777777" w:rsidR="008B1764" w:rsidRDefault="00000000">
      <w:pPr>
        <w:pStyle w:val="BodyText"/>
        <w:numPr>
          <w:ilvl w:val="0"/>
          <w:numId w:val="11"/>
        </w:numPr>
        <w:tabs>
          <w:tab w:val="left" w:pos="709"/>
        </w:tabs>
      </w:pPr>
      <w:r>
        <w:t>Build the final narrative: problem, evidence, decision, limitation.</w:t>
      </w:r>
    </w:p>
    <w:p w14:paraId="378F964E" w14:textId="77777777" w:rsidR="008B1764" w:rsidRDefault="00000000">
      <w:pPr>
        <w:pStyle w:val="BodyText"/>
        <w:numPr>
          <w:ilvl w:val="0"/>
          <w:numId w:val="11"/>
        </w:numPr>
        <w:tabs>
          <w:tab w:val="left" w:pos="709"/>
        </w:tabs>
      </w:pPr>
      <w:r>
        <w:t>Reproduce all headline numbers from a clean run.</w:t>
      </w:r>
    </w:p>
    <w:p w14:paraId="1A85F765" w14:textId="77777777" w:rsidR="008B1764" w:rsidRDefault="00000000">
      <w:pPr>
        <w:pStyle w:val="BodyText"/>
        <w:numPr>
          <w:ilvl w:val="0"/>
          <w:numId w:val="11"/>
        </w:numPr>
        <w:tabs>
          <w:tab w:val="left" w:pos="709"/>
        </w:tabs>
      </w:pPr>
      <w:r>
        <w:t>Freeze prediction features and verify no August information entered the pipeline.</w:t>
      </w:r>
    </w:p>
    <w:p w14:paraId="207094FE" w14:textId="77777777" w:rsidR="008B1764" w:rsidRDefault="00000000">
      <w:pPr>
        <w:pStyle w:val="Heading3"/>
        <w:numPr>
          <w:ilvl w:val="0"/>
          <w:numId w:val="0"/>
        </w:numPr>
      </w:pPr>
      <w:r>
        <w:t>October 15-16</w:t>
      </w:r>
    </w:p>
    <w:p w14:paraId="1A1089B3" w14:textId="77777777" w:rsidR="008B1764" w:rsidRDefault="00000000">
      <w:pPr>
        <w:pStyle w:val="BodyText"/>
        <w:numPr>
          <w:ilvl w:val="0"/>
          <w:numId w:val="12"/>
        </w:numPr>
        <w:tabs>
          <w:tab w:val="left" w:pos="709"/>
        </w:tabs>
      </w:pPr>
      <w:r>
        <w:t>Rehearse twice with interruptions and judge-style questions.</w:t>
      </w:r>
    </w:p>
    <w:p w14:paraId="077F5F10" w14:textId="77777777" w:rsidR="008B1764" w:rsidRDefault="00000000">
      <w:pPr>
        <w:pStyle w:val="BodyText"/>
        <w:numPr>
          <w:ilvl w:val="0"/>
          <w:numId w:val="12"/>
        </w:numPr>
        <w:tabs>
          <w:tab w:val="left" w:pos="709"/>
        </w:tabs>
      </w:pPr>
      <w:r>
        <w:t>Each member practices answering: Where did this number come from? Why this source? What would change the conclusion? What should The Food Group do differently?</w:t>
      </w:r>
    </w:p>
    <w:p w14:paraId="3C6EA3C8" w14:textId="77777777" w:rsidR="008B1764" w:rsidRDefault="00000000">
      <w:pPr>
        <w:pStyle w:val="Heading2"/>
        <w:numPr>
          <w:ilvl w:val="0"/>
          <w:numId w:val="0"/>
        </w:numPr>
      </w:pPr>
      <w:r>
        <w:t>What could make this entry distinctive</w:t>
      </w:r>
    </w:p>
    <w:p w14:paraId="7B8E079E" w14:textId="77777777" w:rsidR="008B1764" w:rsidRDefault="00000000">
      <w:pPr>
        <w:pStyle w:val="BodyText"/>
        <w:numPr>
          <w:ilvl w:val="0"/>
          <w:numId w:val="13"/>
        </w:numPr>
        <w:tabs>
          <w:tab w:val="left" w:pos="709"/>
        </w:tabs>
      </w:pPr>
      <w:r>
        <w:t>Use one coherent need-versus-demand framework across all five questions instead of five disconnected analyses.</w:t>
      </w:r>
    </w:p>
    <w:p w14:paraId="12C7420B" w14:textId="77777777" w:rsidR="008B1764" w:rsidRDefault="00000000">
      <w:pPr>
        <w:pStyle w:val="BodyText"/>
        <w:numPr>
          <w:ilvl w:val="0"/>
          <w:numId w:val="13"/>
        </w:numPr>
        <w:tabs>
          <w:tab w:val="left" w:pos="709"/>
        </w:tabs>
      </w:pPr>
      <w:r>
        <w:t>Show the three activity measures together and explain why they disagree.</w:t>
      </w:r>
    </w:p>
    <w:p w14:paraId="013D6D67" w14:textId="77777777" w:rsidR="008B1764" w:rsidRDefault="00000000">
      <w:pPr>
        <w:pStyle w:val="BodyText"/>
        <w:numPr>
          <w:ilvl w:val="0"/>
          <w:numId w:val="13"/>
        </w:numPr>
        <w:tabs>
          <w:tab w:val="left" w:pos="709"/>
        </w:tabs>
      </w:pPr>
      <w:r>
        <w:t>Pair every model result with an operational action and an uncertainty statement.</w:t>
      </w:r>
    </w:p>
    <w:p w14:paraId="2C9AADE2" w14:textId="77777777" w:rsidR="008B1764" w:rsidRDefault="00000000">
      <w:pPr>
        <w:pStyle w:val="BodyText"/>
        <w:numPr>
          <w:ilvl w:val="0"/>
          <w:numId w:val="13"/>
        </w:numPr>
        <w:tabs>
          <w:tab w:val="left" w:pos="709"/>
        </w:tabs>
      </w:pPr>
      <w:r>
        <w:t>Publish an explicit data-quality and leakage audit. This is especially important because two visit values can materially distort trends.</w:t>
      </w:r>
    </w:p>
    <w:p w14:paraId="450D8A0C" w14:textId="77777777" w:rsidR="008B1764" w:rsidRDefault="00000000">
      <w:pPr>
        <w:pStyle w:val="BodyText"/>
        <w:numPr>
          <w:ilvl w:val="0"/>
          <w:numId w:val="13"/>
        </w:numPr>
        <w:tabs>
          <w:tab w:val="left" w:pos="709"/>
        </w:tabs>
      </w:pPr>
      <w:r>
        <w:t>Present a simple baseline beside every advanced method. Complexity only earns its place when rolling backtests or robustness checks improve.</w:t>
      </w:r>
    </w:p>
    <w:p w14:paraId="3375D6A0" w14:textId="77777777" w:rsidR="008B1764" w:rsidRDefault="00000000">
      <w:pPr>
        <w:pStyle w:val="BodyText"/>
        <w:numPr>
          <w:ilvl w:val="0"/>
          <w:numId w:val="13"/>
        </w:numPr>
        <w:tabs>
          <w:tab w:val="left" w:pos="709"/>
        </w:tabs>
      </w:pPr>
      <w:r>
        <w:t>Use the optional calls and MarketBucks data only after the scored questions are complete. They can provide qualitative support, but the organizers explicitly said cleaning them is probably not the best first use of undergraduate time.</w:t>
      </w:r>
    </w:p>
    <w:p w14:paraId="4AB77544" w14:textId="77777777" w:rsidR="008B1764" w:rsidRDefault="00000000">
      <w:pPr>
        <w:pStyle w:val="Heading2"/>
        <w:numPr>
          <w:ilvl w:val="0"/>
          <w:numId w:val="0"/>
        </w:numPr>
      </w:pPr>
      <w:r>
        <w:t>Immediate next actions</w:t>
      </w:r>
    </w:p>
    <w:p w14:paraId="7B1A93EE" w14:textId="77777777" w:rsidR="008B1764" w:rsidRDefault="00000000">
      <w:pPr>
        <w:pStyle w:val="BodyText"/>
        <w:numPr>
          <w:ilvl w:val="0"/>
          <w:numId w:val="14"/>
        </w:numPr>
        <w:tabs>
          <w:tab w:val="left" w:pos="709"/>
        </w:tabs>
      </w:pPr>
      <w:r>
        <w:t>Email/request the Map the Meal Gap county datasets for 2022, 2023, and 2024 vintages under your university name.</w:t>
      </w:r>
    </w:p>
    <w:p w14:paraId="45AA16AF" w14:textId="77777777" w:rsidR="008B1764" w:rsidRDefault="00000000">
      <w:pPr>
        <w:pStyle w:val="BodyText"/>
        <w:numPr>
          <w:ilvl w:val="0"/>
          <w:numId w:val="14"/>
        </w:numPr>
        <w:tabs>
          <w:tab w:val="left" w:pos="709"/>
        </w:tabs>
      </w:pPr>
      <w:r>
        <w:t>Ask the organizers to confirm the food-shelf site join and the intended treatment of the two extreme visit records.</w:t>
      </w:r>
    </w:p>
    <w:p w14:paraId="29350FEB" w14:textId="77777777" w:rsidR="008B1764" w:rsidRDefault="00000000">
      <w:pPr>
        <w:pStyle w:val="BodyText"/>
        <w:numPr>
          <w:ilvl w:val="0"/>
          <w:numId w:val="14"/>
        </w:numPr>
        <w:tabs>
          <w:tab w:val="left" w:pos="709"/>
        </w:tabs>
      </w:pPr>
      <w:r>
        <w:lastRenderedPageBreak/>
        <w:t xml:space="preserve">Build and version </w:t>
      </w:r>
      <w:r>
        <w:rPr>
          <w:rFonts w:ascii="Liberation Mono" w:hAnsi="Liberation Mono"/>
        </w:rPr>
        <w:t>county_crosswalk.csv</w:t>
      </w:r>
      <w:r>
        <w:t xml:space="preserve">, </w:t>
      </w:r>
      <w:r>
        <w:rPr>
          <w:rFonts w:ascii="Liberation Mono" w:hAnsi="Liberation Mono"/>
        </w:rPr>
        <w:t>source_register.csv</w:t>
      </w:r>
      <w:r>
        <w:t xml:space="preserve">, </w:t>
      </w:r>
      <w:r>
        <w:rPr>
          <w:rFonts w:ascii="Liberation Mono" w:hAnsi="Liberation Mono"/>
        </w:rPr>
        <w:t>data_quality_log.csv</w:t>
      </w:r>
      <w:r>
        <w:t>, and the two canonical panels.</w:t>
      </w:r>
    </w:p>
    <w:p w14:paraId="73B063C3" w14:textId="77777777" w:rsidR="008B1764" w:rsidRDefault="00000000">
      <w:pPr>
        <w:pStyle w:val="BodyText"/>
        <w:numPr>
          <w:ilvl w:val="0"/>
          <w:numId w:val="14"/>
        </w:numPr>
        <w:tabs>
          <w:tab w:val="left" w:pos="709"/>
        </w:tabs>
      </w:pPr>
      <w:r>
        <w:t>Recheck the rubric folder after September 29 and the prediction folder after October 5.</w:t>
      </w:r>
    </w:p>
    <w:p w14:paraId="50F03549" w14:textId="77777777" w:rsidR="008B1764" w:rsidRDefault="00000000">
      <w:pPr>
        <w:pStyle w:val="BodyText"/>
        <w:numPr>
          <w:ilvl w:val="0"/>
          <w:numId w:val="14"/>
        </w:numPr>
        <w:tabs>
          <w:tab w:val="left" w:pos="709"/>
        </w:tabs>
      </w:pPr>
      <w:r>
        <w:t>Treat the preliminary August values as a benchmark only; do not submit until the official file specification is available.</w:t>
      </w:r>
    </w:p>
    <w:p w14:paraId="2A391EB1" w14:textId="77777777" w:rsidR="008B1764" w:rsidRDefault="008B1764">
      <w:pPr>
        <w:pStyle w:val="BodyText"/>
      </w:pPr>
    </w:p>
    <w:sectPr w:rsidR="008B176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001"/>
    <w:multiLevelType w:val="multilevel"/>
    <w:tmpl w:val="409869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9475E87"/>
    <w:multiLevelType w:val="multilevel"/>
    <w:tmpl w:val="5B3C6C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232F7305"/>
    <w:multiLevelType w:val="multilevel"/>
    <w:tmpl w:val="C40A38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9EE4559"/>
    <w:multiLevelType w:val="multilevel"/>
    <w:tmpl w:val="30A6AF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248268A"/>
    <w:multiLevelType w:val="multilevel"/>
    <w:tmpl w:val="F6BAD5CC"/>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C721CEC"/>
    <w:multiLevelType w:val="multilevel"/>
    <w:tmpl w:val="9F66AC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48470FE0"/>
    <w:multiLevelType w:val="multilevel"/>
    <w:tmpl w:val="72F0CDD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A3936C6"/>
    <w:multiLevelType w:val="multilevel"/>
    <w:tmpl w:val="ED24004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4ED746C2"/>
    <w:multiLevelType w:val="multilevel"/>
    <w:tmpl w:val="723A99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5BF50B53"/>
    <w:multiLevelType w:val="multilevel"/>
    <w:tmpl w:val="5E22BB5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67D77FAD"/>
    <w:multiLevelType w:val="multilevel"/>
    <w:tmpl w:val="E674A2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68234675"/>
    <w:multiLevelType w:val="multilevel"/>
    <w:tmpl w:val="6B12F5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6C222BB8"/>
    <w:multiLevelType w:val="multilevel"/>
    <w:tmpl w:val="D0D067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7A33401C"/>
    <w:multiLevelType w:val="multilevel"/>
    <w:tmpl w:val="48B6C23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980070794">
    <w:abstractNumId w:val="4"/>
  </w:num>
  <w:num w:numId="2" w16cid:durableId="1473478014">
    <w:abstractNumId w:val="12"/>
  </w:num>
  <w:num w:numId="3" w16cid:durableId="364141593">
    <w:abstractNumId w:val="13"/>
  </w:num>
  <w:num w:numId="4" w16cid:durableId="812209983">
    <w:abstractNumId w:val="6"/>
  </w:num>
  <w:num w:numId="5" w16cid:durableId="1874152754">
    <w:abstractNumId w:val="10"/>
  </w:num>
  <w:num w:numId="6" w16cid:durableId="1792895982">
    <w:abstractNumId w:val="11"/>
  </w:num>
  <w:num w:numId="7" w16cid:durableId="1915774290">
    <w:abstractNumId w:val="5"/>
  </w:num>
  <w:num w:numId="8" w16cid:durableId="971329042">
    <w:abstractNumId w:val="8"/>
  </w:num>
  <w:num w:numId="9" w16cid:durableId="1555576504">
    <w:abstractNumId w:val="2"/>
  </w:num>
  <w:num w:numId="10" w16cid:durableId="1321615226">
    <w:abstractNumId w:val="3"/>
  </w:num>
  <w:num w:numId="11" w16cid:durableId="2086487216">
    <w:abstractNumId w:val="1"/>
  </w:num>
  <w:num w:numId="12" w16cid:durableId="582110390">
    <w:abstractNumId w:val="0"/>
  </w:num>
  <w:num w:numId="13" w16cid:durableId="298002453">
    <w:abstractNumId w:val="7"/>
  </w:num>
  <w:num w:numId="14" w16cid:durableId="3301361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8B1764"/>
    <w:rsid w:val="000F6F56"/>
    <w:rsid w:val="002E753D"/>
    <w:rsid w:val="007329FD"/>
    <w:rsid w:val="008B1764"/>
    <w:rsid w:val="00911EC3"/>
    <w:rsid w:val="00913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45494"/>
  <w15:docId w15:val="{8AB53529-5C37-41E7-84D8-B260D3D04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TotalTime>
  <Pages>9</Pages>
  <Words>2409</Words>
  <Characters>13734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DINSABQI NOR AZMI</cp:lastModifiedBy>
  <cp:revision>3</cp:revision>
  <dcterms:created xsi:type="dcterms:W3CDTF">2026-09-28T01:11:00Z</dcterms:created>
  <dcterms:modified xsi:type="dcterms:W3CDTF">2026-09-29T17:24:00Z</dcterms:modified>
  <dc:language>en-US</dc:language>
</cp:coreProperties>
</file>