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4A88D" w14:textId="77777777" w:rsidR="00140FF8" w:rsidRDefault="00790174">
      <w:pPr>
        <w:spacing w:before="1200"/>
        <w:jc w:val="center"/>
      </w:pPr>
      <w:r>
        <w:rPr>
          <w:b/>
          <w:color w:val="555F6D"/>
          <w:sz w:val="26"/>
        </w:rPr>
        <w:t>CORVINUS UNIVERSITY OF BUDAPEST</w:t>
      </w:r>
    </w:p>
    <w:p w14:paraId="55D2D654" w14:textId="6401B378" w:rsidR="00140FF8" w:rsidRDefault="00790174">
      <w:pPr>
        <w:jc w:val="center"/>
      </w:pPr>
      <w:r>
        <w:rPr>
          <w:color w:val="555F6D"/>
        </w:rPr>
        <w:t xml:space="preserve">Faculty of Business </w:t>
      </w:r>
      <w:r w:rsidR="000612F8">
        <w:rPr>
          <w:color w:val="555F6D"/>
        </w:rPr>
        <w:t>Administration • Master’s</w:t>
      </w:r>
      <w:r>
        <w:rPr>
          <w:color w:val="555F6D"/>
        </w:rPr>
        <w:t xml:space="preserve"> in Business Informatics</w:t>
      </w:r>
    </w:p>
    <w:p w14:paraId="14753BB2" w14:textId="77777777" w:rsidR="00140FF8" w:rsidRDefault="00140FF8"/>
    <w:p w14:paraId="72E9C1DC" w14:textId="77777777" w:rsidR="00140FF8" w:rsidRDefault="00790174" w:rsidP="000612F8">
      <w:pPr>
        <w:spacing w:before="600"/>
        <w:jc w:val="center"/>
      </w:pPr>
      <w:r>
        <w:rPr>
          <w:b/>
          <w:color w:val="1A233A"/>
          <w:sz w:val="56"/>
        </w:rPr>
        <w:t>Business Value of Voice LLM Agents</w:t>
      </w:r>
      <w:r>
        <w:rPr>
          <w:b/>
          <w:color w:val="1A233A"/>
          <w:sz w:val="56"/>
        </w:rPr>
        <w:br/>
        <w:t>in Financial Services</w:t>
      </w:r>
    </w:p>
    <w:p w14:paraId="0CBEFF8C" w14:textId="2046C67C" w:rsidR="00140FF8" w:rsidRDefault="00790174">
      <w:pPr>
        <w:spacing w:before="160"/>
        <w:jc w:val="center"/>
      </w:pPr>
      <w:r>
        <w:rPr>
          <w:i/>
          <w:color w:val="1F6FEB"/>
          <w:sz w:val="30"/>
        </w:rPr>
        <w:t>Evidence from Better.com</w:t>
      </w:r>
    </w:p>
    <w:p w14:paraId="165E639F" w14:textId="77777777" w:rsidR="00140FF8" w:rsidRDefault="00140FF8"/>
    <w:p w14:paraId="0035D4B9" w14:textId="77777777" w:rsidR="00140FF8" w:rsidRDefault="00140FF8"/>
    <w:p w14:paraId="2C2E73C2" w14:textId="77777777" w:rsidR="00140FF8" w:rsidRDefault="00790174">
      <w:pPr>
        <w:spacing w:after="80"/>
        <w:jc w:val="center"/>
      </w:pPr>
      <w:r>
        <w:rPr>
          <w:color w:val="555F6D"/>
        </w:rPr>
        <w:t xml:space="preserve">Author:  </w:t>
      </w:r>
      <w:r>
        <w:rPr>
          <w:b/>
          <w:color w:val="1A233A"/>
        </w:rPr>
        <w:t>Mukhammad Azim Khadyatullaev</w:t>
      </w:r>
    </w:p>
    <w:p w14:paraId="0D1B95F3" w14:textId="77777777" w:rsidR="00140FF8" w:rsidRDefault="00790174">
      <w:pPr>
        <w:spacing w:after="80"/>
        <w:jc w:val="center"/>
      </w:pPr>
      <w:r>
        <w:rPr>
          <w:color w:val="555F6D"/>
        </w:rPr>
        <w:t xml:space="preserve">Supervisor:  </w:t>
      </w:r>
      <w:r>
        <w:rPr>
          <w:b/>
          <w:color w:val="1A233A"/>
        </w:rPr>
        <w:t>Mike Nimrod</w:t>
      </w:r>
    </w:p>
    <w:p w14:paraId="76543D2D" w14:textId="77777777" w:rsidR="00140FF8" w:rsidRDefault="00790174">
      <w:pPr>
        <w:spacing w:after="80"/>
        <w:jc w:val="center"/>
      </w:pPr>
      <w:r>
        <w:rPr>
          <w:color w:val="555F6D"/>
        </w:rPr>
        <w:t xml:space="preserve">Program:  </w:t>
      </w:r>
      <w:r>
        <w:rPr>
          <w:b/>
          <w:color w:val="1A233A"/>
        </w:rPr>
        <w:t>Master's in Business Informatics</w:t>
      </w:r>
    </w:p>
    <w:p w14:paraId="18BBE681" w14:textId="77777777" w:rsidR="00140FF8" w:rsidRDefault="00790174">
      <w:pPr>
        <w:spacing w:after="80"/>
        <w:jc w:val="center"/>
      </w:pPr>
      <w:r>
        <w:rPr>
          <w:color w:val="555F6D"/>
        </w:rPr>
        <w:t xml:space="preserve">Date:  </w:t>
      </w:r>
      <w:r>
        <w:rPr>
          <w:b/>
          <w:color w:val="1A233A"/>
        </w:rPr>
        <w:t>April 2026</w:t>
      </w:r>
    </w:p>
    <w:p w14:paraId="1FA5C523" w14:textId="77777777" w:rsidR="00F16D5F" w:rsidRDefault="00790174" w:rsidP="00F16D5F">
      <w:r>
        <w:br w:type="page"/>
      </w:r>
    </w:p>
    <w:p w14:paraId="47FE9C03" w14:textId="77777777" w:rsidR="00167346" w:rsidRDefault="00790174" w:rsidP="00167346">
      <w:pPr>
        <w:pStyle w:val="Heading1"/>
      </w:pPr>
      <w:bookmarkStart w:id="0" w:name="_Toc227354309"/>
      <w:r>
        <w:lastRenderedPageBreak/>
        <w:t>Introduction</w:t>
      </w:r>
      <w:bookmarkEnd w:id="0"/>
    </w:p>
    <w:p w14:paraId="6455CF20" w14:textId="77777777" w:rsidR="00167346" w:rsidRPr="00167346" w:rsidRDefault="00167346" w:rsidP="00167346">
      <w:pPr>
        <w:pStyle w:val="Heading2"/>
        <w:spacing w:before="360" w:after="240"/>
        <w:rPr>
          <w:rFonts w:cstheme="majorHAnsi"/>
          <w:color w:val="auto"/>
        </w:rPr>
      </w:pPr>
      <w:r w:rsidRPr="00167346">
        <w:rPr>
          <w:rFonts w:cstheme="majorHAnsi"/>
          <w:color w:val="auto"/>
        </w:rPr>
        <w:t>1. Broad Context: The AI Transformation</w:t>
      </w:r>
    </w:p>
    <w:p w14:paraId="4AF7ED5E" w14:textId="77777777" w:rsidR="00167346" w:rsidRPr="00167346" w:rsidRDefault="00167346" w:rsidP="0046771B">
      <w:r w:rsidRPr="00167346">
        <w:t>Artificial intelligence (AI) has initiated a profound and irreversible transformation across global industries, catalyzing a paradigm shift from rigid, rules-based automation toward highly adaptive, intelligent systems. Historically, technological deployment in corporate environments relied heavily on pre-defined programming and basic robotic process automation (RPA), designed strictly to handle repetitive, mechanical tasks. While these legacy systems provided initial efficiency gains, they were fundamentally constrained by their inability to manage ambiguity or process unstructured information. However, the recent and rapid maturation of generative artificial intelligence and Large Language Models (LLMs) represents a discontinuous technological leap. These advanced systems possess the unprecedented ability to comprehend natural language, synthesize vast amounts of unstructured data, and generate contextually nuanced, human-like responses in real time (Brynjolfsson et al., 2023). Consequently, the frontier of enterprise automation has decisively shifted from back-office data processing to front-line customer engagement, fundamentally redefining how organizations interact with their client bases.</w:t>
      </w:r>
    </w:p>
    <w:p w14:paraId="245A1AD3" w14:textId="77777777" w:rsidR="00167346" w:rsidRPr="00167346" w:rsidRDefault="00167346" w:rsidP="0046771B">
      <w:r w:rsidRPr="00167346">
        <w:t>This technological evolution is particularly critical for sectors characterized by high volumes of customer interaction. Historically, scaling customer service operations necessitated proportional and costly increases in human capital, creating an inherent and persistent tension between maintaining service quality and managing operational expenditure. First-generation conversational AI, primarily in the form of text-based chatbots, attempted to resolve this tension by automating routine, low-level queries. Yet, these early digital systems often struggled with the complexities of authentic human dialogue, constrained by limited decision trees, poor intent recognition, and an inability to process nuanced or multi-layered customer requests (Huang &amp; Rust, 2018).</w:t>
      </w:r>
    </w:p>
    <w:p w14:paraId="2FC3C4CE" w14:textId="77777777" w:rsidR="00167346" w:rsidRPr="00167346" w:rsidRDefault="00167346" w:rsidP="0046771B">
      <w:r w:rsidRPr="00167346">
        <w:t>The advent of modern generative AI has effectively dismantled these historic constraints. LLMs do not simply retrieve pre-scripted responses from a static database; they actively generate context-aware dialogue that mirrors human cognitive and communicative patterns. This capability is fundamentally altering customer interaction models across the digital economy. The next logical and highly anticipated progression in this trajectory is the deployment of voice-based LLM agents. By combining advanced natural language understanding with sophisticated, real-time speech synthesis, voice AI systems bridge the critical gap between digital efficiency and human-like relational engagement. These context-aware, adaptive digital agents signify the convergence of computational scale and communicative richness, setting the stage for a new era of technology-mediated customer interactions (Adam et al., 2021; Blümel et al., 2024).</w:t>
      </w:r>
    </w:p>
    <w:p w14:paraId="0461D680" w14:textId="77777777" w:rsidR="00167346" w:rsidRPr="00167346" w:rsidRDefault="00167346" w:rsidP="00167346">
      <w:pPr>
        <w:pStyle w:val="Heading2"/>
        <w:spacing w:before="360" w:after="240"/>
        <w:rPr>
          <w:rFonts w:cstheme="majorHAnsi"/>
          <w:color w:val="auto"/>
          <w:sz w:val="36"/>
          <w:szCs w:val="36"/>
        </w:rPr>
      </w:pPr>
      <w:r w:rsidRPr="00167346">
        <w:rPr>
          <w:rFonts w:cstheme="majorHAnsi"/>
          <w:color w:val="auto"/>
        </w:rPr>
        <w:t>2. Narrowing the Focus: The Financial Services Context</w:t>
      </w:r>
    </w:p>
    <w:p w14:paraId="386EA0CD" w14:textId="77777777" w:rsidR="00167346" w:rsidRPr="00167346" w:rsidRDefault="00167346" w:rsidP="0046771B">
      <w:r w:rsidRPr="00167346">
        <w:t xml:space="preserve">While the impact of artificial intelligence is ubiquitous, the financial services industry serves as an exceptionally revelatory testing ground for these technological advancements. The financial sector is intrinsically characterized by high-volume, high-stakes customer interactions. Whether facilitating complex mortgage origination, managing retail banking queries, or processing sensitive insurance </w:t>
      </w:r>
      <w:r w:rsidRPr="00167346">
        <w:lastRenderedPageBreak/>
        <w:t>claims, financial institutions operate under intense, continuous pressure to deliver flawless customer experiences while rigorously managing operational costs and margin compression. Furthermore, the sector is heavily regulated, bound by stringent compliance requirements that demand all customer interactions maintain strict standards of accuracy, transparency, and auditability (Hentzen et al., 2022).</w:t>
      </w:r>
    </w:p>
    <w:p w14:paraId="071BAA13" w14:textId="77777777" w:rsidR="00167346" w:rsidRPr="00167346" w:rsidRDefault="00167346" w:rsidP="0046771B">
      <w:r w:rsidRPr="00167346">
        <w:t>In this unforgiving environment, customer experience is not merely a supplementary benefit but a core driver of competitive advantage, customer retention, and long-term revenue generation. Financial institutions are acutely aware that friction in communication directly correlates with customer attrition and lost revenue. Consequently, the industry has historically been an early and aggressive adopter of AI technologies. Traditional machine learning architectures have already been extensively deployed for backend operational functions, transforming areas such as algorithmic trading, dynamic credit scoring, and anomaly detection for fraud prevention (Liu et al., 2024).</w:t>
      </w:r>
    </w:p>
    <w:p w14:paraId="4B5846F6" w14:textId="77777777" w:rsidR="00167346" w:rsidRPr="00167346" w:rsidRDefault="00167346" w:rsidP="0046771B">
      <w:r w:rsidRPr="00167346">
        <w:t>More recently, financial organizations have begun deploying AI directly at the customer interface, utilizing automated routing and rudimentary text-based chatbots to manage high query volumes and provide continuous service availability (Mogaji &amp; Nguyen, 2021). However, AI’s capacity to impact the enterprise extends far beyond simple cost reduction. As Liu et al. (2024) observe, AI integration structurally alters efficiency, risk management, and the overall quality of customer interactions. In financial services, where consumer trust and absolute clarity are paramount, the limitations of legacy digital interfaces have become glaringly apparent. Complex financial decisions, such as securing a 30-year residential mortgage, frequently require emotional reassurance, empathetic communication, and dynamic problem-solving that standard, rigid automated systems simply cannot provide.</w:t>
      </w:r>
    </w:p>
    <w:p w14:paraId="14A71DB7" w14:textId="77777777" w:rsidR="00167346" w:rsidRPr="00167346" w:rsidRDefault="00167346" w:rsidP="0046771B">
      <w:r w:rsidRPr="00167346">
        <w:t>Because the financial services industry simultaneously demands rigorous operational efficiency and high-quality, continuous customer engagement, it is uniquely positioned to benefit from the deployment of next-generation conversational AI. The sector’s heavy reliance on reliable communication as a mechanism for value creation makes it the ideal, high-stakes context in which to evaluate how sophisticated AI systems transition from technical novelties into core drivers of measurable business value.</w:t>
      </w:r>
    </w:p>
    <w:p w14:paraId="6A2BC0DB" w14:textId="77777777" w:rsidR="00167346" w:rsidRPr="00167346" w:rsidRDefault="00167346" w:rsidP="0046771B">
      <w:pPr>
        <w:rPr>
          <w:sz w:val="36"/>
          <w:szCs w:val="36"/>
        </w:rPr>
      </w:pPr>
      <w:r w:rsidRPr="00167346">
        <w:t>3. The Emergence of Voice AI and LLM Agents</w:t>
      </w:r>
    </w:p>
    <w:p w14:paraId="2B92876C" w14:textId="77777777" w:rsidR="00167346" w:rsidRPr="00167346" w:rsidRDefault="00167346" w:rsidP="0046771B">
      <w:pPr>
        <w:rPr>
          <w:sz w:val="21"/>
          <w:szCs w:val="21"/>
        </w:rPr>
      </w:pPr>
      <w:r w:rsidRPr="00167346">
        <w:rPr>
          <w:sz w:val="21"/>
          <w:szCs w:val="21"/>
        </w:rPr>
        <w:t>Within this rapidly evolving landscape, the introduction of voice-based Large Language Model (LLM) agents represents a major technological shift, moving far beyond the incremental improvements of preceding customer service technologies. Voice LLM agents are highly sophisticated, fully conversational systems integrating advanced automatic speech recognition (ASR), generative natural language processing (NLP), and near-instantaneous text-to-speech (TTS) synthesis. These systems represent a radical departure from first-generation digital assistants, operating as context-aware, adaptive digital agents capable of navigating unpredictable, multi-turn human dialogues with natural prosody and inflection.</w:t>
      </w:r>
    </w:p>
    <w:p w14:paraId="2F62095C" w14:textId="77777777" w:rsidR="00167346" w:rsidRPr="00167346" w:rsidRDefault="00167346" w:rsidP="0046771B">
      <w:pPr>
        <w:rPr>
          <w:sz w:val="21"/>
          <w:szCs w:val="21"/>
        </w:rPr>
      </w:pPr>
      <w:r w:rsidRPr="00167346">
        <w:rPr>
          <w:sz w:val="21"/>
          <w:szCs w:val="21"/>
        </w:rPr>
        <w:t xml:space="preserve">To fully appreciate the significance of this development, it is necessary to explicitly contrast voice LLM agents with traditional interactive voice response (IVR) systems and conventional text-based chatbots. Traditional IVR architectures require customers to navigate rigid, hierarchical decision trees using phone keypads or highly constrained voice commands (Wang et al., 2023). These legacy systems optimize routing exclusively for the firm's benefit but routinely frustrate consumers by forcing their specific, nuanced needs into generic, pre-defined operational categories, often leading to high call abandonment rates. Similarly, text-based chatbots, while offering slightly more flexibility, are constrained by the </w:t>
      </w:r>
      <w:r w:rsidRPr="00167346">
        <w:rPr>
          <w:sz w:val="21"/>
          <w:szCs w:val="21"/>
        </w:rPr>
        <w:lastRenderedPageBreak/>
        <w:t>mechanical nature of typed interaction and frequently falter when conversations escalate in complexity, require emotional intelligence, or deviate from scripted paths (Zhang et al., 2023).</w:t>
      </w:r>
    </w:p>
    <w:p w14:paraId="5F0DE111" w14:textId="77777777" w:rsidR="00167346" w:rsidRPr="00167346" w:rsidRDefault="00167346" w:rsidP="0046771B">
      <w:pPr>
        <w:rPr>
          <w:sz w:val="21"/>
          <w:szCs w:val="21"/>
        </w:rPr>
      </w:pPr>
      <w:r w:rsidRPr="00167346">
        <w:rPr>
          <w:sz w:val="21"/>
          <w:szCs w:val="21"/>
        </w:rPr>
        <w:t>Conversely, voice LLM agents fundamentally alter the interaction paradigm by dynamically adapting to the user rather than forcing the user to adapt to the system's limitations. Their key capabilities include natural conversational fluidity, real-time responsive latency often falling below 500 milliseconds, and the profound ability to interpret paralinguistic cues and complex, layered intents. Furthermore, they operate with virtually infinite scalability, providing consistent, expert-level service simultaneously to thousands of users without performance degradation (Aggarwal et al., 2025). By restoring the communicative richness and immediacy of spoken language—which remains the most intuitive and reassuring interface for complex financial interactions—while retaining the immense economic advantages of digital automation, voice AI systems bridge the historic divide between human empathy and machine efficiency.</w:t>
      </w:r>
    </w:p>
    <w:p w14:paraId="3280306E" w14:textId="77777777" w:rsidR="00167346" w:rsidRPr="00167346" w:rsidRDefault="00167346" w:rsidP="00167346">
      <w:pPr>
        <w:pStyle w:val="Heading2"/>
        <w:spacing w:before="360" w:after="240"/>
        <w:rPr>
          <w:rFonts w:cstheme="majorHAnsi"/>
          <w:color w:val="auto"/>
          <w:sz w:val="36"/>
          <w:szCs w:val="36"/>
        </w:rPr>
      </w:pPr>
      <w:r w:rsidRPr="00167346">
        <w:rPr>
          <w:rFonts w:cstheme="majorHAnsi"/>
          <w:color w:val="auto"/>
        </w:rPr>
        <w:t>4. The Research Gap</w:t>
      </w:r>
    </w:p>
    <w:p w14:paraId="7ACEAAF9" w14:textId="77777777" w:rsidR="00167346" w:rsidRPr="00167346" w:rsidRDefault="00167346" w:rsidP="0046771B">
      <w:r w:rsidRPr="00167346">
        <w:t>Despite the rapid proliferation and substantial commercial investment in generative AI technologies, a critical and widening void remains in the academic literature. Currently, the overwhelming majority of contemporary AI research is structurally skewed toward the computer science and engineering disciplines. This literature focuses almost exclusively on technical performance metrics, model accuracy optimization, algorithmic latency reduction, and neural network architectural design. Within the business and information systems disciplines, early literature has largely concentrated on consumer perceptions of artificial agents, theoretical ethical implications, or conceptual frameworks predicting future AI adoption (Adam et al., 2021).</w:t>
      </w:r>
    </w:p>
    <w:p w14:paraId="65820971" w14:textId="77777777" w:rsidR="00167346" w:rsidRPr="00167346" w:rsidRDefault="00167346" w:rsidP="0046771B">
      <w:r w:rsidRPr="00167346">
        <w:t>What is fundamentally missing is empirical, business-focused research investigating the downstream organizational consequences of these technologies. Specifically, there is limited structured academic research connecting voice LLM implementation directly to measurable business performance outcomes in real-world corporate environments. While some initial studies, such as Andrade and Tumelero (2022), have successfully documented the operational efficiency gains associated with basic text-based chatbots, and researchers like Fotheringham and Wiles (2023) have explored aggregate investor reactions to corporate AI announcements, the literature lacks a rigorous, empirical examination of how frontier voice AI systems translate into quantifiable business value.</w:t>
      </w:r>
    </w:p>
    <w:p w14:paraId="48B11EF9" w14:textId="77777777" w:rsidR="00167346" w:rsidRPr="00167346" w:rsidRDefault="00167346" w:rsidP="0046771B">
      <w:r w:rsidRPr="00167346">
        <w:t>Even more importantly, almost no research captures the entire lifecycle of a real-world enterprise implementation accompanied by measurable operational and financial outcomes. The existing literature is replete with theoretical assertions about how advanced AI could revolutionize financial services, offering abstract models of value creation (Aggarwal et al., 2025). Yet, it remains desperately short of concrete, heavily researched case studies demonstrating how a firm actually integrates a voice LLM agent into complex, proprietary backend workflows, and how that specific integration explicitly affects the company's bottom line.</w:t>
      </w:r>
    </w:p>
    <w:p w14:paraId="4DFE1803" w14:textId="77777777" w:rsidR="00167346" w:rsidRPr="00167346" w:rsidRDefault="00167346" w:rsidP="0046771B">
      <w:r w:rsidRPr="00167346">
        <w:t xml:space="preserve">This research gap represents a significant and pressing barrier to both academic understanding and practical managerial decision-making. As modern organizations face immense pressure to justify substantial capital expenditures on generative AI infrastructure, they lack the empirical benchmarks and strategic frameworks necessary to evaluate the expected return on investment. The absence of studies demonstrating how voice AI simultaneously impacts internal cost structures, operational scalability, and external customer satisfaction leaves a massive blind spot in our comprehension of </w:t>
      </w:r>
      <w:r w:rsidRPr="00167346">
        <w:lastRenderedPageBreak/>
        <w:t>digital transformation. Therefore, analyzing a live, large-scale implementation of voice AI, complete with pre- and post-deployment financial and experiential metrics, is absolutely necessary to move the academic discourse from theoretical potential to empirical reality.</w:t>
      </w:r>
    </w:p>
    <w:p w14:paraId="27EC17F6" w14:textId="77777777" w:rsidR="00167346" w:rsidRPr="00167346" w:rsidRDefault="00167346" w:rsidP="00167346">
      <w:pPr>
        <w:pStyle w:val="Heading2"/>
        <w:spacing w:before="360" w:after="240"/>
        <w:rPr>
          <w:rFonts w:cstheme="majorHAnsi"/>
          <w:color w:val="auto"/>
          <w:sz w:val="36"/>
          <w:szCs w:val="36"/>
        </w:rPr>
      </w:pPr>
      <w:r w:rsidRPr="00167346">
        <w:rPr>
          <w:rFonts w:cstheme="majorHAnsi"/>
          <w:color w:val="auto"/>
        </w:rPr>
        <w:t>5. Research Aim and Questions</w:t>
      </w:r>
    </w:p>
    <w:p w14:paraId="27600F49" w14:textId="77777777" w:rsidR="00167346" w:rsidRPr="00167346" w:rsidRDefault="00167346" w:rsidP="0046771B">
      <w:r w:rsidRPr="00167346">
        <w:t>The primary aim of this research is to examine how voice-based Large Language Model (LLM) agents create measurable business value in financial services by analyzing the comprehensive implementation case of Better.com. The study seeks to systematically identify how advanced voice AI is integrated into complex, regulated business processes, what strategic and operational transformations it facilitates, and how these technological changes explicitly translate into quantifiable organizational performance outcomes.</w:t>
      </w:r>
    </w:p>
    <w:p w14:paraId="2B3731F9" w14:textId="77777777" w:rsidR="00167346" w:rsidRPr="00167346" w:rsidRDefault="00167346" w:rsidP="0046771B">
      <w:r w:rsidRPr="00167346">
        <w:t>Better.com serves as the primary empirical context for this investigation because it represents a critical, revelatory case. As a digital-first mortgage lender navigating severe macroeconomic headwinds and extreme margin pressures, Better.com underwent a structural transition from a traditional, human-heavy origination model to a highly scalable, AI-driven automation framework. Through its strategic partnership with ElevenLabs to deploy "Betsy," a proprietary LLM-powered voice agent, Better.com executed one of the first publicly documented, large-scale integrations of generative voice AI in the U.S. mortgage industry, providing a unique and invaluable opportunity to evaluate real-world business impact.</w:t>
      </w:r>
    </w:p>
    <w:p w14:paraId="7F84D7BF" w14:textId="77777777" w:rsidR="00167346" w:rsidRPr="00167346" w:rsidRDefault="00167346" w:rsidP="0046771B">
      <w:r w:rsidRPr="00167346">
        <w:t>To systematically fulfill this aim, the thesis is guided by the following two central research questions:</w:t>
      </w:r>
    </w:p>
    <w:p w14:paraId="2655C6BB" w14:textId="77777777" w:rsidR="00167346" w:rsidRPr="00167346" w:rsidRDefault="00167346" w:rsidP="0046771B">
      <w:r w:rsidRPr="00167346">
        <w:rPr>
          <w:rStyle w:val="Strong"/>
          <w:rFonts w:asciiTheme="majorHAnsi" w:hAnsiTheme="majorHAnsi" w:cstheme="majorHAnsi"/>
          <w:color w:val="auto"/>
          <w:sz w:val="21"/>
          <w:szCs w:val="21"/>
        </w:rPr>
        <w:t>RQ1:</w:t>
      </w:r>
      <w:r w:rsidRPr="00167346">
        <w:t> How have voice LLM agents been integrated into Better.com's mortgage origination processes, and what does this integration reveal about the technical and organizational prerequisites for deploying conversational AI in a regulated financial services environment?</w:t>
      </w:r>
    </w:p>
    <w:p w14:paraId="43B5AFA7" w14:textId="77777777" w:rsidR="00167346" w:rsidRPr="00167346" w:rsidRDefault="00167346" w:rsidP="0046771B">
      <w:r w:rsidRPr="00167346">
        <w:rPr>
          <w:rStyle w:val="Strong"/>
          <w:rFonts w:asciiTheme="majorHAnsi" w:hAnsiTheme="majorHAnsi" w:cstheme="majorHAnsi"/>
          <w:color w:val="auto"/>
          <w:sz w:val="21"/>
          <w:szCs w:val="21"/>
        </w:rPr>
        <w:t>RQ2:</w:t>
      </w:r>
      <w:r w:rsidRPr="00167346">
        <w:t> What measurable business value — across the specific dimensions of operational efficiency, customer experience, and overall financial performance — can be attributed to the deployment of voice AI at Better.com, and what factors mediate the realization of this value?</w:t>
      </w:r>
    </w:p>
    <w:p w14:paraId="2C206A98" w14:textId="77777777" w:rsidR="00167346" w:rsidRPr="00167346" w:rsidRDefault="00167346" w:rsidP="00167346">
      <w:pPr>
        <w:pStyle w:val="Heading2"/>
        <w:spacing w:before="360" w:after="240"/>
        <w:rPr>
          <w:rFonts w:cstheme="majorHAnsi"/>
          <w:color w:val="auto"/>
          <w:sz w:val="36"/>
          <w:szCs w:val="36"/>
        </w:rPr>
      </w:pPr>
      <w:r w:rsidRPr="00167346">
        <w:rPr>
          <w:rFonts w:cstheme="majorHAnsi"/>
          <w:color w:val="auto"/>
        </w:rPr>
        <w:t>6. Relevance of the Study and Research Contributions</w:t>
      </w:r>
    </w:p>
    <w:p w14:paraId="72A60349" w14:textId="77777777" w:rsidR="00167346" w:rsidRPr="00167346" w:rsidRDefault="00167346" w:rsidP="0046771B">
      <w:r w:rsidRPr="00167346">
        <w:t>The relevance of this research lies at the intersection of business information systems, digital transformation, and AI strategy. Voice LLM agents represent a new category of intelligent systems that combine natural language understanding, speech synthesis, and generative modeling. While their technical capabilities are widely discussed, organizations increasingly require structured frameworks to evaluate their business impact. This study addresses that gap directly by explicitly linking voice LLM agent implementation to measurable business performance indicators—bridging the divide between what these systems can do technically and what value they generate organizationally (Liu et al., 2024).</w:t>
      </w:r>
    </w:p>
    <w:p w14:paraId="65D8FEF4" w14:textId="77777777" w:rsidR="00167346" w:rsidRPr="00167346" w:rsidRDefault="00167346" w:rsidP="0046771B">
      <w:r w:rsidRPr="00167346">
        <w:t xml:space="preserve">Financial services constitute an especially relevant context due to their reliance on high-volume customer interactions, sales conversations, onboarding processes, and compliance-sensitive communication. Improvements in call handling time, lead qualification, conversion rates, or cost per interaction may significantly affect profitability and scalability. For instance, early implementations of </w:t>
      </w:r>
      <w:r w:rsidRPr="00167346">
        <w:lastRenderedPageBreak/>
        <w:t>customer-facing AI have demonstrated substantial reductions in service costs and elevated query resolution rates (Andrade &amp; Tumelero, 2022; Aggarwal et al., 2025). To capture these dynamics systematically, this research develops a structured framework for evaluating business value creation through voice AI, operationalizing key metrics such as cost efficiency, conversion rates, customer experience, and scalability.</w:t>
      </w:r>
    </w:p>
    <w:p w14:paraId="50B9C529" w14:textId="77777777" w:rsidR="00167346" w:rsidRPr="00167346" w:rsidRDefault="00167346" w:rsidP="0046771B">
      <w:r w:rsidRPr="00167346">
        <w:t>By examining the real-world implementation case of Better.com, this research contributes to a better understanding of how advanced AI technologies move from experimentation to operational value creation. In doing so, it derives a practical implementation design pattern offering actionable insights for financial service organizations seeking to deploy voice LLM agents effectively. This relevance directly translates into three distinct contributions:</w:t>
      </w:r>
    </w:p>
    <w:p w14:paraId="01CD8CAA" w14:textId="77777777" w:rsidR="00167346" w:rsidRPr="00167346" w:rsidRDefault="00167346" w:rsidP="00167346">
      <w:pPr>
        <w:pStyle w:val="Heading3"/>
        <w:spacing w:before="360" w:after="240"/>
        <w:rPr>
          <w:rFonts w:cstheme="majorHAnsi"/>
          <w:color w:val="auto"/>
          <w:sz w:val="30"/>
          <w:szCs w:val="30"/>
        </w:rPr>
      </w:pPr>
      <w:r w:rsidRPr="00167346">
        <w:rPr>
          <w:rFonts w:cstheme="majorHAnsi"/>
          <w:color w:val="auto"/>
          <w:sz w:val="30"/>
          <w:szCs w:val="30"/>
        </w:rPr>
        <w:t>6.1 Academic Contribution</w:t>
      </w:r>
    </w:p>
    <w:p w14:paraId="459A1645" w14:textId="77777777" w:rsidR="00167346" w:rsidRPr="00167346" w:rsidRDefault="00167346" w:rsidP="0046771B">
      <w:r w:rsidRPr="00167346">
        <w:t>From an academic perspective, this study directly addresses the glaring empirical void surrounding the actual organizational outcomes of advanced conversational AI. By systematically connecting technical AI implementation to measurable business performance outcomes, the research substantially extends the theoretical understanding of AI value creation. It forces the academic conversation to move beyond the prevalent focus on user acceptance and algorithmic design to establish a concrete link between generative voice AI and the underlying economics of customer service. Furthermore, by utilizing a real-world, high-stakes financial services case, it grounds theoretical discussions of AI transformation in observable corporate realities, contributing rich empirical data to the literature on digital business strategy and information systems management (Liu et al., 2024; Aggarwal et al., 2025).</w:t>
      </w:r>
    </w:p>
    <w:p w14:paraId="43553DF8" w14:textId="77777777" w:rsidR="00167346" w:rsidRPr="00167346" w:rsidRDefault="00167346" w:rsidP="00167346">
      <w:pPr>
        <w:pStyle w:val="Heading3"/>
        <w:spacing w:before="360" w:after="240"/>
        <w:rPr>
          <w:rFonts w:cstheme="majorHAnsi"/>
          <w:color w:val="auto"/>
          <w:sz w:val="30"/>
          <w:szCs w:val="30"/>
        </w:rPr>
      </w:pPr>
      <w:r w:rsidRPr="00167346">
        <w:rPr>
          <w:rFonts w:cstheme="majorHAnsi"/>
          <w:color w:val="auto"/>
          <w:sz w:val="30"/>
          <w:szCs w:val="30"/>
        </w:rPr>
        <w:t>6.2 Practical Contribution</w:t>
      </w:r>
    </w:p>
    <w:p w14:paraId="383728F6" w14:textId="77777777" w:rsidR="00167346" w:rsidRPr="00167346" w:rsidRDefault="00167346" w:rsidP="0046771B">
      <w:r w:rsidRPr="00167346">
        <w:t>Practically, this research provides vital, highly actionable insights for organizational leaders, Chief Information Officers (CIOs), and digital transformation managers. The thesis helps modern companies evaluate the viability of substantial AI investments by demonstrating exactly how to systematically understand and measure the Return on Investment (ROI) of complex voice AI initiatives. By documenting the operational hurdles, necessary architectural prerequisites, and resultant efficiency gains experienced at Better.com, the study yields a structured implementation blueprint. This enables financial service organizations to look well beyond the commercial hype of generative AI and make informed, strategically sound decisions regarding the deployment, scaling, and long-term governance of voice LLM agents.</w:t>
      </w:r>
    </w:p>
    <w:p w14:paraId="372B455A" w14:textId="77777777" w:rsidR="00167346" w:rsidRPr="00167346" w:rsidRDefault="00167346" w:rsidP="00167346">
      <w:pPr>
        <w:pStyle w:val="Heading3"/>
        <w:spacing w:before="360" w:after="240"/>
        <w:rPr>
          <w:rFonts w:cstheme="majorHAnsi"/>
          <w:color w:val="auto"/>
          <w:sz w:val="30"/>
          <w:szCs w:val="30"/>
        </w:rPr>
      </w:pPr>
      <w:r w:rsidRPr="00167346">
        <w:rPr>
          <w:rFonts w:cstheme="majorHAnsi"/>
          <w:color w:val="auto"/>
          <w:sz w:val="30"/>
          <w:szCs w:val="30"/>
        </w:rPr>
        <w:t>6.3 Methodological Contribution</w:t>
      </w:r>
    </w:p>
    <w:p w14:paraId="12105B53" w14:textId="77777777" w:rsidR="00167346" w:rsidRPr="00167346" w:rsidRDefault="00167346" w:rsidP="0046771B">
      <w:r w:rsidRPr="00167346">
        <w:t xml:space="preserve">Perhaps most notably, this thesis delivers a highly robust methodological contribution through its sophisticated mixed-methods triangulation design. Accurately evaluating the true business impact of AI requires looking past isolated metrics or singular viewpoints. This research rigorously combines qualitative process tracing of the Better.com case study with deep financial analysis of SEC-reported performance metrics and advanced quantitative Natural Language Processing (NLP) analysis of longitudinal customer review data. This specific methodological triangulation—merging rigid </w:t>
      </w:r>
      <w:r w:rsidRPr="00167346">
        <w:lastRenderedPageBreak/>
        <w:t>corporate financial disclosures with algorithmic sentiment and topic modeling of raw consumer feedback—is exceptionally rare and incredibly powerful in contemporary information systems research. It ensures a remarkably high degree of validity, allowing the study to definitively prove whether operational cost efficiencies come at the invisible expense of customer satisfaction.</w:t>
      </w:r>
    </w:p>
    <w:p w14:paraId="188C3986" w14:textId="77777777" w:rsidR="00167346" w:rsidRPr="00167346" w:rsidRDefault="00167346" w:rsidP="00167346">
      <w:pPr>
        <w:pStyle w:val="Heading2"/>
        <w:spacing w:before="360" w:after="240"/>
        <w:rPr>
          <w:rFonts w:cstheme="majorHAnsi"/>
          <w:color w:val="auto"/>
          <w:sz w:val="36"/>
          <w:szCs w:val="36"/>
        </w:rPr>
      </w:pPr>
      <w:r w:rsidRPr="00167346">
        <w:rPr>
          <w:rFonts w:cstheme="majorHAnsi"/>
          <w:color w:val="auto"/>
        </w:rPr>
        <w:t>7. Scope and Boundaries of the Research</w:t>
      </w:r>
    </w:p>
    <w:p w14:paraId="56879043" w14:textId="77777777" w:rsidR="00167346" w:rsidRPr="00167346" w:rsidRDefault="00167346" w:rsidP="0046771B">
      <w:r w:rsidRPr="00167346">
        <w:t>This study focuses on a single in-depth case: Better.com, a digital mortgage platform operating within the financial services sector. The company serves as the primary empirical context in which the integration and impact of voice LLM agents are examined. ElevenLabs, specifically its ElevenAgents technology, is treated as the enabling technological infrastructure that supports high-quality voice-based conversational AI. While this is fundamentally a single-company case study to enable depth of analysis, Rocket Mortgage is explicitly utilized within the methodology purely as a comparative market benchmark to contextualize Better.com's financial performance metrics.</w:t>
      </w:r>
    </w:p>
    <w:p w14:paraId="29B6383A" w14:textId="77777777" w:rsidR="00167346" w:rsidRPr="00167346" w:rsidRDefault="00167346" w:rsidP="0046771B">
      <w:r w:rsidRPr="00167346">
        <w:t>The research relies exclusively on publicly available data sources to ensure transparency and replicability. This includes comprehensive corporate SEC filings—such as annual 10-K reports, S-1 registration forms, and quarterly earnings transcripts—as well as publicly accessible customer reviews and relevant academic literature. No proprietary or internal company data is used.</w:t>
      </w:r>
    </w:p>
    <w:p w14:paraId="4E97D366" w14:textId="77777777" w:rsidR="00167346" w:rsidRPr="00167346" w:rsidRDefault="00167346" w:rsidP="0046771B">
      <w:r w:rsidRPr="00167346">
        <w:t>Finally, the research does not aim to analyze ethical risks, regulatory concerns, or broader societal implications of AI-generated voices. While such topics are undoubtedly important (Adam et al., 2021), they fall outside the primary objective of this thesis, which is strictly centered on business value creation and process integration. Furthermore, the study does not attempt to build, train, or test a technical AI model. These boundaries ensure analytical clarity and maintain a highly focused, feasible research scope.</w:t>
      </w:r>
    </w:p>
    <w:p w14:paraId="3195D117" w14:textId="77777777" w:rsidR="00167346" w:rsidRPr="00167346" w:rsidRDefault="00167346" w:rsidP="00167346">
      <w:pPr>
        <w:pStyle w:val="Heading2"/>
        <w:spacing w:before="360" w:after="240"/>
        <w:rPr>
          <w:rFonts w:cstheme="majorHAnsi"/>
          <w:color w:val="auto"/>
          <w:sz w:val="36"/>
          <w:szCs w:val="36"/>
        </w:rPr>
      </w:pPr>
      <w:r w:rsidRPr="00167346">
        <w:rPr>
          <w:rFonts w:cstheme="majorHAnsi"/>
          <w:color w:val="auto"/>
        </w:rPr>
        <w:t>8. Structure of the Thesis</w:t>
      </w:r>
    </w:p>
    <w:p w14:paraId="5B831B72" w14:textId="77777777" w:rsidR="00167346" w:rsidRPr="00167346" w:rsidRDefault="00167346" w:rsidP="0046771B">
      <w:r w:rsidRPr="00167346">
        <w:t>The remainder of this thesis is logically structured to provide a comprehensive, systematic investigation of the research problem from theory to empirical findings.</w:t>
      </w:r>
    </w:p>
    <w:p w14:paraId="553A2085" w14:textId="78F73397" w:rsidR="00665E8C" w:rsidRDefault="00167346" w:rsidP="0046771B">
      <w:r w:rsidRPr="00167346">
        <w:rPr>
          <w:rStyle w:val="Strong"/>
          <w:rFonts w:asciiTheme="majorHAnsi" w:hAnsiTheme="majorHAnsi" w:cstheme="majorHAnsi"/>
          <w:color w:val="auto"/>
          <w:sz w:val="21"/>
          <w:szCs w:val="21"/>
        </w:rPr>
        <w:t>Chapter 2</w:t>
      </w:r>
      <w:r w:rsidRPr="00167346">
        <w:t> presents a thorough review of the literature, tracing the evolution from general AI applications in finance to the specific nuances of conversational AI and the theoretical mechanisms of business value creation. </w:t>
      </w:r>
      <w:r w:rsidRPr="00167346">
        <w:rPr>
          <w:rStyle w:val="Strong"/>
          <w:rFonts w:asciiTheme="majorHAnsi" w:hAnsiTheme="majorHAnsi" w:cstheme="majorHAnsi"/>
          <w:color w:val="auto"/>
          <w:sz w:val="21"/>
          <w:szCs w:val="21"/>
        </w:rPr>
        <w:t>Chapter 3</w:t>
      </w:r>
      <w:r w:rsidRPr="00167346">
        <w:t> outlines the rigorous research methodology, detailing the mixed-methods triangulation approach, data collection pipelines, and analytical strategies used to evaluate the financial and NLP data. </w:t>
      </w:r>
      <w:r w:rsidRPr="00167346">
        <w:rPr>
          <w:rStyle w:val="Strong"/>
          <w:rFonts w:asciiTheme="majorHAnsi" w:hAnsiTheme="majorHAnsi" w:cstheme="majorHAnsi"/>
          <w:color w:val="auto"/>
          <w:sz w:val="21"/>
          <w:szCs w:val="21"/>
        </w:rPr>
        <w:t>Chapter 4</w:t>
      </w:r>
      <w:r w:rsidRPr="00167346">
        <w:t> introduces the empirical case study, establishing the corporate history of Better.com, the severe macroeconomic pressures driving its AI strategy, and the technical architecture of its proprietary Tinman platform. </w:t>
      </w:r>
      <w:r w:rsidRPr="00167346">
        <w:rPr>
          <w:rStyle w:val="Strong"/>
          <w:rFonts w:asciiTheme="majorHAnsi" w:hAnsiTheme="majorHAnsi" w:cstheme="majorHAnsi"/>
          <w:color w:val="auto"/>
          <w:sz w:val="21"/>
          <w:szCs w:val="21"/>
        </w:rPr>
        <w:t>Chapter 5</w:t>
      </w:r>
      <w:r w:rsidRPr="00167346">
        <w:t> constitutes the core analytical chapter, presenting the triangulated data findings and directly answering the research questions by evaluating both the integration process and the business value outcomes. </w:t>
      </w:r>
      <w:r w:rsidRPr="00167346">
        <w:rPr>
          <w:rStyle w:val="Strong"/>
          <w:rFonts w:asciiTheme="majorHAnsi" w:hAnsiTheme="majorHAnsi" w:cstheme="majorHAnsi"/>
          <w:color w:val="auto"/>
          <w:sz w:val="21"/>
          <w:szCs w:val="21"/>
        </w:rPr>
        <w:t>Chapter 6</w:t>
      </w:r>
      <w:r w:rsidRPr="00167346">
        <w:t> synthesizes these critical findings into a formalized Design Pattern for voice AI implementation in financial services, representing the study's primary theoretical output. </w:t>
      </w:r>
      <w:r w:rsidRPr="00167346">
        <w:rPr>
          <w:rStyle w:val="Strong"/>
          <w:rFonts w:asciiTheme="majorHAnsi" w:hAnsiTheme="majorHAnsi" w:cstheme="majorHAnsi"/>
          <w:color w:val="auto"/>
          <w:sz w:val="21"/>
          <w:szCs w:val="21"/>
        </w:rPr>
        <w:t>Chapter 7</w:t>
      </w:r>
      <w:r w:rsidRPr="00167346">
        <w:t> discusses the broad implications of the findings in relation to the existing literature. Finally, </w:t>
      </w:r>
      <w:r w:rsidRPr="00167346">
        <w:rPr>
          <w:rStyle w:val="Strong"/>
          <w:rFonts w:asciiTheme="majorHAnsi" w:hAnsiTheme="majorHAnsi" w:cstheme="majorHAnsi"/>
          <w:color w:val="auto"/>
          <w:sz w:val="21"/>
          <w:szCs w:val="21"/>
        </w:rPr>
        <w:t>Chapters 8 and 9</w:t>
      </w:r>
      <w:r w:rsidRPr="00167346">
        <w:t> outline the necessary limitations of the research and provide concluding remarks alongside vital avenues for future scholarly study.</w:t>
      </w:r>
    </w:p>
    <w:p w14:paraId="3E831D6B" w14:textId="0581C4F9" w:rsidR="00AA5FFC" w:rsidRPr="00665E8C" w:rsidRDefault="00AA5FFC" w:rsidP="0046771B">
      <w:r>
        <w:rPr>
          <w:noProof/>
        </w:rPr>
        <w:lastRenderedPageBreak/>
        <w:drawing>
          <wp:inline distT="0" distB="0" distL="0" distR="0" wp14:anchorId="5E6E2B58" wp14:editId="2F987482">
            <wp:extent cx="5760085" cy="3398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085" cy="3398520"/>
                    </a:xfrm>
                    <a:prstGeom prst="rect">
                      <a:avLst/>
                    </a:prstGeom>
                  </pic:spPr>
                </pic:pic>
              </a:graphicData>
            </a:graphic>
          </wp:inline>
        </w:drawing>
      </w:r>
    </w:p>
    <w:p w14:paraId="36498D11" w14:textId="77777777" w:rsidR="00140FF8" w:rsidRDefault="00790174">
      <w:pPr>
        <w:pStyle w:val="Heading1"/>
      </w:pPr>
      <w:bookmarkStart w:id="1" w:name="_Toc227354315"/>
      <w:r>
        <w:t>Literature review</w:t>
      </w:r>
      <w:bookmarkEnd w:id="1"/>
    </w:p>
    <w:p w14:paraId="3EB5A682" w14:textId="77777777" w:rsidR="00140FF8" w:rsidRDefault="00790174">
      <w:r>
        <w:t>The literature review is organized as a logical progression from general to specific, gradually narrowing down to the core topic of the thesis:</w:t>
      </w:r>
    </w:p>
    <w:p w14:paraId="59C1ACA8" w14:textId="77777777" w:rsidR="00140FF8" w:rsidRDefault="00790174">
      <w:r>
        <w:t>AI in Financial Services – establishes the overall context of AI adoption and digital transformation in the financial sector.</w:t>
      </w:r>
    </w:p>
    <w:p w14:paraId="7609844A" w14:textId="77777777" w:rsidR="00140FF8" w:rsidRDefault="00790174">
      <w:r>
        <w:t>Conversational AI in Customer Service – examines how AI systems (e.g., chatbots) are used in customer-facing processes.</w:t>
      </w:r>
    </w:p>
    <w:p w14:paraId="66251439" w14:textId="77777777" w:rsidR="00140FF8" w:rsidRDefault="00790174">
      <w:r>
        <w:t>Voice AI and LLM Agents – focuses on advanced voice-based systems and their role in real-world business applications (core focus of the thesis).</w:t>
      </w:r>
    </w:p>
    <w:p w14:paraId="3785CCF6" w14:textId="77777777" w:rsidR="00140FF8" w:rsidRDefault="00790174">
      <w:r>
        <w:t>Business Value of AI – analyzes how AI contributes to measurable performance outcomes such as efficiency, cost reduction, and revenue generation.</w:t>
      </w:r>
    </w:p>
    <w:p w14:paraId="2314D5AE" w14:textId="77777777" w:rsidR="00140FF8" w:rsidRDefault="00790174">
      <w:r>
        <w:t>Consumer Behavior and AI Interaction – explains how users perceive and interact with AI systems, supporting the understanding of value creation mechanisms.</w:t>
      </w:r>
    </w:p>
    <w:p w14:paraId="715645A8" w14:textId="77777777" w:rsidR="00140FF8" w:rsidRDefault="00790174">
      <w:pPr>
        <w:pStyle w:val="Heading2"/>
      </w:pPr>
      <w:bookmarkStart w:id="2" w:name="_Toc227354316"/>
      <w:r>
        <w:t>Artificial Intelligence in Financial Services</w:t>
      </w:r>
      <w:bookmarkEnd w:id="2"/>
    </w:p>
    <w:p w14:paraId="15BB28E2" w14:textId="77777777" w:rsidR="00140FF8" w:rsidRDefault="00790174">
      <w:r>
        <w:t xml:space="preserve">The integration of artificial intelligence into financial services represents one of the most consequential technological shifts in the industry's recent history. Driven by advances in computing power, the availability of large-scale data, and growing competitive pressure, financial institutions have increasingly turned to AI not merely as an efficiency tool but as a strategic infrastructure for service delivery, risk management, and customer engagement. Hentzen et al. (2022) provide a </w:t>
      </w:r>
      <w:r>
        <w:lastRenderedPageBreak/>
        <w:t>comprehensive foundation for understanding this landscape through a systematic review of 90 peer-reviewed studies on AI in customer-facing financial services. Their analysis confirms that AI is already deployed across a wide range of functions, including fraud detection, credit scoring, algorithmic trading, robo-advisory, and chatbot-based customer interaction, with the banking sector representing the most intensively studied context. Importantly, their findings also reveal a structural imbalance in the field: most research to date has been data-driven and technically oriented, with comparatively little attention paid to theoretical frameworks capable of explaining how and why AI generates value for different organizational actors. This gap is particularly relevant for a thesis concerned with business value creation, as it points to the need to situate technical capabilities within broader organizational and strategic contexts.</w:t>
      </w:r>
    </w:p>
    <w:p w14:paraId="481C1A7A" w14:textId="77777777" w:rsidR="00140FF8" w:rsidRDefault="00790174">
      <w:r>
        <w:t>From a functional perspective, the efficiency gains enabled by AI in financial services are substantial and well-documented. Liu et al. (2024) examine this from the vantage point of financial investment, arguing that AI has fundamentally restructured how market participants process information and make decisions. In the domain of market trend prediction, convolutional neural network (CNN)-based approaches have been shown to outperform traditional trading strategies as well as one-dimensional time-series models, achieving accuracy rates exceeding 53% in predicting US stock returns while generating annualized Sharpe ratios of up to 2.4 in equal-weight portfolios. Portfolio optimization has similarly been transformed by deep reinforcement learning algorithms, which enable continuous adaptation to shifting market conditions at a level of responsiveness that conventional quantitative methods cannot match. Beyond trading, real-time anomaly detection systems using machine learning have enhanced the capacity of regulators and compliance teams to identify irregular transaction patterns with greater speed and precision than post-hoc manual review procedures. These developments indicate that AI's role in financial services has expanded well beyond the automation of administrative tasks into the domain of complex, judgment-intensive decision-making that was previously the exclusive province of human specialists.</w:t>
      </w:r>
    </w:p>
    <w:p w14:paraId="793092E2" w14:textId="77777777" w:rsidR="00140FF8" w:rsidRDefault="00790174">
      <w:r>
        <w:t>At the operational level, the cost-reduction potential of AI is equally significant. Liu et al. (2024) point to intelligent customer service systems and robotic process automation (RPA) as two of the most commercially relevant implementations. The Industrial and Commercial Bank of China's "Gong Xiaozhi" system, for example, achieves a 98% customer query recognition rate while operating across more than twenty communication channels simultaneously, substantially reducing the reliance on human agents for routine inquiries. Similarly, Hangzhou Bank's deployment of RPA technology for loan processing automation has enabled the system to operate continuously and achieve a 100% accuracy rate in document verification tasks, compressing approval times and improving customer satisfaction. Morgan Stanley's integration of GPT-4 into its wealth management operations further illustrates how large language model technology is beginning to reshape higher-value advisory functions, enabling financial advisors to retrieve and synthesize internal research at scale. These cases collectively demonstrate that AI creates business value not by replacing human judgment wholesale but by structurally altering the division of labor between human and automated processes across different tiers of complexity.</w:t>
      </w:r>
    </w:p>
    <w:p w14:paraId="577FDCC4" w14:textId="77777777" w:rsidR="00140FF8" w:rsidRDefault="00790174">
      <w:r>
        <w:t xml:space="preserve">However, the adoption of AI in financial services is far from uniform, and the organizational and managerial dimensions of implementation present challenges that technical capability alone cannot resolve. Mogaji and Nguyen (2021) investigate this reality through semi-structured interviews with 47 bank managers across four countries — the United Kingdom, Canada, Nigeria, and Vietnam — and </w:t>
      </w:r>
      <w:r>
        <w:lastRenderedPageBreak/>
        <w:t>find that while managers broadly recognize the strategic importance of AI, its adoption is mediated by a complex set of institutional, organizational, and regulatory factors. Managers frequently struggled to communicate the business case for AI to senior leadership, to assemble teams with the necessary technical competencies, and to govern development processes that were often partially or entirely outsourced. The study also challenges a prevalent misconception in both practitioner and academic discourse: that AI in financial services is primarily synonymous with customer-facing chatbot deployment. On the contrary, Mogaji and Nguyen (2021) argue that the more consequential applications lie in areas such as credit evaluation, behavioral analytics, and personalized product recommendation systems operating invisibly within backend infrastructure. This distinction between AI as a back-end operational tool and AI as a customer-facing service interface is analytically important and is further reinforced by the conceptual framework they develop, which maps the full data ecosystem — from customer data collection through third-party aggregation to algorithmic processing — within which financial AI operates.</w:t>
      </w:r>
    </w:p>
    <w:p w14:paraId="5F451DFF" w14:textId="77777777" w:rsidR="00140FF8" w:rsidRDefault="00790174">
      <w:r>
        <w:t>A cross-cutting finding across all three bodies of work is the uneven development of AI capability and governance across geographic and institutional contexts. Hentzen et al. (2022) note that research predominantly draws on data from North America and Western Europe, leaving developing and emerging market contexts underrepresented. Mogaji and Nguyen (2021) corroborate this empirically: managers in Nigeria and Vietnam reported not only more limited technological infrastructure but also weaker regulatory frameworks for AI oversight, in contrast to their counterparts in the UK, who acknowledged the proactive role of the Financial Conduct Authority in setting ethical and operational standards for AI deployment. This regulatory asymmetry has direct implications for how organizations in different contexts can responsibly scale AI implementations and what governance safeguards need to be developed in parallel.</w:t>
      </w:r>
    </w:p>
    <w:p w14:paraId="799CB4D2" w14:textId="77777777" w:rsidR="00140FF8" w:rsidRDefault="00790174">
      <w:r>
        <w:t>Taken together, these three studies establish that AI in financial services is a multidimensional phenomenon with consequences spanning operational efficiency, investment decision-making, customer engagement, and organizational governance. The breadth of these applications underscores why a single-function perspective is insufficient for understanding AI's business impact. It also reveals that as AI moves closer to the customer interface — whether through advisory tools, automated decision systems, or real-time service delivery — the specific modalities through which customers interact with these systems become increasingly consequential. This shift in emphasis from back-end processing to front-end engagement sets the analytical foundation for the following section, which examines conversational AI as a distinct and rapidly evolving dimension of AI-enabled customer service in financial institutions.</w:t>
      </w:r>
    </w:p>
    <w:p w14:paraId="0BD1DFCB" w14:textId="77777777" w:rsidR="00140FF8" w:rsidRDefault="00790174">
      <w:pPr>
        <w:pStyle w:val="Heading2"/>
      </w:pPr>
      <w:bookmarkStart w:id="3" w:name="_Toc227354317"/>
      <w:r>
        <w:t>Conversational AI in Customer Service</w:t>
      </w:r>
      <w:bookmarkEnd w:id="3"/>
    </w:p>
    <w:p w14:paraId="0D8319D5" w14:textId="77777777" w:rsidR="00140FF8" w:rsidRDefault="00790174">
      <w:r>
        <w:t xml:space="preserve">The deployment of artificial intelligence in customer-facing service roles has been most visibly expressed through the development of conversational AI — systems designed to interact with customers through natural language dialogue. Understanding what distinguishes conversational AI from broader AI applications requires a theoretical foundation capable of capturing the different cognitive and relational demands that service interactions place on automated systems. Huang and Rust (2018) provide such a foundation through a framework specifying four types of intelligence required for service tasks: mechanical, analytical, intuitive, and empathetic. Within this hierarchy, conversational AI occupies a distinctive position, combining analytical intelligence — the capacity to </w:t>
      </w:r>
      <w:r>
        <w:lastRenderedPageBreak/>
        <w:t>process language, identify intent, and generate contextually appropriate responses — with increasingly sophisticated attempts at empathetic intelligence, which involves recognising and responding to the emotional and relational dimensions of customer communication. Critically, Huang and Rust (2018) argue that AI develops in a predictable order across these intelligence types, with mechanical and analytical capabilities maturing earlier than intuitive and empathetic ones. This developmental trajectory carries significant implications for customer service: systems optimised for transactional efficiency may be structurally ill-equipped to handle the full complexity of relational service encounters, a tension that runs through the entire literature on chatbots in organisational contexts.</w:t>
      </w:r>
    </w:p>
    <w:p w14:paraId="7982C4DC" w14:textId="77777777" w:rsidR="00140FF8" w:rsidRDefault="00790174">
      <w:r>
        <w:t>Within financial services, chatbots have emerged as the dominant operational form of conversational AI, driven by a combination of cost reduction imperatives, digital transformation strategies, and the scalability demands of high-volume customer contact environments. Jang et al. (2021) provide a detailed account of this dynamic through semi-structured interviews with managers in the Korean financial industry, finding that institutions have deployed chatbots primarily for product inquiries, fund purchases, repurchases, overseas money transfers, and routine customer consultations. The managerial rationale is straightforward: chatbots enable 24-hour service availability, eliminate waiting times for standard queries, and redirect human agents toward higher-value interactions requiring nuanced judgment. This pattern of adoption is not confined to technologically mature markets. Abdulquadri et al. (2021), examining Nigerian banking institutions, demonstrate that chatbot deployment has been pursued simultaneously as a digital transformation tool and as a mechanism for extending financial inclusion to customer segments previously underserved by branch-based service models. The cross-market consistency of this organisational logic suggests that the appeal of conversational AI in financial services is structural rather than context-specific, rooted in the economics of customer service at scale rather than in the idiosyncrasies of particular institutional environments.</w:t>
      </w:r>
    </w:p>
    <w:p w14:paraId="28C72CE0" w14:textId="77777777" w:rsidR="00140FF8" w:rsidRDefault="00790174">
      <w:r>
        <w:t>The operational case for chatbot deployment is supported by substantive empirical evidence. Andrade and Tumelero (2022) document the experience of a major Brazilian commercial bank deploying an IBM Watson-powered virtual assistant, reporting that the system handled 181 million interactions and 7.6 million direct customer attendances in 2020 alone — an increase of more than 1,000% in virtual assistant usage from the preceding year. The study identifies gains in service agility, availability, accessibility, and predictability, while also documenting a significant reduction in call centre queues that enabled human agents to concentrate their capacity on complex, high-involvement interactions. Zhang et al. (2023) extend this performance evidence into a call centre context through an event study design applied to a Chinese telecommunications firm, finding that the introduction of an AI-based conversational agent measurably increased average call length — a counterintuitive result that the authors interpret as evidence of improved interaction quality, with the AI handling brief routine queries and routing more substantive conversations to human agents, thereby raising the average complexity and duration of calls that persisted in the system. Together, these studies establish that conversational AI generates quantifiable operational value when appropriately deployed, but also that its effects on service dynamics are more nuanced than simple volume reduction.</w:t>
      </w:r>
    </w:p>
    <w:p w14:paraId="7C115813" w14:textId="77777777" w:rsidR="00140FF8" w:rsidRDefault="00790174">
      <w:r>
        <w:t xml:space="preserve">The consumer dimension of chatbot adoption introduces a further layer of complexity. Research has consistently shown that how a conversational system presents itself — not merely what it says — </w:t>
      </w:r>
      <w:r>
        <w:lastRenderedPageBreak/>
        <w:t>significantly influences customer responses. Adam et al. (2021) demonstrates through a randomised online experiment that anthropomorphic design cues, including identity signals, empathetic language, and conversational small talk, substantially increase the likelihood that users comply with chatbot service requests. The theoretical mechanism they identify is social presence — the degree to which an interlocutor is perceived as a real person present in the interaction. Social presence mediates the relationship between anthropomorphic design and user compliance, meaning that design choices that make a chatbot feel more human-like translate into more productive service exchanges. This finding is consequential because it reveals that the effectiveness of conversational AI is not a purely functional property of its information retrieval capability, but is contingent on the relational dynamics of the interaction itself. The implication for system design is significant: investing in linguistic and interpersonal design features produces measurable behavioural outcomes, independent of the underlying technical sophistication of the system.</w:t>
      </w:r>
    </w:p>
    <w:p w14:paraId="406CD4C7" w14:textId="77777777" w:rsidR="00140FF8" w:rsidRDefault="00790174">
      <w:r>
        <w:t>Consumer responses to conversational AI are, however, conditional on the nature of the task being addressed. Xu et al. (2020), using three field-based experiments conducted in a banking services context, find that consumers perceive AI as superior to human customer service for low-complexity tasks, where speed, accuracy, and availability are the primary determinants of service quality. The same consumers, however, assess human agents as unambiguously superior when task complexity increases — a finding operationalised through perceived problem-solving ability as the mediating mechanism between service type, task complexity, and usage intention. This task-complexity boundary condition carries important consequences for financial services specifically, where the interaction portfolio spans a wide range from highly routine queries such as balance enquiries and payment confirmations to complex, high-stakes conversations around mortgage applications, investment decisions, or financial hardship. Text-based chatbots optimised for the former category of interaction are structurally disadvantaged when deployed across the full spectrum of customer needs, a limitation that becomes increasingly visible as digital-first financial organisations seek to automate more of their customer conversation pipeline.</w:t>
      </w:r>
    </w:p>
    <w:p w14:paraId="2A2BA425" w14:textId="77777777" w:rsidR="00140FF8" w:rsidRDefault="00790174">
      <w:r>
        <w:t>The relational deficit of current conversational AI systems represents a theoretical challenge that goes beyond task complexity. Blümel et al. (2024) develop a conceptual framework of relational personalisation for conversational AI grounded in social information processing theory, arguing that effective automated customer service requires not only accurate information retrieval but also the capacity to personalise communication styles based on psychological and individual customer knowledge, contextual service factors, and the specific emotional register of the interaction. Their framework identifies multiple conversation styles — including empathy expression, relationship acknowledgement, and tone adaptation — whose degree of personalisation must be calibrated to individual customers to deliver genuinely relational service quality. The authors draw a critical distinction between functional personalisation, which tailors information content to individual needs, and relational personalisation, which tailors the communicative and emotional character of the interaction itself. Current text-based conversational AI systems demonstrate considerably more capability in the former than the latter. As Blümel et al. (2024) note, customer service conversations are becoming increasingly digital and automated, yet this automation frequently produces encounters that customers experience as impersonal — a paradox that undermines the relational foundations on which financial service relationships are built.</w:t>
      </w:r>
    </w:p>
    <w:p w14:paraId="6744EEB7" w14:textId="77777777" w:rsidR="00140FF8" w:rsidRDefault="00790174">
      <w:r>
        <w:lastRenderedPageBreak/>
        <w:t>Synthesising across this body of evidence, a coherent picture emerges of conversational AI as a technology that has delivered real and measurable value in routine, high-volume service contexts while simultaneously encountering structural limitations when applied to interactions requiring emotional attunement, relational continuity, or complex problem-solving. These limitations are not simply technical deficiencies awaiting incremental improvement; they reflect the fundamental constraints of text-based interaction as a modality. Text strips away paralinguistic cues — tone of voice, pace, warmth — that play a crucial role in how customers experience service quality and how trust is established in high-stakes financial conversations. The emergence of large language model technology, capable of generating contextually rich, multi-turn dialogue with substantially greater depth and adaptability than rule-based or first-generation AI systems, creates the preconditions for a qualitative shift in automated customer interaction. The most consequential expression of this shift is the move from text-based to voice-based conversational agents — systems that restore the communicative richness of spoken language while retaining the scalability and availability advantages of automation. It is to this development, and its specific implications for financial services operations, that the following section turns.</w:t>
      </w:r>
    </w:p>
    <w:p w14:paraId="5A86C310" w14:textId="77777777" w:rsidR="00140FF8" w:rsidRDefault="00790174">
      <w:pPr>
        <w:pStyle w:val="Heading2"/>
      </w:pPr>
      <w:bookmarkStart w:id="4" w:name="_Toc227354318"/>
      <w:r>
        <w:t>Voice AI and LLM Agents</w:t>
      </w:r>
      <w:bookmarkEnd w:id="4"/>
    </w:p>
    <w:p w14:paraId="7EF61BD1" w14:textId="77777777" w:rsidR="00140FF8" w:rsidRDefault="00790174">
      <w:r>
        <w:t>The emergence of voice-based artificial intelligence represents a qualitatively distinct development within the broader trajectory of conversational AI, one that extends beyond the incremental improvement of text-based chatbots toward a fundamentally different mode of human-machine interaction. While text-based systems rely on the written exchange of natural language, voice AI systems engage customers through spoken dialogue, integrating speech recognition, natural language processing, and speech synthesis into a unified conversational interface. Aggarwal et al. (2025) define Voice AI technology as the broad body of tools and technologies that use AI to drive synthetic voice interfaces, characterised by systems that are responsive and conversational, operate with superhuman-like speed and accuracy, demonstrate adaptive learning from prior interactions, and exhibit qualities approaching empathic responsiveness. This definition is significant because it positions voice AI not merely as a channel variation — voice instead of text — but as a technological architecture with distinct capabilities that alter the fundamental character of automated service encounters. The commercial scale of this shift is substantial: the global voice AI market was valued at approximately $12 billion in 2022 and is projected to reach $50 billion by 2029, expanding at a compound annual growth rate of 21.8%, with industry estimates suggesting that deployment of voice assistants reduces customer service costs by approximately 20% for early-adopting firms (Aggarwal et al., 2025).</w:t>
      </w:r>
    </w:p>
    <w:p w14:paraId="42962D6B" w14:textId="77777777" w:rsidR="00140FF8" w:rsidRDefault="00790174">
      <w:r>
        <w:t xml:space="preserve">The most immediate operational context in which voice AI has been empirically studied is the call centre, where the technology is deployed as a replacement for traditional interactive voice response systems. Wang et al. (2023) examine this transition through a natural field experiment conducted at a large telecommunications company in China, providing one of the most rigorous empirical tests of voice AI's operational effects in a real service context. The methodological design is particularly robust: the company rolled out its voice-based AI system to a portion of customers determined by the last digit of their phone numbers, creating quasi-experimental variation that allows difference-in-differences analysis to isolate the causal effects of AI implementation. The contrast between the AI system and the IVR system it replaces is theoretically meaningful. Where the IVR system organises </w:t>
      </w:r>
      <w:r>
        <w:lastRenderedPageBreak/>
        <w:t>service options in a rigid hierarchical tree structure requiring customers to navigate sequential menus using phone keypads, the voice AI system allows customers to express their needs through natural spoken dialogue, with the system routing them directly to appropriate services. This shift from hierarchical navigation to conversational interaction introduces what Wang et al. (2023) term service flexibility — the capacity of the system to accommodate diverse customer needs and communication preferences without requiring conformity to pre-scripted service pathways.</w:t>
      </w:r>
    </w:p>
    <w:p w14:paraId="16592B87" w14:textId="77777777" w:rsidR="00140FF8" w:rsidRDefault="00790174">
      <w:r>
        <w:t>The empirical results from Wang et al. (2023) reveal a nuanced performance profile with important implications for how organisations should interpret and manage AI implementation. The introduction of the voice AI system temporarily increases the duration of machine service interactions by approximately 5.65% and initially elevates customer demand for human agent transfers — effects the authors attribute to a novelty effect as customers adapt to an unfamiliar interaction mode. Crucially, however, the AI system persistently and significantly reduces customer complaints, with the estimated magnitude of this reduction reaching 61.54% compared to the pre-implementation baseline. This persistent complaint reduction, even as interaction duration temporarily increases, reveals that the quality of the customer experience — rather than the raw efficiency of the interaction — is the primary dimension on which voice AI generates value in the short term. Zhang et al. (2023), using an event study methodology applied to a separate Chinese telecommunications firm, corroborate this picture at the operational level, finding that the introduction of an AI-based conversational agent increases average call length, a finding consistent with Wang et al.'s (2023) observation that natural dialogue interactions are inherently more expansive than mechanical menu navigation, yet this increase coexists with measurable service quality improvements.</w:t>
      </w:r>
    </w:p>
    <w:p w14:paraId="75E7A2B8" w14:textId="77777777" w:rsidR="00140FF8" w:rsidRDefault="00790174">
      <w:r>
        <w:t>Beyond these aggregate effects, Wang et al. (2023) document important heterogeneity in how different customer populations respond to voice AI systems. The complaint reduction effect is significantly larger for older customers, female customers, and customers with longer tenure in using the traditional IVR system. The authors explain this pattern in terms of the differential burden that rigid menu-based IVR systems place on these groups: older and experienced users are disproportionately aware of the IVR system's limitations and correspondingly more able to appreciate the flexibility and naturalness of voice dialogue. This heterogeneity finding has practical significance for organisations managing AI transitions, as it suggests that the populations most underserved by legacy automated systems may be precisely those who benefit most from voice AI implementation. The study also documents an important constraint: speech-recognition failures in customer-AI interactions significantly increase both demand for human agents and customer complaints. As approximately 28.5% of observed service sessions involved at least one speech-recognition failure, the performance of voice AI is materially dependent on the robustness of its underlying speech processing capabilities — a finding that connects the quality of the AI system's technical infrastructure directly to its service outcomes.</w:t>
      </w:r>
    </w:p>
    <w:p w14:paraId="525A7463" w14:textId="77777777" w:rsidR="00140FF8" w:rsidRDefault="00790174">
      <w:r>
        <w:t xml:space="preserve">The strategic dimension of voice AI implementation extends considerably beyond call centre performance metrics, and it is this dimension that Aggarwal et al. (2025) address through a grounded theory investigation combining consumer surveys, managerial focus groups, and expert interviews across multiple industries. Their framework reveals a series of counterintuitive relationships that challenge conventional technology adoption logic. Foremost among these is the paradoxical relationship between integration potential and investment intensity: firms whose core offerings integrate most naturally with voice AI paradoxically tend to invest less in proprietary voice solutions, </w:t>
      </w:r>
      <w:r>
        <w:lastRenderedPageBreak/>
        <w:t>preferring instead to adopt white-label or licensed platforms because competitive standardisation pressures reduce the incentive for differentiated development. This finding reverses the typical assumption in technology adoption literature that ease of integration encourages investment, revealing that in voice AI contexts, high integration potential can trigger mimetic isomorphism rather than innovation. A second counterintuitive finding concerns the role of regulatory environments. In industries governed by stringent regulatory frameworks — a description that applies directly to financial services — regulatory constraints function as powerful override mechanisms that can suppress voice AI investment even when compelling business cases exist. This dynamic creates an asymmetry between the technical capability to deploy voice AI and the organisational conditions under which deployment is feasible, a tension that financial institutions navigating compliance requirements must actively manage.</w:t>
      </w:r>
    </w:p>
    <w:p w14:paraId="732FEA6E" w14:textId="77777777" w:rsidR="00140FF8" w:rsidRDefault="00790174">
      <w:r>
        <w:t>Aggarwal et al. (2025) also identify domain specialisation as a significant value amplifier in voice AI deployment. Firms that invest in voice AI systems trained on domain-specific knowledge and calibrated to sector-specific use cases demonstrate substantially higher perceived value creation than those deploying generic platforms, because specialisation creates a form of asset specificity that raises the quality of customer interactions and increases competitive differentiation. This insight is particularly pertinent for financial services, where the vocabulary, regulatory requirements, and customer needs are sufficiently distinctive that general-purpose voice AI systems may underperform relative to solutions developed with financial service contexts in mind. The framework further establishes that value creation in voice AI operates simultaneously across multiple pathways — enhanced customer experience, operational cost reduction, and the ability to leverage the system across additional internal and external applications — and that these pathways reinforce one another over time as organisations deepen their AI integration.</w:t>
      </w:r>
    </w:p>
    <w:p w14:paraId="10417074" w14:textId="77777777" w:rsidR="00140FF8" w:rsidRDefault="00790174">
      <w:r>
        <w:t>A recurring theme across this literature is the role of anthropomorphism in shaping how customers respond to voice AI systems, and the findings here are more nuanced than earlier research on text-based chatbots suggested. Aggarwal et al. (2025) find that anthropomorphism does not produce uniform benefits across voice AI use contexts. In applications involving information search and content interaction, higher anthropomorphism enhances engagement. In transactional and commerce-oriented contexts, however, higher levels of human-likeness create discomfort, with customers expressing concern about privacy and feeling that the interaction is inappropriately intimate for a task they conceptualise as functional rather than relational. This context-dependency of anthropomorphism's effects is particularly consequential in financial services, where different interaction types — routine enquiries versus mortgage consultations versus fraud alerts — demand different levels of relational warmth, and where a one-size-fits-all anthropomorphic design approach may actively harm customer experience in certain interaction categories.</w:t>
      </w:r>
    </w:p>
    <w:p w14:paraId="3983DA99" w14:textId="77777777" w:rsidR="00140FF8" w:rsidRDefault="00790174">
      <w:r>
        <w:t xml:space="preserve">Considered together, the studies reviewed in this section establish that voice AI is not simply a more capable version of text-based chatbot technology but a qualitatively different service infrastructure with its own performance dynamics, adoption logic, and strategic implications. The empirical evidence from Wang et al. (2023) and Zhang et al. (2023) confirms that voice AI can deliver persistent improvements in service quality outcomes — most clearly in complaint reduction — while introducing transitional challenges around novelty effects, interaction duration, and speech-recognition reliability. The strategic framework developed by Aggarwal et al. (2025) contextualises these operational findings within a broader theory of value creation and appropriation, identifying </w:t>
      </w:r>
      <w:r>
        <w:lastRenderedPageBreak/>
        <w:t>the conditions under which organisations are likely to realise sustainable business value from voice AI investments and the counterintuitive dynamics that can cause well-resourced firms to underinvest despite favourable use cases. What remains less developed in this body of research, however, is systematic evidence connecting voice AI implementation to the specific quantifiable business performance indicators - conversion rates, cost per interaction, revenue per lead, customer satisfaction scores -those organisations increasingly require to justify and evaluate AI investment decisions. It is precisely this gap that motivates the empirical focus of the following chapters, which examine the Better.com case as a concrete instance of how voice LLM agents translate implementation choices into measurable business outcomes.</w:t>
      </w:r>
    </w:p>
    <w:p w14:paraId="1265EBDD" w14:textId="77777777" w:rsidR="00140FF8" w:rsidRDefault="00790174">
      <w:pPr>
        <w:pStyle w:val="Heading2"/>
      </w:pPr>
      <w:bookmarkStart w:id="5" w:name="_Toc227354319"/>
      <w:r>
        <w:t>Business Value of Artificial Intelligence in Customer Service</w:t>
      </w:r>
      <w:bookmarkEnd w:id="5"/>
    </w:p>
    <w:p w14:paraId="6B162D50" w14:textId="77777777" w:rsidR="00140FF8" w:rsidRDefault="00790174">
      <w:r>
        <w:t>The deployment of AI-powered customer service systems generates business value across multiple dimensions, spanning operational efficiency, customer experience, scalability, and firm-level financial performance. While the technical capabilities of conversational AI have been extensively documented in the literature, a growing body of empirical research now establishes clear linkages between AI implementation and measurable organizational outcomes. Two complementary streams of evidence are particularly instructive: case-based operational analysis and capital market studies.</w:t>
      </w:r>
    </w:p>
    <w:p w14:paraId="4CD54076" w14:textId="77777777" w:rsidR="00140FF8" w:rsidRDefault="00790174">
      <w:pPr>
        <w:pStyle w:val="Heading3"/>
      </w:pPr>
      <w:bookmarkStart w:id="6" w:name="_Toc227354320"/>
      <w:r>
        <w:t>Operational Efficiency and Cost Reduction</w:t>
      </w:r>
      <w:bookmarkEnd w:id="6"/>
    </w:p>
    <w:p w14:paraId="2C16C603" w14:textId="77777777" w:rsidR="00140FF8" w:rsidRDefault="00790174">
      <w:r>
        <w:t>One of the most consistently documented benefits of AI in customer service is its capacity to significantly reduce operational costs while simultaneously increasing throughput. Andrade and Tumelero (2022) provide detailed empirical evidence of this dynamic through a longitudinal case study of a major Brazilian commercial bank. Their findings demonstrate that the bank's AI chatbot achieved a 2,350% increase in customer interactions via WhatsApp between 2019 and 2021, growing from 17 million to approximately 400 million interactions, while the number of customers actively using the virtual assistant expanded by 1,590% over the same period — from one million to 15.9 million users. Critically, these volumetric gains were achieved without a proportional increase in human staffing, reflecting the fundamental cost-efficiency logic of AI-driven automation.</w:t>
      </w:r>
    </w:p>
    <w:p w14:paraId="00B71E16" w14:textId="77777777" w:rsidR="00140FF8" w:rsidRDefault="00790174">
      <w:r>
        <w:t>This efficiency gain is further supported by the chatbot's problem resolution rate, which improved from 77% in 2019 to 92.1% in 2021 — a 19-percentage-point improvement — indicating that value creation through AI is not merely a function of volume, but of quality and assertiveness in service delivery (Andrade &amp; Tumelero, 2022). The authors conclude that AI chatbot applications directly reduce queuing at call centers, redirect human agents toward higher-complexity interactions, and compress interaction times from processes that could take over 20 minutes into responses measured in fractions of seconds. This finding aligns with earlier industry projections suggesting that AI chatbots have the potential to reduce customer service costs by approximately 30% through service expansion and reduced reliance on human labor (Reddy, 2017, as cited in Andrade &amp; Tumelero, 2022).</w:t>
      </w:r>
    </w:p>
    <w:p w14:paraId="0C09DFED" w14:textId="77777777" w:rsidR="00140FF8" w:rsidRDefault="00790174">
      <w:r>
        <w:t xml:space="preserve">From a business process perspective, Andrade and Tumelero (2022) conceptualize these gains within the framework of business process management (BPM), arguing that AI functions as a mechanism for achieving higher organizational efficiency by optimizing, standardizing, and automating service routines. The chatbot acts as a first service layer — always available, highly consistent, and capable of </w:t>
      </w:r>
      <w:r>
        <w:lastRenderedPageBreak/>
        <w:t>filtering and routing complex queries to specialized human agents — thereby creating a hybrid service architecture that maximizes the productivity of both technological and human resources.</w:t>
      </w:r>
    </w:p>
    <w:p w14:paraId="71E047D6" w14:textId="77777777" w:rsidR="00140FF8" w:rsidRDefault="00790174">
      <w:pPr>
        <w:pStyle w:val="Heading3"/>
      </w:pPr>
      <w:bookmarkStart w:id="7" w:name="_Toc227354321"/>
      <w:r>
        <w:t>Customer Experience and Service Quality</w:t>
      </w:r>
      <w:bookmarkEnd w:id="7"/>
    </w:p>
    <w:p w14:paraId="4430BFAF" w14:textId="77777777" w:rsidR="00140FF8" w:rsidRDefault="00790174">
      <w:r>
        <w:t>Beyond cost reduction, AI-enabled customer service systems create value through improvements in service quality and customer experience. Andrade and Tumelero (2022) report that the bank's AI chatbot achieved an average customer satisfaction score of 3.9 out of 5, with more than 70% of users rating their interactions at the highest levels (4 or 5) through WhatsApp. These findings suggest that operational efficiency and customer satisfaction are not in tension — rather, the speed, accessibility, and 24/7 availability offered by AI systems can simultaneously reduce costs and enhance the customer's experience of the service.</w:t>
      </w:r>
    </w:p>
    <w:p w14:paraId="1D368434" w14:textId="77777777" w:rsidR="00140FF8" w:rsidRDefault="00790174">
      <w:r>
        <w:t>This relationship is theoretically consistent with the service-profit chain framework, which posits that improvements in service quality drive customer satisfaction, and customer satisfaction drives loyalty and, ultimately, profitability (Heskett et al., 1994, as cited in Fotheringham &amp; Wiles, 2023). In the context of financial services, where trust, responsiveness, and frictionless access to information are of particular importance, AI systems that deliver consistent, immediate, and accurate responses represent a meaningful enhancement to the customer relationship. Andrade and Tumelero (2022) further highlight that AI analytics enable organizations to predict customer intent progressively, improving the personalization and relevance of interactions over time — a capability that deepens the relational dimension of service and strengthens customer-firm bonds.</w:t>
      </w:r>
    </w:p>
    <w:p w14:paraId="4F7A7A62" w14:textId="77777777" w:rsidR="00140FF8" w:rsidRDefault="00790174">
      <w:pPr>
        <w:pStyle w:val="Heading3"/>
      </w:pPr>
      <w:bookmarkStart w:id="8" w:name="_Toc227354322"/>
      <w:r>
        <w:t>Scalability and Organizational Resilience</w:t>
      </w:r>
      <w:bookmarkEnd w:id="8"/>
    </w:p>
    <w:p w14:paraId="28B5E3FC" w14:textId="77777777" w:rsidR="00140FF8" w:rsidRDefault="00790174">
      <w:r>
        <w:t>A distinctive characteristic of AI-based customer service, relative to human-staffed alternatives, is its inherent scalability. Unlike traditional call center models, where capacity is constrained by headcount and subject to fixed labor costs, AI systems can absorb substantial increases in demand without proportional increases in cost or infrastructure. Andrade and Tumelero (2022) demonstrate this scalability empirically: the Brazilian bank under study was able to sustain service continuity and even expand customer engagement during the disruptions of the COVID-19 pandemic, a period characterized by a dramatic surge in remote financial service interactions. The authors conclude that the bank's AI capabilities rendered it technologically resilient in the face of an exogenous shock that overwhelmed institutions relying primarily on physical service channels.</w:t>
      </w:r>
    </w:p>
    <w:p w14:paraId="64F800FA" w14:textId="77777777" w:rsidR="00140FF8" w:rsidRDefault="00790174">
      <w:r>
        <w:t>This scalability is also relevant from an organizational design perspective. As Andrade and Tumelero (2022) note, the bank's creation of a dedicated Analytical Intelligence Unit (AIU) — responsible for coordinating AI projects, managing vendor relationships, and operating a continuous learning mechanism through its internal "robot school" — reflects the emergence of AI governance as a strategic organizational function. The curatorship model they describe, in which the chatbot's knowledge base is continuously expanded and refined based on real interaction data, represents a form of dynamic capability that compounds the system's value over time.</w:t>
      </w:r>
    </w:p>
    <w:p w14:paraId="194A6D23" w14:textId="77777777" w:rsidR="00140FF8" w:rsidRDefault="00790174">
      <w:pPr>
        <w:pStyle w:val="Heading3"/>
      </w:pPr>
      <w:bookmarkStart w:id="9" w:name="_Toc227354323"/>
      <w:r>
        <w:t>Firm Value and Investor Perception</w:t>
      </w:r>
      <w:bookmarkEnd w:id="9"/>
    </w:p>
    <w:p w14:paraId="574983EC" w14:textId="77777777" w:rsidR="00140FF8" w:rsidRDefault="00790174">
      <w:r>
        <w:t xml:space="preserve">The business value of AI in customer service is not limited to operational metrics — it also manifests in capital market assessments of firm performance. Fotheringham and Wiles (2023) provide rigorous evidence of this relationship through an event study of 153 AI chatbot launch announcements by </w:t>
      </w:r>
      <w:r>
        <w:lastRenderedPageBreak/>
        <w:t>publicly traded firms in the United States. Their findings indicate that investors respond positively to chatbot implementation announcements, with statistically significant positive abnormal returns observed on the event day. This result suggests that financial markets perceive AI-enabled customer service not merely as a cost-saving measure, but as a strategic investment that strengthens firms' market-based relational assets — that is, the quality and depth of customer relationships that generate future revenue streams.</w:t>
      </w:r>
    </w:p>
    <w:p w14:paraId="3A56D505" w14:textId="77777777" w:rsidR="00140FF8" w:rsidRDefault="00790174">
      <w:r>
        <w:t>Importantly, Fotheringham and Wiles (2023) find that this positive market response is significantly stronger for business-to-business (B2B) firms than for business-to-consumer (B2C) counterparts. The authors argue that B2B contexts — characterized by higher customer concentration, greater switching costs, and more complex service interactions — stand to gain disproportionately from AI implementations that deliver faster, more consistent, and more integrated service experiences. Given that financial services firms frequently operate in hybrid B2B and B2C environments, with mortgage lending involving elements of both contexts, this finding is of direct relevance to the present study.</w:t>
      </w:r>
    </w:p>
    <w:p w14:paraId="3036E3F4" w14:textId="77777777" w:rsidR="00140FF8" w:rsidRDefault="00790174">
      <w:r>
        <w:t>The study by Fotheringham and Wiles (2023) also surfaces important nuances regarding implementation strategy. Investors respond more favorably to phased AI rollouts — specifically, beta-testing approaches prior to full deployment — and to implementations that position AI as complementing rather than replacing human agents. Conversely, announcements that emphasize AI's capacity to handle complex tasks are associated with lower abnormal returns, suggesting that market participants remain cautious about overstated claims of AI sophistication. These findings imply that the business value of AI is not unconditional; it is moderated by implementation choices, communication strategy, and the organizational context in which AI is deployed.</w:t>
      </w:r>
    </w:p>
    <w:p w14:paraId="44D3D7E4" w14:textId="77777777" w:rsidR="00140FF8" w:rsidRDefault="00790174">
      <w:pPr>
        <w:pStyle w:val="Heading3"/>
      </w:pPr>
      <w:bookmarkStart w:id="10" w:name="_Toc227354324"/>
      <w:r>
        <w:t>Synthesis: A Multi-Dimensional Framework</w:t>
      </w:r>
      <w:bookmarkEnd w:id="10"/>
    </w:p>
    <w:p w14:paraId="0E0E0DEA" w14:textId="77777777" w:rsidR="00140FF8" w:rsidRDefault="00790174">
      <w:r>
        <w:t>Taken together, the evidence reviewed in this section supports a multi-dimensional conceptualization of AI business value in customer service. As synthesized in Table 1, value creation operates across at least four distinct but interrelated dimensions: cost efficiency, customer experience, scalability, and firm-level financial performance.</w:t>
      </w:r>
    </w:p>
    <w:p w14:paraId="4C387371" w14:textId="77777777" w:rsidR="00140FF8" w:rsidRDefault="00790174">
      <w:r>
        <w:t>Table 1 — Dimensions of Business Value Creation through AI in Customer Service</w:t>
      </w:r>
    </w:p>
    <w:p w14:paraId="357C31E3" w14:textId="078DF24A" w:rsidR="00140FF8" w:rsidRDefault="00790174">
      <w:r>
        <w:t>This framework informs the analytical approach adopted in the present study. In the case of Better.com, the deployment of voice LLM agents will be evaluated against each of these dimensions, assessing the extent to which AI implementation translates into measurable business value across operational, experiential, and financial indicators.</w:t>
      </w:r>
    </w:p>
    <w:p w14:paraId="0F7410D1" w14:textId="77777777" w:rsidR="00F55195" w:rsidRDefault="00F55195" w:rsidP="00F55195">
      <w:pPr>
        <w:pStyle w:val="Heading1"/>
      </w:pPr>
      <w:bookmarkStart w:id="11" w:name="_Toc227354325"/>
      <w:r>
        <w:t>Research Methodology</w:t>
      </w:r>
      <w:bookmarkEnd w:id="11"/>
    </w:p>
    <w:p w14:paraId="72B5CCC8" w14:textId="77777777" w:rsidR="00F55195" w:rsidRDefault="00F55195" w:rsidP="00F55195">
      <w:r>
        <w:t xml:space="preserve">The methodological architecture of this thesis is designed to address the complexity of evaluating artificial intelligence within high-stakes corporate environments. Investigating the business value of generative voice AI in financial services requires moving beyond isolated technical benchmarks toward a holistic examination of how technological capabilities interact with organizational structures, financial performance, and customer perceptions. This chapter provides a transparent </w:t>
      </w:r>
      <w:r>
        <w:lastRenderedPageBreak/>
        <w:t>audit trail of the research process, beginning with the philosophical foundations, proceeding through the research design, data sources, and analytical pipelines, and concluding with a discussion of rigor, limitations, and ethical considerations.</w:t>
      </w:r>
    </w:p>
    <w:p w14:paraId="437E10F6" w14:textId="77777777" w:rsidR="00F55195" w:rsidRDefault="00F55195" w:rsidP="00F55195">
      <w:pPr>
        <w:pStyle w:val="Heading2"/>
      </w:pPr>
      <w:bookmarkStart w:id="12" w:name="_Toc227354326"/>
      <w:r>
        <w:t>3.1 Research Philosophy</w:t>
      </w:r>
      <w:bookmarkEnd w:id="12"/>
    </w:p>
    <w:p w14:paraId="565D9464" w14:textId="77777777" w:rsidR="00F55195" w:rsidRDefault="00F55195" w:rsidP="00F55195">
      <w:r>
        <w:t>This thesis formally adopts the philosophical paradigm of Pragmatism. In contemporary Information Systems (IS) research, investigators frequently oscillate between positivism—which assumes an objective reality measurable through quantitative methods—and interpretivism—which views reality as inherently subjective and socially constructed. Investigating the enterprise deployment of an LLM, however, exposes the limitations of both extremes. A purely positivist approach might rigorously measure financial efficiency gains via SEC filings but overlook the organizational context that made those gains possible. Conversely, a purely interpretivist approach might capture customer experience and managerial intent but fail to substantiate whether the technology genuinely improved the corporate bottom line.</w:t>
      </w:r>
    </w:p>
    <w:p w14:paraId="5F12B72A" w14:textId="77777777" w:rsidR="00F55195" w:rsidRDefault="00F55195" w:rsidP="00F55195">
      <w:r>
        <w:t>Pragmatism bypasses this dichotomy by prioritizing the practical consequences and real-world applicability of research findings, asserting that the research question should dictate the method. Ontologically, pragmatism recognizes that both objective realities (e.g., millions of dollars in operating expenses) and subjective realities (e.g., a customer’s experience with an automated agent) exist simultaneously and interact continuously. By adopting pragmatism, this thesis is philosophically empowered to utilize a mixed-methods design, blending objective financial metrics with computational text analysis and qualitative case narrative to bridge technical LLM capabilities with their measurable organizational value.</w:t>
      </w:r>
    </w:p>
    <w:p w14:paraId="6C09A33E" w14:textId="77777777" w:rsidR="00F55195" w:rsidRDefault="00F55195" w:rsidP="00F55195">
      <w:pPr>
        <w:pStyle w:val="Heading2"/>
      </w:pPr>
      <w:bookmarkStart w:id="13" w:name="_Toc227354327"/>
      <w:r>
        <w:t>3.2 Research Design: Convergent Parallel Mixed Methods</w:t>
      </w:r>
      <w:bookmarkEnd w:id="13"/>
    </w:p>
    <w:p w14:paraId="48C86B52" w14:textId="77777777" w:rsidR="00F55195" w:rsidRDefault="00F55195" w:rsidP="00F55195">
      <w:r>
        <w:t>This study eschews strict deductive or inductive paths in favor of an abductive reasoning approach—an iterative, dialectical movement between theoretical frameworks and empirical data. Given the nascent state of generative voice AI in finance, pure deduction is constrained by the absence of mature domain-specific theories regarding LLM business value, while pure induction risks deteriorating into atheoretical data-mining. Abductive reasoning allows the thesis to begin with a theory-informed framework of business value encompassing operational efficiency, customer experience, and financial performance, and to continuously refine that framework as empirical evidence from Better.com emerges.</w:t>
      </w:r>
    </w:p>
    <w:p w14:paraId="4BCA14E9" w14:textId="77777777" w:rsidR="00F55195" w:rsidRDefault="00F55195" w:rsidP="00F55195">
      <w:r>
        <w:t>To operationalize this approach, the study employs a Convergent Parallel Mixed Methods Case Study design, guided by Yin (2018). In a convergent parallel design, quantitative and qualitative data streams are collected and analyzed independently, and results are merged only during the final interpretation phase to cross-validate and triangulate findings. The design comprises three distinct but integrated strands: (1) a Qualitative Case Study Strand that process-traces the historical, organizational, and technical integration of the “Tinman” platform and “Betsy” voice agent via corporate communications and technical documentation, primarily addressing RQ1; (2) a Quantitative Financial Strand using longitudinal SEC filings to test the hypothesis of AI-driven operational leverage, addressing RQ2; and (3) a Computational NLP Strand applying joint topic-</w:t>
      </w:r>
      <w:r>
        <w:lastRenderedPageBreak/>
        <w:t>sentiment modeling to unsolicited consumer reviews to quantitatively measure the customer experience dimension of RQ2.</w:t>
      </w:r>
    </w:p>
    <w:p w14:paraId="22910C9B" w14:textId="77777777" w:rsidR="00F55195" w:rsidRDefault="00F55195" w:rsidP="00F55195">
      <w:pPr>
        <w:pStyle w:val="Heading2"/>
      </w:pPr>
      <w:bookmarkStart w:id="14" w:name="_Toc227354328"/>
      <w:r>
        <w:t>3.3 Case Selection</w:t>
      </w:r>
      <w:bookmarkEnd w:id="14"/>
    </w:p>
    <w:p w14:paraId="319D679B" w14:textId="77777777" w:rsidR="00F55195" w:rsidRDefault="00F55195" w:rsidP="00F55195">
      <w:r>
        <w:t>Better Home &amp; Finance Holding Company (Better.com) was deliberately selected as a critical, revelatory, and extreme case. The company operates as a digital-first mortgage lender characterized by exceptionally high volumes of complex, high-stakes customer interactions. Following a period of hyper-growth during the 2020–2021 pandemic refinancing boom, the company endured severe macroeconomic pressure from rapid Federal Reserve interest rate hikes, forcing a dramatic restructuring that reduced the workforce from a peak of approximately 10,400 employees in 2021 to fewer than 1,000 by 2023. This environment makes Better.com an extreme case: AI automation transitioned from a peripheral efficiency tool into an existential strategic imperative.</w:t>
      </w:r>
    </w:p>
    <w:p w14:paraId="7E9C8237" w14:textId="77777777" w:rsidR="00F55195" w:rsidRDefault="00F55195" w:rsidP="00F55195">
      <w:r>
        <w:t>Furthermore, Better.com’s partnership with ElevenLabs to launch “Betsy”—a proprietary, LLM-powered voice agent capable of handling inbound and outbound mortgage origination queries—represents one of the earliest, fully documented, and large-scale deployments of frontier voice AI within the highly regulated U.S. mortgage industry. The temporal bounds of this case study are defined as 2018 through April 2026, with a specific focus on the pre-deployment baseline (2021–2023), the transition year (2024), and the post-deployment period (2025–2026). Rocket Companies (Rocket Mortgage) is utilized strictly as an external comparative benchmark to contextualize market-wide macroeconomic variables.</w:t>
      </w:r>
    </w:p>
    <w:p w14:paraId="553C812C" w14:textId="77777777" w:rsidR="00F55195" w:rsidRDefault="00F55195" w:rsidP="00F55195">
      <w:pPr>
        <w:pStyle w:val="Heading2"/>
      </w:pPr>
      <w:bookmarkStart w:id="15" w:name="_Toc227354329"/>
      <w:r>
        <w:t>3.4 Data Collection</w:t>
      </w:r>
      <w:bookmarkEnd w:id="15"/>
    </w:p>
    <w:p w14:paraId="0D34654E" w14:textId="77777777" w:rsidR="00F55195" w:rsidRDefault="00F55195" w:rsidP="00F55195">
      <w:r>
        <w:t>To execute the convergent parallel design, a multi-modal portfolio of secondary data sources was systematically assembled. Exclusive reliance on publicly available secondary data enhances transparency and supports replicability. No proprietary or internal company data was accessed at any point.</w:t>
      </w:r>
    </w:p>
    <w:p w14:paraId="2E1F1F87" w14:textId="77777777" w:rsidR="00F55195" w:rsidRDefault="00F55195" w:rsidP="00F55195">
      <w:pPr>
        <w:pStyle w:val="Heading3"/>
      </w:pPr>
      <w:r>
        <w:t>3.4.1 SEC Financial Filings</w:t>
      </w:r>
    </w:p>
    <w:p w14:paraId="7B094EBD" w14:textId="77777777" w:rsidR="00F55195" w:rsidRDefault="00F55195" w:rsidP="00F55195">
      <w:r>
        <w:t>The financial analysis is anchored in thirteen annual observations extracted from ten official SEC filing PDFs accessed via the EDGAR public database. The Better.com corpus comprises three annual 10-K reports (2023–2025) and one pre-merger S-1 Registration Statement. Because Better.com qualifies as a Smaller Reporting Company (SRC), its 10-K filings provide only two years of audited P&amp;L data; the S-1 was therefore utilized to bridge the critical 2021 data gap and establish the pre-restructuring baseline. The Rocket Companies benchmark corpus comprises six 10-K filings (2020–2025), with historical comparative tables in the 2020 10-K providing 2018–2019 data.</w:t>
      </w:r>
    </w:p>
    <w:p w14:paraId="2F1E9A8D" w14:textId="77777777" w:rsidR="00F55195" w:rsidRDefault="00F55195" w:rsidP="00F55195">
      <w:r>
        <w:t>Data extraction employed the Python library pdfplumber (script: extract_pdf_texts.py) for programmatic text extraction from the dense regulatory PDFs, with an auxiliary pypdf-based script (extract_s1.py) deployed specifically for the structurally distinct S-1 filing. Because pdfplumber’s extract_</w:t>
      </w:r>
      <w:proofErr w:type="gramStart"/>
      <w:r>
        <w:t>text(</w:t>
      </w:r>
      <w:proofErr w:type="gramEnd"/>
      <w:r>
        <w:t xml:space="preserve">) method preserves reading order but does not reconstruct tabular structure, the final longitudinal dataset (financial_dataset_annual.csv; 13 rows, 15 columns) was assembled through careful manual transcription and cross-verification against the original SEC tables, with all financial values standardized to millions of USD ($M). The provenance of each extracted figure, including the </w:t>
      </w:r>
      <w:r>
        <w:lastRenderedPageBreak/>
        <w:t>reliance on Rocket’s 2020 10-K for 2018–2019 historical comparatives, is documented in the accompanying financial_dataset_documentation.md file.</w:t>
      </w:r>
    </w:p>
    <w:p w14:paraId="441BF0A9" w14:textId="77777777" w:rsidR="00F55195" w:rsidRDefault="00F55195" w:rsidP="00F55195">
      <w:pPr>
        <w:pStyle w:val="Heading3"/>
      </w:pPr>
      <w:r>
        <w:t>3.4.2 Trustpilot Customer Reviews</w:t>
      </w:r>
    </w:p>
    <w:p w14:paraId="7EEC4A46" w14:textId="77777777" w:rsidR="00F55195" w:rsidRDefault="00F55195" w:rsidP="00F55195">
      <w:r>
        <w:t>To capture the customer perception dimension, an extensive corpus of unsolicited customer reviews was collected from Better.com’s official Trustpilot profile. Trustpilot is widely utilized in academic IS research as a reliable proxy for electronic word-of-mouth (e-WOM) and service quality perception (Filieri, 2015; Luca, 2016). Data extraction was executed using the Apify cloud-based web scraping infrastructure (Actor ID: l3wcDhSSC96LBRUpc), collecting the unique review ID, ISO 8601 publication timestamp, full text body, star rating, and language metadata. The automated scraping yielded a raw corpus of 1,934 reviews spanning August 22, 2020, to April 25, 2026.</w:t>
      </w:r>
    </w:p>
    <w:p w14:paraId="49EA5930" w14:textId="77777777" w:rsidR="00F55195" w:rsidRDefault="00F55195" w:rsidP="00F55195">
      <w:r>
        <w:t>A reproducible data cleaning pipeline was then executed in Python (cleaning_</w:t>
      </w:r>
      <w:proofErr w:type="gramStart"/>
      <w:r>
        <w:t>reviews.ipynb</w:t>
      </w:r>
      <w:proofErr w:type="gramEnd"/>
      <w:r>
        <w:t>), applying sequential filters: removal of 18 short reviews (under 20 characters), retention of English-language reviews only (removing 1 non-English entry), and removal of exact duplicates. The result was a final clean dataset of 1,915 reviews. For BERTopic topic modeling only, an additional 110 CEO/scandal-related outlier reviews were excluded—reviews generated by the 2021 mass-layoff media scandal that focused entirely on the CEO rather than the mortgage product—producing a topic-modeling corpus of approximately 1,805 reviews. All other analyses utilized the full 1,915-review dataset.</w:t>
      </w:r>
    </w:p>
    <w:p w14:paraId="3E6C66B9" w14:textId="77777777" w:rsidR="00F55195" w:rsidRDefault="00F55195" w:rsidP="00F55195">
      <w:pPr>
        <w:pStyle w:val="Heading3"/>
      </w:pPr>
      <w:r>
        <w:t>3.4.3 Supplementary Qualitative Sources</w:t>
      </w:r>
    </w:p>
    <w:p w14:paraId="5FAD8A57" w14:textId="77777777" w:rsidR="00F55195" w:rsidRDefault="00F55195" w:rsidP="00F55195">
      <w:r>
        <w:t>To provide architectural and managerial context for the qualitative process-tracing strand, the study incorporated: verbatim earnings call transcripts (Q3 2023–Q4 2025) providing management disclosures on Net Promoter Scores, AI interaction volumes, and platform metrics not captured in audited financial tables; the official October 2024 press release announcing Betsy; a February 2026 technical case study published by ElevenLabs detailing the low-latency voice infrastructure; and Mortgage Bankers Association (MBA) Quarterly Performance Reports providing third-party Cost-to-Originate (CTO) benchmarks. The data provenance classification, including reliability assessments for each source type, is presented in Table 1.</w:t>
      </w:r>
    </w:p>
    <w:p w14:paraId="1FA12238" w14:textId="77777777" w:rsidR="00F55195" w:rsidRDefault="00F55195" w:rsidP="00F55195">
      <w:pPr>
        <w:pStyle w:val="Heading2"/>
      </w:pPr>
      <w:bookmarkStart w:id="16" w:name="_Toc227354330"/>
      <w:r>
        <w:t>3.5 Data Analysis Procedures</w:t>
      </w:r>
      <w:bookmarkEnd w:id="16"/>
    </w:p>
    <w:p w14:paraId="03AA866E" w14:textId="77777777" w:rsidR="00F55195" w:rsidRDefault="00F55195" w:rsidP="00F55195">
      <w:pPr>
        <w:pStyle w:val="Heading3"/>
      </w:pPr>
      <w:r>
        <w:t>3.5.1 Financial Ratio and Operational Leverage Analysis</w:t>
      </w:r>
    </w:p>
    <w:p w14:paraId="3FF3D366" w14:textId="77777777" w:rsidR="00F55195" w:rsidRDefault="00F55195" w:rsidP="00F55195">
      <w:r>
        <w:t>The financial analysis employed a longitudinal framework engineered to test the operational leverage hypothesis: the proposition that AI deployment enables a firm to decouple revenue generation from human capital expansion, scaling output without a proportional increase in the operational expense base. Variables were operationalized and calculated via a custom Python pipeline (build_dataset_v4.py). The Expense Ratio (Total Expenses / Total Net Revenue) served as the primary metric of cost intensity. Revenue per Employee (RPE; Total Net Revenue / Total Headcount) served as the primary proxy for labor productivity and AI scalability. Net Loss Trajectory and Profit Margin were extracted directly from the Statements of Operations to track holistic financial performance.</w:t>
      </w:r>
    </w:p>
    <w:p w14:paraId="0801B4B1" w14:textId="77777777" w:rsidR="00F55195" w:rsidRDefault="00F55195" w:rsidP="00F55195">
      <w:r>
        <w:lastRenderedPageBreak/>
        <w:t>To isolate Better.com’s performance from the broader macroeconomic environment, the analysis implements a Difference-in-Differences (DiD) style descriptive comparison, contrasting the pre-to-post change in Better.com’s key metrics against the concurrent change in Rocket Mortgage’s. It must be acknowledged that this is a descriptive benchmark comparison rather than a formal econometric causal identification strategy: Rocket and Better differ substantially in scale (approximately 40 times revenue), business model, and strategic context, and Rocket’s 2025 data reflects the Mr. Cooper acquisition, which distorts per-employee comparisons. The benchmark comparison therefore provides directional support rather than controlled causal evidence. Additionally, three alternative baseline checks are conducted—comparing 2023–2025, 2024–2025, and the pre-period average against 2025—to ensure findings are not artifacts of trough-year baseline selection.</w:t>
      </w:r>
    </w:p>
    <w:p w14:paraId="447DAC76" w14:textId="77777777" w:rsidR="00F55195" w:rsidRDefault="00F55195" w:rsidP="00F55195">
      <w:pPr>
        <w:pStyle w:val="Heading3"/>
      </w:pPr>
      <w:r>
        <w:t>3.5.2 NLP Text Mining: Joint Topic-Sentiment Modeling</w:t>
      </w:r>
    </w:p>
    <w:p w14:paraId="244E139E" w14:textId="77777777" w:rsidR="00F55195" w:rsidRDefault="00F55195" w:rsidP="00F55195">
      <w:r>
        <w:t>The computational analysis of the 1,915 Trustpilot reviews constitutes the methodological vanguard of this thesis. Relying solely on raw star ratings obscures the nuanced reasons behind customer satisfaction; accordingly, the analysis deployed a dual-pipeline Joint Topic-Sentiment approach executed via Python (better_reviews_topic_</w:t>
      </w:r>
      <w:proofErr w:type="gramStart"/>
      <w:r>
        <w:t>modeling.ipynb</w:t>
      </w:r>
      <w:proofErr w:type="gramEnd"/>
      <w:r>
        <w:t>).</w:t>
      </w:r>
    </w:p>
    <w:p w14:paraId="62536BB0" w14:textId="77777777" w:rsidR="00F55195" w:rsidRDefault="00F55195" w:rsidP="00F55195">
      <w:r>
        <w:rPr>
          <w:b/>
        </w:rPr>
        <w:t xml:space="preserve">Lexicon-Based Sentiment Analysis (VADER). </w:t>
      </w:r>
      <w:r>
        <w:t>Every review was processed through VADER (Valence Aware Dictionary and sEntiment Reasoner; Hutto &amp; Gilbert, 2014), a parsimonious, rule-based engine validated for social media and short-text review analysis. Unlike opaque deep-learning models, VADER provides total algorithmic transparency, scoring text continuously from −1.0 (highly negative) to +1.0 (highly positive) based on a documented lexical dictionary that handles capitalization, punctuation, and modifiers. Statistical shifts in mean sentiment were evaluated using Welch’s t-tests to account for unequal sample variances.</w:t>
      </w:r>
    </w:p>
    <w:p w14:paraId="3557303B" w14:textId="77777777" w:rsidR="00F55195" w:rsidRDefault="00F55195" w:rsidP="00F55195">
      <w:r>
        <w:rPr>
          <w:b/>
        </w:rPr>
        <w:t xml:space="preserve">Neural Topic Modeling (BERTopic). </w:t>
      </w:r>
      <w:r>
        <w:t>To discover latent thematic structure without imposing a priori researcher bias, the study deployed BERTopic (Grootendorst, 2022). Unlike Latent Dirichlet Allocation (LDA)—the dominant IS paradigm for topic modeling—BERTopic utilizes deep transformer architectures, resolving LDA’s well-documented failure on short, highly contextual texts. The pipeline proceeded in four computational steps: (1) the all-MiniLM-L6-v2 Sentence-Transformer model converted each review into a dense semantic vector; (2) UMAP (n_neighbors=10, n_components=5, random_state=42) compressed embeddings into a lower-dimensional space preserving local cluster structures; (3) HDBSCAN (min_cluster_size=10, min_samples=3) identified dense document regions while sequestering outliers; and (4) a class-based TF-IDF (c-TF-IDF) procedure extracted representative keywords per cluster, enabling researcher-assigned human-readable labels. The model produced 44 topics from 1,804 documents, with 1,198 documents (66.4%) successfully clustered and 606 (33.6%) assigned to the noise class—an expected rate for HDBSCAN on short heterogeneous review text (McInnes et al., 2017).</w:t>
      </w:r>
    </w:p>
    <w:p w14:paraId="6CE2137C" w14:textId="77777777" w:rsidR="00F55195" w:rsidRDefault="00F55195" w:rsidP="00F55195">
      <w:r>
        <w:rPr>
          <w:b/>
        </w:rPr>
        <w:t xml:space="preserve">Keyword Prevalence and AI Invisibility Testing. </w:t>
      </w:r>
      <w:r>
        <w:t xml:space="preserve">Beyond topic discovery, a targeted keyword prevalence analysis measured the salience of seven thematic groups: Explicit AI/Automation, Speed/Efficiency, Human Support, Communication, Delay/Friction, Cost/Rates, and Digital/Process. Using strict word-boundary regular expressions to prevent false positives, reviews were binary-coded for keyword presence, and Pearson’s Chi-squared tests determined whether prevalence shifted significantly between the pre-Betsy and post-Betsy periods. A Bonferroni correction (α = 0.05/7 ≈ 0.007) was applied to mitigate Type I error risk from multiple simultaneous tests; under this </w:t>
      </w:r>
      <w:r>
        <w:lastRenderedPageBreak/>
        <w:t>correction, only Cost/Rates (p = 0.0009) retains full statistical significance, while Digital/Process (p = 0.025) should be treated as suggestive. This technique was specifically deployed to test the AI Invisibility hypothesis—measuring whether customers actively recognized and discussed the AI agent, or whether it operated seamlessly as invisible infrastructure. Due to the extremely low base rate of AI/Automation mentions (~1%), Fisher’s exact test would be more appropriate for that specific comparison; the reported null result (p ≈ 1.00) is therefore interpreted directionally rather than as a precise probabilistic conclusion.</w:t>
      </w:r>
    </w:p>
    <w:p w14:paraId="381263E6" w14:textId="77777777" w:rsidR="00F55195" w:rsidRDefault="00F55195" w:rsidP="00F55195">
      <w:pPr>
        <w:pStyle w:val="Heading3"/>
      </w:pPr>
      <w:r>
        <w:t>3.5.3 Qualitative Process Tracing</w:t>
      </w:r>
    </w:p>
    <w:p w14:paraId="348F3F1B" w14:textId="77777777" w:rsidR="00F55195" w:rsidRDefault="00F55195" w:rsidP="00F55195">
      <w:r>
        <w:t>The qualitative narrative addressing RQ1 was synthesized using process-tracing methodology—the systematic, chronological mapping of events to establish causal mechanisms within a single case. By analyzing the historical development of Better.com’s “Tinman” backend architecture and tracking the timeline of workforce reductions against the eventual deployment of the Betsy voice agent, the qualitative analysis reconstructed the organizational prerequisites required to support frontier generative AI. Credibility was established through extensive data triangulation across multiple corporate and third-party sources, while confirmability was achieved by rooting all interpretations directly in the ElevenLabs technical documentation and management’s verbatim public statements.</w:t>
      </w:r>
    </w:p>
    <w:p w14:paraId="7674AC66" w14:textId="77777777" w:rsidR="00F55195" w:rsidRDefault="00F55195" w:rsidP="00F55195">
      <w:pPr>
        <w:pStyle w:val="Heading2"/>
      </w:pPr>
      <w:bookmarkStart w:id="17" w:name="_Toc227354331"/>
      <w:r>
        <w:t>3.6 Operationalization of Business Value</w:t>
      </w:r>
      <w:bookmarkEnd w:id="17"/>
    </w:p>
    <w:p w14:paraId="7506AABB" w14:textId="77777777" w:rsidR="00F55195" w:rsidRDefault="00F55195" w:rsidP="00F55195">
      <w:r>
        <w:t>A critical methodological component is the operationalization of “business value” into measurable, contextually accurate indicators. Rather than treating value creation as an abstract ideal, the research relies on metrics specific to digital mortgage lending and grounded in standardized SEC accounting definitions to minimize subjective researcher bias. The primary indicators are: Expense Ratio (Total Expenses / Total Net Revenue) as the core cost-intensity metric; Revenue per Employee (RPE) as the labor productivity proxy; Net Loss and Profit Margin as holistic financial performance indicators; Cost-to-Originate (CTO) benchmarked against the MBA industry average; and VADER compound sentiment scores and BERTopic topic distributions as customer experience proxies. An author-constructed Operational Leverage Index (OLI; 2023=100) is retained as a supplementary composite visualization but is explicitly not used as primary evidence, as it is equally-weighted, sensitive to the 2023 trough baseline, and not statistically validated. Management-reported NPS (39→64) is treated as a medium-reliability metric, triangulated against the independent NLP evidence.</w:t>
      </w:r>
    </w:p>
    <w:p w14:paraId="1BD0B482" w14:textId="77777777" w:rsidR="00F55195" w:rsidRDefault="00F55195" w:rsidP="00F55195">
      <w:pPr>
        <w:pStyle w:val="Heading2"/>
      </w:pPr>
      <w:r>
        <w:t>3.7 Triangulation Logic</w:t>
      </w:r>
    </w:p>
    <w:p w14:paraId="30A99A59" w14:textId="77777777" w:rsidR="00F55195" w:rsidRDefault="00F55195" w:rsidP="00F55195">
      <w:r>
        <w:t>The ultimate strength of the methodology lies in Methodological Triangulation—the cross-verification of findings using multiple independent data sources and analytical techniques. The Qualitative Case Study strand provides the architectural mechanism (how the Tinman platform digitized the mortgage workflow, making it legible to an LLM). The Financial Quantitative strand provides the objective outcome (audited SEC data confirming that expense intensity plummeted while revenue recovered). The NLP Computational strand provides external perception evidence (how human end-users actually experienced the highly automated infrastructure).</w:t>
      </w:r>
    </w:p>
    <w:p w14:paraId="759307DE" w14:textId="77777777" w:rsidR="00F55195" w:rsidRDefault="00F55195" w:rsidP="00F55195">
      <w:r>
        <w:lastRenderedPageBreak/>
        <w:t>Crucially, triangulation is designed to handle divergence rather than suppress it. The thesis reveals a notable methodological divergence: management reported a 25-point NPS surge following Betsy’s launch, and audited financial data confirms substantial efficiency gains; yet the independent NLP analysis reveals a statistically significant decline in raw VADER sentiment (0.642→0.515, p = 0.006) and star ratings (4.28→3.86, p = 0.002) during the same period. Rather than discarding this conflicting signal, the mixed-methods architecture allows for a synthesized resolution. BERTopic modeling reveals that the sentiment decline is largely compositional—driven primarily by a sharp influx of product-specific HELOC complaints (Topic 36: +4.22 percentage points post-Betsy) reflecting Better.com’s product mix expansion in a high-interest-rate environment, while topics related to “Responsive Professional Service” and “Smooth Transaction” actually increased in share. Nonetheless, compositional attribution is explicitly offered as a plausible explanation rather than a definitive conclusion: without product-level controls or a matched comparison group, the analysis cannot fully isolate whether the decline reflects changing review composition, genuine experience deterioration for some segments, platform selection effects, or random variation amplified by the small post-period sample. This triangulation logic prevents both uncritical acceptance of corporate marketing narratives and false causal conclusions from isolated metrics.</w:t>
      </w:r>
    </w:p>
    <w:p w14:paraId="24A1D10D" w14:textId="77777777" w:rsidR="00F55195" w:rsidRDefault="00F55195" w:rsidP="00F55195">
      <w:pPr>
        <w:pStyle w:val="Heading2"/>
      </w:pPr>
      <w:r>
        <w:t>3.8 Methodological Limitations</w:t>
      </w:r>
    </w:p>
    <w:p w14:paraId="6EDDADDF" w14:textId="77777777" w:rsidR="00F55195" w:rsidRDefault="00F55195" w:rsidP="00F55195">
      <w:r>
        <w:t>Several limitations must be formally acknowledged to appropriately bound the interpretation of the findings.</w:t>
      </w:r>
    </w:p>
    <w:p w14:paraId="49642F29" w14:textId="77777777" w:rsidR="00F55195" w:rsidRDefault="00F55195" w:rsidP="00F55195">
      <w:r>
        <w:rPr>
          <w:b/>
        </w:rPr>
        <w:t xml:space="preserve">Single-case generalizability. </w:t>
      </w:r>
      <w:r>
        <w:t>The reliance on a single-case methodology inherently restricts statistical generalizability. The operational leverage dynamics observed at Better.com are highly contextualized to its status as a digital-first lender possessing a decade-old, proprietary, centralized tech stack (Tinman). Legacy financial institutions operating on fragmented, monolithic core banking systems may not achieve comparable scalability or integration depth.</w:t>
      </w:r>
    </w:p>
    <w:p w14:paraId="23720825" w14:textId="77777777" w:rsidR="00F55195" w:rsidRDefault="00F55195" w:rsidP="00F55195">
      <w:r>
        <w:rPr>
          <w:b/>
        </w:rPr>
        <w:t xml:space="preserve">Absence of causal identification. </w:t>
      </w:r>
      <w:r>
        <w:t>This is an observational study lacking a randomized control group or clean quasi-experimental shock. The financial improvements documented in the post-2024 era are the resultant vectors of Better.com’s broader restructuring, macro-environmental shifts, the NEO channel launch (January 2025), the ElevenLabs partnership (June 2025), and the Betsy/Tinman AI operating model as a whole—with Betsy being a central but not solitary driver. Better’s financial improvements therefore provide associative support consistent with AI-enabled operational leverage rather than causal proof attributable to Betsy alone.</w:t>
      </w:r>
    </w:p>
    <w:p w14:paraId="68AF3B85" w14:textId="77777777" w:rsidR="00F55195" w:rsidRDefault="00F55195" w:rsidP="00F55195">
      <w:r>
        <w:rPr>
          <w:b/>
        </w:rPr>
        <w:t xml:space="preserve">Temporal granularity of financial data. </w:t>
      </w:r>
      <w:r>
        <w:t>Betsy launched on October 17, 2024. Consequently, fiscal year 2024 annual metrics blend approximately ten months of pre-deployment performance with only two months of post-deployment reality. The 2024–2025 comparison is therefore the most defensible window for post-Betsy claims, though it does not fully resolve the confounding of macro recovery, restructuring, and AI deployment effects.</w:t>
      </w:r>
    </w:p>
    <w:p w14:paraId="258B537B" w14:textId="77777777" w:rsidR="00F55195" w:rsidRDefault="00F55195" w:rsidP="00F55195">
      <w:r>
        <w:rPr>
          <w:b/>
        </w:rPr>
        <w:t xml:space="preserve">NLP dataset imbalance and selection bias. </w:t>
      </w:r>
      <w:r>
        <w:t xml:space="preserve">Analyzing an approximately 18-month post-Betsy window against a 4-year pre-Betsy history produces a severely imbalanced sample (Pre: n = 1,746; Post: n = 169, ratio 10.3:1). While Welch’s t-tests and Chi-squared tests technically accommodate unequal group sizes, the small post-period sample carries wider confidence intervals and is highly susceptible to volatility from idiosyncratic reviews (each post-Betsy review represents approximately 0.59 </w:t>
      </w:r>
      <w:r>
        <w:lastRenderedPageBreak/>
        <w:t>percentage points). Furthermore, Trustpilot reviewers are self-selected and prone to extreme-response bias, meaning the corpus may over-represent highly satisfied or highly frustrated customers relative to the median user experience.</w:t>
      </w:r>
    </w:p>
    <w:p w14:paraId="6D0E5A51" w14:textId="77777777" w:rsidR="00F55195" w:rsidRDefault="00F55195" w:rsidP="00F55195">
      <w:r>
        <w:rPr>
          <w:b/>
        </w:rPr>
        <w:t xml:space="preserve">Financial dataset size and cross-company comparability. </w:t>
      </w:r>
      <w:r>
        <w:t>The financial dataset contains five annual observations for Better and eight for Rocket. This is insufficient for formal statistical inference; all financial comparisons are therefore descriptive. Additionally, the composition of Total_Expenses may differ between Better and Rocket due to different accounting presentations, meaning cross-company ratio comparisons should be interpreted directionally rather than as precise like-for-like measurements.</w:t>
      </w:r>
    </w:p>
    <w:p w14:paraId="5AABBDF3" w14:textId="77777777" w:rsidR="00F55195" w:rsidRDefault="00F55195" w:rsidP="00F55195">
      <w:pPr>
        <w:pStyle w:val="Heading2"/>
      </w:pPr>
      <w:r>
        <w:t>3.9 Research Rigor and Reproducibility</w:t>
      </w:r>
    </w:p>
    <w:p w14:paraId="09A2FC1B" w14:textId="77777777" w:rsidR="00F55195" w:rsidRDefault="00F55195" w:rsidP="00F55195">
      <w:r>
        <w:t>Quantitative construct validity is ensured by operationalizing “business value” through standardized SEC accounting definitions and validated NLP algorithms, minimizing subjective researcher bias. The DiD-style descriptive benchmark comparison with Rocket Mortgage controls for broad market recovery effects, preventing false attribution of macro-recovery to the AI agent. Internal validity constraints are actively acknowledged: because multiple confounding events occurred simultaneously, formal isolated causal attribution solely to Betsy is not possible.</w:t>
      </w:r>
    </w:p>
    <w:p w14:paraId="4CAE4FB4" w14:textId="77777777" w:rsidR="00F55195" w:rsidRDefault="00F55195" w:rsidP="00F55195">
      <w:r>
        <w:t>Computational reliability and reproducibility are exceptionally high. The entire data processing pipeline—from raw PDF extraction (extract_pdf_texts.py), through financial dataset construction (build_dataset_v4.py), to text cleaning (cleaning_</w:t>
      </w:r>
      <w:proofErr w:type="gramStart"/>
      <w:r>
        <w:t>reviews.ipynb</w:t>
      </w:r>
      <w:proofErr w:type="gramEnd"/>
      <w:r>
        <w:t>) and neural topic modeling (better_reviews_topic_modeling.ipynb)—is formally documented in a suite of Python scripts and Jupyter Notebooks. Because all underlying data derives entirely from public databases (SEC EDGAR and Trustpilot), any subsequent researcher can independently execute the codebase to replicate the data transformations, statistical tests, and machine learning outputs. UMAP is seeded with random_state=42 and topic assignments are saved to CSV to ensure reference stability across runs.</w:t>
      </w:r>
    </w:p>
    <w:p w14:paraId="5634998F" w14:textId="77777777" w:rsidR="00F55195" w:rsidRDefault="00F55195" w:rsidP="00F55195">
      <w:pPr>
        <w:pStyle w:val="Heading2"/>
      </w:pPr>
      <w:r>
        <w:t>3.10 Ethical Considerations</w:t>
      </w:r>
    </w:p>
    <w:p w14:paraId="3AF3F5BD" w14:textId="0126F17E" w:rsidR="00F55195" w:rsidRDefault="00F55195" w:rsidP="00F55195">
      <w:r>
        <w:t xml:space="preserve">This research was conducted in strict adherence to academic ethical standards regarding data privacy, computational transparency, and intellectual integrity. The study relies exclusively on publicly available, legally accessible secondary data sources. Corporate financial data was extracted from mandatory SEC disclosures via the federal EDGAR database, maintaining total compliance with corporate transparency frameworks. Trustpilot reviews were collected using standard, rate-limited scraping protocols via Apify, ensuring no disruption to host servers and adherence to general web scraping ethical guidelines. Most critically, the study involved no human </w:t>
      </w:r>
      <w:proofErr w:type="gramStart"/>
      <w:r>
        <w:t>subjects</w:t>
      </w:r>
      <w:proofErr w:type="gramEnd"/>
      <w:r>
        <w:t xml:space="preserve"> research. No proprietary internal corporate data, confidential algorithmic source code, or Personally Identifiable Information (PII) of Better.com’s customers or employees was accessed, stored, or analyzed at any point. All NLP analysis was conducted on anonymized, public-facing aggregate review text, ensuring zero risk of GDPR violation or data privacy misuse.</w:t>
      </w:r>
    </w:p>
    <w:p w14:paraId="4E0B2E2A" w14:textId="77777777" w:rsidR="003D7894" w:rsidRDefault="003D7894" w:rsidP="00F55195"/>
    <w:p w14:paraId="451AB7B5" w14:textId="77777777" w:rsidR="00140FF8" w:rsidRDefault="00140FF8">
      <w:pPr>
        <w:pBdr>
          <w:top w:val="single" w:sz="12" w:space="1" w:color="1F6FEB"/>
        </w:pBdr>
        <w:spacing w:after="80"/>
      </w:pPr>
    </w:p>
    <w:p w14:paraId="397B6DB5" w14:textId="7E54011C" w:rsidR="00B60931" w:rsidRDefault="00790174" w:rsidP="006A1EE2">
      <w:pPr>
        <w:pStyle w:val="Heading1"/>
        <w:jc w:val="left"/>
      </w:pPr>
      <w:bookmarkStart w:id="18" w:name="_Toc227354332"/>
      <w:r>
        <w:lastRenderedPageBreak/>
        <w:t>4. Case Study Description</w:t>
      </w:r>
      <w:bookmarkEnd w:id="18"/>
      <w:r w:rsidR="006A1EE2">
        <w:t xml:space="preserve"> - </w:t>
      </w:r>
      <w:r w:rsidR="006A1EE2" w:rsidRPr="006A1EE2">
        <w:t>Better.com and the Deployment of Voice AI in Mortgage Origination</w:t>
      </w:r>
    </w:p>
    <w:p w14:paraId="77BB8841" w14:textId="1E967EFA" w:rsidR="006A1EE2" w:rsidRDefault="006D38B7" w:rsidP="006D38B7">
      <w:pPr>
        <w:pStyle w:val="Heading2"/>
      </w:pPr>
      <w:r w:rsidRPr="006D38B7">
        <w:t>4.1 Introduction to the Case Study</w:t>
      </w:r>
    </w:p>
    <w:p w14:paraId="0514DC4D" w14:textId="47E2A93B" w:rsidR="00620926" w:rsidRDefault="00620926" w:rsidP="00620926">
      <w:r>
        <w:t>This chapter presents the empirical case examined in this thesis: the deployment of a voice-based Large Language Model agent within the mortgage origination operations of Better Home &amp; Finance Holding Company, commonly known as Better.com. The chapter provides the organizational, technological, and strategic context required to understand how Betsy, Better.com’s voice AI loan assistant, was integrated into a digital mortgage workflow. Rather than treating Betsy as an isolated customer-service application, the case is situated within Better.com’s broader technology architecture, particularly its proprietary Tinman platform. This framing is important because Better.com describes itself as a technology-first mortgage company whose founding logic was to digitize and automate home finance, reduce friction, and make the mortgage process faster and more efficient (Better.com, n.d.).</w:t>
      </w:r>
    </w:p>
    <w:p w14:paraId="139054E9" w14:textId="5D832794" w:rsidR="00620926" w:rsidRDefault="00620926" w:rsidP="00620926">
      <w:r>
        <w:t>The case is analytically significant because mortgage origination is a communication-intensive, regulated, and economically sensitive process. Borrowers require repeated clarification about rates, eligibility, documentation, application status, underwriting conditions, and closing steps. These interactions are costly when handled entirely through human loan officers, but risky if automated without access to accurate process data and compliance controls. Better.com therefore provides a relevant empirical setting for studying voice LLM agents because Betsy was not deployed into a generic call-center environment, but into a digital mortgage platform where conversational AI is connected to loan-specific workflows. Public company and vendor materials indicate that Betsy operates as a voice interface layered on top of Tinman, while ElevenLabs provides the voice-agent infrastructure supporting natural borrower conversations (Better Home &amp; Finance Holding Company, 2026; ElevenLabs, 2026).</w:t>
      </w:r>
    </w:p>
    <w:p w14:paraId="45A04A45" w14:textId="2316233F" w:rsidR="000A326A" w:rsidRDefault="00620926" w:rsidP="00620926">
      <w:r>
        <w:t>The chapter proceeds in three main steps. First, it introduces Better.com as a digital-first mortgage lender and explains the market and organizational conditions that made automation strategically relevant. Second, it describes mortgage origination as the operational context in which voice AI must function, emphasizing why borrower communication, process visibility, and system integration matter. Third, it examines Tinman as the technological foundation for Betsy and explains the role of ElevenLabs as the voice infrastructure provider. By doing so, the chapter establishes the empirical basis for the later analysis of integration prerequisites and business value, while leaving detailed financial, sentiment, and topic-modeling results to Chapter 5.</w:t>
      </w:r>
    </w:p>
    <w:p w14:paraId="6E64907D" w14:textId="23080ACA" w:rsidR="000A326A" w:rsidRDefault="000A326A" w:rsidP="006D38B7"/>
    <w:p w14:paraId="0692B922" w14:textId="77777777" w:rsidR="000A326A" w:rsidRDefault="000A326A" w:rsidP="006D38B7"/>
    <w:p w14:paraId="43882B17" w14:textId="0651D10F" w:rsidR="000A326A" w:rsidRDefault="000A326A" w:rsidP="000A326A">
      <w:pPr>
        <w:pStyle w:val="Heading2"/>
      </w:pPr>
      <w:r>
        <w:lastRenderedPageBreak/>
        <w:t>4.2 Better.com Corporate Profile</w:t>
      </w:r>
    </w:p>
    <w:p w14:paraId="69FC82BF" w14:textId="0BBAE9F5" w:rsidR="000A326A" w:rsidRDefault="000A326A" w:rsidP="005D3F50">
      <w:pPr>
        <w:pStyle w:val="Heading3"/>
      </w:pPr>
      <w:r>
        <w:t>4.2.1 Company Background and Founding Logic</w:t>
      </w:r>
    </w:p>
    <w:p w14:paraId="7CF181DA" w14:textId="2EDDBD7B" w:rsidR="005D3F50" w:rsidRDefault="005D3F50" w:rsidP="005D3F50">
      <w:r>
        <w:t>Better Home &amp; Finance Holding Company, commonly known as Better.com, is a digital homeownership and mortgage finance company headquartered in New York. The company operates in the U.S. mortgage market through a technology-first model that seeks to simplify the process of obtaining a home loan. Unlike traditional mortgage lenders that historically relied on branch networks, manual document handling, call centers, and loan-officer-heavy processes, Better.com positioned itself from the beginning as a digital mortgage platform. According to the company’s own history, Better.com was founded in 2014 after founder Vishal Garg experienced the complexity and inefficiency of the mortgage process, which motivated the creation of a “technology-first company led by engineers and data experts” focused on digitizing and automating home finance (Better.com, n.d.).</w:t>
      </w:r>
    </w:p>
    <w:p w14:paraId="67803C55" w14:textId="23E1F76C" w:rsidR="005D3F50" w:rsidRDefault="005D3F50" w:rsidP="005D3F50">
      <w:r>
        <w:t>This founding logic is important for the present thesis because Better.com is not simply a conventional mortgage lender that later adopted artificial intelligence as an add-on tool. Rather, the company’s business model has been built around the assumption that mortgage origination can be redesigned through digital infrastructure. Better.com’s public materials describe its mortgage offering as a digital home finance experience intended to make homeownership simpler, faster, and more accessible (Better.com, n.d.). The company’s investor materials further characterize Better as an “AI native mortgage lender” and state that its Tinman platform allows customers to view rate options in seconds, obtain pre-approval in minutes, lock rates, and close loans in as little as three weeks (Better Home &amp; Finance Holding Company, n.d.).</w:t>
      </w:r>
    </w:p>
    <w:p w14:paraId="3FCCBB35" w14:textId="1CAE206A" w:rsidR="000A326A" w:rsidRDefault="005D3F50" w:rsidP="005D3F50">
      <w:r>
        <w:t>From a business informatics perspective, Better.com is therefore a relevant case because its value proposition depends on the integration of technology, data, workflow automation, and customer interaction. Mortgage lending is information-intensive: borrowers submit personal, financial, employment, property, and credit information, while lenders must process this information through pricing, eligibility, underwriting, compliance, and closing workflows. A firm that has already digitized large parts of this workflow is more likely to be able to integrate AI agents into operational processes than a lender whose processes remain fragmented across legacy systems. This makes Better.com suitable for studying the business value of voice LLM agents, because Betsy’s deployment can be examined not only as a conversational interface, but also as part of a broader digital mortgage operating model.</w:t>
      </w:r>
    </w:p>
    <w:p w14:paraId="5F1E5620" w14:textId="77777777" w:rsidR="005D3F50" w:rsidRDefault="005D3F50" w:rsidP="005D3F50"/>
    <w:p w14:paraId="4AA21B7C" w14:textId="1088A823" w:rsidR="000A326A" w:rsidRDefault="000A326A" w:rsidP="000A326A">
      <w:pPr>
        <w:pStyle w:val="Heading3"/>
      </w:pPr>
      <w:r>
        <w:t>4.2.2 Growth During the Pandemic Refinancing Boom</w:t>
      </w:r>
    </w:p>
    <w:p w14:paraId="1F7C8DCC" w14:textId="646973A4" w:rsidR="00302623" w:rsidRDefault="00302623" w:rsidP="00302623">
      <w:r>
        <w:t xml:space="preserve">Better.com’s corporate development must also be understood in relation to the unusual mortgage market conditions of 2020 and 2021. During this period, historically low interest rates generated a large refinancing boom across the U.S. mortgage industry. Freddie Mac reported that U.S. refinance originations reached approximately $2.6 trillion in 2020, more than double the prior year’s volume, while the Federal Reserve Bank of New York later described the 2020–2021 period as the “Great Pandemic Mortgage Refinance Boom” (Freddie Mac, 2021; Federal Reserve Bank of New York, 2023). Better.com benefited from this market-wide expansion by increasing loan origination volume and scaling its operations rapidly. Public registration materials filed in connection with the company’s </w:t>
      </w:r>
      <w:r>
        <w:lastRenderedPageBreak/>
        <w:t>public-market transaction state that Better experienced rapid growth and increased demand through the first half of 2021, including a 393% increase in funded loan volume in 2020 (Better HoldCo, Inc., 2023).</w:t>
      </w:r>
    </w:p>
    <w:p w14:paraId="47CBDD58" w14:textId="136D552E" w:rsidR="00302623" w:rsidRDefault="00302623" w:rsidP="00302623">
      <w:r>
        <w:t>This growth period is central to the case because it created the scale conditions that later made operational efficiency more strategically important. During a boom, a mortgage lender can often support higher demand through hiring, expanded sales capacity, and increased operational staffing. However, this model also creates vulnerability when market conditions reverse. For Better.com, the pandemic refinancing boom demonstrated the potential of a digital mortgage model to scale quickly, but it also exposed the cost structure associated with high-volume origination. Therefore, the growth phase should not be interpreted as evidence of AI impact, since Betsy had not yet been deployed. Instead, it establishes the organizational background against which Better.com’s later automation strategy should be understood.</w:t>
      </w:r>
    </w:p>
    <w:p w14:paraId="4F4B73B5" w14:textId="76DE83EC" w:rsidR="000A326A" w:rsidRDefault="00302623" w:rsidP="00302623">
      <w:r>
        <w:t xml:space="preserve">Better.com’s rapid growth also increased its visibility as a fintech and mortgage-market actor. In 2021, public communications described the company as having funded more than $45 billion in loan volume and having substantially expanded its market share since 2020 (Better HoldCo, Inc., 2021). More recent investor materials state that </w:t>
      </w:r>
      <w:proofErr w:type="gramStart"/>
      <w:r>
        <w:t>Better</w:t>
      </w:r>
      <w:proofErr w:type="gramEnd"/>
      <w:r>
        <w:t xml:space="preserve"> has funded more than $100 billion in loan volume, indicating that the company has remained a significant digital mortgage originator despite the later downturn (Better Home &amp; Finance Holding Company, n.d.). For this thesis, the importance of the growth phase is not that it proves the effectiveness of AI, since Betsy had not yet been deployed. Rather, it establishes the organizational background against which the company’s later automation strategy should be interpreted.</w:t>
      </w:r>
    </w:p>
    <w:p w14:paraId="5177EC18" w14:textId="77777777" w:rsidR="00D46BBA" w:rsidRDefault="00D46BBA" w:rsidP="00302623"/>
    <w:p w14:paraId="2AAC59ED" w14:textId="31A2B033" w:rsidR="000A326A" w:rsidRDefault="000A326A" w:rsidP="000A326A">
      <w:pPr>
        <w:pStyle w:val="Heading3"/>
      </w:pPr>
      <w:r>
        <w:t>4.2.3 Post-2021 Crisis and Strategic Pressure</w:t>
      </w:r>
    </w:p>
    <w:p w14:paraId="63168CCD" w14:textId="5E862104" w:rsidR="00D4603F" w:rsidRDefault="00D4603F" w:rsidP="00D4603F">
      <w:r>
        <w:t>After the refinancing boom, Better.com faced a much more difficult operating environment. Rising interest rates reduced refinancing demand and placed pressure on mortgage origination volumes across the industry. For a company that had expanded rapidly during the boom period, this created a strategic problem: how to preserve responsiveness, customer engagement, and origination capacity while reducing the cost base associated with a larger human workforce. Better.com’s widely reported workforce reductions in late 2021 and subsequent restructuring made clear that the company’s earlier growth model could not simply continue under changed market conditions. Axios reported that Better.com laid off approximately 900 employees in December 2021 during the period surrounding its planned SPAC transaction, an event that became highly visible in public discussions of the company (Primack, 2021).</w:t>
      </w:r>
    </w:p>
    <w:p w14:paraId="59D0ABE7" w14:textId="70649A73" w:rsidR="00D4603F" w:rsidRDefault="00D4603F" w:rsidP="00D4603F">
      <w:r>
        <w:t>This post-2021 pressure is important because it helps explain why AI automation became strategically attractive for Better.com. In a high-volume mortgage environment, human staffing can support growth, but in a contracting market it can intensify losses and reduce flexibility. Better.com therefore faced the challenge of rebuilding operating leverage: increasing or preserving loan volume without returning to a cost structure that depends on proportional hiring. This context makes the company a useful case for studying voice LLM agents in financial services. Betsy should not be understood merely as a novel customer-service experiment, but as part of a broader attempt to redesign mortgage origination around automation, digital workflows, and AI-enabled productivity.</w:t>
      </w:r>
    </w:p>
    <w:p w14:paraId="3143C9D6" w14:textId="54C3A382" w:rsidR="00D4603F" w:rsidRDefault="00D4603F" w:rsidP="00D4603F">
      <w:r>
        <w:lastRenderedPageBreak/>
        <w:t>Better.com’s later public communications increasingly foregrounded Tinman and AI-enabled mortgage processing as central to its strategy. In 2025, the company described Tinman as an AI mortgage platform that allows customers to see rate options in seconds, get pre-approved in minutes, lock rates, and close loans in as little as three weeks (Better Home &amp; Finance Holding Company, 2025). The company also reported expectations that funded loan volume would increase in 2025 partly due to growth initiatives including the Tinman AI Platform channel, while adjusted EBITDA losses were expected to improve through a combination of AI-driven conversion improvements, efficiency gains, and corporate cost reductions (Better Home &amp; Finance Holding Company, 2025). These statements should be interpreted carefully, as they are company disclosures rather than independent causal evidence. However, they show that Better.com itself frames AI and platform automation as central components of its post-crisis operating model.</w:t>
      </w:r>
    </w:p>
    <w:p w14:paraId="1D45EC2F" w14:textId="10A2E8A4" w:rsidR="001E5AE5" w:rsidRDefault="00D4603F" w:rsidP="00D4603F">
      <w:r>
        <w:t>Taken together, Better.com’s corporate profile makes it a strong empirical case for this thesis. The company began with a digital-first mortgage logic, scaled rapidly during an exceptional refinancing boom, then faced severe market and cost pressures after the interest-rate environment changed. This sequence created a setting in which AI automation became strategically meaningful. The relevance of Better.com as a case therefore lies not only in the existence of Betsy as a voice AI loan assistant, but in the broader organizational trajectory that made such an agent useful: a digital mortgage company seeking to rebuild scale, responsiveness, and efficiency through an integrated AI-enabled operating model.</w:t>
      </w:r>
    </w:p>
    <w:p w14:paraId="112827EE" w14:textId="574F8213" w:rsidR="001E5AE5" w:rsidRDefault="001E5AE5" w:rsidP="00B60931"/>
    <w:p w14:paraId="2CD91AF4" w14:textId="6EAECF54" w:rsidR="002E6EE9" w:rsidRDefault="002E6EE9" w:rsidP="002E6EE9">
      <w:pPr>
        <w:pStyle w:val="Heading2"/>
      </w:pPr>
      <w:r>
        <w:t>4.3 The Mortgage Origination Process as the Operational Context</w:t>
      </w:r>
    </w:p>
    <w:p w14:paraId="1FEBD18B" w14:textId="77777777" w:rsidR="002E6EE9" w:rsidRDefault="002E6EE9" w:rsidP="002E6EE9">
      <w:r>
        <w:t>Before examining Betsy’s role in Better.com’s operating model, it is necessary to clarify the mortgage origination process itself. Mortgage origination refers to the sequence of activities through which a borrower applies for a mortgage loan, provides financial and property-related information, receives pricing and eligibility assessment, moves through underwriting, satisfies loan conditions, and ultimately proceeds to closing. This process is not only financial and administrative; it is also highly communicative. The borrower must understand changing rates, loan options, documentation requests, underwriting requirements, closing disclosures, and time-sensitive decisions. For this reason, mortgage origination provides a useful operational context for examining voice-based LLM agents: the process contains many repetitive communication tasks, but these tasks are embedded in a high-stakes, regulated financial transaction.</w:t>
      </w:r>
    </w:p>
    <w:p w14:paraId="34D27F3D" w14:textId="77777777" w:rsidR="002E6EE9" w:rsidRDefault="002E6EE9" w:rsidP="002E6EE9"/>
    <w:p w14:paraId="55E3E466" w14:textId="602C9B10" w:rsidR="002E6EE9" w:rsidRDefault="002E6EE9" w:rsidP="002E6EE9">
      <w:pPr>
        <w:pStyle w:val="Heading3"/>
      </w:pPr>
      <w:r>
        <w:t>4.3.1 Why Mortgage Origination Is Communication-Intensive</w:t>
      </w:r>
    </w:p>
    <w:p w14:paraId="6CE93E88" w14:textId="1B672CC1" w:rsidR="002E6EE9" w:rsidRDefault="002E6EE9" w:rsidP="002E6EE9">
      <w:r>
        <w:t xml:space="preserve">Mortgage origination is a communication-intensive process because it requires repeated coordination between the borrower, lender, underwriter, and closing parties across multiple stages of the loan journey. At the beginning of the process, lenders must respond to borrower inquiries, capture lead information, explain available products, and determine whether the customer is likely to qualify for financing. This is followed by pre-approval or pre-qualification, where borrowers often need clarification about credit score requirements, debt-to-income ratios, income documentation, down payment assumptions, and estimated affordability. These early interactions are commercially </w:t>
      </w:r>
      <w:r>
        <w:lastRenderedPageBreak/>
        <w:t>important because responsiveness can influence whether a prospective borrower continues with the lender or abandons the application.</w:t>
      </w:r>
    </w:p>
    <w:p w14:paraId="62E299CC" w14:textId="3C837D35" w:rsidR="002E6EE9" w:rsidRDefault="002E6EE9" w:rsidP="002E6EE9">
      <w:r>
        <w:t>The communication burden increases once the borrower submits a formal application. Mortgage lenders must collect and verify personal, employment, income, asset, credit, and property-related information. Fannie Mae’s Selling Guide organizes conventional mortgage origination around several interrelated components, including the loan application package, borrower eligibility, underwriting of borrowers, underwriting of property, insurance, and closing legal documents (Fannie Mae, n.d.). This structure shows that origination is not a single transaction but a multi-stage workflow in which information must be collected, validated, updated, and explained to the borrower. The Consumer Financial Protection Bureau similarly emphasizes that borrowers must submit documents required for underwriting before closing and review multiple legally required documents before finalizing the mortgage loan (Consumer Financial Protection Bureau, 2024, 2025).</w:t>
      </w:r>
    </w:p>
    <w:p w14:paraId="02A6D138" w14:textId="03FDD93C" w:rsidR="002E6EE9" w:rsidRDefault="002E6EE9" w:rsidP="002E6EE9">
      <w:r>
        <w:t>A further reason mortgage origination is communication-intensive is that underwriting often produces additional conditions. Even after an application is submitted, borrowers may be asked to provide missing pay slips, bank statements, tax documents, explanations of credit activity, proof of funds, or updated employment information. These requests can create uncertainty for customers, particularly because mortgage timelines are often connected to purchase contracts, rate-lock deadlines, appraisal schedules, and closing dates. Communication in this context is therefore not merely informational. It performs a reassurance function by reducing borrower anxiety, clarifying next steps, and maintaining confidence that the loan remains on track.</w:t>
      </w:r>
    </w:p>
    <w:p w14:paraId="3FF1192E" w14:textId="380A7380" w:rsidR="002E6EE9" w:rsidRDefault="002E6EE9" w:rsidP="002E6EE9">
      <w:r>
        <w:t>This creates a structural challenge for lenders. High-quality communication improves borrower trust and may support conversion, but delivering that communication through human loan officers and support teams is expensive and difficult to scale. The cost pressure is substantial. The Mortgage Bankers Association reported that total loan production expenses averaged $10,716 per loan in the third quarter of 2024, while Freddie Mac’s 2024 Cost to Originate Study found that loan origination costs had risen by 35% over the prior three years and that lenders with higher usage of digital tools had shorter production cycle times and lower origination costs than lenders with lower technology adoption (Mortgage Bankers Association, 2024; Freddie Mac, 2024).</w:t>
      </w:r>
    </w:p>
    <w:p w14:paraId="203DF2F6" w14:textId="3A94A55B" w:rsidR="002E6EE9" w:rsidRDefault="002E6EE9" w:rsidP="002E6EE9">
      <w:r>
        <w:t>Voice AI is relevant precisely because it targets this tension between responsiveness and labor intensity. Many mortgage interactions are repetitive but still time-sensitive: answering basic eligibility questions, explaining rate options, following up on incomplete applications, reminding borrowers about documents, clarifying underwriting conditions, and guiding customers toward closing. A voice-based AI agent can potentially absorb part of this communication load while preserving the immediacy of spoken interaction. This is particularly relevant in mortgage lending because borrowers often prefer direct explanation over static digital forms when making a large financial commitment. In this sense, mortgage origination is not simply a financial transaction; it is a high-frequency communication process. That makes it a suitable domain for conversational AI, provided that the agent is connected to accurate workflow data, operates within compliance boundaries, and escalates complex or sensitive issues to human specialists.</w:t>
      </w:r>
    </w:p>
    <w:p w14:paraId="7398661A" w14:textId="3891EFAD" w:rsidR="00D36C9F" w:rsidRDefault="00D36C9F" w:rsidP="002E6EE9"/>
    <w:p w14:paraId="26B7788F" w14:textId="6798E016" w:rsidR="00D36C9F" w:rsidRDefault="00D36C9F" w:rsidP="00D36C9F">
      <w:pPr>
        <w:pStyle w:val="Heading3"/>
      </w:pPr>
      <w:r>
        <w:lastRenderedPageBreak/>
        <w:t>4.3.2 Pain Points in Traditional Mortgage Operations</w:t>
      </w:r>
    </w:p>
    <w:p w14:paraId="4CADB272" w14:textId="72BE08AF" w:rsidR="00D36C9F" w:rsidRDefault="00D36C9F" w:rsidP="00D36C9F">
      <w:r>
        <w:t>Traditional mortgage operations are characterized by several structural pain points that make the process both costly for lenders and demanding for borrowers. Although mortgage origination follows a standardized regulatory and underwriting logic, the practical execution of the process often involves repeated communication, manual follow-up, document collection, status clarification, and coordination across different actors. Borrowers may need to clarify rate options, submit missing documentation, respond to underwriting conditions, review closing disclosures, and coordinate closing steps within strict timelines. This creates a heavy communication burden for lenders, particularly when these interactions are handled mainly by human loan officers, processors, and support teams.</w:t>
      </w:r>
    </w:p>
    <w:p w14:paraId="2501A6E0" w14:textId="503DED1B" w:rsidR="00D36C9F" w:rsidRDefault="00D36C9F" w:rsidP="00D36C9F">
      <w:r>
        <w:t>One major pain point is operational latency. Borrowers often expect immediate answers about eligibility, pricing, required documents, or loan status, yet traditional mortgage operations can depend on sequential handoffs between sales, processing, underwriting, and closing teams. Each handoff introduces the possibility of delay, duplication, or inconsistent communication. The Consumer Financial Protection Bureau’s borrower guidance illustrates the number of documents and decision points involved in the mortgage process, including application materials, underwriting documentation, loan estimates, closing disclosures, and final signing requirements (Consumer Financial Protection Bureau, 2024, 2025). In practice, each of these steps can generate borrower questions and follow-up tasks, especially when a customer does not understand why additional information is required or how a delay affects closing.</w:t>
      </w:r>
    </w:p>
    <w:p w14:paraId="79B6BDD0" w14:textId="212CD6EC" w:rsidR="00D36C9F" w:rsidRDefault="00D36C9F" w:rsidP="00D36C9F">
      <w:r>
        <w:t>A second pain point is fragmentation of information. Customer data, pricing information, underwriting conditions, document requests, and communication histories may be distributed across several systems or handled by different employees. Fragmentation increases the difficulty of providing immediate, accurate responses because neither human agents nor automated tools can act effectively without reliable access to the current state of the loan file. This is especially important in mortgage lending because small inaccuracies can have meaningful consequences for customer trust, compliance, and transaction timing. For voice AI to function effectively, it must therefore be connected not only to a speech interface, but also to a reliable operational system capable of retrieving, interpreting, and acting on mortgage-specific information.</w:t>
      </w:r>
    </w:p>
    <w:p w14:paraId="028D5821" w14:textId="3D7A8AD5" w:rsidR="00D36C9F" w:rsidRDefault="00D36C9F" w:rsidP="00D36C9F">
      <w:r>
        <w:t>A third pain point is the high cost-to-originate. Mortgage origination remains labor-intensive, even as lenders adopt digital tools. The Mortgage Bankers Association reported that total loan production expenses were $10,716 per loan in the third quarter of 2024, compared with a long-run average of $7,573 per loan since the third quarter of 2008 (Mortgage Bankers Association, 2024). This cost structure makes repetitive communication tasks strategically important. A follow-up call, document reminder, or status update may appear simple, but when repeated across thousands of borrowers, these tasks consume substantial labor capacity. Freddie Mac’s 2024 Cost to Originate Study reinforces this point by showing that lenders with higher usage of digital tools had approximately $1,500 lower origination costs per loan and five-day shorter production cycle times than lenders with lower technology utilization (Freddie Mac, 2024).</w:t>
      </w:r>
    </w:p>
    <w:p w14:paraId="1436960B" w14:textId="26BD0BCD" w:rsidR="00D36C9F" w:rsidRDefault="00D36C9F" w:rsidP="00D36C9F">
      <w:r>
        <w:t xml:space="preserve">These pain points become more severe during demand spikes. When refinancing or purchase demand increases, call volumes, lead inquiries, document submissions, and application follow-ups can rise faster than lenders can hire and train staff. Conversely, when demand falls, lenders may be left with excess staffing costs. This creates a scalability problem: mortgage lenders must be </w:t>
      </w:r>
      <w:r>
        <w:lastRenderedPageBreak/>
        <w:t>responsive enough to capture demand during market expansions, but flexible enough to control costs during contractions. Traditional human-heavy operating models struggle with this tension because capacity is closely tied to headcount.</w:t>
      </w:r>
    </w:p>
    <w:p w14:paraId="51A49FFB" w14:textId="0D26DB70" w:rsidR="00D36C9F" w:rsidRDefault="00D36C9F" w:rsidP="00D36C9F">
      <w:r>
        <w:t>The mortgage process therefore creates repetitive but high-value communication tasks. These tasks are expensive when handled manually, but risky if automated poorly. Poor automation can frustrate borrowers, provide incomplete answers, or escalate compliance risk. This is why the operational foundation matters. A voice AI agent is unlikely to create meaningful value if it is merely attached to a fragmented mortgage process. It must be embedded in an integrated platform that can connect borrower communication with pricing, documentation, underwriting status, workflow routing, and escalation mechanisms. In Better.com’s case, this requirement leads directly to the importance of Tinman: the company’s answer to the operational pain points of mortgage origination was not only a conversational agent, but an integrated mortgage platform designed to support automation across the loan workflow.</w:t>
      </w:r>
    </w:p>
    <w:p w14:paraId="60778095" w14:textId="71B0E761" w:rsidR="001E5AE5" w:rsidRDefault="001E5AE5" w:rsidP="00B60931"/>
    <w:p w14:paraId="2AA9569F" w14:textId="13D911FB" w:rsidR="008F390F" w:rsidRDefault="0003058A" w:rsidP="0003058A">
      <w:pPr>
        <w:pStyle w:val="Heading2"/>
      </w:pPr>
      <w:r>
        <w:t>4.4 Better.com’s Technology Foundation: The Tinman Platform</w:t>
      </w:r>
    </w:p>
    <w:p w14:paraId="00313D39" w14:textId="269D6AD5" w:rsidR="00A80964" w:rsidRDefault="00A80964" w:rsidP="00A80964">
      <w:r>
        <w:t>Tinman is central to the Better.com case because it represents the technological layer that makes voice AI operationally meaningful. A voice agent that can only answer generic questions would have limited value in mortgage origination. To support real borrower interactions, the agent must be able to access information about pricing, eligibility, application status, missing documents, underwriting conditions, compliance requirements, and next steps. Better.com’s public disclosures describe Tinman as the company’s proprietary technology platform supporting digital delivery, automation, and integration across its mortgage and homeownership activities (Better Home &amp; Finance Holding Company, 2026a). In this sense, Tinman should be understood not simply as a software tool, but as the integrated operating foundation through which Better.com attempts to digitize the mortgage origination process.</w:t>
      </w:r>
    </w:p>
    <w:p w14:paraId="7C066D40" w14:textId="77777777" w:rsidR="00A80964" w:rsidRDefault="00A80964" w:rsidP="00A80964">
      <w:r>
        <w:t>According to Better’s 2025 annual filing, the Tinman AI Platform provides access to proprietary technology used in mortgage origination activities, including technology-enabled underwriting, loan processing, compliance support, capital markets connectivity, and related back-office functionality (Better Home &amp; Finance Holding Company, 2026a). This description is important because it shows that Tinman is positioned as more than a front-end borrower interface. It connects multiple functions that are normally distributed across the mortgage value chain: borrower intake, underwriting, processing, compliance review, secondary-market connectivity, and operational administration. Better also states that in some partner arrangements, Tinman is integrated into a partner’s internal digital operations to support mortgage origination, while in other arrangements it is embedded into a partner’s customer-facing application or workflow (Better Home &amp; Finance Holding Company, 2026a). This indicates that Tinman functions both as an internal mortgage operating platform and as an externalized platform capability for partners.</w:t>
      </w:r>
    </w:p>
    <w:p w14:paraId="1D9A1D46" w14:textId="77777777" w:rsidR="00A80964" w:rsidRDefault="00A80964" w:rsidP="00A80964"/>
    <w:p w14:paraId="0FF71EFC" w14:textId="15DEFD05" w:rsidR="00A80964" w:rsidRDefault="00A80964" w:rsidP="00A80964">
      <w:r>
        <w:t xml:space="preserve">This platform logic differs from traditional fragmented mortgage operations. In many conventional lending environments, borrower information, pricing data, underwriting conditions, document </w:t>
      </w:r>
      <w:r>
        <w:lastRenderedPageBreak/>
        <w:t>requests, and communication histories may be distributed across multiple systems and teams. Fragmentation makes it difficult to provide fast and consistent responses because each interaction depends on the agent’s ability to locate the current state of the borrower’s file. By contrast, an integrated operating system creates the conditions for process visibility. If the relevant data and workflow states are structured and accessible, a conversational system can retrieve information, communicate next steps, and trigger appropriate actions with less dependence on manual handoffs. Tinman is therefore analytically important because it helps explain how Better.com could move from ordinary digital mortgage processing toward AI-enabled mortgage origination.</w:t>
      </w:r>
    </w:p>
    <w:p w14:paraId="58E5A212" w14:textId="13AAADEC" w:rsidR="00A80964" w:rsidRDefault="00A80964" w:rsidP="00A80964">
      <w:r>
        <w:t xml:space="preserve">Better’s own materials present Tinman as supporting key mortgage tasks such as viewing rate options, obtaining pre-approval, locking rates, and closing loans within a digital workflow (Better Home &amp; Finance Holding Company, 2025). These claims should be interpreted as company disclosures rather than independent technical validation, but they are still useful for understanding how </w:t>
      </w:r>
      <w:proofErr w:type="gramStart"/>
      <w:r>
        <w:t>Better</w:t>
      </w:r>
      <w:proofErr w:type="gramEnd"/>
      <w:r>
        <w:t xml:space="preserve"> frames Tinman’s role. The platform is presented as the system through which mortgage-specific rules, pricing logic, borrower data, and workflow actions are brought together. In the context of this thesis, the most important point is not whether every company claim can be independently verified, but that Tinman is publicly described as the infrastructure connecting customer interaction with operational mortgage execution.</w:t>
      </w:r>
    </w:p>
    <w:p w14:paraId="73DC4CF9" w14:textId="03B00B35" w:rsidR="00A80964" w:rsidRDefault="00A80964" w:rsidP="00A80964">
      <w:r>
        <w:t>This is also why Betsy should not be interpreted as merely a voice layer. Public materials about Betsy describe the agent as being built through or layered on top of Tinman. HousingWire’s reporting on the 2024 launch stated that Betsy was built through Tinman, described as Better’s proprietary loan origination platform where loan-application information and facts are stored (Nunes, 2024). The same report stated that Betsy communicates with prospective and current customers by answering mortgage-application questions, verifying outstanding application data, and connecting with Tinman in real time (Nunes, 2024). Similarly, the Better–ElevenLabs case release states that Betsy is layered on top of Tinman, which computes pricing, eligibility, and approvals, while ElevenLabs Agents provide the controlled voice interface that communicates Tinman’s outputs to borrowers (Better Home &amp; Finance Holding Company &amp; ElevenLabs, 2026).</w:t>
      </w:r>
    </w:p>
    <w:p w14:paraId="6581E491" w14:textId="77777777" w:rsidR="00A80964" w:rsidRDefault="00A80964" w:rsidP="00A80964">
      <w:r>
        <w:t>This relationship between Tinman and Betsy is crucial for the case. Betsy’s business value does not come only from speech synthesis or natural dialogue. Its usefulness depends on whether it can access reliable mortgage-specific outputs and communicate them safely to borrowers. Better and ElevenLabs state that regulated steps such as credit pulls, authentication, rate locks, and transfers to human consultants require explicit consent and must follow state licensing requirements (Better Home &amp; Finance Holding Company &amp; ElevenLabs, 2026). This point is especially important in financial services, where a conversational agent cannot simply generate plausible answers. It must operate within a controlled process environment where the distinction between explanation, recommendation, application action, and regulated decisioning is carefully managed.</w:t>
      </w:r>
    </w:p>
    <w:p w14:paraId="432A6F1C" w14:textId="77777777" w:rsidR="00A80964" w:rsidRDefault="00A80964" w:rsidP="00A80964"/>
    <w:p w14:paraId="4DF5563E" w14:textId="77777777" w:rsidR="00A80964" w:rsidRDefault="00A80964" w:rsidP="00A80964">
      <w:r>
        <w:t xml:space="preserve">Tinman therefore acts as the architectural prerequisite for Betsy. A voice agent may improve the naturalness and immediacy of borrower communication, but the underlying mortgage workflow determines whether the agent can do anything operationally valuable. If the platform can compute eligibility, retrieve pricing, identify missing data, track the application state, and route actions appropriately, then the voice agent becomes a conversational access point into the mortgage </w:t>
      </w:r>
      <w:r>
        <w:lastRenderedPageBreak/>
        <w:t>operating system. If those capabilities are absent, the agent risks becoming only a superficial chatbot attached to a fragmented process. In Better.com’s case, Tinman provides the digitized backend that allows Betsy to be framed as part of mortgage origination rather than merely customer service.</w:t>
      </w:r>
    </w:p>
    <w:p w14:paraId="57FA76E4" w14:textId="77777777" w:rsidR="00A80964" w:rsidRDefault="00A80964" w:rsidP="00A80964"/>
    <w:p w14:paraId="7FCAC6EE" w14:textId="3690C3D6" w:rsidR="00A80964" w:rsidRDefault="00A80964" w:rsidP="00A80964">
      <w:pPr>
        <w:pStyle w:val="Heading3"/>
      </w:pPr>
      <w:r>
        <w:t>4.4.2 Why Platform Integration Matters for LLM Agents</w:t>
      </w:r>
    </w:p>
    <w:p w14:paraId="7B988AE0" w14:textId="760B9CF1" w:rsidR="00A80964" w:rsidRDefault="00A80964" w:rsidP="00A80964">
      <w:r>
        <w:t>The Better.com case illustrates that the deployment of voice LLM agents in financial services is not primarily a front-end design problem. The conversational interface is only the visible layer. The deeper prerequisite is process integration: the organization must possess structured data flows, digitized workflows, reliable business rules, and system access points that allow the agent to retrieve information and trigger appropriate next steps. This is especially important in mortgage origination because borrowers are not only asking general questions; they are asking questions about their own application, their eligibility, their rate, their documentation requirements, and their closing timeline. These questions require contextual accuracy.</w:t>
      </w:r>
    </w:p>
    <w:p w14:paraId="0245B196" w14:textId="5EE443D8" w:rsidR="00A80964" w:rsidRDefault="00A80964" w:rsidP="00A80964">
      <w:r>
        <w:t>LLM agents require context to be useful in such a setting. A general-purpose model can explain what a mortgage is, but it cannot safely tell a borrower whether a specific document is missing, whether a rate can be locked, or whether an application can move forward unless it is connected to authoritative workflow data. In the Better.com case, Tinman is presented as this authoritative operational layer. Better’s SEC-filed annual report describes Tinman as including technology-enabled underwriting, loan processing, compliance support, capital markets connectivity, and related back-office functionality (Better Home &amp; Finance Holding Company, 2026a). These components matter because they represent the operational substrate that a conversational agent must interact with if it is to move beyond generic advice.</w:t>
      </w:r>
    </w:p>
    <w:p w14:paraId="78129009" w14:textId="5A392F9B" w:rsidR="00A80964" w:rsidRDefault="00A80964" w:rsidP="00A80964">
      <w:r>
        <w:t xml:space="preserve">Voice agents also require low latency and reliable system access. In ordinary text-based interaction, a short delay may be tolerable. In spoken conversation, however, delays, interruptions, and uncertainty are more visible to the user. The Better–ElevenLabs case release states that </w:t>
      </w:r>
      <w:proofErr w:type="gramStart"/>
      <w:r>
        <w:t>Better</w:t>
      </w:r>
      <w:proofErr w:type="gramEnd"/>
      <w:r>
        <w:t xml:space="preserve"> initially used a speech-to-speech model but later moved to a modular architecture combining speech-to-text, a large language model, and text-to-speech through ElevenLabs Agents to achieve lower latency, greater control, and higher reliability (Better Home &amp; Finance Holding Company &amp; ElevenLabs, 2026). The same source notes that a single borrower conversation may trigger dozens of internal system calls, which suggests that voice AI in mortgage origination depends on repeated interaction between the conversational layer and backend systems (Better Home &amp; Finance Holding Company &amp; ElevenLabs, 2026).</w:t>
      </w:r>
    </w:p>
    <w:p w14:paraId="7BBED514" w14:textId="3D5753DE" w:rsidR="00A80964" w:rsidRDefault="00A80964" w:rsidP="00A80964">
      <w:r>
        <w:t>This has direct implications for RQ1. The integration of voice LLM agents in regulated financial services depends not only on the model’s language capability, but also on whether the organization has a process environment that the model can safely interact with. Fragmented systems create several risks. They can increase response latency, make it difficult to retrieve the correct loan status, produce inconsistent borrower communication, and limit the agent to generic answers. In the worst case, fragmentation can increase hallucination risk because the model may attempt to fill gaps when authoritative process data is unavailable. In contrast, an integrated platform can constrain and ground the agent’s outputs by connecting conversation to verified pricing, eligibility, documentation, workflow, and escalation mechanisms.</w:t>
      </w:r>
    </w:p>
    <w:p w14:paraId="47D0227A" w14:textId="7ECA98DD" w:rsidR="00A80964" w:rsidRDefault="00A80964" w:rsidP="00A80964">
      <w:r>
        <w:lastRenderedPageBreak/>
        <w:t xml:space="preserve">Platform integration also matters organizationally. Mortgage origination includes tasks that vary in complexity and regulatory sensitivity. Some tasks, such as reminding a borrower to submit documents or providing a status update, are repetitive and suitable for automation. Other tasks, such as resolving complex borrower circumstances, interpreting unusual underwriting conditions, or providing regulated advice, may require human expertise. An integrated platform makes this hybrid model more feasible because it can support task routing, escalation, and role separation. Better’s Q2 2025 earnings release states that Betsy uses AI and large language models to take customers through pre-approval, rate quote, and rate lock processes autonomously, while also communicating verbally with customers to answer application inquiries and collect or verify outstanding application data (Better Home &amp; Finance Holding Company, 2025). These claims again need to be treated as company-reported evidence, but they show how </w:t>
      </w:r>
      <w:proofErr w:type="gramStart"/>
      <w:r>
        <w:t>Better</w:t>
      </w:r>
      <w:proofErr w:type="gramEnd"/>
      <w:r>
        <w:t xml:space="preserve"> frames the relationship between AI automation and workflow execution.</w:t>
      </w:r>
    </w:p>
    <w:p w14:paraId="0993866E" w14:textId="7BEC1B96" w:rsidR="0003058A" w:rsidRDefault="00A80964" w:rsidP="00A80964">
      <w:r>
        <w:t>The key prerequisite, therefore, is not only having a strong language model. It is having a business process that the model can safely access, interpret, and act upon. In Better.com’s case, Tinman is directly relevant to RQ1 because it shows that the integration of voice LLM agents depends on prior digital transformation of the core business process. Betsy becomes meaningful because it is connected to a mortgage operating platform; Tinman, in turn, provides the process architecture that allows voice AI to operate inside mortgage origination rather than alongside it.</w:t>
      </w:r>
    </w:p>
    <w:p w14:paraId="066F24CE" w14:textId="70E39753" w:rsidR="00DC702A" w:rsidRDefault="00DC702A" w:rsidP="00A80964"/>
    <w:p w14:paraId="57648D47" w14:textId="77777777" w:rsidR="00DC702A" w:rsidRDefault="00DC702A" w:rsidP="00DC702A">
      <w:pPr>
        <w:pStyle w:val="Heading2"/>
      </w:pPr>
      <w:r>
        <w:t>4.5 Betsy: Better.com’s Voice AI Loan Assistant</w:t>
      </w:r>
    </w:p>
    <w:p w14:paraId="478CC17F" w14:textId="77777777" w:rsidR="00DC702A" w:rsidRDefault="00DC702A" w:rsidP="00DC702A">
      <w:pPr>
        <w:pStyle w:val="Heading3"/>
      </w:pPr>
      <w:r>
        <w:t>4.5.1 Launch and Strategic Purpose of Betsy</w:t>
      </w:r>
    </w:p>
    <w:p w14:paraId="48E58637" w14:textId="78B968BF" w:rsidR="00DC702A" w:rsidRDefault="00DC702A" w:rsidP="00DC702A">
      <w:r>
        <w:t xml:space="preserve">Betsy was formally launched on 17 October 2024 as Better.com’s voice-based AI loan assistant for the U.S. mortgage industry. In the launch announcement, Better described Betsy as the latest innovation built through Tinman, its proprietary loan origination platform, and stated that the agent was designed to communicate with both prospective and existing customers, answer mortgage application inquiries, and collect or verify outstanding application data while interfacing with Tinman in real time. This is an important starting point for the case because it shows that Betsy was introduced not as a generic conversational bot, but as an application-specific agent embedded in the operational logic of mortgage origination (Better Home &amp; Finance Holding Company, 2024a). </w:t>
      </w:r>
    </w:p>
    <w:p w14:paraId="285ACA51" w14:textId="77777777" w:rsidR="00DC702A" w:rsidRDefault="00DC702A" w:rsidP="00DC702A">
      <w:r>
        <w:t xml:space="preserve">Better’s subsequent Q3 2024 results framed Betsy in explicitly strategic terms. In that filing, the company linked the launch of Betsy to three objectives: improving customer experience, increasing the efficiency of loan teams, and further accelerating Tinman as Better’s end-to-end technology platform. The same earnings release stated that Betsy leverages AI and large language models to support the mortgage journey from the start of pre-approval to the closed loan stage, and that Better expected the agent to enable faster service times, enhanced self-service, improved customer engagement, and greater sales efficiency. From an analytical perspective, this framing matters because it positions Betsy as part of a broader operating-model redesign aimed at reducing friction in borrower communication while increasing operating leverage in a labor-intensive mortgage process (Better Home &amp; Finance Holding Company, 2024b). </w:t>
      </w:r>
    </w:p>
    <w:p w14:paraId="3E105334" w14:textId="77777777" w:rsidR="00DC702A" w:rsidRDefault="00DC702A" w:rsidP="00DC702A"/>
    <w:p w14:paraId="3477F4DE" w14:textId="7BF44DF6" w:rsidR="00DC702A" w:rsidRDefault="00DC702A" w:rsidP="00DC702A">
      <w:r>
        <w:lastRenderedPageBreak/>
        <w:t xml:space="preserve">The strategic purpose of Betsy becomes even clearer when read together with Better’s later filings. Better’s 2025 annual report describes Betsy and Tinman as interdependent parts of the company’s technology stack: Tinman functions as the loan origination and workflow platform, while Betsy supports direct customer interaction around application inquiries and required application information. The same filing states that Better’s growth strategy depends on improving customer engagement, supporting borrowers earlier in the homeownership journey, and further automating elements of loan manufacturing in order to reduce friction, processing time, and production cost. In this sense, Betsy should be understood as the customer-facing expression of Better’s Tinman-based automation strategy. It is the conversational layer through which the underlying platform becomes visible to borrowers, rather than a stand-alone innovation operating independently of the mortgage system beneath it (Better Home &amp; Finance Holding Company, 2026). </w:t>
      </w:r>
    </w:p>
    <w:p w14:paraId="78F9C748" w14:textId="77777777" w:rsidR="00DC702A" w:rsidRDefault="00DC702A" w:rsidP="00DC702A">
      <w:r>
        <w:t xml:space="preserve">This timing also has methodological importance for the thesis. Because Betsy was launched only on 17 October 2024, Better’s full-year 2024 financial results necessarily combine a long pre-deployment period with only the final weeks of post-launch activity. For that reason, 2024 should be interpreted as a transition year rather than as a full post-Betsy period. Any subsequent improvement in responsiveness, productivity, or financial performance therefore cannot be attributed neatly to Betsy alone on the basis of annual 2024 data. A more defensible interpretation is that later developments reflect the broader Betsy/Tinman AI operating model that continued to scale after launch (Better Home &amp; Finance Holding Company, 2024a, 2025a). </w:t>
      </w:r>
    </w:p>
    <w:p w14:paraId="215EFECF" w14:textId="77777777" w:rsidR="00DC702A" w:rsidRDefault="00DC702A" w:rsidP="00DC702A"/>
    <w:p w14:paraId="5462032B" w14:textId="77777777" w:rsidR="00DC702A" w:rsidRDefault="00DC702A" w:rsidP="00DC702A">
      <w:r>
        <w:t>4.5.2 Functional Role in the Mortgage Workflow</w:t>
      </w:r>
    </w:p>
    <w:p w14:paraId="2C5F0D26" w14:textId="665FC9D4" w:rsidR="00DC702A" w:rsidRDefault="00DC702A" w:rsidP="00DC702A">
      <w:r>
        <w:t xml:space="preserve">Public materials do not disclose every internal workflow handoff inside Better’s origination funnel. Nevertheless, the launch announcement, subsequent quarterly disclosures, the 2025 annual report, and later joint Better–ElevenLabs materials together make it possible to reconstruct Betsy’s functional role with reasonable confidence. Taken together, these sources suggest that Betsy is best understood as a conversational coordination layer inside the mortgage workflow: it supports information exchange, process continuity, and basic workflow execution, while relying on Tinman for the underlying loan logic and on human staff for supervisory and exception-based work (Better Home &amp; Finance Holding Company, 2024a, 2025a, 2026; Better Home &amp; Finance Holding Company &amp; ElevenLabs, 2026). </w:t>
      </w:r>
    </w:p>
    <w:p w14:paraId="55882925" w14:textId="77777777" w:rsidR="00DC702A" w:rsidRDefault="00DC702A" w:rsidP="00DC702A">
      <w:r>
        <w:t xml:space="preserve">At the lead-engagement and initial-qualification stage, Betsy appears to function as an always-on conversational point of entry for borrowers. Better stated at launch that the agent communicates with prospective and existing customers, answers mortgage application inquiries, and collects or verifies outstanding application data. By March 2025, the company was describing Betsy as capable of taking customers through pre-approval, rate quote, and rate lock autonomously. This combination of functions suggests a role at the top of the mortgage funnel where response speed is commercially important: borrowers can ask questions, receive immediate answers, and move into early qualification steps without waiting for a human loan officer to become available. In operational terms, this reduces response delay at the moment when customer intent is still fragile and conversion risk is high (Better Home &amp; Finance Holding Company, 2024a, 2025a). </w:t>
      </w:r>
    </w:p>
    <w:p w14:paraId="639F4F13" w14:textId="77777777" w:rsidR="00DC702A" w:rsidRDefault="00DC702A" w:rsidP="00DC702A"/>
    <w:p w14:paraId="0D0F8069" w14:textId="259DA3E0" w:rsidR="00DC702A" w:rsidRDefault="00DC702A" w:rsidP="00DC702A">
      <w:r>
        <w:lastRenderedPageBreak/>
        <w:t xml:space="preserve">Betsy’s second apparent role is in mid-funnel follow-up and application continuation. Better’s 2025 Form 10-K states that Betsy assists customers with mortgage application inquiries and the collection of required application information as part of the loan origination process. In parallel, Better’s March 2025 results release described Betsy as delivering timely application-status updates, answering questions, and helping move the application forward on a 24/7 basis. Read together, these disclosures indicate that Betsy does more than answer one-off questions. It helps maintain momentum in incomplete or still-evolving applications by clarifying next steps, collecting missing inputs, and lowering the communication burden that normally falls on loan officers, processors, or customer-support staff (Better Home &amp; Finance Holding Company, 2025a, 2026). </w:t>
      </w:r>
    </w:p>
    <w:p w14:paraId="617BA2F7" w14:textId="2BA4855E" w:rsidR="00DC702A" w:rsidRDefault="00DC702A" w:rsidP="00DC702A">
      <w:r>
        <w:t xml:space="preserve">A third role concerns workflow progression through processing, underwriting, and the path to closing. Better’s first-quarter 2025 results stated that Betsy had been expanded into processing and underwriting workflows. At the same time, the annual report describes Tinman—not Betsy—as the system of record that orchestrates underwriting, processing, document generation, task assignment, and closing-related workflows while routing some tasks to automation and others to team members. For that reason, it would be too strong to conclude that Betsy independently performs underwriting or replaces formal loan processing. A more accurate interpretation is that Betsy serves as the conversational interface through which workflow-relevant information is surfaced, missing inputs are gathered, and borrowers are guided through stages that remain governed by Tinman’s rules and, where necessary, human review (Better Home &amp; Finance Holding Company, 2025b, 2026). </w:t>
      </w:r>
    </w:p>
    <w:p w14:paraId="12A0235E" w14:textId="619D3B71" w:rsidR="00DC702A" w:rsidRDefault="00DC702A" w:rsidP="00DC702A">
      <w:r>
        <w:t xml:space="preserve">Betsy also appears to play both inbound and outbound communication roles. In the February 2026 joint release, Better reported that Betsy handled nearly 100,000 mortgage-related phone calls per month and had placed 1.89 million inbound and outbound calls in 2025. That is significant because it suggests the agent had evolved beyond a simple inbound help function into a broader borrower-engagement layer across the origination funnel. The same release notes that regulated actions—including credit pulls, authentication, rate locks, and transfers to human consultants—require explicit consent and adherence to state licensing requirements, which indicates that outbound engagement operates inside a controlled compliance framework rather than as unconstrained automation. Supplementary vendor case material from ElevenLabs further suggests that Better was expanding outbound coverage across states and acquisition sources, planning reactivation when market rates change, and routing qualified interest to state-licensed consultants. Because that additional detail comes from vendor-produced material, it should be treated as indicative rather than fully independent evidence, but it is consistent with the broader picture of Betsy as a scalable outreach and follow-up mechanism (Better Home &amp; Finance Holding Company &amp; ElevenLabs, 2026; ElevenLabs, 2026). </w:t>
      </w:r>
    </w:p>
    <w:p w14:paraId="24798FC3" w14:textId="77777777" w:rsidR="00DC702A" w:rsidRDefault="00DC702A" w:rsidP="00DC702A">
      <w:r>
        <w:t>Within the mortgage workflow, Betsy can therefore be understood as a conversational coordination layer. Its value lies less in replacing expert mortgage judgment and more in absorbing the repetitive, time-sensitive communication work that stretches across lead intake, initial qualification, pre-approval, rate discussion, application follow-up, missing-data collection, status updates, and routine next-step reminders. That functional positioning is important for the thesis because it clarifies where voice AI fits operationally: not as a substitute for the mortgage process, but as a scalable interface into an already digitized mortgage process. Better’s own disclosures imply that the business logic of Betsy rests on this exact division of labor between conversational automation, Tinman’s workflow intelligence, and human escalation where the interaction becomes complex, regulated, or trust-</w:t>
      </w:r>
      <w:r>
        <w:lastRenderedPageBreak/>
        <w:t xml:space="preserve">sensitive (Better Home &amp; Finance Holding Company, 2025a, 2026; Better Home &amp; Finance Holding Company &amp; ElevenLabs, 2026). </w:t>
      </w:r>
    </w:p>
    <w:p w14:paraId="668CF1AC" w14:textId="77777777" w:rsidR="00DC702A" w:rsidRDefault="00DC702A" w:rsidP="00DC702A"/>
    <w:p w14:paraId="4820386A" w14:textId="77777777" w:rsidR="00DC702A" w:rsidRDefault="00DC702A" w:rsidP="00DC702A">
      <w:pPr>
        <w:pStyle w:val="Heading3"/>
      </w:pPr>
      <w:r>
        <w:t>4.5.3 Human-AI Collaboration Model</w:t>
      </w:r>
    </w:p>
    <w:p w14:paraId="6930A1DC" w14:textId="67FE4526" w:rsidR="00DC702A" w:rsidRDefault="00DC702A" w:rsidP="00DC702A">
      <w:r>
        <w:t xml:space="preserve">Betsy’s implementation is best interpreted as a human-AI collaboration model rather than as a simple labor-replacement initiative. Better’s 2025 annual report states that Tinman standardizes and automates portions of the loan production process while maintaining appropriate human review. The same filing also notes that Tinman completes certain tasks through automation but routes other tasks to team members for review or completion, and explicitly states that portions of the loan production process still require human involvement. This is an important disclosure because it demonstrates that Better’s operating model is designed around partial automation and controlled escalation rather than full substitution of human professionals (Better Home &amp; Finance Holding Company, 2026). </w:t>
      </w:r>
    </w:p>
    <w:p w14:paraId="65B23712" w14:textId="20AFC09D" w:rsidR="00DC702A" w:rsidRDefault="00DC702A" w:rsidP="00DC702A">
      <w:r>
        <w:t xml:space="preserve">In that collaborative model, AI is used primarily for repetitive, structured, and high-frequency interactions. Company materials describe Betsy as answering mortgage application inquiries, collecting required information, verbally guiding customers through pre-approval, rate quote, and rate lock, and providing application-status updates on a continuous basis. These are precisely the types of tasks that consume operational time at scale but do not always require individualized expert judgment. From a process-design perspective, Betsy appears to filter, accelerate, and stabilize these routine interactions so that borrower communication becomes more immediate and less dependent on human availability at every step (Better Home &amp; Finance Holding Company, 2024a, 2025a). </w:t>
      </w:r>
    </w:p>
    <w:p w14:paraId="33E8FC36" w14:textId="117CF98A" w:rsidR="00DC702A" w:rsidRDefault="00DC702A" w:rsidP="00DC702A">
      <w:r>
        <w:t xml:space="preserve">Human loan officers, processors, and licensed consultants remain central where the interaction involves complexity, regulatory sensitivity, or relational trust. The February 2026 Better–ElevenLabs release explicitly states that regulated actions such as credit pulls, authentication, rate locks, and transfers to human consultants require explicit consent and must comply with state licensing requirements. The same release also states that shifting routine conversations out of manual workflows allowed licensed consultants to spend less time on repetitive follow-up and more time helping borrowers navigate complex scenarios and make meaningful financial decisions. In academic terms, this suggests task reallocation rather than elimination: the AI system expands availability, triage capacity, and communication throughput, while human specialists preserve accountability, judgment, and trust at the most consequential moments of the mortgage journey (Better Home &amp; Finance Holding Company &amp; ElevenLabs, 2026). </w:t>
      </w:r>
    </w:p>
    <w:p w14:paraId="66313699" w14:textId="0C207AD7" w:rsidR="00DC702A" w:rsidRDefault="00DC702A" w:rsidP="00DC702A">
      <w:r>
        <w:t xml:space="preserve">This makes the </w:t>
      </w:r>
      <w:proofErr w:type="gramStart"/>
      <w:r>
        <w:t>Better</w:t>
      </w:r>
      <w:proofErr w:type="gramEnd"/>
      <w:r>
        <w:t xml:space="preserve"> case more balanced and analytically credible than a simple “AI replaces loan officers” narrative. Mortgage origination contains both standardized communication tasks and judgment-intensive advisory work. Betsy appears to create value by handling the former at scale, but the operating model still depends on human expertise for review, escalation, compliance, and exception handling. The case is therefore best framed as human-AI process redesign: AI expands responsiveness and reduces operational friction, while human employees remain indispensable wherever the mortgage process requires interpretation, reassurance, or regulated decision-related oversight. That interpretation is also consistent with the broader architecture established earlier in the chapter, where Tinman provides the integrated process system, Betsy provides the </w:t>
      </w:r>
      <w:r>
        <w:lastRenderedPageBreak/>
        <w:t>conversational interface, and humans remain embedded at critical control points (Better Home &amp; Finance Holding Company, 2026; Better Home &amp; Finance Holding Company &amp; ElevenLabs, 2026).</w:t>
      </w:r>
    </w:p>
    <w:p w14:paraId="38D6A18D" w14:textId="1D006868" w:rsidR="006930D6" w:rsidRDefault="006930D6" w:rsidP="00A80964"/>
    <w:p w14:paraId="6BCF4B10" w14:textId="77777777" w:rsidR="00410C09" w:rsidRDefault="00410C09" w:rsidP="00410C09">
      <w:pPr>
        <w:pStyle w:val="Heading2"/>
      </w:pPr>
      <w:r>
        <w:t>4.6 ElevenLabs as Voice Infrastructure Provider</w:t>
      </w:r>
    </w:p>
    <w:p w14:paraId="0A7F98BB" w14:textId="77777777" w:rsidR="00410C09" w:rsidRDefault="00410C09" w:rsidP="00410C09">
      <w:pPr>
        <w:pStyle w:val="Heading3"/>
      </w:pPr>
      <w:r>
        <w:t>4.6.1 Role of ElevenLabs</w:t>
      </w:r>
    </w:p>
    <w:p w14:paraId="5DC41AD1" w14:textId="29EB255D" w:rsidR="00410C09" w:rsidRDefault="00410C09" w:rsidP="00410C09">
      <w:r>
        <w:t xml:space="preserve">ElevenLabs enters the Better.com case primarily as the voice infrastructure provider for Betsy, not as the owner of the broader mortgage AI strategy. Better’s 2025 Form 10-K presents Betsy and Tinman as parts of the company’s own technology stack: Tinman is described as the digital loan origination and workflow platform, while Betsy is described as the voice-based AI assistant that helps customers with mortgage application inquiries and the collection of required application information. By contrast, the February 2026 Better–ElevenLabs release specifies ElevenLabs’ role more narrowly, stating that ElevenLabs Agents serve as the voice interface for Betsy, while Tinman remains the underlying system that computes pricing, eligibility, approvals, and workflow actions. This distinction is analytically important because it shows that ElevenLabs contributes the speech layer of the system, whereas the core mortgage logic, data environment, and process orchestration remain inside Better’s own platform architecture (Better Home &amp; Finance Holding Company, 2026; Better Home &amp; Finance Holding Company &amp; ElevenLabs, 2026). </w:t>
      </w:r>
    </w:p>
    <w:p w14:paraId="54B0FAA6" w14:textId="68268C8E" w:rsidR="00410C09" w:rsidRDefault="00410C09" w:rsidP="00410C09">
      <w:r>
        <w:t xml:space="preserve">Public materials also indicate that ElevenLabs’ contribution is technically significant even if it is not the entire AI stack. According to Better and ElevenLabs, Better initially launched its voice experience using a speech-to-speech model but later shifted to a modular pipeline consisting of speech-to-text, a large language model, and text-to-speech in order to achieve lower latency, greater control, and higher reliability. In practical terms, this means that the voice layer had to do more than merely “sound good”: it had to convert borrower speech into usable text input, support rapid turn-taking, and synthesize spoken responses in a way that remained intelligible and natural during real mortgage conversations. The same case materials further state that calls terminate at a single ElevenLabs Agent endpoint, while orchestration, tool execution, and final determinations remain within Better’s own environment, connected to Tinman through an MCP-based multi-agent system. This again supports the interpretation that ElevenLabs provides the conversational voice channel, while </w:t>
      </w:r>
      <w:proofErr w:type="gramStart"/>
      <w:r>
        <w:t>Better</w:t>
      </w:r>
      <w:proofErr w:type="gramEnd"/>
      <w:r>
        <w:t xml:space="preserve"> retains operational control over the mortgage process itself (Better Home &amp; Finance Holding Company &amp; ElevenLabs, 2026; ElevenLabs, 2026). </w:t>
      </w:r>
    </w:p>
    <w:p w14:paraId="428C8F36" w14:textId="0FE53B74" w:rsidR="00410C09" w:rsidRDefault="00410C09" w:rsidP="00410C09">
      <w:r>
        <w:t xml:space="preserve">The importance of this voice layer should not be understated. In customer-facing financial services, voice quality influences whether the interaction feels credible, understandable, and trustworthy. A recent review in Trends in Cognitive Sciences argues that the perceived naturalness of a voice is a prominent property that affects interaction with both human and artificial agents, while a 2025 peer-reviewed study in ACM Transactions on Human-Robot Interaction found that participants expected agents to sound human-like and that more natural voices changed perceptions of safety and compliance, even if the authors did not find a simple direct effect on trust itself (Nussbaum et al., 2025; Becker et al., 2025). In the context of mortgage origination, where customers discuss credit, documentation, rates, and deadlines tied to a major financial commitment, it is therefore reasonable to infer that poor synthesis quality, robotic speech, or awkward prosody could undermine confidence even when the underlying answer is operationally correct. Better’s and ElevenLabs’ emphasis on a </w:t>
      </w:r>
      <w:r>
        <w:lastRenderedPageBreak/>
        <w:t xml:space="preserve">“consistent, natural voice experience” should therefore be read not as a cosmetic detail, but as part of the service design logic of the system (ElevenLabs, 2026). </w:t>
      </w:r>
    </w:p>
    <w:p w14:paraId="457D6205" w14:textId="05AE6F01" w:rsidR="00410C09" w:rsidRDefault="00410C09" w:rsidP="00410C09">
      <w:r>
        <w:t xml:space="preserve">Latency is equally important. Real-time voice interaction is much less tolerant of delay than text-based interaction because long pauses interrupt turn-taking and make the system appear uncertain or unreliable. Maslych et al. (2025), in an open-access study on LLM-powered intelligent virtual agents, found that response latency above four seconds significantly degraded perceived response time and broader user-experience measures, while natural conversational fillers could mitigate only part of that effect. Better’s own joint release with ElevenLabs explicitly frames lower latency and platform stability as key reasons for selecting ElevenLabs, especially because a single borrower conversation may trigger dozens of Tinman tool calls across multiple systems and regulatory checkpoints. In a mortgage context, where the AI agent may need to pull application status, pricing outputs, missing-data requests, or state-specific next steps during a live call, this makes latency and reliability operationally material rather than merely technical preferences (Maslych et al., 2025; Better Home &amp; Finance Holding Company &amp; ElevenLabs, 2026; ElevenLabs, 2026). </w:t>
      </w:r>
    </w:p>
    <w:p w14:paraId="76262F75" w14:textId="77777777" w:rsidR="00410C09" w:rsidRDefault="00410C09" w:rsidP="00410C09">
      <w:r>
        <w:t xml:space="preserve">Taken together, the evidence suggests that ElevenLabs should be understood as an enabling voice-technology partner within the Better.com case. Its role is significant because Betsy’s value depends not only on language-model reasoning, but also on speech recognition, synthesis quality, conversational timing, and system stability under real production load. At the same time, the case should not be misread as if ElevenLabs were synonymous with Better’s whole AI strategy. The broader business logic still rests on Tinman as the mortgage operating platform and on Better’s own workflow, compliance, and decisioning environment. ElevenLabs matters because it makes that architecture usable in spoken interaction; it does not replace the architecture itself (Better Home &amp; Finance Holding Company, 2026; Better Home &amp; Finance Holding Company &amp; ElevenLabs, 2026). </w:t>
      </w:r>
    </w:p>
    <w:p w14:paraId="31F78CF2" w14:textId="77777777" w:rsidR="00410C09" w:rsidRDefault="00410C09" w:rsidP="00410C09"/>
    <w:p w14:paraId="00E6FA0F" w14:textId="77777777" w:rsidR="00410C09" w:rsidRDefault="00410C09" w:rsidP="00410C09">
      <w:pPr>
        <w:pStyle w:val="Heading3"/>
      </w:pPr>
      <w:r>
        <w:t>4.6.2 Reliability of Vendor Evidence</w:t>
      </w:r>
    </w:p>
    <w:p w14:paraId="66AAC9F9" w14:textId="3D052B57" w:rsidR="00410C09" w:rsidRDefault="00410C09" w:rsidP="00410C09">
      <w:r>
        <w:t xml:space="preserve">The ElevenLabs materials are useful because they provide technical and operational detail that is largely absent from audited filings and standard investor disclosures. For example, the ElevenLabs blog and the February 2026 joint release explain the shift from an earlier speech-to-speech approach to a modular speech-to-text/LLM/text-to-speech pipeline, describe the use of a single ElevenLabs endpoint with Better-side orchestration, and disclose production-scale operating figures such as call volume and monthly interaction levels. Better’s Form 10-K, by comparison, confirms Betsy’s role in application inquiries and required information collection, and explains Tinman’s function as the system of record, but it does not provide this same degree of voice-layer architecture detail. For that reason, vendor materials are valuable for explaining how the voice layer worked in practice (Better Home &amp; Finance Holding Company, 2026; Better Home &amp; Finance Holding Company &amp; ElevenLabs, 2026; ElevenLabs, 2026). </w:t>
      </w:r>
    </w:p>
    <w:p w14:paraId="183E05F5" w14:textId="303F4107" w:rsidR="00410C09" w:rsidRDefault="00410C09" w:rsidP="00410C09">
      <w:r>
        <w:t xml:space="preserve">However, these materials are not independent evidence. The February 2026 release explicitly presents the quantitative outcomes as results “according to the case study,” and the ElevenLabs blog is published as an “ElevenAgents story,” with an explicit disclaimer stating that results are based on internal analyses and may vary by borrower profile, market conditions, and loan characteristics. This does not make the information unusable, but it does mean that the evidence is promotional and selectively framed. Like most vendor case studies, it is designed to highlight successful </w:t>
      </w:r>
      <w:r>
        <w:lastRenderedPageBreak/>
        <w:t xml:space="preserve">implementation, measurable gains, and the suitability of the vendor’s product for enterprise deployment. It may therefore understate implementation friction, unresolved edge cases, or the degree to which outcomes depend on Better’s broader Tinman-based transformation rather than on the voice provider alone (Better Home &amp; Finance Holding Company &amp; ElevenLabs, 2026; ElevenLabs, 2026). </w:t>
      </w:r>
    </w:p>
    <w:p w14:paraId="5F822BBC" w14:textId="29CCC8C7" w:rsidR="00410C09" w:rsidRDefault="00410C09" w:rsidP="00410C09">
      <w:r>
        <w:t xml:space="preserve">For this reason, the present thesis should use ElevenLabs evidence mainly to document mechanism, architecture, and operational role, while treating claims about business value more cautiously. Some elements of the vendor narrative are directionally corroborated by Better’s own disclosures. In March 2025, Better reported that Betsy was already handling more than 115,000 customer interactions per month and framed the tool as a source of customer-experience improvement, loan-team efficiency, and potential labor savings. The company’s 2025 Form 10-K also confirms that Betsy is embedded in the origination workflow rather than operating as a stand-alone chatbot. Yet these company disclosures do not independently audit all the specific outcome metrics highlighted by the ElevenLabs case study, such as the 41% reduction in cost to originate or the exact conversion uplift. Those claims remain best interpreted as part of the broader Betsy/Tinman operating model rather than as isolated proof of ElevenLabs’ standalone impact (Better Home &amp; Finance Holding Company, 2025; Better Home &amp; Finance Holding Company, 2026; Better Home &amp; Finance Holding Company &amp; ElevenLabs, 2026). </w:t>
      </w:r>
    </w:p>
    <w:p w14:paraId="33B21827" w14:textId="231EDB1B" w:rsidR="006930D6" w:rsidRDefault="00410C09" w:rsidP="00410C09">
      <w:r>
        <w:t>Accordingly, the academically defensible position is to treat ElevenLabs as a credible but interested source. Its case materials are valuable because they reveal how Better’s voice interface was implemented and why latency, stability, and naturalness mattered. At the same time, claims about business performance should be triangulated with Better’s SEC filings, quarterly disclosures, external customer-review evidence, and industry benchmarks before drawing stronger conclusions about value creation. This is why ElevenLabs should appear in the thesis as an enabling infrastructure provider and an informative case source, but not as the sole evidentiary basis for assessing the business value of Better’s AI-enabled mortgage operating model.</w:t>
      </w:r>
    </w:p>
    <w:p w14:paraId="71C84D02" w14:textId="2C3F3A64" w:rsidR="001C6FBC" w:rsidRDefault="001C6FBC" w:rsidP="00410C09"/>
    <w:p w14:paraId="5D18DA2E" w14:textId="77777777" w:rsidR="001C6FBC" w:rsidRDefault="001C6FBC" w:rsidP="001C6FBC">
      <w:pPr>
        <w:pStyle w:val="Heading2"/>
      </w:pPr>
      <w:r>
        <w:t>4.7 Implementation Timeline</w:t>
      </w:r>
    </w:p>
    <w:p w14:paraId="7667695C" w14:textId="2E1BE716" w:rsidR="001C6FBC" w:rsidRDefault="001C6FBC" w:rsidP="001C6FBC">
      <w:pPr>
        <w:pStyle w:val="Heading3"/>
      </w:pPr>
      <w:r>
        <w:t>4.7.1 Pre-Deployment Baseline: 2021–2023</w:t>
      </w:r>
    </w:p>
    <w:p w14:paraId="7841D60B" w14:textId="77777777" w:rsidR="001C6FBC" w:rsidRDefault="001C6FBC" w:rsidP="001C6FBC">
      <w:r>
        <w:t>The pre-deployment period from 2021 to 2023 establishes the baseline against which Better.com’s later AI strategy must be understood. During this period, Better.com moved from pandemic-era hypergrowth into a sharply more difficult mortgage environment. Public registration materials filed during the company’s SPAC process show that Better’s funded loan volume increased from $24.2 billion in 2020 to $58.0 billion in 2021, representing year-over-year growth of approximately 139% (Better Home &amp; Finance Holding Company, 2022). This growth followed an even larger increase between 2019 and 2020, when funded loan volume rose by approximately 393%. However, the same filing also states that Better’s financial performance deteriorated in the second half of 2021 and first quarter of 2022, partly because the company had significantly accelerated hiring during the boom period while business growth did not maintain the same pace (Better Home &amp; Finance Holding Company, 2022).</w:t>
      </w:r>
    </w:p>
    <w:p w14:paraId="10BD6C4B" w14:textId="77777777" w:rsidR="001C6FBC" w:rsidRDefault="001C6FBC" w:rsidP="001C6FBC"/>
    <w:p w14:paraId="14466BFB" w14:textId="7F7CF9E6" w:rsidR="001C6FBC" w:rsidRDefault="001C6FBC" w:rsidP="001C6FBC">
      <w:r>
        <w:t>The scale of this adjustment is visible in Better’s workforce disclosures. At its peak in the fourth quarter of 2021, Better reported approximately 10,400 team members globally, including approximately 6,500 employees in production roles and approximately 700 employees in technology and product development. By December 31, 2023, the company reported approximately 820 team members, representing an approximately 92% reduction in global employees over roughly twenty-four months (Better Home &amp; Finance Holding Company, 2024a). This reduction reflected Better’s attempt to align headcount with lower origination volumes and a more difficult market environment.</w:t>
      </w:r>
    </w:p>
    <w:p w14:paraId="354ACD64" w14:textId="788BF49F" w:rsidR="001C6FBC" w:rsidRDefault="001C6FBC" w:rsidP="001C6FBC">
      <w:r>
        <w:t xml:space="preserve">The broader mortgage market also changed materially during this period. After the 2020–2021 refinancing boom, rising interest rates reduced refinancing demand and made origination volumes more difficult to sustain. Better’s 2023 annual results explicitly describe 2023 as one of the most challenging mortgage macro environments in recent history, with average 30-year fixed mortgage rates around 7%. In the same release, </w:t>
      </w:r>
      <w:proofErr w:type="gramStart"/>
      <w:r>
        <w:t>Better</w:t>
      </w:r>
      <w:proofErr w:type="gramEnd"/>
      <w:r>
        <w:t xml:space="preserve"> reported 2023 revenue of $77 million, funded loan volume of $3 billion, and an adjusted EBITDA loss of $163 million, while emphasizing that it had reduced total expenses by 71% year over year and by more than $1.1 billion compared with 2021 (Better Home &amp; Finance Holding Company, 2024b).</w:t>
      </w:r>
    </w:p>
    <w:p w14:paraId="11B63D7D" w14:textId="77777777" w:rsidR="001C6FBC" w:rsidRDefault="001C6FBC" w:rsidP="001C6FBC">
      <w:r>
        <w:t>This period therefore represents more than a simple pre-Betsy baseline. It captures the strategic crisis that made scalable automation increasingly attractive. During the boom, operational capacity could be expanded through hiring. After the market contracted, Better faced a different challenge: how to rebuild volume, preserve responsiveness, and improve unit economics without returning to a human-heavy cost structure. In this context, the later development of Tinman and Betsy should be interpreted as part of a broader attempt to create operational leverage through digital process integration and AI-enabled productivity.</w:t>
      </w:r>
    </w:p>
    <w:p w14:paraId="176194D1" w14:textId="77777777" w:rsidR="001C6FBC" w:rsidRDefault="001C6FBC" w:rsidP="001C6FBC"/>
    <w:p w14:paraId="56AD6F96" w14:textId="12A3B9CF" w:rsidR="001C6FBC" w:rsidRDefault="001C6FBC" w:rsidP="001C6FBC">
      <w:pPr>
        <w:pStyle w:val="Heading3"/>
      </w:pPr>
      <w:r>
        <w:t>4.7.2 Transition Year: 2024</w:t>
      </w:r>
    </w:p>
    <w:p w14:paraId="213B25E5" w14:textId="024455FF" w:rsidR="001C6FBC" w:rsidRDefault="001C6FBC" w:rsidP="001C6FBC">
      <w:r>
        <w:t>The year 2024 should be interpreted as a transition period rather than a full post-deployment year. Betsy was formally launched on October 17, 2024, when Better announced it as the first voice-based AI loan assistant for the U.S. mortgage industry. The launch announcement described Betsy as an AI and LLM-enabled assistant built through Tinman, Better’s proprietary loan origination platform. According to the release, Betsy was designed to communicate with prospective and existing customers, answer mortgage application inquiries, collect and verify outstanding application data, and interface with Tinman in real time (Better Home &amp; Finance Holding Company, 2024c).</w:t>
      </w:r>
    </w:p>
    <w:p w14:paraId="565F8714" w14:textId="3FEC514A" w:rsidR="001C6FBC" w:rsidRDefault="001C6FBC" w:rsidP="001C6FBC">
      <w:r>
        <w:t>This timing matters methodologically. Because Betsy launched in mid-October, annual 2024 results include approximately ten months of pre-deployment operations and only a short initial post-launch window. Therefore, 2024 should not be treated as a clean post-Betsy year in a simple pre/post comparison. Instead, it is best understood as the year in which Better formally introduced Betsy into its mortgage workflow and began communicating voice AI as part of its operating model. This distinction is consistent with the thesis’s methodological caution that fiscal year 2024 annual metrics blend mostly pre-deployment performance with only the early deployment period. The 2024 data can therefore support a transition narrative, but it cannot isolate the financial effect of Betsy.</w:t>
      </w:r>
    </w:p>
    <w:p w14:paraId="5E9D0479" w14:textId="34446BE7" w:rsidR="001C6FBC" w:rsidRDefault="001C6FBC" w:rsidP="001C6FBC">
      <w:r>
        <w:lastRenderedPageBreak/>
        <w:t>Better’s 2024 financial results reinforce this interpretation. In its fourth quarter and full-year 2024 release, the company reported revenue of $108 million, compared with $72 million in 2023, and a net loss of $206 million, compared with a net loss of $536 million in 2023. Funded loan volume increased to approximately $3.6 billion from $3.0 billion in 2023, while total loans increased to approximately 11,800 from approximately 8,600 (Better Home &amp; Finance Holding Company, 2025a). These improvements are relevant for understanding Better’s recovery trajectory, but they should not be attributed solely to Betsy because most of the year preceded the launch.</w:t>
      </w:r>
    </w:p>
    <w:p w14:paraId="48C18706" w14:textId="77777777" w:rsidR="001C6FBC" w:rsidRDefault="001C6FBC" w:rsidP="001C6FBC">
      <w:r>
        <w:t>The fourth quarter of 2024 provides the first partial post-launch window, but even here interpretation must remain cautious. Better reported Q4 2024 funded loan volume of $936 million, up from $531 million in Q4 2023, while also reporting that Betsy was being further expanded to improve customer experience, loan-team efficiency, and the Tinman platform. However, Q4 2024 still reflected other simultaneous developments, including seasonal patterns, product mix changes, expense management, restructuring costs, and the early rollout of distribution initiatives such as NEO Powered by Better (Better Home &amp; Finance Holding Company, 2025a). For this reason, 2024 is best framed as the transition year in the implementation timeline: Betsy became operationally visible, but the more meaningful post-launch scaling evidence appears in 2025.</w:t>
      </w:r>
    </w:p>
    <w:p w14:paraId="4365CEB1" w14:textId="77777777" w:rsidR="001C6FBC" w:rsidRDefault="001C6FBC" w:rsidP="001C6FBC"/>
    <w:p w14:paraId="14D8E972" w14:textId="6C91C724" w:rsidR="001C6FBC" w:rsidRDefault="001C6FBC" w:rsidP="001C6FBC">
      <w:pPr>
        <w:pStyle w:val="Heading3"/>
      </w:pPr>
      <w:r>
        <w:t>4.7.3 Scaling Period: 2025–2026</w:t>
      </w:r>
    </w:p>
    <w:p w14:paraId="3B0749DC" w14:textId="62B59E96" w:rsidR="001C6FBC" w:rsidRDefault="001C6FBC" w:rsidP="001C6FBC">
      <w:r>
        <w:t xml:space="preserve">The 2025–2026 period represents the scaling phase of the case. By this stage, Betsy was no longer only a launch announcement, but part of Better.com’s broader AI-enabled operating model. In its 2024 fourth quarter and full-year results release, Better reported that Betsy was conducting more than 115,000 customer interactions per month and that approximately 40% of loan files were receiving Tinman AI underwriting review (Better Home &amp; Finance Holding Company, 2025a). These metrics are important because they suggest that </w:t>
      </w:r>
      <w:proofErr w:type="gramStart"/>
      <w:r>
        <w:t>Better</w:t>
      </w:r>
      <w:proofErr w:type="gramEnd"/>
      <w:r>
        <w:t xml:space="preserve"> had begun moving from experimentation to repeated operational use. At the same time, they should be interpreted as management-reported operating indicators rather than independently audited evidence of business value.</w:t>
      </w:r>
    </w:p>
    <w:p w14:paraId="7A49B34D" w14:textId="2F91AA70" w:rsidR="001C6FBC" w:rsidRDefault="001C6FBC" w:rsidP="001C6FBC">
      <w:r>
        <w:t>During 2025, Better increasingly framed its growth and efficiency strategy around the Tinman AI Platform and related AI initiatives. In its Q2 2025 results, the company reported funded loan volume of approximately $1.2 billion, up 25% year over year, and stated that it expected 2025 funded loan volume to increase over 2024 due to growth initiatives including the Tinman AI Platform channel. The same SEC-filed earnings release stated that further improvements to adjusted EBITDA losses were expected to be driven by a combination of AI-driven improvements in conversion rates, efficiency gains, and continued corporate cost reductions (Better Home &amp; Finance Holding Company, 2025b).</w:t>
      </w:r>
    </w:p>
    <w:p w14:paraId="0DE0A6BE" w14:textId="67F74B96" w:rsidR="001C6FBC" w:rsidRDefault="001C6FBC" w:rsidP="001C6FBC">
      <w:r>
        <w:t>Betsy also appears to have expanded functionally during 2025. Better’s Q1 2025 release stated that Betsy had been further expanded into processing and underwriting workflows, while the Q2 2025 release stated that Betsy could verbally communicate with customers, answer mortgage application inquiries, collect and verify outstanding application data, and most recently autonomously enable consumers to lock their rate and move their loan toward closing (Better Home &amp; Finance Holding Company, 2025b, 2025c). These disclosures support the interpretation that Betsy’s role developed beyond simple customer-service responses toward deeper workflow support within the Tinman operating environment.</w:t>
      </w:r>
    </w:p>
    <w:p w14:paraId="2E2EA1F3" w14:textId="151BB32E" w:rsidR="001C6FBC" w:rsidRDefault="001C6FBC" w:rsidP="001C6FBC">
      <w:r>
        <w:lastRenderedPageBreak/>
        <w:t>The ElevenLabs partnership became publicly visible in 2026 as part of this scaling narrative. ElevenLabs’ case material states that Better adopted ElevenAgents in June 2025 to extend Tinman’s digital mortgage workflows through Betsy, while the joint Better–ElevenLabs release described Betsy as operating at scale in financial services (ElevenLabs, 2026; Better Home &amp; Finance Holding Company &amp; ElevenLabs, 2026). These materials are useful for understanding the voice infrastructure and deployment mechanism, but they remain vendor-related evidence and should not be treated as independent proof of financial causality.</w:t>
      </w:r>
    </w:p>
    <w:p w14:paraId="10AFE121" w14:textId="4E07C4B6" w:rsidR="001C6FBC" w:rsidRDefault="001C6FBC" w:rsidP="001C6FBC">
      <w:r>
        <w:t>The interpretation of the scaling period must therefore remain careful. The available financial data captures Better.com’s overall post-Betsy trajectory, but it does not isolate Betsy’s effect from other simultaneous developments, including the continued maturation of Tinman, the NEO channel, product mix shifts, refinancing dynamics, expense reductions, market conditions, and partnerships. The thesis should therefore treat 2025–2026 as evidence of a broader Betsy/Tinman AI operating model rather than a clean causal test of one individual voice agent. In this timeline, Betsy is a central component of Better’s AI-enabled transformation, but the business value analysis in Chapter 5 should evaluate the combined operating model rather than attributing observed financial changes to Betsy alone.</w:t>
      </w:r>
    </w:p>
    <w:p w14:paraId="3A2B121E" w14:textId="69C1FF29" w:rsidR="001C6FBC" w:rsidRDefault="001C6FBC" w:rsidP="00410C09"/>
    <w:p w14:paraId="2E85E7F9" w14:textId="77777777" w:rsidR="0053793C" w:rsidRDefault="0053793C" w:rsidP="0053793C">
      <w:pPr>
        <w:pStyle w:val="Heading2"/>
      </w:pPr>
      <w:r>
        <w:t>4.8 Case Relevance to the Research Questions</w:t>
      </w:r>
    </w:p>
    <w:p w14:paraId="622113F2" w14:textId="77777777" w:rsidR="0053793C" w:rsidRDefault="0053793C" w:rsidP="0053793C">
      <w:pPr>
        <w:pStyle w:val="Heading3"/>
      </w:pPr>
      <w:r>
        <w:t>4.8.1 Relevance to RQ1: Integration and Prerequisites</w:t>
      </w:r>
    </w:p>
    <w:p w14:paraId="6D47EF83" w14:textId="46A603FC" w:rsidR="0053793C" w:rsidRDefault="0053793C" w:rsidP="0053793C">
      <w:r>
        <w:t xml:space="preserve">The Better.com case is directly relevant to RQ1 because it shows that voice LLM deployment in financial services depends on much more than a conversational model. According to Better’s 2025 Form 10-K, Tinman is a digital loan origination and workflow platform that integrates customer-facing applications, internal operational tools, and third-party systems to support mortgage origination and related homeownership services. The same filing states that Tinman serves as the system of record, aggregates customer and property data from user input and third-party sources through APIs, applies automated decisioning and rules-based logic, and orchestrates workflows across underwriting, processing, and closing. Betsy, in turn, is described as assisting customers with mortgage application inquiries and the collection of required application information as part of the loan origination process. This makes the architectural relationship clear: Betsy is useful because it is connected to an integrated mortgage operating environment rather than to a fragmented collection of isolated tools. </w:t>
      </w:r>
    </w:p>
    <w:p w14:paraId="05192142" w14:textId="0709F7A7" w:rsidR="0053793C" w:rsidRDefault="0053793C" w:rsidP="0053793C">
      <w:r>
        <w:t xml:space="preserve">This case therefore helps specify the technical and organizational prerequisites for conversational AI in a regulated financial setting. First, the agent needs access to centralized and structured operational data. Without a reliable system of record, a voice agent cannot safely answer case-specific questions about pricing, application progress, missing documents, or next steps. Second, the agent needs workflow visibility and interoperability across the process. Better’s disclosures indicate that Tinman supports pricing, document generation, task assignment, connectivity with loan purchasers, and workflow coordination across underwriting, processing, and closing. Those capabilities matter because they allow the conversational layer to do more than explain general mortgage concepts; they allow it to interact with an actual business process. In that sense, the </w:t>
      </w:r>
      <w:r>
        <w:lastRenderedPageBreak/>
        <w:t xml:space="preserve">Better.com case supports the argument that prior digital transformation of the core workflow is a prerequisite for meaningful voice-AI integration. </w:t>
      </w:r>
    </w:p>
    <w:p w14:paraId="301D87DE" w14:textId="77777777" w:rsidR="0053793C" w:rsidRDefault="0053793C" w:rsidP="0053793C">
      <w:r>
        <w:t xml:space="preserve">The case is also relevant to RQ1 because it shows that integration in financial services is inseparable from governance and task design. Better’s annual report states that Tinman standardizes and automates portions of the loan production process while maintaining appropriate human review, and that some tasks are completed through automation while others are routed to team members for review or completion. Public Better–ElevenLabs materials add that regulated steps such as credit pulls, authentication, rate locks, and transfers to human consultants require explicit consent and must comply with state licensing requirements. Together, these disclosures indicate that the central prerequisite is not simply access to a strong language model, but the existence of a controlled process environment in which data access, workflow routing, human escalation, and compliance safeguards are already defined. This makes Tinman directly relevant to RQ1, because it shows that the integration of voice LLM agents depends on prior digitization and integration of the underlying financial-service process. </w:t>
      </w:r>
    </w:p>
    <w:p w14:paraId="77F20D89" w14:textId="77777777" w:rsidR="0053793C" w:rsidRDefault="0053793C" w:rsidP="0053793C"/>
    <w:p w14:paraId="1BFE4253" w14:textId="77777777" w:rsidR="0053793C" w:rsidRDefault="0053793C" w:rsidP="0053793C">
      <w:pPr>
        <w:pStyle w:val="Heading3"/>
      </w:pPr>
      <w:r>
        <w:t>4.8.2 Relevance to RQ2: Business Value</w:t>
      </w:r>
    </w:p>
    <w:p w14:paraId="1E2AB748" w14:textId="6048099F" w:rsidR="0053793C" w:rsidRDefault="0053793C" w:rsidP="0053793C">
      <w:r>
        <w:t xml:space="preserve">The case is also highly relevant to RQ2 because Better’s public disclosures provide measurable indicators through which business value can be examined. Better’s fourth-quarter and full-year 2024 results report revenue, net loss, adjusted EBITDA, funded loan volume, total loans, and direct-to-consumer volume, while the first- and second-quarter 2025 results continue this reporting and explicitly connect productivity improvements and operating leverage to AI program investments, Betsy expansion, and Tinman-based efficiencies. These disclosures do not by themselves prove causality, but they provide a sufficiently concrete basis to assess whether the post-deployment trajectory is consistent with improved operational efficiency, scalability, and financial performance. In other words, the case offers unusually visible financial and operating indicators for studying business value in a real financial-services deployment. </w:t>
      </w:r>
    </w:p>
    <w:p w14:paraId="3546FDD4" w14:textId="078A50BD" w:rsidR="0053793C" w:rsidRDefault="0053793C" w:rsidP="0053793C">
      <w:r>
        <w:t xml:space="preserve">The case is also useful because the financial evidence can be complemented by an external customer-perception stream. Better has a public review profile on Trustpilot, and the platform states explicitly that reviews on the page are the opinions of individual users rather than of Trustpilot itself. For the thesis, this means that company-reported efficiency and productivity data can be read alongside external customer-review material rather than in isolation. That is methodologically important: if Chapter 5 is to assess business value in a balanced way, it should not rely only on management or vendor narratives, but also examine whether customer-facing signals support, complicate, or contradict the operational story told in company disclosures. </w:t>
      </w:r>
    </w:p>
    <w:p w14:paraId="7F848335" w14:textId="77777777" w:rsidR="0053793C" w:rsidRDefault="0053793C" w:rsidP="0053793C">
      <w:r>
        <w:t xml:space="preserve">At the same time, the Better.com case also illustrates why RQ2 must be answered cautiously. Better’s own releases combine multiple simultaneous developments within the same period, including Betsy expansion, Tinman AI underwriting, NEO Powered by Better, distribution-channel diversification, restructuring actions, and broader expense-management programs. The company’s March and May 2025 releases, for example, explicitly discuss AI-driven conversion improvements, Betsy expansion into new workflows, Tinman-powered channel growth, and cost reduction within the same reporting window. For that reason, the thesis should not treat post-launch changes as clean causal proof that Betsy alone created the observed value. A stronger interpretation is that the </w:t>
      </w:r>
      <w:r>
        <w:lastRenderedPageBreak/>
        <w:t xml:space="preserve">available evidence allows the study to evaluate the broader Betsy/Tinman AI operating model and to test whether the post-deployment pattern is consistent with AI-enabled operational leverage. This is why Chapter 5 is best framed as a triangulated business-value analysis using filings with the U.S. Securities and Exchange Commission, company disclosures, and external customer-review evidence, rather than as a single-variable impact test. </w:t>
      </w:r>
    </w:p>
    <w:p w14:paraId="19AA7640" w14:textId="77777777" w:rsidR="0053793C" w:rsidRDefault="0053793C" w:rsidP="0053793C"/>
    <w:p w14:paraId="3B87419A" w14:textId="77777777" w:rsidR="0053793C" w:rsidRDefault="0053793C" w:rsidP="0053793C">
      <w:pPr>
        <w:pStyle w:val="Heading2"/>
      </w:pPr>
      <w:r>
        <w:t>4.9 Chapter Summary</w:t>
      </w:r>
    </w:p>
    <w:p w14:paraId="641C2C9C" w14:textId="6A7AE404" w:rsidR="0053793C" w:rsidRDefault="0053793C" w:rsidP="0053793C">
      <w:r>
        <w:t xml:space="preserve">This chapter has presented Better.com as the empirical case through which the thesis examines the business value of voice LLM agents in financial services. The case shows that voice AI deployment cannot be understood as a stand-alone technological event. Better.com is a digital-first mortgage lender whose mortgage operations are supported by Tinman, a digital loan origination and workflow platform that integrates customer-facing applications, internal operational tools, and third-party systems. Within that architecture, Betsy functions as the customer-facing voice AI layer, assisting borrowers with mortgage application inquiries and required application information, while regulated steps remain embedded in a controlled operational and compliance environment. ElevenLabs, in turn, supports the voice interface rather than the whole business process, providing the speech layer through which Betsy interacts with borrowers. </w:t>
      </w:r>
    </w:p>
    <w:p w14:paraId="17E6B30F" w14:textId="5325C171" w:rsidR="0053793C" w:rsidRDefault="0053793C" w:rsidP="0053793C">
      <w:r>
        <w:t xml:space="preserve">The chapter has also shown why Better.com is a suitable case for this thesis. Mortgage origination is communication-intensive, time-sensitive, and operationally complex. Better entered the Betsy period after a severe post-boom market contraction, substantial workforce reduction, and intense pressure to improve productivity and operating leverage. In that setting, Betsy and Tinman should be understood as parts of a broader attempt to rebuild scale through automation rather than through proportional headcount growth. Public disclosures from 2024 and 2025 indicate that </w:t>
      </w:r>
      <w:proofErr w:type="gramStart"/>
      <w:r>
        <w:t>Better</w:t>
      </w:r>
      <w:proofErr w:type="gramEnd"/>
      <w:r>
        <w:t xml:space="preserve"> itself frames this effort around customer responsiveness, loan-team efficiency, AI-assisted underwriting, and improved unit economics, while still acknowledging the continued role of human review and workflow control. </w:t>
      </w:r>
    </w:p>
    <w:p w14:paraId="5266AE78" w14:textId="08700624" w:rsidR="001C6FBC" w:rsidRDefault="0053793C" w:rsidP="0053793C">
      <w:r>
        <w:t>Taken together, the case establishes the foundation for the empirical analysis that follows. It provides a concrete setting for examining both integration prerequisites and business value: Tinman explains the process architecture, Betsy explains the conversational layer, and the broader Better.com operating context explains why this kind of automation became strategically relevant. The following chapter builds on this case description by analyzing the evidence across the thesis’s main empirical strands: qualitative integration analysis, financial performance analysis, and NLP-based customer perception analysis.</w:t>
      </w:r>
    </w:p>
    <w:p w14:paraId="4D8001E9" w14:textId="08F3B4A6" w:rsidR="001C6FBC" w:rsidRDefault="001C6FBC" w:rsidP="00410C09"/>
    <w:p w14:paraId="0866057F" w14:textId="1F24A79D" w:rsidR="001C6FBC" w:rsidRDefault="001C6FBC" w:rsidP="00410C09"/>
    <w:p w14:paraId="5C3F0581" w14:textId="15F8D5BE" w:rsidR="001C6FBC" w:rsidRDefault="001C6FBC" w:rsidP="00410C09"/>
    <w:p w14:paraId="062C9E49" w14:textId="77777777" w:rsidR="001C6FBC" w:rsidRPr="0003058A" w:rsidRDefault="001C6FBC" w:rsidP="00410C09"/>
    <w:p w14:paraId="2D5B9DE9" w14:textId="77777777" w:rsidR="00140FF8" w:rsidRDefault="00790174">
      <w:pPr>
        <w:pStyle w:val="Heading1"/>
      </w:pPr>
      <w:bookmarkStart w:id="19" w:name="_Toc227354389"/>
      <w:r>
        <w:lastRenderedPageBreak/>
        <w:t>References</w:t>
      </w:r>
      <w:bookmarkEnd w:id="19"/>
    </w:p>
    <w:p w14:paraId="2EC5BE6D" w14:textId="77777777" w:rsidR="00140FF8" w:rsidRDefault="00790174">
      <w:r>
        <w:t>Abdulquadri, A., Mogaji, E., Kieu, T. A., &amp; Nguyen, N. P. (2021). Digital transformation in financial services provision: A Nigerian perspective to the adoption of chatbot. Journal of Enterprising Communities: People and Places in the Global Economy, 15(2), 258–281. https://doi.org/10.1108/JEC-06-2020-0126</w:t>
      </w:r>
    </w:p>
    <w:p w14:paraId="732719B6" w14:textId="77777777" w:rsidR="00140FF8" w:rsidRDefault="00790174">
      <w:r>
        <w:t>Adam, M., Wessel, M., &amp; Benlian, A. (2021). AI-based chatbots in customer service and their effects on user compliance. Electronic Markets, 31(2), 427–445. https://doi.org/10.1007/s12525-020-00414-7</w:t>
      </w:r>
    </w:p>
    <w:p w14:paraId="3E124B36" w14:textId="77777777" w:rsidR="00140FF8" w:rsidRDefault="00790174">
      <w:r>
        <w:t>Aggarwal, A., Kumar, V., &amp; Srivastava, R. K. (2025). Value creation and value appropriation using voice AI technology: integrating B2B and B2C marketplace. European Journal of Marketing, 59(9), 2199–2243. https://doi.org/10.1108/EJM-06-2024-0463</w:t>
      </w:r>
    </w:p>
    <w:p w14:paraId="5EDC2644" w14:textId="77777777" w:rsidR="00140FF8" w:rsidRDefault="00790174">
      <w:r>
        <w:t>Andrade, I. M. D., &amp; Tumelero, C. (2022). Increasing customer service efficiency through artificial intelligence chatbot. Revista de Gestão, 29(3), 238–251. https://doi.org/10.1108/REGE-07-2021-0120</w:t>
      </w:r>
    </w:p>
    <w:p w14:paraId="3EB4DBC4" w14:textId="77777777" w:rsidR="00140FF8" w:rsidRDefault="00790174">
      <w:r>
        <w:t>Blümel, J. H., Zaki, M., &amp; Bohné, T. (2024). Personal touch in digital customer service: a conceptual framework of relational personalization for conversational AI. Journal of Service Theory and Practice, 34(1), 33–65. https://doi.org/10.1108/JSTP-03-2023-0098</w:t>
      </w:r>
    </w:p>
    <w:p w14:paraId="3B5FB89C" w14:textId="77777777" w:rsidR="00140FF8" w:rsidRDefault="00790174">
      <w:r>
        <w:t>Fotheringham, D., &amp; Wiles, M. A. (2023). The effect of implementing chatbot customer service on stock returns: An event study analysis. Journal of the Academy of Marketing Science, 51, 802–822.</w:t>
      </w:r>
    </w:p>
    <w:p w14:paraId="6239FA4F" w14:textId="77777777" w:rsidR="00140FF8" w:rsidRDefault="00790174">
      <w:r>
        <w:t>Hentzen, J. K., Hoffmann, A., Dolan, R., &amp; Pala, E. (2022). Artificial intelligence in customer-facing financial services: A systematic literature review and agenda for future research. International Journal of Bank Marketing, 40(6), 1299–1336. https://doi.org/10.1108/IJBM-09-2021-0417</w:t>
      </w:r>
    </w:p>
    <w:p w14:paraId="65448708" w14:textId="77777777" w:rsidR="00140FF8" w:rsidRDefault="00790174">
      <w:r>
        <w:t>Huang, M.-H., &amp; Rust, R. T. (2018). Artificial intelligence in service. Journal of Service Research, 21(2), 155–172. https://doi.org/10.1177/1094670517752459</w:t>
      </w:r>
    </w:p>
    <w:p w14:paraId="10FD320C" w14:textId="77777777" w:rsidR="00140FF8" w:rsidRDefault="00790174">
      <w:r>
        <w:t>Jang, M., Jung, Y., &amp; Kim, S. (2021). Investigating managers' understanding of chatbots in the Korean financial industry. Computers in Human Behavior, 120, Article 106747.</w:t>
      </w:r>
    </w:p>
    <w:p w14:paraId="5C75BEAA" w14:textId="77777777" w:rsidR="00140FF8" w:rsidRDefault="00790174">
      <w:r>
        <w:t>Liu, Z., Zhang, K., &amp; Zhang, H. (2024). A new era of financial services: How AI enhances investment efficiency. International Studies of Economics, 19, 578–588. https://doi.org/10.1002/ise3.97</w:t>
      </w:r>
    </w:p>
    <w:p w14:paraId="2C206477" w14:textId="77777777" w:rsidR="00140FF8" w:rsidRDefault="00790174">
      <w:r>
        <w:t>Mogaji, E., &amp; Nguyen, N. P. (2021). Managers' understanding of artificial intelligence in relation to marketing financial services: Insights from a cross-country study. International Journal of Bank Marketing, 39(6), 1544–1565. https://doi.org/10.1108/IJBM-10-2020-0527</w:t>
      </w:r>
    </w:p>
    <w:p w14:paraId="71BAE180" w14:textId="77777777" w:rsidR="00140FF8" w:rsidRDefault="00790174">
      <w:r>
        <w:t>Wang, L., Huang, N., Hong, Y., Liu, L., Guo, X., &amp; Chen, G. (2023). Voice-based AI in call center customer service: A natural field experiment. Production and Operations Management, 32(4), 1002–1018. https://doi.org/10.1111/poms.13953</w:t>
      </w:r>
    </w:p>
    <w:p w14:paraId="2969D527" w14:textId="77777777" w:rsidR="00140FF8" w:rsidRDefault="00790174">
      <w:r>
        <w:t>Xu, Y., Shieh, C.-H., van Esch, P., &amp; Ling, I.-L. (2020). AI customer service: task complexity, problem-solving ability, and usage intention. Australasian Marketing Journal, 28(4), 189–199. https://doi.org/10.1016/j.ausmj.2020.03.005</w:t>
      </w:r>
    </w:p>
    <w:p w14:paraId="5C22F123" w14:textId="77777777" w:rsidR="00140FF8" w:rsidRDefault="00790174">
      <w:r>
        <w:lastRenderedPageBreak/>
        <w:t>Zhang, Z., Li, B., &amp; Liu, L. (2023). The impact of AI-based conversational agent on the firms' operational performance: empirical evidence from a call center. Applied Artificial Intelligence, 37(1). https://doi.org/10.1080/08839514.2022.2157592</w:t>
      </w:r>
    </w:p>
    <w:p w14:paraId="4389BFDB" w14:textId="77777777" w:rsidR="00140FF8" w:rsidRDefault="00790174">
      <w:r>
        <w:t>Acemoglu, D., &amp; Restrepo, P. (2019). Automation and new tasks: How technology displaces and reinstates labor. Journal of Economic Perspectives, 33(2), 3–30. https://doi.org/10.1257/jep.33.2.3</w:t>
      </w:r>
    </w:p>
    <w:p w14:paraId="1691FCDE" w14:textId="77777777" w:rsidR="00140FF8" w:rsidRDefault="00790174">
      <w:r>
        <w:t xml:space="preserve">Better Home &amp; Finance Holding Company. (2024, October 17). </w:t>
      </w:r>
      <w:r>
        <w:rPr>
          <w:i/>
        </w:rPr>
        <w:t>Better launches Betsy™, the first voice-based AI Loan Assistant for the U.S. mortgage industry</w:t>
      </w:r>
      <w:r>
        <w:t xml:space="preserve"> [Press release]. https://ir.better.com</w:t>
      </w:r>
    </w:p>
    <w:p w14:paraId="799E8EFC" w14:textId="77777777" w:rsidR="00140FF8" w:rsidRDefault="00790174">
      <w:r>
        <w:t xml:space="preserve">Better Home &amp; Finance Holding Company. (2025a, May 13). </w:t>
      </w:r>
      <w:r>
        <w:rPr>
          <w:i/>
        </w:rPr>
        <w:t>First quarter 2025 earnings call transcript</w:t>
      </w:r>
      <w:r>
        <w:t xml:space="preserve"> [S&amp;P Global Market Intelligence transcript]. NASDAQ: BETR.</w:t>
      </w:r>
    </w:p>
    <w:p w14:paraId="52E05E8B" w14:textId="77777777" w:rsidR="00140FF8" w:rsidRDefault="00790174">
      <w:r>
        <w:t xml:space="preserve">Better Home &amp; Finance Holding Company. (2025b, August 7). </w:t>
      </w:r>
      <w:r>
        <w:rPr>
          <w:i/>
        </w:rPr>
        <w:t>Second quarter 2025 earnings call transcript</w:t>
      </w:r>
      <w:r>
        <w:t xml:space="preserve"> [S&amp;P Global Market Intelligence transcript]. NASDAQ: BETR.</w:t>
      </w:r>
    </w:p>
    <w:p w14:paraId="0497E439" w14:textId="77777777" w:rsidR="00140FF8" w:rsidRDefault="00790174">
      <w:r>
        <w:t xml:space="preserve">Better Home &amp; Finance Holding Company. (2025c). </w:t>
      </w:r>
      <w:r>
        <w:rPr>
          <w:i/>
        </w:rPr>
        <w:t>Q4 2025 investor presentation</w:t>
      </w:r>
      <w:r>
        <w:t>. https://ir.better.com</w:t>
      </w:r>
    </w:p>
    <w:p w14:paraId="521B1D7F" w14:textId="77777777" w:rsidR="00140FF8" w:rsidRDefault="00790174">
      <w:r>
        <w:t>Brynjolfsson, E., Li, D., &amp; Raymond, L. R. (2023). Generative AI at work. National Bureau of Economic Research Working Paper, No. 31161. https://doi.org/10.3386/w31161</w:t>
      </w:r>
    </w:p>
    <w:p w14:paraId="75477337" w14:textId="77777777" w:rsidR="00140FF8" w:rsidRDefault="00790174">
      <w:r>
        <w:t xml:space="preserve">ElevenLabs. (2026, February). </w:t>
      </w:r>
      <w:r>
        <w:rPr>
          <w:i/>
        </w:rPr>
        <w:t>Better Home &amp; Finance: Automating mortgage origination with AI voice agents</w:t>
      </w:r>
      <w:r>
        <w:t xml:space="preserve"> [Case study via BusinessWire]. https://www.businesswire.com</w:t>
      </w:r>
    </w:p>
    <w:p w14:paraId="511BFC44" w14:textId="77777777" w:rsidR="00140FF8" w:rsidRDefault="00790174">
      <w:r>
        <w:t xml:space="preserve">Gamma, E., Helm, R., Johnson, R., &amp; Vlissides, J. (1994). </w:t>
      </w:r>
      <w:r>
        <w:rPr>
          <w:i/>
        </w:rPr>
        <w:t>Design patterns: Elements of reusable object-oriented software</w:t>
      </w:r>
      <w:r>
        <w:t>. Addison-Wesley.</w:t>
      </w:r>
    </w:p>
    <w:p w14:paraId="39A99D23" w14:textId="77777777" w:rsidR="00140FF8" w:rsidRDefault="00790174">
      <w:r>
        <w:t>Goodhue, D. L., &amp; Thompson, R. L. (1995). Task-technology fit and individual performance. MIS Quarterly, 19(2), 213–236. https://doi.org/10.2307/249689</w:t>
      </w:r>
    </w:p>
    <w:p w14:paraId="3AFE18CA" w14:textId="77777777" w:rsidR="00140FF8" w:rsidRDefault="00790174">
      <w:r>
        <w:t>Hevner, A. R., March, S. T., Park, J., &amp; Ram, S. (2004). Design science in information systems research. MIS Quarterly, 28(1), 75–105. https://doi.org/10.2307/25148625</w:t>
      </w:r>
    </w:p>
    <w:p w14:paraId="4109C564" w14:textId="77777777" w:rsidR="00140FF8" w:rsidRDefault="00790174">
      <w:r>
        <w:t xml:space="preserve">Mortgage Bankers Association. (2024). </w:t>
      </w:r>
      <w:r>
        <w:rPr>
          <w:i/>
        </w:rPr>
        <w:t>Quarterly mortgage bankers performance report: Full year 2024</w:t>
      </w:r>
      <w:r>
        <w:t>. MBA Publications. https://www.mba.org</w:t>
      </w:r>
    </w:p>
    <w:p w14:paraId="2EE65629" w14:textId="2026970C" w:rsidR="00140FF8" w:rsidRDefault="00790174">
      <w:r>
        <w:t xml:space="preserve">Qualtrics. (2024). </w:t>
      </w:r>
      <w:r>
        <w:rPr>
          <w:i/>
        </w:rPr>
        <w:t>2024 global consumer trends: Financial services NPS benchmarks</w:t>
      </w:r>
      <w:r>
        <w:t xml:space="preserve">. Qualtrics XM Institute. </w:t>
      </w:r>
      <w:hyperlink r:id="rId9" w:history="1">
        <w:r w:rsidR="003F4B83" w:rsidRPr="003A45D3">
          <w:rPr>
            <w:rStyle w:val="Hyperlink"/>
          </w:rPr>
          <w:t>https://www.qualtrics.com</w:t>
        </w:r>
      </w:hyperlink>
    </w:p>
    <w:p w14:paraId="7E5A1C45" w14:textId="28FCE9C2" w:rsidR="003F4B83" w:rsidRDefault="00D26911">
      <w:r>
        <w:t>---------------------------------------------------------------------------------------------------------------------------------</w:t>
      </w:r>
    </w:p>
    <w:p w14:paraId="7C37C838" w14:textId="03090DC0" w:rsidR="003F4B83" w:rsidRDefault="003F4B83"/>
    <w:p w14:paraId="587FC1E7" w14:textId="77777777" w:rsidR="003F4B83" w:rsidRDefault="003F4B83" w:rsidP="003F4B83">
      <w:r>
        <w:t>Adam, M., Wessel, M., &amp; Benlian, A. (2021). AI-based chatbots in customer service and their effects on user compliance. Electronic Markets, 31(2), 427–445.</w:t>
      </w:r>
    </w:p>
    <w:p w14:paraId="383EAF6F" w14:textId="77777777" w:rsidR="003F4B83" w:rsidRDefault="003F4B83" w:rsidP="003F4B83">
      <w:r>
        <w:t>Aggarwal, A., Kumar, V., &amp; Srivastava, R. K. (2025). Value creation and value appropriation using voice AI technology. European Journal of Marketing, 59(9), 2199–2243.</w:t>
      </w:r>
    </w:p>
    <w:p w14:paraId="57DCFA1B" w14:textId="77777777" w:rsidR="003F4B83" w:rsidRDefault="003F4B83" w:rsidP="003F4B83">
      <w:r>
        <w:t>Andrade, I. M. D., &amp; Tumelero, C. (2022). Increasing customer service efficiency through artificial intelligence chatbot. Revista de Gestão, 29(3), 238–251.</w:t>
      </w:r>
    </w:p>
    <w:p w14:paraId="5373D445" w14:textId="77777777" w:rsidR="003F4B83" w:rsidRDefault="003F4B83" w:rsidP="003F4B83">
      <w:r>
        <w:lastRenderedPageBreak/>
        <w:t>Blümel, J. H., Zaki, M., &amp; Bohné, T. (2024). Personal touch in digital customer service: a conceptual framework of relational personalization for conversational AI. Journal of Service Theory and Practice, 34(1), 33–65.</w:t>
      </w:r>
    </w:p>
    <w:p w14:paraId="1DA33B94" w14:textId="77777777" w:rsidR="003F4B83" w:rsidRDefault="003F4B83" w:rsidP="003F4B83">
      <w:r>
        <w:t>Brynjolfsson, E., Li, D., &amp; Raymond, L. R. (2023). Generative AI at work. NBER Working Paper, No. 31161.</w:t>
      </w:r>
    </w:p>
    <w:p w14:paraId="1A314E72" w14:textId="77777777" w:rsidR="003F4B83" w:rsidRDefault="003F4B83" w:rsidP="003F4B83">
      <w:r>
        <w:t>Fotheringham, D., &amp; Wiles, M. A. (2023). The effect of implementing chatbot customer service on stock returns. Journal of the Academy of Marketing Science, 51, 802–822.</w:t>
      </w:r>
    </w:p>
    <w:p w14:paraId="709B2F4C" w14:textId="77777777" w:rsidR="003F4B83" w:rsidRDefault="003F4B83" w:rsidP="003F4B83">
      <w:r>
        <w:t>Hentzen, J. K., Hoffmann, A., Dolan, R., &amp; Pala, E. (2022). Artificial intelligence in customer-facing financial services: A systematic literature review. International Journal of Bank Marketing, 40(6), 1299–1336.</w:t>
      </w:r>
    </w:p>
    <w:p w14:paraId="0C72662E" w14:textId="77777777" w:rsidR="003F4B83" w:rsidRDefault="003F4B83" w:rsidP="003F4B83">
      <w:r>
        <w:t>Huang, M.-H., &amp; Rust, R. T. (2018). Artificial intelligence in service. Journal of Service Research, 21(2), 155–172.</w:t>
      </w:r>
    </w:p>
    <w:p w14:paraId="1BC6B806" w14:textId="77777777" w:rsidR="003F4B83" w:rsidRDefault="003F4B83" w:rsidP="003F4B83">
      <w:r>
        <w:t>Liu, Z., Zhang, K., &amp; Zhang, H. (2024). A new era of financial services: How AI enhances investment efficiency. International Studies of Economics, 19, 578–588.</w:t>
      </w:r>
    </w:p>
    <w:p w14:paraId="318E7255" w14:textId="77777777" w:rsidR="003F4B83" w:rsidRDefault="003F4B83" w:rsidP="003F4B83">
      <w:r>
        <w:t>Mogaji, E., &amp; Nguyen, N. P. (2021). Managers' understanding of artificial intelligence in relation to marketing financial services. International Journal of Bank Marketing, 39(6), 1544–1565.</w:t>
      </w:r>
    </w:p>
    <w:p w14:paraId="40C4EA8A" w14:textId="77777777" w:rsidR="003F4B83" w:rsidRDefault="003F4B83" w:rsidP="003F4B83">
      <w:r>
        <w:t>Wang, L., et al. (2023). Voice-based AI in call center customer service: A natural field experiment. Production and Operations Management, 32(4), 1002–1018.</w:t>
      </w:r>
    </w:p>
    <w:p w14:paraId="0D61268A" w14:textId="137544EE" w:rsidR="003F4B83" w:rsidRDefault="003F4B83" w:rsidP="003F4B83">
      <w:r>
        <w:t>Zhang, Z., Li, B., &amp; Liu, L. (2023). The impact of AI-based conversational agent on the firms' operational performance. Applied Artificial Intelligence, 37(1).</w:t>
      </w:r>
    </w:p>
    <w:p w14:paraId="14E22712" w14:textId="43019164" w:rsidR="002B3CE0" w:rsidRDefault="002B3CE0" w:rsidP="003F4B83"/>
    <w:p w14:paraId="2E33777B" w14:textId="077B6E79" w:rsidR="002B3CE0" w:rsidRDefault="002B3CE0" w:rsidP="003F4B83"/>
    <w:p w14:paraId="2549C1B2" w14:textId="199883D0" w:rsidR="002B3CE0" w:rsidRDefault="002B3CE0" w:rsidP="003F4B83"/>
    <w:p w14:paraId="0476C27E" w14:textId="77777777" w:rsidR="002B3CE0" w:rsidRPr="002B3CE0" w:rsidRDefault="002B3CE0" w:rsidP="002B3CE0">
      <w:pPr>
        <w:pStyle w:val="NormalWeb"/>
        <w:rPr>
          <w:lang w:val="en-US"/>
        </w:rPr>
      </w:pPr>
      <w:r w:rsidRPr="002B3CE0">
        <w:rPr>
          <w:lang w:val="en-US"/>
        </w:rPr>
        <w:t xml:space="preserve">Better.com. (n.d.). </w:t>
      </w:r>
      <w:r w:rsidRPr="002B3CE0">
        <w:rPr>
          <w:rStyle w:val="Emphasis"/>
          <w:lang w:val="en-US"/>
        </w:rPr>
        <w:t>Our company</w:t>
      </w:r>
      <w:r w:rsidRPr="002B3CE0">
        <w:rPr>
          <w:lang w:val="en-US"/>
        </w:rPr>
        <w:t xml:space="preserve">. Better Mortgage. Retrieved May 6, 2026, from </w:t>
      </w:r>
      <w:hyperlink r:id="rId10" w:tgtFrame="_new" w:history="1">
        <w:r w:rsidRPr="002B3CE0">
          <w:rPr>
            <w:rStyle w:val="Hyperlink"/>
            <w:lang w:val="en-US"/>
          </w:rPr>
          <w:t>https://better.com/about-us</w:t>
        </w:r>
      </w:hyperlink>
    </w:p>
    <w:p w14:paraId="5B101FFF" w14:textId="77777777" w:rsidR="002B3CE0" w:rsidRPr="002B3CE0" w:rsidRDefault="002B3CE0" w:rsidP="002B3CE0">
      <w:pPr>
        <w:pStyle w:val="NormalWeb"/>
        <w:rPr>
          <w:lang w:val="en-US"/>
        </w:rPr>
      </w:pPr>
      <w:r w:rsidRPr="002B3CE0">
        <w:rPr>
          <w:lang w:val="en-US"/>
        </w:rPr>
        <w:t xml:space="preserve">Better HoldCo, Inc. (2021, November 30). </w:t>
      </w:r>
      <w:r w:rsidRPr="002B3CE0">
        <w:rPr>
          <w:rStyle w:val="Emphasis"/>
          <w:lang w:val="en-US"/>
        </w:rPr>
        <w:t>Digital homeownership platform Better announces up to $1.5 billion in bridge financing and convertible notes with Aurora Acquisition Corp., Novator Capital, Aurora Sponsor and SoftBank</w:t>
      </w:r>
      <w:r w:rsidRPr="002B3CE0">
        <w:rPr>
          <w:lang w:val="en-US"/>
        </w:rPr>
        <w:t xml:space="preserve">. Business Wire. </w:t>
      </w:r>
      <w:hyperlink r:id="rId11" w:tgtFrame="_new" w:history="1">
        <w:r w:rsidRPr="002B3CE0">
          <w:rPr>
            <w:rStyle w:val="Hyperlink"/>
            <w:lang w:val="en-US"/>
          </w:rPr>
          <w:t>https://www.businesswire.com/</w:t>
        </w:r>
      </w:hyperlink>
    </w:p>
    <w:p w14:paraId="14A84F05" w14:textId="77777777" w:rsidR="002B3CE0" w:rsidRPr="002B3CE0" w:rsidRDefault="002B3CE0" w:rsidP="002B3CE0">
      <w:pPr>
        <w:pStyle w:val="NormalWeb"/>
        <w:rPr>
          <w:lang w:val="en-US"/>
        </w:rPr>
      </w:pPr>
      <w:r w:rsidRPr="002B3CE0">
        <w:rPr>
          <w:lang w:val="en-US"/>
        </w:rPr>
        <w:t xml:space="preserve">Better HoldCo, Inc. (2023). </w:t>
      </w:r>
      <w:r w:rsidRPr="002B3CE0">
        <w:rPr>
          <w:rStyle w:val="Emphasis"/>
          <w:lang w:val="en-US"/>
        </w:rPr>
        <w:t>Registration statement on Form S-1</w:t>
      </w:r>
      <w:r w:rsidRPr="002B3CE0">
        <w:rPr>
          <w:lang w:val="en-US"/>
        </w:rPr>
        <w:t xml:space="preserve">. U.S. Securities and Exchange Commission. </w:t>
      </w:r>
      <w:hyperlink r:id="rId12" w:tgtFrame="_new" w:history="1">
        <w:r w:rsidRPr="002B3CE0">
          <w:rPr>
            <w:rStyle w:val="Hyperlink"/>
            <w:lang w:val="en-US"/>
          </w:rPr>
          <w:t>https://www.sec.gov/</w:t>
        </w:r>
      </w:hyperlink>
    </w:p>
    <w:p w14:paraId="17EC38A7" w14:textId="77777777" w:rsidR="002B3CE0" w:rsidRPr="002B3CE0" w:rsidRDefault="002B3CE0" w:rsidP="002B3CE0">
      <w:pPr>
        <w:pStyle w:val="NormalWeb"/>
        <w:rPr>
          <w:lang w:val="en-US"/>
        </w:rPr>
      </w:pPr>
      <w:r w:rsidRPr="002B3CE0">
        <w:rPr>
          <w:lang w:val="en-US"/>
        </w:rPr>
        <w:t xml:space="preserve">Better Home &amp; Finance Holding Company. (n.d.). </w:t>
      </w:r>
      <w:r w:rsidRPr="002B3CE0">
        <w:rPr>
          <w:rStyle w:val="Emphasis"/>
          <w:lang w:val="en-US"/>
        </w:rPr>
        <w:t>Investor relations: Corporate overview</w:t>
      </w:r>
      <w:r w:rsidRPr="002B3CE0">
        <w:rPr>
          <w:lang w:val="en-US"/>
        </w:rPr>
        <w:t xml:space="preserve">. Retrieved May 6, 2026, from </w:t>
      </w:r>
      <w:hyperlink r:id="rId13" w:tgtFrame="_new" w:history="1">
        <w:r w:rsidRPr="002B3CE0">
          <w:rPr>
            <w:rStyle w:val="Hyperlink"/>
            <w:lang w:val="en-US"/>
          </w:rPr>
          <w:t>https://investors.better.com/overview/default.aspx</w:t>
        </w:r>
      </w:hyperlink>
    </w:p>
    <w:p w14:paraId="5C461D3B" w14:textId="77777777" w:rsidR="002B3CE0" w:rsidRPr="002B3CE0" w:rsidRDefault="002B3CE0" w:rsidP="002B3CE0">
      <w:pPr>
        <w:pStyle w:val="NormalWeb"/>
        <w:rPr>
          <w:lang w:val="en-US"/>
        </w:rPr>
      </w:pPr>
      <w:r w:rsidRPr="002B3CE0">
        <w:rPr>
          <w:lang w:val="en-US"/>
        </w:rPr>
        <w:t xml:space="preserve">Better Home &amp; Finance Holding Company. (2025, August 7). </w:t>
      </w:r>
      <w:r w:rsidRPr="002B3CE0">
        <w:rPr>
          <w:rStyle w:val="Emphasis"/>
          <w:lang w:val="en-US"/>
        </w:rPr>
        <w:t>Better Home &amp; Finance Holding Company announces second quarter 2025 results</w:t>
      </w:r>
      <w:r w:rsidRPr="002B3CE0">
        <w:rPr>
          <w:lang w:val="en-US"/>
        </w:rPr>
        <w:t xml:space="preserve">. Better Investor Relations. </w:t>
      </w:r>
      <w:hyperlink r:id="rId14" w:tgtFrame="_new" w:history="1">
        <w:r w:rsidRPr="002B3CE0">
          <w:rPr>
            <w:rStyle w:val="Hyperlink"/>
            <w:lang w:val="en-US"/>
          </w:rPr>
          <w:t>https://investors.better.com/news/news-details/2025/Better-Home--Finance-Holding-Company-Announces-Second-Quarter-2025-Results/default.aspx</w:t>
        </w:r>
      </w:hyperlink>
    </w:p>
    <w:p w14:paraId="08DC53FA" w14:textId="77777777" w:rsidR="002B3CE0" w:rsidRPr="002B3CE0" w:rsidRDefault="002B3CE0" w:rsidP="002B3CE0">
      <w:pPr>
        <w:pStyle w:val="NormalWeb"/>
        <w:rPr>
          <w:lang w:val="en-US"/>
        </w:rPr>
      </w:pPr>
      <w:r w:rsidRPr="002B3CE0">
        <w:rPr>
          <w:lang w:val="en-US"/>
        </w:rPr>
        <w:t xml:space="preserve">Better Home &amp; Finance Holding Company. (2026, February 25). </w:t>
      </w:r>
      <w:r w:rsidRPr="002B3CE0">
        <w:rPr>
          <w:rStyle w:val="Emphasis"/>
          <w:lang w:val="en-US"/>
        </w:rPr>
        <w:t>ElevenLabs and Better.com showcase success of AI loan agent, Betsy™, at scale in financial services</w:t>
      </w:r>
      <w:r w:rsidRPr="002B3CE0">
        <w:rPr>
          <w:lang w:val="en-US"/>
        </w:rPr>
        <w:t xml:space="preserve">. Better Investor Relations. </w:t>
      </w:r>
      <w:hyperlink r:id="rId15" w:tgtFrame="_new" w:history="1">
        <w:r w:rsidRPr="002B3CE0">
          <w:rPr>
            <w:rStyle w:val="Hyperlink"/>
            <w:lang w:val="en-US"/>
          </w:rPr>
          <w:t>https://investors.better.com/news/news-details/2026/ElevenLabs-and-Better-com-Showcase-Success-of-AI-Loan-Agent-Betsy-at-Scale-in-Financial-Services-3c4e5a07d/default.aspx</w:t>
        </w:r>
      </w:hyperlink>
    </w:p>
    <w:p w14:paraId="078E54BF" w14:textId="77777777" w:rsidR="002B3CE0" w:rsidRPr="002B3CE0" w:rsidRDefault="002B3CE0" w:rsidP="002B3CE0">
      <w:pPr>
        <w:pStyle w:val="NormalWeb"/>
        <w:rPr>
          <w:lang w:val="en-US"/>
        </w:rPr>
      </w:pPr>
      <w:r w:rsidRPr="002B3CE0">
        <w:rPr>
          <w:lang w:val="en-US"/>
        </w:rPr>
        <w:t xml:space="preserve">ElevenLabs. (2026, February 9). </w:t>
      </w:r>
      <w:r w:rsidRPr="002B3CE0">
        <w:rPr>
          <w:rStyle w:val="Emphasis"/>
          <w:lang w:val="en-US"/>
        </w:rPr>
        <w:t>Better leverages ElevenAgents to build Betsy and make AI assisted loans accessible</w:t>
      </w:r>
      <w:r w:rsidRPr="002B3CE0">
        <w:rPr>
          <w:lang w:val="en-US"/>
        </w:rPr>
        <w:t xml:space="preserve">. ElevenLabs Blog. </w:t>
      </w:r>
      <w:hyperlink r:id="rId16" w:tgtFrame="_new" w:history="1">
        <w:r w:rsidRPr="002B3CE0">
          <w:rPr>
            <w:rStyle w:val="Hyperlink"/>
            <w:lang w:val="en-US"/>
          </w:rPr>
          <w:t>https://elevenlabs.io/blog/better</w:t>
        </w:r>
      </w:hyperlink>
    </w:p>
    <w:p w14:paraId="7A55DC54" w14:textId="77777777" w:rsidR="002B3CE0" w:rsidRPr="002B3CE0" w:rsidRDefault="002B3CE0" w:rsidP="002B3CE0">
      <w:pPr>
        <w:pStyle w:val="NormalWeb"/>
        <w:rPr>
          <w:lang w:val="en-US"/>
        </w:rPr>
      </w:pPr>
      <w:r w:rsidRPr="002B3CE0">
        <w:rPr>
          <w:lang w:val="en-US"/>
        </w:rPr>
        <w:t xml:space="preserve">Federal Reserve Bank of New York. (2023, May 15). </w:t>
      </w:r>
      <w:r w:rsidRPr="002B3CE0">
        <w:rPr>
          <w:rStyle w:val="Emphasis"/>
          <w:lang w:val="en-US"/>
        </w:rPr>
        <w:t>The great pandemic mortgage refinance boom</w:t>
      </w:r>
      <w:r w:rsidRPr="002B3CE0">
        <w:rPr>
          <w:lang w:val="en-US"/>
        </w:rPr>
        <w:t xml:space="preserve">. Liberty Street Economics. </w:t>
      </w:r>
      <w:hyperlink r:id="rId17" w:tgtFrame="_new" w:history="1">
        <w:r w:rsidRPr="002B3CE0">
          <w:rPr>
            <w:rStyle w:val="Hyperlink"/>
            <w:lang w:val="en-US"/>
          </w:rPr>
          <w:t>https://libertystreeteconomics.newyorkfed.org/2023/05/the-great-pandemic-mortgage-refinance-boom/</w:t>
        </w:r>
      </w:hyperlink>
    </w:p>
    <w:p w14:paraId="4AF28484" w14:textId="77777777" w:rsidR="002B3CE0" w:rsidRPr="002B3CE0" w:rsidRDefault="002B3CE0" w:rsidP="002B3CE0">
      <w:pPr>
        <w:pStyle w:val="NormalWeb"/>
        <w:rPr>
          <w:lang w:val="en-US"/>
        </w:rPr>
      </w:pPr>
      <w:r w:rsidRPr="002B3CE0">
        <w:rPr>
          <w:lang w:val="en-US"/>
        </w:rPr>
        <w:t xml:space="preserve">Freddie Mac. (2021, March 5). </w:t>
      </w:r>
      <w:r w:rsidRPr="002B3CE0">
        <w:rPr>
          <w:rStyle w:val="Emphasis"/>
          <w:lang w:val="en-US"/>
        </w:rPr>
        <w:t>Refinance trends in 2020</w:t>
      </w:r>
      <w:r w:rsidRPr="002B3CE0">
        <w:rPr>
          <w:lang w:val="en-US"/>
        </w:rPr>
        <w:t xml:space="preserve">. Freddie Mac Research Note. </w:t>
      </w:r>
      <w:hyperlink r:id="rId18" w:tgtFrame="_new" w:history="1">
        <w:r w:rsidRPr="002B3CE0">
          <w:rPr>
            <w:rStyle w:val="Hyperlink"/>
            <w:lang w:val="en-US"/>
          </w:rPr>
          <w:t>https://www.freddiemac.com/research/insight/20210305-refinance-trends</w:t>
        </w:r>
      </w:hyperlink>
    </w:p>
    <w:p w14:paraId="54D29B7C" w14:textId="77777777" w:rsidR="002B3CE0" w:rsidRPr="002B3CE0" w:rsidRDefault="002B3CE0" w:rsidP="002B3CE0">
      <w:pPr>
        <w:pStyle w:val="NormalWeb"/>
        <w:rPr>
          <w:lang w:val="en-US"/>
        </w:rPr>
      </w:pPr>
      <w:r w:rsidRPr="002B3CE0">
        <w:rPr>
          <w:lang w:val="en-US"/>
        </w:rPr>
        <w:t xml:space="preserve">Primack, D. (2021, December 8). </w:t>
      </w:r>
      <w:r w:rsidRPr="002B3CE0">
        <w:rPr>
          <w:rStyle w:val="Emphasis"/>
          <w:lang w:val="en-US"/>
        </w:rPr>
        <w:t>Better.com delays close of $7.7B reverse merger after mass layoffs</w:t>
      </w:r>
      <w:r w:rsidRPr="002B3CE0">
        <w:rPr>
          <w:lang w:val="en-US"/>
        </w:rPr>
        <w:t xml:space="preserve">. Axios. </w:t>
      </w:r>
      <w:hyperlink r:id="rId19" w:tgtFrame="_new" w:history="1">
        <w:r w:rsidRPr="002B3CE0">
          <w:rPr>
            <w:rStyle w:val="Hyperlink"/>
            <w:lang w:val="en-US"/>
          </w:rPr>
          <w:t>https://www.axios.com/2021/12/08/better-home-mortgage-delays-reverse-merger-layoffs</w:t>
        </w:r>
      </w:hyperlink>
    </w:p>
    <w:p w14:paraId="0B05743E" w14:textId="4354BDCE" w:rsidR="002B3CE0" w:rsidRDefault="002B3CE0" w:rsidP="003F4B83"/>
    <w:p w14:paraId="25025E15" w14:textId="66E001BA" w:rsidR="002E6EE9" w:rsidRDefault="002E6EE9" w:rsidP="003F4B83"/>
    <w:p w14:paraId="1DFE4E06" w14:textId="77777777" w:rsidR="002E6EE9" w:rsidRDefault="002E6EE9" w:rsidP="002E6EE9">
      <w:pPr>
        <w:pStyle w:val="NormalWeb"/>
      </w:pPr>
      <w:r w:rsidRPr="002E6EE9">
        <w:rPr>
          <w:lang w:val="en-US"/>
        </w:rPr>
        <w:t xml:space="preserve">Consumer Financial Protection Bureau. (2024, May 28). </w:t>
      </w:r>
      <w:r w:rsidRPr="002E6EE9">
        <w:rPr>
          <w:rStyle w:val="Emphasis"/>
          <w:lang w:val="en-US"/>
        </w:rPr>
        <w:t>What documents should I receive before closing on a mortgage loan?</w:t>
      </w:r>
      <w:r w:rsidRPr="002E6EE9">
        <w:rPr>
          <w:lang w:val="en-US"/>
        </w:rPr>
        <w:t xml:space="preserve"> </w:t>
      </w:r>
      <w:hyperlink r:id="rId20" w:tgtFrame="_new" w:history="1">
        <w:r>
          <w:rPr>
            <w:rStyle w:val="Hyperlink"/>
          </w:rPr>
          <w:t>https://www.consumerfinance.gov/ask-cfpb/what-documents-should-i-receive-before-closing-on-a-mortgage-loan-en-181/</w:t>
        </w:r>
      </w:hyperlink>
    </w:p>
    <w:p w14:paraId="40040695" w14:textId="77777777" w:rsidR="002E6EE9" w:rsidRPr="002E6EE9" w:rsidRDefault="002E6EE9" w:rsidP="002E6EE9">
      <w:pPr>
        <w:pStyle w:val="NormalWeb"/>
        <w:rPr>
          <w:lang w:val="en-US"/>
        </w:rPr>
      </w:pPr>
      <w:r w:rsidRPr="002E6EE9">
        <w:rPr>
          <w:lang w:val="en-US"/>
        </w:rPr>
        <w:t xml:space="preserve">Consumer Financial Protection Bureau. (2025, November 3). </w:t>
      </w:r>
      <w:r w:rsidRPr="002E6EE9">
        <w:rPr>
          <w:rStyle w:val="Emphasis"/>
          <w:lang w:val="en-US"/>
        </w:rPr>
        <w:t>Closing on your new home</w:t>
      </w:r>
      <w:r w:rsidRPr="002E6EE9">
        <w:rPr>
          <w:lang w:val="en-US"/>
        </w:rPr>
        <w:t xml:space="preserve">. </w:t>
      </w:r>
      <w:hyperlink r:id="rId21" w:tgtFrame="_new" w:history="1">
        <w:r w:rsidRPr="002E6EE9">
          <w:rPr>
            <w:rStyle w:val="Hyperlink"/>
            <w:lang w:val="en-US"/>
          </w:rPr>
          <w:t>https://www.consumerfinance.gov/owning-a-home/close/</w:t>
        </w:r>
      </w:hyperlink>
    </w:p>
    <w:p w14:paraId="757D6A20" w14:textId="77777777" w:rsidR="002E6EE9" w:rsidRPr="002E6EE9" w:rsidRDefault="002E6EE9" w:rsidP="002E6EE9">
      <w:pPr>
        <w:pStyle w:val="NormalWeb"/>
        <w:rPr>
          <w:lang w:val="en-US"/>
        </w:rPr>
      </w:pPr>
      <w:r w:rsidRPr="002E6EE9">
        <w:rPr>
          <w:lang w:val="en-US"/>
        </w:rPr>
        <w:t xml:space="preserve">Fannie Mae. (n.d.). </w:t>
      </w:r>
      <w:r w:rsidRPr="002E6EE9">
        <w:rPr>
          <w:rStyle w:val="Emphasis"/>
          <w:lang w:val="en-US"/>
        </w:rPr>
        <w:t>Selling Guide</w:t>
      </w:r>
      <w:r w:rsidRPr="002E6EE9">
        <w:rPr>
          <w:lang w:val="en-US"/>
        </w:rPr>
        <w:t xml:space="preserve">. Retrieved May 6, 2026, from </w:t>
      </w:r>
      <w:hyperlink r:id="rId22" w:tgtFrame="_new" w:history="1">
        <w:r w:rsidRPr="002E6EE9">
          <w:rPr>
            <w:rStyle w:val="Hyperlink"/>
            <w:lang w:val="en-US"/>
          </w:rPr>
          <w:t>https://selling-guide.fanniemae.com/</w:t>
        </w:r>
      </w:hyperlink>
    </w:p>
    <w:p w14:paraId="675D5252" w14:textId="77777777" w:rsidR="002E6EE9" w:rsidRPr="002E6EE9" w:rsidRDefault="002E6EE9" w:rsidP="002E6EE9">
      <w:pPr>
        <w:pStyle w:val="NormalWeb"/>
        <w:rPr>
          <w:lang w:val="en-US"/>
        </w:rPr>
      </w:pPr>
      <w:r w:rsidRPr="002E6EE9">
        <w:rPr>
          <w:lang w:val="en-US"/>
        </w:rPr>
        <w:t xml:space="preserve">Freddie Mac. (2024, May 13). </w:t>
      </w:r>
      <w:r w:rsidRPr="002E6EE9">
        <w:rPr>
          <w:rStyle w:val="Emphasis"/>
          <w:lang w:val="en-US"/>
        </w:rPr>
        <w:t>2024 Cost to Originate Study</w:t>
      </w:r>
      <w:r w:rsidRPr="002E6EE9">
        <w:rPr>
          <w:lang w:val="en-US"/>
        </w:rPr>
        <w:t xml:space="preserve">. </w:t>
      </w:r>
      <w:hyperlink r:id="rId23" w:tgtFrame="_new" w:history="1">
        <w:r w:rsidRPr="002E6EE9">
          <w:rPr>
            <w:rStyle w:val="Hyperlink"/>
            <w:lang w:val="en-US"/>
          </w:rPr>
          <w:t>https://sf.freddiemac.com/articles/insights/2024-cost-to-originate-study</w:t>
        </w:r>
      </w:hyperlink>
    </w:p>
    <w:p w14:paraId="022C0802" w14:textId="77777777" w:rsidR="002E6EE9" w:rsidRDefault="002E6EE9" w:rsidP="002E6EE9">
      <w:pPr>
        <w:pStyle w:val="NormalWeb"/>
      </w:pPr>
      <w:r w:rsidRPr="002E6EE9">
        <w:rPr>
          <w:lang w:val="en-US"/>
        </w:rPr>
        <w:t xml:space="preserve">Mortgage Bankers Association. </w:t>
      </w:r>
      <w:r w:rsidRPr="00D36C9F">
        <w:rPr>
          <w:lang w:val="en-US"/>
        </w:rPr>
        <w:t xml:space="preserve">(2024, November 14). </w:t>
      </w:r>
      <w:r w:rsidRPr="00D36C9F">
        <w:rPr>
          <w:rStyle w:val="Emphasis"/>
          <w:lang w:val="en-US"/>
        </w:rPr>
        <w:t>IMB production profits increase in third quarter of 2024</w:t>
      </w:r>
      <w:r w:rsidRPr="00D36C9F">
        <w:rPr>
          <w:lang w:val="en-US"/>
        </w:rPr>
        <w:t xml:space="preserve">. </w:t>
      </w:r>
      <w:hyperlink r:id="rId24" w:tgtFrame="_new" w:history="1">
        <w:r>
          <w:rPr>
            <w:rStyle w:val="Hyperlink"/>
          </w:rPr>
          <w:t>https://www.mba.org/news-and-research/newsroom/news/2024/11/14/imb-production-profits-increase-in-third-quarter-of-2024</w:t>
        </w:r>
      </w:hyperlink>
    </w:p>
    <w:p w14:paraId="3AAF1BF4" w14:textId="321C5245" w:rsidR="002E6EE9" w:rsidRDefault="002E6EE9" w:rsidP="003F4B83">
      <w:pPr>
        <w:rPr>
          <w:lang w:val="ru-RU"/>
        </w:rPr>
      </w:pPr>
    </w:p>
    <w:p w14:paraId="0F63E4AC" w14:textId="77777777" w:rsidR="003A2267" w:rsidRPr="003A2267" w:rsidRDefault="003A2267" w:rsidP="003A2267">
      <w:pPr>
        <w:pStyle w:val="NormalWeb"/>
        <w:rPr>
          <w:lang w:val="en-US"/>
        </w:rPr>
      </w:pPr>
      <w:r w:rsidRPr="003A2267">
        <w:rPr>
          <w:lang w:val="en-US"/>
        </w:rPr>
        <w:t xml:space="preserve">Better Home &amp; Finance Holding Company. (2025, August 7). </w:t>
      </w:r>
      <w:r w:rsidRPr="003A2267">
        <w:rPr>
          <w:rStyle w:val="Emphasis"/>
          <w:lang w:val="en-US"/>
        </w:rPr>
        <w:t>Better Home &amp; Finance Holding Company announces second quarter 2025 results</w:t>
      </w:r>
      <w:r w:rsidRPr="003A2267">
        <w:rPr>
          <w:lang w:val="en-US"/>
        </w:rPr>
        <w:t xml:space="preserve">. U.S. Securities and Exchange Commission. </w:t>
      </w:r>
      <w:hyperlink r:id="rId25" w:tgtFrame="_new" w:history="1">
        <w:r w:rsidRPr="003A2267">
          <w:rPr>
            <w:rStyle w:val="Hyperlink"/>
            <w:lang w:val="en-US"/>
          </w:rPr>
          <w:t>https://www.sec.gov/Archives/edgar/data/1835856/000162828025038583/betrearningsrelease_2025-q2.htm</w:t>
        </w:r>
      </w:hyperlink>
    </w:p>
    <w:p w14:paraId="06485AB4" w14:textId="77777777" w:rsidR="003A2267" w:rsidRPr="003A2267" w:rsidRDefault="003A2267" w:rsidP="003A2267">
      <w:pPr>
        <w:pStyle w:val="NormalWeb"/>
        <w:rPr>
          <w:lang w:val="en-US"/>
        </w:rPr>
      </w:pPr>
      <w:r w:rsidRPr="003A2267">
        <w:rPr>
          <w:lang w:val="en-US"/>
        </w:rPr>
        <w:t xml:space="preserve">Better Home &amp; Finance Holding Company. (2026a). </w:t>
      </w:r>
      <w:r w:rsidRPr="003A2267">
        <w:rPr>
          <w:rStyle w:val="Emphasis"/>
          <w:lang w:val="en-US"/>
        </w:rPr>
        <w:t>Form 10-K: Annual report for the fiscal year ended December 31, 2025</w:t>
      </w:r>
      <w:r w:rsidRPr="003A2267">
        <w:rPr>
          <w:lang w:val="en-US"/>
        </w:rPr>
        <w:t xml:space="preserve">. U.S. Securities and Exchange Commission. </w:t>
      </w:r>
      <w:hyperlink r:id="rId26" w:tgtFrame="_new" w:history="1">
        <w:r w:rsidRPr="003A2267">
          <w:rPr>
            <w:rStyle w:val="Hyperlink"/>
            <w:lang w:val="en-US"/>
          </w:rPr>
          <w:t>https://www.sec.gov/Archives/edgar/data/1835856/000162828026017747/aurcu-20251231.htm</w:t>
        </w:r>
      </w:hyperlink>
    </w:p>
    <w:p w14:paraId="20CC520E" w14:textId="77777777" w:rsidR="003A2267" w:rsidRPr="003A2267" w:rsidRDefault="003A2267" w:rsidP="003A2267">
      <w:pPr>
        <w:pStyle w:val="NormalWeb"/>
        <w:rPr>
          <w:lang w:val="en-US"/>
        </w:rPr>
      </w:pPr>
      <w:r w:rsidRPr="003A2267">
        <w:rPr>
          <w:lang w:val="en-US"/>
        </w:rPr>
        <w:t xml:space="preserve">Better Home &amp; Finance Holding Company, &amp; ElevenLabs. (2026, February 25). </w:t>
      </w:r>
      <w:r w:rsidRPr="003A2267">
        <w:rPr>
          <w:rStyle w:val="Emphasis"/>
          <w:lang w:val="en-US"/>
        </w:rPr>
        <w:t>ElevenLabs and Better.com showcase success of AI loan agent, Betsy™, at scale in financial services</w:t>
      </w:r>
      <w:r w:rsidRPr="003A2267">
        <w:rPr>
          <w:lang w:val="en-US"/>
        </w:rPr>
        <w:t xml:space="preserve">. Business Wire. </w:t>
      </w:r>
      <w:hyperlink r:id="rId27" w:tgtFrame="_new" w:history="1">
        <w:r w:rsidRPr="003A2267">
          <w:rPr>
            <w:rStyle w:val="Hyperlink"/>
            <w:lang w:val="en-US"/>
          </w:rPr>
          <w:t>https://www.businesswire.com/news/home/20260225955474/en/ElevenLabs-and-Better.com-Showcase-Success-of-AI-Loan-Agent-Betsy-at-Scale-in-Financial-Services</w:t>
        </w:r>
      </w:hyperlink>
    </w:p>
    <w:p w14:paraId="5974B26F" w14:textId="77777777" w:rsidR="003A2267" w:rsidRPr="003A2267" w:rsidRDefault="003A2267" w:rsidP="003A2267">
      <w:pPr>
        <w:pStyle w:val="NormalWeb"/>
        <w:rPr>
          <w:lang w:val="en-US"/>
        </w:rPr>
      </w:pPr>
      <w:r w:rsidRPr="003A2267">
        <w:rPr>
          <w:lang w:val="en-US"/>
        </w:rPr>
        <w:t xml:space="preserve">Nunes, F. F. (2024, October 17). </w:t>
      </w:r>
      <w:r w:rsidRPr="003A2267">
        <w:rPr>
          <w:rStyle w:val="Emphasis"/>
          <w:lang w:val="en-US"/>
        </w:rPr>
        <w:t>Better launches voice-based AI loan assistant</w:t>
      </w:r>
      <w:r w:rsidRPr="003A2267">
        <w:rPr>
          <w:lang w:val="en-US"/>
        </w:rPr>
        <w:t xml:space="preserve">. HousingWire. </w:t>
      </w:r>
      <w:hyperlink r:id="rId28" w:tgtFrame="_new" w:history="1">
        <w:r w:rsidRPr="003A2267">
          <w:rPr>
            <w:rStyle w:val="Hyperlink"/>
            <w:lang w:val="en-US"/>
          </w:rPr>
          <w:t>https://www.housingwire.com/articles/better-launches-voice-based-ai-loan-assistant/</w:t>
        </w:r>
      </w:hyperlink>
    </w:p>
    <w:p w14:paraId="038CEF72" w14:textId="42CE0ABC" w:rsidR="003A2267" w:rsidRDefault="003A2267" w:rsidP="003F4B83"/>
    <w:p w14:paraId="757E9ED8" w14:textId="34E9C2E2" w:rsidR="00E32760" w:rsidRDefault="00E32760" w:rsidP="003F4B83"/>
    <w:p w14:paraId="06E62A4D" w14:textId="46F1896A" w:rsidR="00E32760" w:rsidRDefault="00E32760" w:rsidP="003F4B83"/>
    <w:p w14:paraId="6FBD586E" w14:textId="77777777" w:rsidR="00E32760" w:rsidRDefault="00E32760" w:rsidP="00E32760">
      <w:r>
        <w:t xml:space="preserve">Better Home &amp; Finance Holding Company. (2024a, October 17). Better.com launches Betsy™, the first voice-based AI loan assistant for the U.S. mortgage industry. Better Investor Relations. </w:t>
      </w:r>
    </w:p>
    <w:p w14:paraId="4DF65990" w14:textId="77777777" w:rsidR="00E32760" w:rsidRDefault="00E32760" w:rsidP="00E32760"/>
    <w:p w14:paraId="7ED6CED6" w14:textId="77777777" w:rsidR="00E32760" w:rsidRDefault="00E32760" w:rsidP="00E32760">
      <w:r>
        <w:t xml:space="preserve">Better Home &amp; Finance Holding Company. (2024b, November 12). Better Home &amp; Finance Holding Company announces third quarter 2024 results [Exhibit 99.1 to Form 8-K]. U.S. Securities and Exchange Commission. </w:t>
      </w:r>
    </w:p>
    <w:p w14:paraId="11C9ECAB" w14:textId="77777777" w:rsidR="00E32760" w:rsidRDefault="00E32760" w:rsidP="00E32760"/>
    <w:p w14:paraId="0A891898" w14:textId="77777777" w:rsidR="00E32760" w:rsidRDefault="00E32760" w:rsidP="00E32760">
      <w:r>
        <w:t xml:space="preserve">Better Home &amp; Finance Holding Company. (2025a, March 18). Better Home &amp; Finance Holding Company announces 2024 fourth quarter and full year results. Better Investor Relations. </w:t>
      </w:r>
    </w:p>
    <w:p w14:paraId="488122BC" w14:textId="77777777" w:rsidR="00E32760" w:rsidRDefault="00E32760" w:rsidP="00E32760"/>
    <w:p w14:paraId="1D1E63E3" w14:textId="77777777" w:rsidR="00E32760" w:rsidRDefault="00E32760" w:rsidP="00E32760">
      <w:r>
        <w:t xml:space="preserve">Better Home &amp; Finance Holding Company. (2025b, May 13). Better Home &amp; Finance Holding Company announces first quarter 2025 results. Better Investor Relations. </w:t>
      </w:r>
    </w:p>
    <w:p w14:paraId="31EAA9EC" w14:textId="77777777" w:rsidR="00E32760" w:rsidRDefault="00E32760" w:rsidP="00E32760"/>
    <w:p w14:paraId="12858DE4" w14:textId="77777777" w:rsidR="00E32760" w:rsidRDefault="00E32760" w:rsidP="00E32760">
      <w:r>
        <w:t xml:space="preserve">Better Home &amp; Finance Holding Company. (2026). Form 10-K for the fiscal year ended December 31, 2025. U.S. Securities and Exchange Commission. </w:t>
      </w:r>
    </w:p>
    <w:p w14:paraId="28A11E6C" w14:textId="77777777" w:rsidR="00E32760" w:rsidRDefault="00E32760" w:rsidP="00E32760"/>
    <w:p w14:paraId="4818F0B9" w14:textId="77777777" w:rsidR="00E32760" w:rsidRDefault="00E32760" w:rsidP="00E32760">
      <w:r>
        <w:t xml:space="preserve">Better Home &amp; Finance Holding Company, &amp; ElevenLabs. (2026, February 25). ElevenLabs and Better.com showcase success of AI loan agent, Betsy™, at scale in financial services. Better Investor Relations. </w:t>
      </w:r>
    </w:p>
    <w:p w14:paraId="7FD7BABA" w14:textId="77777777" w:rsidR="00E32760" w:rsidRDefault="00E32760" w:rsidP="00E32760"/>
    <w:p w14:paraId="3B317F40" w14:textId="74E17A12" w:rsidR="00E32760" w:rsidRDefault="00E32760" w:rsidP="00E32760">
      <w:r>
        <w:lastRenderedPageBreak/>
        <w:t>ElevenLabs. (2026, February 9). Better leverages ElevenAgents to build Betsy and make AI assisted loans accessible. ElevenLabs Blog.</w:t>
      </w:r>
    </w:p>
    <w:p w14:paraId="0914FD67" w14:textId="054A0B73" w:rsidR="00DC702A" w:rsidRDefault="00DC702A" w:rsidP="00E32760"/>
    <w:p w14:paraId="04A5E2A5" w14:textId="6AF47954" w:rsidR="00DC702A" w:rsidRDefault="00DC702A" w:rsidP="00E32760"/>
    <w:p w14:paraId="0AB26406" w14:textId="77777777" w:rsidR="00632C5D" w:rsidRDefault="00632C5D" w:rsidP="00632C5D">
      <w:r>
        <w:t>Becker, D., Braach, L., Clasmeier, L., Kaufmann, T., Ong, O., Ahrens, K., Gäde, C., Strahl, E., Fu, D., &amp; Wermter, S. (2025). Influence of robots’ voice naturalness on trust and compliance. ACM Transactions on Human-Robot Interaction, 14(2), 1–25. https://doi.org/10.1145/3706066</w:t>
      </w:r>
    </w:p>
    <w:p w14:paraId="78B3E5B6" w14:textId="77777777" w:rsidR="00632C5D" w:rsidRDefault="00632C5D" w:rsidP="00632C5D"/>
    <w:p w14:paraId="2880656A" w14:textId="77777777" w:rsidR="00632C5D" w:rsidRDefault="00632C5D" w:rsidP="00632C5D">
      <w:r>
        <w:t>Better Home &amp; Finance Holding Company. (2025, March 18). Better Home &amp; Finance Holding Company announces 2024 fourth quarter and full year results. Better Investor Relations. https://investors.better.com/news/news-details/2025/Better-Home--Finance-Holding-Company-Announces-2024-Fourth-Quarter-and-Full-Year-Results/default.aspx</w:t>
      </w:r>
    </w:p>
    <w:p w14:paraId="60BF555E" w14:textId="77777777" w:rsidR="00632C5D" w:rsidRDefault="00632C5D" w:rsidP="00632C5D"/>
    <w:p w14:paraId="273AEA64" w14:textId="77777777" w:rsidR="00632C5D" w:rsidRDefault="00632C5D" w:rsidP="00632C5D">
      <w:r>
        <w:t>Better Home &amp; Finance Holding Company. (2026). Form 10-K for the fiscal year ended December 31, 2025. U.S. Securities and Exchange Commission. https://www.sec.gov/Archives/edgar/data/1835856/000162828026017747/aurcu-20251231.htm</w:t>
      </w:r>
    </w:p>
    <w:p w14:paraId="1A3EBFBE" w14:textId="77777777" w:rsidR="00632C5D" w:rsidRDefault="00632C5D" w:rsidP="00632C5D"/>
    <w:p w14:paraId="744EA573" w14:textId="77777777" w:rsidR="00632C5D" w:rsidRDefault="00632C5D" w:rsidP="00632C5D">
      <w:r>
        <w:t>Better Home &amp; Finance Holding Company, &amp; ElevenLabs. (2026, February 25). ElevenLabs and Better.com showcase success of AI loan agent, Betsy™, at scale in financial services. Better Investor Relations. https://investors.better.com/news/news-details/2026/ElevenLabs-and-Better-com-Showcase-Success-of-AI-Loan-Agent-Betsy-at-Scale-in-Financial-Services-3c4e5a07d/default.aspx</w:t>
      </w:r>
    </w:p>
    <w:p w14:paraId="082E2D48" w14:textId="77777777" w:rsidR="00632C5D" w:rsidRDefault="00632C5D" w:rsidP="00632C5D"/>
    <w:p w14:paraId="6E8BEA69" w14:textId="77777777" w:rsidR="00632C5D" w:rsidRDefault="00632C5D" w:rsidP="00632C5D">
      <w:r>
        <w:t>ElevenLabs. (2026, February 9). Better leverages ElevenAgents to build Betsy and make AI assisted loans accessible. ElevenLabs Blog. https://elevenlabs.io/blog/better</w:t>
      </w:r>
    </w:p>
    <w:p w14:paraId="08ACB463" w14:textId="77777777" w:rsidR="00632C5D" w:rsidRDefault="00632C5D" w:rsidP="00632C5D"/>
    <w:p w14:paraId="6490DF5A" w14:textId="77777777" w:rsidR="00632C5D" w:rsidRDefault="00632C5D" w:rsidP="00632C5D">
      <w:r>
        <w:t>Maslych, M., Katebi, M., Lee, C., Hmaiti, Y., Ghasemaghaei, A., Pumarada, C., Palmer, J., Martinez, E. S., Emporio, M., Snipes, W., McMahan, R. P., &amp; LaViola, J. J. (2025). Mitigating response delays in free-form conversations with LLM-powered intelligent virtual agents. arXiv. https://arxiv.org/abs/2507.22352</w:t>
      </w:r>
    </w:p>
    <w:p w14:paraId="24D5720A" w14:textId="77777777" w:rsidR="00632C5D" w:rsidRDefault="00632C5D" w:rsidP="00632C5D"/>
    <w:p w14:paraId="3FDF7DDB" w14:textId="2B84A427" w:rsidR="00DC702A" w:rsidRPr="003A2267" w:rsidRDefault="00632C5D" w:rsidP="00632C5D">
      <w:r>
        <w:t>Nussbaum, C., Frühholz, S., &amp; Schweinberger, S. R. (2025). Understanding voice naturalness. Trends in Cognitive Sciences, 29(5), 467–480. https://doi.org/10.1016/j.tics.2025.01.010</w:t>
      </w:r>
    </w:p>
    <w:sectPr w:rsidR="00DC702A" w:rsidRPr="003A2267" w:rsidSect="00034616">
      <w:footerReference w:type="default" r:id="rId29"/>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CF1CF" w14:textId="77777777" w:rsidR="00D35E7F" w:rsidRDefault="00D35E7F">
      <w:pPr>
        <w:spacing w:after="0" w:line="240" w:lineRule="auto"/>
      </w:pPr>
      <w:r>
        <w:separator/>
      </w:r>
    </w:p>
  </w:endnote>
  <w:endnote w:type="continuationSeparator" w:id="0">
    <w:p w14:paraId="37A74E06" w14:textId="77777777" w:rsidR="00D35E7F" w:rsidRDefault="00D35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2ECC0" w14:textId="77777777" w:rsidR="00140FF8" w:rsidRDefault="00790174">
    <w:pPr>
      <w:pStyle w:val="Footer"/>
      <w:jc w:val="center"/>
    </w:pPr>
    <w:r>
      <w:rPr>
        <w:color w:val="555F6D"/>
        <w:sz w:val="18"/>
      </w:rPr>
      <w:fldChar w:fldCharType="begin"/>
    </w:r>
    <w:r>
      <w:rPr>
        <w:color w:val="555F6D"/>
        <w:sz w:val="18"/>
      </w:rPr>
      <w:instrText>PAGE</w:instrText>
    </w:r>
    <w:r>
      <w:rPr>
        <w:color w:val="555F6D"/>
        <w:sz w:val="18"/>
      </w:rPr>
      <w:fldChar w:fldCharType="separate"/>
    </w:r>
    <w:r w:rsidR="00F16D5F">
      <w:rPr>
        <w:noProof/>
        <w:color w:val="555F6D"/>
        <w:sz w:val="18"/>
      </w:rPr>
      <w:t>1</w:t>
    </w:r>
    <w:r>
      <w:rPr>
        <w:color w:val="555F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F4A394" w14:textId="77777777" w:rsidR="00D35E7F" w:rsidRDefault="00D35E7F">
      <w:pPr>
        <w:spacing w:after="0" w:line="240" w:lineRule="auto"/>
      </w:pPr>
      <w:r>
        <w:separator/>
      </w:r>
    </w:p>
  </w:footnote>
  <w:footnote w:type="continuationSeparator" w:id="0">
    <w:p w14:paraId="7A2DE1B3" w14:textId="77777777" w:rsidR="00D35E7F" w:rsidRDefault="00D35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58A"/>
    <w:rsid w:val="00034616"/>
    <w:rsid w:val="0006063C"/>
    <w:rsid w:val="000612F8"/>
    <w:rsid w:val="000A326A"/>
    <w:rsid w:val="00140FF8"/>
    <w:rsid w:val="0015074B"/>
    <w:rsid w:val="00167346"/>
    <w:rsid w:val="001C6FBC"/>
    <w:rsid w:val="001E5AE5"/>
    <w:rsid w:val="001E7087"/>
    <w:rsid w:val="001F3EFA"/>
    <w:rsid w:val="0029639D"/>
    <w:rsid w:val="002B3CE0"/>
    <w:rsid w:val="002E6EE9"/>
    <w:rsid w:val="00302623"/>
    <w:rsid w:val="00310E8A"/>
    <w:rsid w:val="00326F90"/>
    <w:rsid w:val="003A2267"/>
    <w:rsid w:val="003D7894"/>
    <w:rsid w:val="003F4B83"/>
    <w:rsid w:val="00410C09"/>
    <w:rsid w:val="0046771B"/>
    <w:rsid w:val="0053793C"/>
    <w:rsid w:val="00547C7D"/>
    <w:rsid w:val="005D3F50"/>
    <w:rsid w:val="0060622C"/>
    <w:rsid w:val="00620926"/>
    <w:rsid w:val="00632C5D"/>
    <w:rsid w:val="006416BE"/>
    <w:rsid w:val="00665E8C"/>
    <w:rsid w:val="006930D6"/>
    <w:rsid w:val="006A1EE2"/>
    <w:rsid w:val="006A5323"/>
    <w:rsid w:val="006D38B7"/>
    <w:rsid w:val="00790174"/>
    <w:rsid w:val="008309B0"/>
    <w:rsid w:val="008913D8"/>
    <w:rsid w:val="008F390F"/>
    <w:rsid w:val="009C5017"/>
    <w:rsid w:val="00A80964"/>
    <w:rsid w:val="00AA1D8D"/>
    <w:rsid w:val="00AA5FFC"/>
    <w:rsid w:val="00AD11DB"/>
    <w:rsid w:val="00B47730"/>
    <w:rsid w:val="00B60931"/>
    <w:rsid w:val="00B7563E"/>
    <w:rsid w:val="00CB0664"/>
    <w:rsid w:val="00D26911"/>
    <w:rsid w:val="00D35E7F"/>
    <w:rsid w:val="00D36C9F"/>
    <w:rsid w:val="00D4603F"/>
    <w:rsid w:val="00D46BBA"/>
    <w:rsid w:val="00DC702A"/>
    <w:rsid w:val="00E32760"/>
    <w:rsid w:val="00EA17FE"/>
    <w:rsid w:val="00F16D5F"/>
    <w:rsid w:val="00F227D7"/>
    <w:rsid w:val="00F551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40643A"/>
  <w14:defaultImageDpi w14:val="300"/>
  <w15:docId w15:val="{4393AD13-BE84-4B21-8161-18015FCB1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11DB"/>
    <w:pPr>
      <w:spacing w:after="160"/>
      <w:jc w:val="both"/>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720" w:after="240"/>
      <w:outlineLvl w:val="0"/>
    </w:pPr>
    <w:rPr>
      <w:rFonts w:asciiTheme="majorHAnsi" w:eastAsiaTheme="majorEastAsia" w:hAnsiTheme="majorHAnsi" w:cstheme="majorBidi"/>
      <w:b/>
      <w:bCs/>
      <w:color w:val="1A233A"/>
      <w:sz w:val="44"/>
      <w:szCs w:val="28"/>
    </w:rPr>
  </w:style>
  <w:style w:type="paragraph" w:styleId="Heading2">
    <w:name w:val="heading 2"/>
    <w:basedOn w:val="Normal"/>
    <w:next w:val="Normal"/>
    <w:link w:val="Heading2Char"/>
    <w:uiPriority w:val="9"/>
    <w:unhideWhenUsed/>
    <w:qFormat/>
    <w:rsid w:val="00FC693F"/>
    <w:pPr>
      <w:keepNext/>
      <w:keepLines/>
      <w:spacing w:before="400" w:after="120"/>
      <w:outlineLvl w:val="1"/>
    </w:pPr>
    <w:rPr>
      <w:rFonts w:asciiTheme="majorHAnsi" w:eastAsiaTheme="majorEastAsia" w:hAnsiTheme="majorHAnsi" w:cstheme="majorBidi"/>
      <w:b/>
      <w:bCs/>
      <w:color w:val="1A233A"/>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b/>
      <w:bCs/>
      <w:color w:val="555F6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ind w:left="567" w:right="567"/>
    </w:pPr>
    <w:rPr>
      <w:i/>
      <w:iCs/>
      <w:color w:val="555F6D"/>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200" w:line="240" w:lineRule="auto"/>
      <w:jc w:val="center"/>
    </w:pPr>
    <w:rPr>
      <w:b/>
      <w:bCs/>
      <w:i/>
      <w:color w:val="555F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283"/>
    </w:pPr>
    <w:rPr>
      <w:rFonts w:ascii="Courier New" w:hAnsi="Courier New"/>
      <w:color w:val="2D2D2D"/>
      <w:sz w:val="18"/>
    </w:rPr>
  </w:style>
  <w:style w:type="paragraph" w:styleId="TOC1">
    <w:name w:val="toc 1"/>
    <w:basedOn w:val="Normal"/>
    <w:next w:val="Normal"/>
    <w:autoRedefine/>
    <w:uiPriority w:val="39"/>
    <w:unhideWhenUsed/>
    <w:rsid w:val="00F16D5F"/>
    <w:pPr>
      <w:spacing w:after="100"/>
    </w:pPr>
  </w:style>
  <w:style w:type="paragraph" w:styleId="TOC2">
    <w:name w:val="toc 2"/>
    <w:basedOn w:val="Normal"/>
    <w:next w:val="Normal"/>
    <w:autoRedefine/>
    <w:uiPriority w:val="39"/>
    <w:unhideWhenUsed/>
    <w:rsid w:val="00F16D5F"/>
    <w:pPr>
      <w:spacing w:after="100"/>
      <w:ind w:left="220"/>
    </w:pPr>
  </w:style>
  <w:style w:type="paragraph" w:styleId="TOC3">
    <w:name w:val="toc 3"/>
    <w:basedOn w:val="Normal"/>
    <w:next w:val="Normal"/>
    <w:autoRedefine/>
    <w:uiPriority w:val="39"/>
    <w:unhideWhenUsed/>
    <w:rsid w:val="00F16D5F"/>
    <w:pPr>
      <w:spacing w:after="100"/>
      <w:ind w:left="440"/>
    </w:pPr>
  </w:style>
  <w:style w:type="character" w:styleId="Hyperlink">
    <w:name w:val="Hyperlink"/>
    <w:basedOn w:val="DefaultParagraphFont"/>
    <w:uiPriority w:val="99"/>
    <w:unhideWhenUsed/>
    <w:rsid w:val="00F16D5F"/>
    <w:rPr>
      <w:color w:val="0000FF" w:themeColor="hyperlink"/>
      <w:u w:val="single"/>
    </w:rPr>
  </w:style>
  <w:style w:type="paragraph" w:customStyle="1" w:styleId="code-line">
    <w:name w:val="code-line"/>
    <w:basedOn w:val="Normal"/>
    <w:rsid w:val="00167346"/>
    <w:pPr>
      <w:spacing w:before="100" w:beforeAutospacing="1" w:after="100" w:afterAutospacing="1" w:line="240" w:lineRule="auto"/>
      <w:jc w:val="left"/>
    </w:pPr>
    <w:rPr>
      <w:rFonts w:ascii="Times New Roman" w:eastAsia="Times New Roman" w:hAnsi="Times New Roman" w:cs="Times New Roman"/>
      <w:color w:val="auto"/>
      <w:sz w:val="24"/>
      <w:szCs w:val="24"/>
      <w:lang w:val="ru-RU" w:eastAsia="ru-RU"/>
    </w:rPr>
  </w:style>
  <w:style w:type="character" w:styleId="UnresolvedMention">
    <w:name w:val="Unresolved Mention"/>
    <w:basedOn w:val="DefaultParagraphFont"/>
    <w:uiPriority w:val="99"/>
    <w:semiHidden/>
    <w:unhideWhenUsed/>
    <w:rsid w:val="003F4B83"/>
    <w:rPr>
      <w:color w:val="605E5C"/>
      <w:shd w:val="clear" w:color="auto" w:fill="E1DFDD"/>
    </w:rPr>
  </w:style>
  <w:style w:type="paragraph" w:styleId="NormalWeb">
    <w:name w:val="Normal (Web)"/>
    <w:basedOn w:val="Normal"/>
    <w:uiPriority w:val="99"/>
    <w:semiHidden/>
    <w:unhideWhenUsed/>
    <w:rsid w:val="002B3CE0"/>
    <w:pPr>
      <w:spacing w:before="100" w:beforeAutospacing="1" w:after="100" w:afterAutospacing="1" w:line="240" w:lineRule="auto"/>
      <w:jc w:val="left"/>
    </w:pPr>
    <w:rPr>
      <w:rFonts w:ascii="Times New Roman" w:eastAsia="Times New Roman" w:hAnsi="Times New Roman" w:cs="Times New Roman"/>
      <w:color w:val="auto"/>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219">
      <w:bodyDiv w:val="1"/>
      <w:marLeft w:val="0"/>
      <w:marRight w:val="0"/>
      <w:marTop w:val="0"/>
      <w:marBottom w:val="0"/>
      <w:divBdr>
        <w:top w:val="none" w:sz="0" w:space="0" w:color="auto"/>
        <w:left w:val="none" w:sz="0" w:space="0" w:color="auto"/>
        <w:bottom w:val="none" w:sz="0" w:space="0" w:color="auto"/>
        <w:right w:val="none" w:sz="0" w:space="0" w:color="auto"/>
      </w:divBdr>
    </w:div>
    <w:div w:id="3821325">
      <w:bodyDiv w:val="1"/>
      <w:marLeft w:val="0"/>
      <w:marRight w:val="0"/>
      <w:marTop w:val="0"/>
      <w:marBottom w:val="0"/>
      <w:divBdr>
        <w:top w:val="none" w:sz="0" w:space="0" w:color="auto"/>
        <w:left w:val="none" w:sz="0" w:space="0" w:color="auto"/>
        <w:bottom w:val="none" w:sz="0" w:space="0" w:color="auto"/>
        <w:right w:val="none" w:sz="0" w:space="0" w:color="auto"/>
      </w:divBdr>
    </w:div>
    <w:div w:id="50159444">
      <w:bodyDiv w:val="1"/>
      <w:marLeft w:val="0"/>
      <w:marRight w:val="0"/>
      <w:marTop w:val="0"/>
      <w:marBottom w:val="0"/>
      <w:divBdr>
        <w:top w:val="none" w:sz="0" w:space="0" w:color="auto"/>
        <w:left w:val="none" w:sz="0" w:space="0" w:color="auto"/>
        <w:bottom w:val="none" w:sz="0" w:space="0" w:color="auto"/>
        <w:right w:val="none" w:sz="0" w:space="0" w:color="auto"/>
      </w:divBdr>
    </w:div>
    <w:div w:id="126827602">
      <w:bodyDiv w:val="1"/>
      <w:marLeft w:val="0"/>
      <w:marRight w:val="0"/>
      <w:marTop w:val="0"/>
      <w:marBottom w:val="0"/>
      <w:divBdr>
        <w:top w:val="none" w:sz="0" w:space="0" w:color="auto"/>
        <w:left w:val="none" w:sz="0" w:space="0" w:color="auto"/>
        <w:bottom w:val="none" w:sz="0" w:space="0" w:color="auto"/>
        <w:right w:val="none" w:sz="0" w:space="0" w:color="auto"/>
      </w:divBdr>
    </w:div>
    <w:div w:id="213275197">
      <w:bodyDiv w:val="1"/>
      <w:marLeft w:val="0"/>
      <w:marRight w:val="0"/>
      <w:marTop w:val="0"/>
      <w:marBottom w:val="0"/>
      <w:divBdr>
        <w:top w:val="none" w:sz="0" w:space="0" w:color="auto"/>
        <w:left w:val="none" w:sz="0" w:space="0" w:color="auto"/>
        <w:bottom w:val="none" w:sz="0" w:space="0" w:color="auto"/>
        <w:right w:val="none" w:sz="0" w:space="0" w:color="auto"/>
      </w:divBdr>
    </w:div>
    <w:div w:id="389305557">
      <w:bodyDiv w:val="1"/>
      <w:marLeft w:val="0"/>
      <w:marRight w:val="0"/>
      <w:marTop w:val="0"/>
      <w:marBottom w:val="0"/>
      <w:divBdr>
        <w:top w:val="none" w:sz="0" w:space="0" w:color="auto"/>
        <w:left w:val="none" w:sz="0" w:space="0" w:color="auto"/>
        <w:bottom w:val="none" w:sz="0" w:space="0" w:color="auto"/>
        <w:right w:val="none" w:sz="0" w:space="0" w:color="auto"/>
      </w:divBdr>
    </w:div>
    <w:div w:id="418255425">
      <w:bodyDiv w:val="1"/>
      <w:marLeft w:val="0"/>
      <w:marRight w:val="0"/>
      <w:marTop w:val="0"/>
      <w:marBottom w:val="0"/>
      <w:divBdr>
        <w:top w:val="none" w:sz="0" w:space="0" w:color="auto"/>
        <w:left w:val="none" w:sz="0" w:space="0" w:color="auto"/>
        <w:bottom w:val="none" w:sz="0" w:space="0" w:color="auto"/>
        <w:right w:val="none" w:sz="0" w:space="0" w:color="auto"/>
      </w:divBdr>
    </w:div>
    <w:div w:id="421879812">
      <w:bodyDiv w:val="1"/>
      <w:marLeft w:val="0"/>
      <w:marRight w:val="0"/>
      <w:marTop w:val="0"/>
      <w:marBottom w:val="0"/>
      <w:divBdr>
        <w:top w:val="none" w:sz="0" w:space="0" w:color="auto"/>
        <w:left w:val="none" w:sz="0" w:space="0" w:color="auto"/>
        <w:bottom w:val="none" w:sz="0" w:space="0" w:color="auto"/>
        <w:right w:val="none" w:sz="0" w:space="0" w:color="auto"/>
      </w:divBdr>
    </w:div>
    <w:div w:id="498351979">
      <w:bodyDiv w:val="1"/>
      <w:marLeft w:val="0"/>
      <w:marRight w:val="0"/>
      <w:marTop w:val="0"/>
      <w:marBottom w:val="0"/>
      <w:divBdr>
        <w:top w:val="none" w:sz="0" w:space="0" w:color="auto"/>
        <w:left w:val="none" w:sz="0" w:space="0" w:color="auto"/>
        <w:bottom w:val="none" w:sz="0" w:space="0" w:color="auto"/>
        <w:right w:val="none" w:sz="0" w:space="0" w:color="auto"/>
      </w:divBdr>
    </w:div>
    <w:div w:id="530456575">
      <w:bodyDiv w:val="1"/>
      <w:marLeft w:val="0"/>
      <w:marRight w:val="0"/>
      <w:marTop w:val="0"/>
      <w:marBottom w:val="0"/>
      <w:divBdr>
        <w:top w:val="none" w:sz="0" w:space="0" w:color="auto"/>
        <w:left w:val="none" w:sz="0" w:space="0" w:color="auto"/>
        <w:bottom w:val="none" w:sz="0" w:space="0" w:color="auto"/>
        <w:right w:val="none" w:sz="0" w:space="0" w:color="auto"/>
      </w:divBdr>
      <w:divsChild>
        <w:div w:id="145325459">
          <w:marLeft w:val="0"/>
          <w:marRight w:val="0"/>
          <w:marTop w:val="0"/>
          <w:marBottom w:val="0"/>
          <w:divBdr>
            <w:top w:val="none" w:sz="0" w:space="0" w:color="auto"/>
            <w:left w:val="none" w:sz="0" w:space="0" w:color="auto"/>
            <w:bottom w:val="none" w:sz="0" w:space="0" w:color="auto"/>
            <w:right w:val="none" w:sz="0" w:space="0" w:color="auto"/>
          </w:divBdr>
          <w:divsChild>
            <w:div w:id="136531206">
              <w:marLeft w:val="0"/>
              <w:marRight w:val="0"/>
              <w:marTop w:val="0"/>
              <w:marBottom w:val="0"/>
              <w:divBdr>
                <w:top w:val="none" w:sz="0" w:space="0" w:color="auto"/>
                <w:left w:val="none" w:sz="0" w:space="0" w:color="auto"/>
                <w:bottom w:val="none" w:sz="0" w:space="0" w:color="auto"/>
                <w:right w:val="none" w:sz="0" w:space="0" w:color="auto"/>
              </w:divBdr>
              <w:divsChild>
                <w:div w:id="808519964">
                  <w:marLeft w:val="0"/>
                  <w:marRight w:val="0"/>
                  <w:marTop w:val="0"/>
                  <w:marBottom w:val="0"/>
                  <w:divBdr>
                    <w:top w:val="none" w:sz="0" w:space="0" w:color="auto"/>
                    <w:left w:val="none" w:sz="0" w:space="0" w:color="auto"/>
                    <w:bottom w:val="none" w:sz="0" w:space="0" w:color="auto"/>
                    <w:right w:val="none" w:sz="0" w:space="0" w:color="auto"/>
                  </w:divBdr>
                  <w:divsChild>
                    <w:div w:id="10972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23405">
      <w:bodyDiv w:val="1"/>
      <w:marLeft w:val="0"/>
      <w:marRight w:val="0"/>
      <w:marTop w:val="0"/>
      <w:marBottom w:val="0"/>
      <w:divBdr>
        <w:top w:val="none" w:sz="0" w:space="0" w:color="auto"/>
        <w:left w:val="none" w:sz="0" w:space="0" w:color="auto"/>
        <w:bottom w:val="none" w:sz="0" w:space="0" w:color="auto"/>
        <w:right w:val="none" w:sz="0" w:space="0" w:color="auto"/>
      </w:divBdr>
    </w:div>
    <w:div w:id="643047892">
      <w:bodyDiv w:val="1"/>
      <w:marLeft w:val="0"/>
      <w:marRight w:val="0"/>
      <w:marTop w:val="0"/>
      <w:marBottom w:val="0"/>
      <w:divBdr>
        <w:top w:val="none" w:sz="0" w:space="0" w:color="auto"/>
        <w:left w:val="none" w:sz="0" w:space="0" w:color="auto"/>
        <w:bottom w:val="none" w:sz="0" w:space="0" w:color="auto"/>
        <w:right w:val="none" w:sz="0" w:space="0" w:color="auto"/>
      </w:divBdr>
      <w:divsChild>
        <w:div w:id="502864383">
          <w:marLeft w:val="0"/>
          <w:marRight w:val="0"/>
          <w:marTop w:val="0"/>
          <w:marBottom w:val="0"/>
          <w:divBdr>
            <w:top w:val="single" w:sz="2" w:space="0" w:color="auto"/>
            <w:left w:val="single" w:sz="2" w:space="0" w:color="auto"/>
            <w:bottom w:val="single" w:sz="2" w:space="0" w:color="auto"/>
            <w:right w:val="single" w:sz="2" w:space="0" w:color="auto"/>
          </w:divBdr>
          <w:divsChild>
            <w:div w:id="140005305">
              <w:marLeft w:val="0"/>
              <w:marRight w:val="0"/>
              <w:marTop w:val="0"/>
              <w:marBottom w:val="0"/>
              <w:divBdr>
                <w:top w:val="single" w:sz="2" w:space="0" w:color="auto"/>
                <w:left w:val="single" w:sz="2" w:space="0" w:color="auto"/>
                <w:bottom w:val="single" w:sz="2" w:space="0" w:color="auto"/>
                <w:right w:val="single" w:sz="2" w:space="0" w:color="auto"/>
              </w:divBdr>
            </w:div>
          </w:divsChild>
        </w:div>
        <w:div w:id="1597444046">
          <w:marLeft w:val="0"/>
          <w:marRight w:val="0"/>
          <w:marTop w:val="0"/>
          <w:marBottom w:val="0"/>
          <w:divBdr>
            <w:top w:val="single" w:sz="2" w:space="0" w:color="auto"/>
            <w:left w:val="single" w:sz="2" w:space="0" w:color="auto"/>
            <w:bottom w:val="single" w:sz="2" w:space="0" w:color="auto"/>
            <w:right w:val="single" w:sz="2" w:space="0" w:color="auto"/>
          </w:divBdr>
          <w:divsChild>
            <w:div w:id="2125688298">
              <w:marLeft w:val="0"/>
              <w:marRight w:val="0"/>
              <w:marTop w:val="0"/>
              <w:marBottom w:val="0"/>
              <w:divBdr>
                <w:top w:val="single" w:sz="2" w:space="0" w:color="auto"/>
                <w:left w:val="single" w:sz="2" w:space="0" w:color="auto"/>
                <w:bottom w:val="single" w:sz="2" w:space="0" w:color="auto"/>
                <w:right w:val="single" w:sz="2" w:space="0" w:color="auto"/>
              </w:divBdr>
              <w:divsChild>
                <w:div w:id="1651013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3215852">
          <w:marLeft w:val="0"/>
          <w:marRight w:val="0"/>
          <w:marTop w:val="0"/>
          <w:marBottom w:val="0"/>
          <w:divBdr>
            <w:top w:val="single" w:sz="2" w:space="0" w:color="auto"/>
            <w:left w:val="single" w:sz="2" w:space="0" w:color="auto"/>
            <w:bottom w:val="single" w:sz="2" w:space="0" w:color="auto"/>
            <w:right w:val="single" w:sz="2" w:space="0" w:color="auto"/>
          </w:divBdr>
          <w:divsChild>
            <w:div w:id="736905023">
              <w:marLeft w:val="0"/>
              <w:marRight w:val="0"/>
              <w:marTop w:val="0"/>
              <w:marBottom w:val="0"/>
              <w:divBdr>
                <w:top w:val="single" w:sz="2" w:space="0" w:color="auto"/>
                <w:left w:val="single" w:sz="2" w:space="0" w:color="auto"/>
                <w:bottom w:val="single" w:sz="2" w:space="0" w:color="auto"/>
                <w:right w:val="single" w:sz="2" w:space="0" w:color="auto"/>
              </w:divBdr>
              <w:divsChild>
                <w:div w:id="15173812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6196964">
      <w:bodyDiv w:val="1"/>
      <w:marLeft w:val="0"/>
      <w:marRight w:val="0"/>
      <w:marTop w:val="0"/>
      <w:marBottom w:val="0"/>
      <w:divBdr>
        <w:top w:val="none" w:sz="0" w:space="0" w:color="auto"/>
        <w:left w:val="none" w:sz="0" w:space="0" w:color="auto"/>
        <w:bottom w:val="none" w:sz="0" w:space="0" w:color="auto"/>
        <w:right w:val="none" w:sz="0" w:space="0" w:color="auto"/>
      </w:divBdr>
    </w:div>
    <w:div w:id="1095053849">
      <w:bodyDiv w:val="1"/>
      <w:marLeft w:val="0"/>
      <w:marRight w:val="0"/>
      <w:marTop w:val="0"/>
      <w:marBottom w:val="0"/>
      <w:divBdr>
        <w:top w:val="none" w:sz="0" w:space="0" w:color="auto"/>
        <w:left w:val="none" w:sz="0" w:space="0" w:color="auto"/>
        <w:bottom w:val="none" w:sz="0" w:space="0" w:color="auto"/>
        <w:right w:val="none" w:sz="0" w:space="0" w:color="auto"/>
      </w:divBdr>
    </w:div>
    <w:div w:id="1149516130">
      <w:bodyDiv w:val="1"/>
      <w:marLeft w:val="0"/>
      <w:marRight w:val="0"/>
      <w:marTop w:val="0"/>
      <w:marBottom w:val="0"/>
      <w:divBdr>
        <w:top w:val="none" w:sz="0" w:space="0" w:color="auto"/>
        <w:left w:val="none" w:sz="0" w:space="0" w:color="auto"/>
        <w:bottom w:val="none" w:sz="0" w:space="0" w:color="auto"/>
        <w:right w:val="none" w:sz="0" w:space="0" w:color="auto"/>
      </w:divBdr>
    </w:div>
    <w:div w:id="1150708086">
      <w:bodyDiv w:val="1"/>
      <w:marLeft w:val="0"/>
      <w:marRight w:val="0"/>
      <w:marTop w:val="0"/>
      <w:marBottom w:val="0"/>
      <w:divBdr>
        <w:top w:val="none" w:sz="0" w:space="0" w:color="auto"/>
        <w:left w:val="none" w:sz="0" w:space="0" w:color="auto"/>
        <w:bottom w:val="none" w:sz="0" w:space="0" w:color="auto"/>
        <w:right w:val="none" w:sz="0" w:space="0" w:color="auto"/>
      </w:divBdr>
    </w:div>
    <w:div w:id="1373769481">
      <w:bodyDiv w:val="1"/>
      <w:marLeft w:val="0"/>
      <w:marRight w:val="0"/>
      <w:marTop w:val="0"/>
      <w:marBottom w:val="0"/>
      <w:divBdr>
        <w:top w:val="none" w:sz="0" w:space="0" w:color="auto"/>
        <w:left w:val="none" w:sz="0" w:space="0" w:color="auto"/>
        <w:bottom w:val="none" w:sz="0" w:space="0" w:color="auto"/>
        <w:right w:val="none" w:sz="0" w:space="0" w:color="auto"/>
      </w:divBdr>
    </w:div>
    <w:div w:id="1514763638">
      <w:bodyDiv w:val="1"/>
      <w:marLeft w:val="0"/>
      <w:marRight w:val="0"/>
      <w:marTop w:val="0"/>
      <w:marBottom w:val="0"/>
      <w:divBdr>
        <w:top w:val="none" w:sz="0" w:space="0" w:color="auto"/>
        <w:left w:val="none" w:sz="0" w:space="0" w:color="auto"/>
        <w:bottom w:val="none" w:sz="0" w:space="0" w:color="auto"/>
        <w:right w:val="none" w:sz="0" w:space="0" w:color="auto"/>
      </w:divBdr>
    </w:div>
    <w:div w:id="1526208735">
      <w:bodyDiv w:val="1"/>
      <w:marLeft w:val="0"/>
      <w:marRight w:val="0"/>
      <w:marTop w:val="0"/>
      <w:marBottom w:val="0"/>
      <w:divBdr>
        <w:top w:val="none" w:sz="0" w:space="0" w:color="auto"/>
        <w:left w:val="none" w:sz="0" w:space="0" w:color="auto"/>
        <w:bottom w:val="none" w:sz="0" w:space="0" w:color="auto"/>
        <w:right w:val="none" w:sz="0" w:space="0" w:color="auto"/>
      </w:divBdr>
    </w:div>
    <w:div w:id="1538472853">
      <w:bodyDiv w:val="1"/>
      <w:marLeft w:val="0"/>
      <w:marRight w:val="0"/>
      <w:marTop w:val="0"/>
      <w:marBottom w:val="0"/>
      <w:divBdr>
        <w:top w:val="none" w:sz="0" w:space="0" w:color="auto"/>
        <w:left w:val="none" w:sz="0" w:space="0" w:color="auto"/>
        <w:bottom w:val="none" w:sz="0" w:space="0" w:color="auto"/>
        <w:right w:val="none" w:sz="0" w:space="0" w:color="auto"/>
      </w:divBdr>
    </w:div>
    <w:div w:id="1758013128">
      <w:bodyDiv w:val="1"/>
      <w:marLeft w:val="0"/>
      <w:marRight w:val="0"/>
      <w:marTop w:val="0"/>
      <w:marBottom w:val="0"/>
      <w:divBdr>
        <w:top w:val="none" w:sz="0" w:space="0" w:color="auto"/>
        <w:left w:val="none" w:sz="0" w:space="0" w:color="auto"/>
        <w:bottom w:val="none" w:sz="0" w:space="0" w:color="auto"/>
        <w:right w:val="none" w:sz="0" w:space="0" w:color="auto"/>
      </w:divBdr>
    </w:div>
    <w:div w:id="1924024841">
      <w:bodyDiv w:val="1"/>
      <w:marLeft w:val="0"/>
      <w:marRight w:val="0"/>
      <w:marTop w:val="0"/>
      <w:marBottom w:val="0"/>
      <w:divBdr>
        <w:top w:val="none" w:sz="0" w:space="0" w:color="auto"/>
        <w:left w:val="none" w:sz="0" w:space="0" w:color="auto"/>
        <w:bottom w:val="none" w:sz="0" w:space="0" w:color="auto"/>
        <w:right w:val="none" w:sz="0" w:space="0" w:color="auto"/>
      </w:divBdr>
    </w:div>
    <w:div w:id="2021156601">
      <w:bodyDiv w:val="1"/>
      <w:marLeft w:val="0"/>
      <w:marRight w:val="0"/>
      <w:marTop w:val="0"/>
      <w:marBottom w:val="0"/>
      <w:divBdr>
        <w:top w:val="none" w:sz="0" w:space="0" w:color="auto"/>
        <w:left w:val="none" w:sz="0" w:space="0" w:color="auto"/>
        <w:bottom w:val="none" w:sz="0" w:space="0" w:color="auto"/>
        <w:right w:val="none" w:sz="0" w:space="0" w:color="auto"/>
      </w:divBdr>
      <w:divsChild>
        <w:div w:id="1269699978">
          <w:marLeft w:val="0"/>
          <w:marRight w:val="0"/>
          <w:marTop w:val="0"/>
          <w:marBottom w:val="0"/>
          <w:divBdr>
            <w:top w:val="single" w:sz="2" w:space="0" w:color="auto"/>
            <w:left w:val="single" w:sz="2" w:space="0" w:color="auto"/>
            <w:bottom w:val="single" w:sz="2" w:space="0" w:color="auto"/>
            <w:right w:val="single" w:sz="2" w:space="0" w:color="auto"/>
          </w:divBdr>
          <w:divsChild>
            <w:div w:id="60687058">
              <w:marLeft w:val="0"/>
              <w:marRight w:val="0"/>
              <w:marTop w:val="0"/>
              <w:marBottom w:val="0"/>
              <w:divBdr>
                <w:top w:val="single" w:sz="2" w:space="0" w:color="auto"/>
                <w:left w:val="single" w:sz="2" w:space="0" w:color="auto"/>
                <w:bottom w:val="single" w:sz="2" w:space="0" w:color="auto"/>
                <w:right w:val="single" w:sz="2" w:space="0" w:color="auto"/>
              </w:divBdr>
            </w:div>
          </w:divsChild>
        </w:div>
        <w:div w:id="966592453">
          <w:marLeft w:val="0"/>
          <w:marRight w:val="0"/>
          <w:marTop w:val="0"/>
          <w:marBottom w:val="0"/>
          <w:divBdr>
            <w:top w:val="single" w:sz="2" w:space="0" w:color="auto"/>
            <w:left w:val="single" w:sz="2" w:space="0" w:color="auto"/>
            <w:bottom w:val="single" w:sz="2" w:space="0" w:color="auto"/>
            <w:right w:val="single" w:sz="2" w:space="0" w:color="auto"/>
          </w:divBdr>
          <w:divsChild>
            <w:div w:id="334496509">
              <w:marLeft w:val="0"/>
              <w:marRight w:val="0"/>
              <w:marTop w:val="0"/>
              <w:marBottom w:val="0"/>
              <w:divBdr>
                <w:top w:val="single" w:sz="2" w:space="0" w:color="auto"/>
                <w:left w:val="single" w:sz="2" w:space="0" w:color="auto"/>
                <w:bottom w:val="single" w:sz="2" w:space="0" w:color="auto"/>
                <w:right w:val="single" w:sz="2" w:space="0" w:color="auto"/>
              </w:divBdr>
              <w:divsChild>
                <w:div w:id="12819166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5249917">
          <w:marLeft w:val="0"/>
          <w:marRight w:val="0"/>
          <w:marTop w:val="0"/>
          <w:marBottom w:val="0"/>
          <w:divBdr>
            <w:top w:val="single" w:sz="2" w:space="0" w:color="auto"/>
            <w:left w:val="single" w:sz="2" w:space="0" w:color="auto"/>
            <w:bottom w:val="single" w:sz="2" w:space="0" w:color="auto"/>
            <w:right w:val="single" w:sz="2" w:space="0" w:color="auto"/>
          </w:divBdr>
          <w:divsChild>
            <w:div w:id="1356343489">
              <w:marLeft w:val="0"/>
              <w:marRight w:val="0"/>
              <w:marTop w:val="0"/>
              <w:marBottom w:val="0"/>
              <w:divBdr>
                <w:top w:val="single" w:sz="2" w:space="0" w:color="auto"/>
                <w:left w:val="single" w:sz="2" w:space="0" w:color="auto"/>
                <w:bottom w:val="single" w:sz="2" w:space="0" w:color="auto"/>
                <w:right w:val="single" w:sz="2" w:space="0" w:color="auto"/>
              </w:divBdr>
              <w:divsChild>
                <w:div w:id="3682649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61062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nvestors.better.com/overview/default.aspx?utm_source=chatgpt.com" TargetMode="External"/><Relationship Id="rId18" Type="http://schemas.openxmlformats.org/officeDocument/2006/relationships/hyperlink" Target="https://www.freddiemac.com/research/insight/20210305-refinance-trends?utm_source=chatgpt.com" TargetMode="External"/><Relationship Id="rId26" Type="http://schemas.openxmlformats.org/officeDocument/2006/relationships/hyperlink" Target="https://www.sec.gov/Archives/edgar/data/1835856/000162828026017747/aurcu-20251231.htm?utm_source=chatgpt.com" TargetMode="External"/><Relationship Id="rId3" Type="http://schemas.openxmlformats.org/officeDocument/2006/relationships/styles" Target="styles.xml"/><Relationship Id="rId21" Type="http://schemas.openxmlformats.org/officeDocument/2006/relationships/hyperlink" Target="https://www.consumerfinance.gov/owning-a-home/close/?utm_source=chatgpt.com" TargetMode="External"/><Relationship Id="rId7" Type="http://schemas.openxmlformats.org/officeDocument/2006/relationships/endnotes" Target="endnotes.xml"/><Relationship Id="rId12" Type="http://schemas.openxmlformats.org/officeDocument/2006/relationships/hyperlink" Target="https://www.sec.gov/" TargetMode="External"/><Relationship Id="rId17" Type="http://schemas.openxmlformats.org/officeDocument/2006/relationships/hyperlink" Target="https://libertystreeteconomics.newyorkfed.org/2023/05/the-great-pandemic-mortgage-refinance-boom/?utm_source=chatgpt.com" TargetMode="External"/><Relationship Id="rId25" Type="http://schemas.openxmlformats.org/officeDocument/2006/relationships/hyperlink" Target="https://www.sec.gov/Archives/edgar/data/1835856/000162828025038583/betrearningsrelease_2025-q2.htm?utm_source=chatgpt.com" TargetMode="External"/><Relationship Id="rId2" Type="http://schemas.openxmlformats.org/officeDocument/2006/relationships/numbering" Target="numbering.xml"/><Relationship Id="rId16" Type="http://schemas.openxmlformats.org/officeDocument/2006/relationships/hyperlink" Target="https://elevenlabs.io/blog/better?utm_source=chatgpt.com" TargetMode="External"/><Relationship Id="rId20" Type="http://schemas.openxmlformats.org/officeDocument/2006/relationships/hyperlink" Target="https://www.consumerfinance.gov/ask-cfpb/what-documents-should-i-receive-before-closing-on-a-mortgage-loan-en-181/?utm_source=chatgpt.com"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usinesswire.com/" TargetMode="External"/><Relationship Id="rId24" Type="http://schemas.openxmlformats.org/officeDocument/2006/relationships/hyperlink" Target="https://www.mba.org/news-and-research/newsroom/news/2024/11/14/imb-production-profits-increase-in-third-quarter-of-2024?utm_source=chatgpt.com" TargetMode="External"/><Relationship Id="rId5" Type="http://schemas.openxmlformats.org/officeDocument/2006/relationships/webSettings" Target="webSettings.xml"/><Relationship Id="rId15" Type="http://schemas.openxmlformats.org/officeDocument/2006/relationships/hyperlink" Target="https://investors.better.com/news/news-details/2026/ElevenLabs-and-Better-com-Showcase-Success-of-AI-Loan-Agent-Betsy-at-Scale-in-Financial-Services-3c4e5a07d/default.aspx?utm_source=chatgpt.com" TargetMode="External"/><Relationship Id="rId23" Type="http://schemas.openxmlformats.org/officeDocument/2006/relationships/hyperlink" Target="https://sf.freddiemac.com/articles/insights/2024-cost-to-originate-study?utm_source=chatgpt.com" TargetMode="External"/><Relationship Id="rId28" Type="http://schemas.openxmlformats.org/officeDocument/2006/relationships/hyperlink" Target="https://www.housingwire.com/articles/better-launches-voice-based-ai-loan-assistant/?utm_source=chatgpt.com" TargetMode="External"/><Relationship Id="rId10" Type="http://schemas.openxmlformats.org/officeDocument/2006/relationships/hyperlink" Target="https://better.com/about-us?utm_source=chatgpt.com" TargetMode="External"/><Relationship Id="rId19" Type="http://schemas.openxmlformats.org/officeDocument/2006/relationships/hyperlink" Target="https://www.axios.com/2021/12/08/better-home-mortgage-delays-reverse-merger-layoffs?utm_source=chatgpt.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qualtrics.com" TargetMode="External"/><Relationship Id="rId14" Type="http://schemas.openxmlformats.org/officeDocument/2006/relationships/hyperlink" Target="https://investors.better.com/news/news-details/2025/Better-Home--Finance-Holding-Company-Announces-Second-Quarter-2025-Results/default.aspx?utm_source=chatgpt.com" TargetMode="External"/><Relationship Id="rId22" Type="http://schemas.openxmlformats.org/officeDocument/2006/relationships/hyperlink" Target="https://selling-guide.fanniemae.com/?utm_source=chatgpt.com" TargetMode="External"/><Relationship Id="rId27" Type="http://schemas.openxmlformats.org/officeDocument/2006/relationships/hyperlink" Target="https://www.businesswire.com/news/home/20260225955474/en/ElevenLabs-and-Better.com-Showcase-Success-of-AI-Loan-Agent-Betsy-at-Scale-in-Financial-Services?utm_source=chatgp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52</Pages>
  <Words>26341</Words>
  <Characters>150148</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Mukhammad Azim Khadyatullaev</cp:lastModifiedBy>
  <cp:revision>44</cp:revision>
  <dcterms:created xsi:type="dcterms:W3CDTF">2013-12-23T23:15:00Z</dcterms:created>
  <dcterms:modified xsi:type="dcterms:W3CDTF">2026-05-06T14:55:00Z</dcterms:modified>
  <cp:category/>
</cp:coreProperties>
</file>