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81721" w14:textId="395C1020" w:rsidR="00CC798D" w:rsidRPr="00B76053" w:rsidRDefault="00CC798D" w:rsidP="00CC798D">
      <w:pPr>
        <w:rPr>
          <w:rFonts w:cs="Times New Roman"/>
        </w:rPr>
      </w:pPr>
    </w:p>
    <w:p w14:paraId="1BE36BE0" w14:textId="7EAE3874" w:rsidR="00CC798D" w:rsidRPr="00B76053" w:rsidRDefault="00CC798D" w:rsidP="00CC798D">
      <w:pPr>
        <w:rPr>
          <w:rFonts w:cs="Times New Roman"/>
        </w:rPr>
      </w:pPr>
    </w:p>
    <w:p w14:paraId="7CB8B04D" w14:textId="5450650B" w:rsidR="00CC798D" w:rsidRPr="00B76053" w:rsidRDefault="00CC798D" w:rsidP="00CC798D">
      <w:pPr>
        <w:rPr>
          <w:rFonts w:cs="Times New Roman"/>
        </w:rPr>
      </w:pPr>
    </w:p>
    <w:p w14:paraId="2B414691" w14:textId="023CEDEA" w:rsidR="00CC798D" w:rsidRPr="00B76053" w:rsidRDefault="00CC798D" w:rsidP="00CC798D">
      <w:pPr>
        <w:rPr>
          <w:rFonts w:cs="Times New Roman"/>
        </w:rPr>
      </w:pPr>
    </w:p>
    <w:p w14:paraId="767FD730" w14:textId="216F3A96" w:rsidR="00CC798D" w:rsidRPr="00B76053" w:rsidRDefault="00CC798D" w:rsidP="00CC798D">
      <w:pPr>
        <w:rPr>
          <w:rFonts w:cs="Times New Roman"/>
        </w:rPr>
      </w:pPr>
    </w:p>
    <w:p w14:paraId="4327577F" w14:textId="57547628" w:rsidR="00CC798D" w:rsidRPr="00B76053" w:rsidRDefault="00CC798D" w:rsidP="00CC798D">
      <w:pPr>
        <w:rPr>
          <w:rFonts w:cs="Times New Roman"/>
        </w:rPr>
      </w:pPr>
    </w:p>
    <w:p w14:paraId="5E45C042" w14:textId="34ED9B1D" w:rsidR="00CC798D" w:rsidRPr="00B76053" w:rsidRDefault="00CC798D" w:rsidP="00CC798D">
      <w:pPr>
        <w:rPr>
          <w:rFonts w:cs="Times New Roman"/>
        </w:rPr>
      </w:pPr>
    </w:p>
    <w:p w14:paraId="1A647A09" w14:textId="77777777" w:rsidR="00CC798D" w:rsidRPr="00B76053" w:rsidRDefault="00CC798D" w:rsidP="00CC798D">
      <w:pPr>
        <w:rPr>
          <w:rFonts w:cs="Times New Roman"/>
        </w:rPr>
      </w:pPr>
    </w:p>
    <w:p w14:paraId="7D2F7E2B" w14:textId="0F6BDA56" w:rsidR="001F1AB3" w:rsidRPr="00B76053" w:rsidRDefault="001F1AB3" w:rsidP="001F1AB3">
      <w:pPr>
        <w:jc w:val="center"/>
        <w:rPr>
          <w:rFonts w:cs="Times New Roman"/>
          <w:sz w:val="64"/>
          <w:szCs w:val="64"/>
        </w:rPr>
      </w:pPr>
      <w:r w:rsidRPr="00B76053">
        <w:rPr>
          <w:rFonts w:cs="Times New Roman"/>
          <w:b/>
          <w:sz w:val="64"/>
          <w:szCs w:val="64"/>
        </w:rPr>
        <w:t>THESIS</w:t>
      </w:r>
      <w:r w:rsidR="008B3A19" w:rsidRPr="00B76053">
        <w:rPr>
          <w:rFonts w:cs="Times New Roman"/>
          <w:b/>
          <w:sz w:val="64"/>
          <w:szCs w:val="64"/>
        </w:rPr>
        <w:t xml:space="preserve"> WORK</w:t>
      </w:r>
    </w:p>
    <w:p w14:paraId="22082551" w14:textId="77777777" w:rsidR="001F1AB3" w:rsidRPr="00B76053" w:rsidRDefault="001F1AB3">
      <w:pPr>
        <w:jc w:val="center"/>
        <w:rPr>
          <w:rFonts w:cs="Times New Roman"/>
          <w:b/>
          <w:sz w:val="28"/>
        </w:rPr>
      </w:pPr>
    </w:p>
    <w:p w14:paraId="2D8C6B45" w14:textId="77777777" w:rsidR="001F1AB3" w:rsidRPr="00B76053" w:rsidRDefault="001F1AB3">
      <w:pPr>
        <w:jc w:val="center"/>
        <w:rPr>
          <w:rFonts w:cs="Times New Roman"/>
          <w:b/>
          <w:sz w:val="28"/>
        </w:rPr>
      </w:pPr>
    </w:p>
    <w:p w14:paraId="7EFBFD8B" w14:textId="77777777" w:rsidR="001F1AB3" w:rsidRPr="00B76053" w:rsidRDefault="001F1AB3">
      <w:pPr>
        <w:jc w:val="center"/>
        <w:rPr>
          <w:rFonts w:cs="Times New Roman"/>
          <w:b/>
          <w:sz w:val="28"/>
        </w:rPr>
      </w:pPr>
    </w:p>
    <w:p w14:paraId="65E0FEBA" w14:textId="03991A16" w:rsidR="00CC798D" w:rsidRPr="00B76053" w:rsidRDefault="00CC798D" w:rsidP="005846B7">
      <w:pPr>
        <w:rPr>
          <w:rFonts w:cs="Times New Roman"/>
          <w:b/>
          <w:sz w:val="28"/>
        </w:rPr>
      </w:pPr>
    </w:p>
    <w:p w14:paraId="238A82C7" w14:textId="13C7DC65" w:rsidR="00CC798D" w:rsidRPr="00B76053" w:rsidRDefault="00CC798D" w:rsidP="005846B7">
      <w:pPr>
        <w:rPr>
          <w:rFonts w:cs="Times New Roman"/>
          <w:b/>
          <w:sz w:val="28"/>
        </w:rPr>
      </w:pPr>
    </w:p>
    <w:p w14:paraId="755EC8D5" w14:textId="504B91C8" w:rsidR="00CC798D" w:rsidRPr="00B76053" w:rsidRDefault="00CC798D" w:rsidP="005846B7">
      <w:pPr>
        <w:rPr>
          <w:rFonts w:cs="Times New Roman"/>
          <w:b/>
          <w:sz w:val="28"/>
        </w:rPr>
      </w:pPr>
    </w:p>
    <w:p w14:paraId="31E16AB0" w14:textId="77777777" w:rsidR="00CC798D" w:rsidRPr="00B76053" w:rsidRDefault="00CC798D" w:rsidP="005846B7">
      <w:pPr>
        <w:rPr>
          <w:rFonts w:cs="Times New Roman"/>
          <w:b/>
          <w:sz w:val="28"/>
        </w:rPr>
      </w:pPr>
    </w:p>
    <w:p w14:paraId="798356E8" w14:textId="77777777" w:rsidR="001F1AB3" w:rsidRPr="00B76053" w:rsidRDefault="001F1AB3" w:rsidP="001F1AB3">
      <w:pPr>
        <w:spacing w:after="0"/>
        <w:jc w:val="right"/>
        <w:rPr>
          <w:rFonts w:cs="Times New Roman"/>
          <w:b/>
          <w:sz w:val="40"/>
          <w:szCs w:val="40"/>
        </w:rPr>
      </w:pPr>
      <w:r w:rsidRPr="00B76053">
        <w:rPr>
          <w:rFonts w:cs="Times New Roman"/>
          <w:b/>
          <w:sz w:val="40"/>
          <w:szCs w:val="40"/>
        </w:rPr>
        <w:t>Mukhammad Azim Khadyatullaev</w:t>
      </w:r>
    </w:p>
    <w:p w14:paraId="3EAA0794" w14:textId="77777777" w:rsidR="001F1AB3" w:rsidRPr="00B76053" w:rsidRDefault="001F1AB3" w:rsidP="001F1AB3">
      <w:pPr>
        <w:spacing w:after="0"/>
        <w:jc w:val="right"/>
        <w:rPr>
          <w:rFonts w:cs="Times New Roman"/>
          <w:b/>
          <w:sz w:val="40"/>
          <w:szCs w:val="40"/>
        </w:rPr>
      </w:pPr>
      <w:r w:rsidRPr="00B76053">
        <w:rPr>
          <w:rFonts w:cs="Times New Roman"/>
          <w:b/>
          <w:sz w:val="40"/>
          <w:szCs w:val="40"/>
        </w:rPr>
        <w:t>2026</w:t>
      </w:r>
    </w:p>
    <w:p w14:paraId="6E2A43CE" w14:textId="77777777" w:rsidR="00EF245C" w:rsidRPr="00B76053" w:rsidRDefault="00EF245C" w:rsidP="00EF245C">
      <w:pPr>
        <w:spacing w:after="0"/>
        <w:jc w:val="left"/>
        <w:rPr>
          <w:rFonts w:cs="Times New Roman"/>
          <w:sz w:val="32"/>
          <w:szCs w:val="32"/>
        </w:rPr>
      </w:pPr>
      <w:r w:rsidRPr="00B76053">
        <w:rPr>
          <w:rFonts w:cs="Times New Roman"/>
          <w:sz w:val="32"/>
          <w:szCs w:val="32"/>
        </w:rPr>
        <w:t>Corvinus University of Budapest</w:t>
      </w:r>
    </w:p>
    <w:p w14:paraId="1BF19801" w14:textId="0E7D0B61" w:rsidR="001F1AB3" w:rsidRPr="00B76053" w:rsidRDefault="00EF245C" w:rsidP="00EF245C">
      <w:pPr>
        <w:spacing w:after="0"/>
        <w:jc w:val="left"/>
        <w:rPr>
          <w:rFonts w:cs="Times New Roman"/>
          <w:b/>
          <w:sz w:val="32"/>
          <w:szCs w:val="32"/>
        </w:rPr>
      </w:pPr>
      <w:r w:rsidRPr="00B76053">
        <w:rPr>
          <w:rFonts w:cs="Times New Roman"/>
          <w:sz w:val="32"/>
          <w:szCs w:val="32"/>
        </w:rPr>
        <w:lastRenderedPageBreak/>
        <w:t>Institute of Data Analytics and Information Systems</w:t>
      </w:r>
    </w:p>
    <w:p w14:paraId="00C753C5" w14:textId="77777777" w:rsidR="001F1AB3" w:rsidRPr="00B76053" w:rsidRDefault="001F1AB3" w:rsidP="00506732">
      <w:pPr>
        <w:rPr>
          <w:rFonts w:cs="Times New Roman"/>
          <w:b/>
          <w:sz w:val="28"/>
        </w:rPr>
      </w:pPr>
    </w:p>
    <w:p w14:paraId="79E55480" w14:textId="77777777" w:rsidR="00B148B6" w:rsidRPr="00B76053" w:rsidRDefault="00B148B6">
      <w:pPr>
        <w:jc w:val="center"/>
        <w:rPr>
          <w:rFonts w:cs="Times New Roman"/>
          <w:b/>
          <w:sz w:val="28"/>
        </w:rPr>
      </w:pPr>
    </w:p>
    <w:p w14:paraId="6DE7AB95" w14:textId="77777777" w:rsidR="00B148B6" w:rsidRPr="00B76053" w:rsidRDefault="00B148B6">
      <w:pPr>
        <w:jc w:val="center"/>
        <w:rPr>
          <w:rFonts w:cs="Times New Roman"/>
          <w:b/>
          <w:sz w:val="28"/>
        </w:rPr>
      </w:pPr>
    </w:p>
    <w:p w14:paraId="6BAE6CE3" w14:textId="77777777" w:rsidR="005263DF" w:rsidRPr="00B76053" w:rsidRDefault="006A2132" w:rsidP="005263DF">
      <w:pPr>
        <w:jc w:val="center"/>
        <w:rPr>
          <w:rFonts w:cs="Times New Roman"/>
          <w:b/>
          <w:sz w:val="48"/>
          <w:szCs w:val="48"/>
        </w:rPr>
      </w:pPr>
      <w:r w:rsidRPr="00B76053">
        <w:rPr>
          <w:rFonts w:cs="Times New Roman"/>
          <w:b/>
          <w:sz w:val="48"/>
          <w:szCs w:val="48"/>
        </w:rPr>
        <w:t>Business Value of Voice LLM Agents</w:t>
      </w:r>
      <w:r w:rsidR="005263DF" w:rsidRPr="00B76053">
        <w:rPr>
          <w:rFonts w:cs="Times New Roman"/>
          <w:b/>
          <w:sz w:val="48"/>
          <w:szCs w:val="48"/>
        </w:rPr>
        <w:t xml:space="preserve"> </w:t>
      </w:r>
      <w:r w:rsidRPr="00B76053">
        <w:rPr>
          <w:rFonts w:cs="Times New Roman"/>
          <w:b/>
          <w:sz w:val="48"/>
          <w:szCs w:val="48"/>
        </w:rPr>
        <w:t>in Financial Services</w:t>
      </w:r>
      <w:r w:rsidR="00043DC8" w:rsidRPr="00B76053">
        <w:rPr>
          <w:rFonts w:cs="Times New Roman"/>
          <w:b/>
          <w:sz w:val="48"/>
          <w:szCs w:val="48"/>
        </w:rPr>
        <w:t>:</w:t>
      </w:r>
    </w:p>
    <w:p w14:paraId="1D9420C0" w14:textId="77777777" w:rsidR="00A222D3" w:rsidRPr="00B76053" w:rsidRDefault="006A2132" w:rsidP="005263DF">
      <w:pPr>
        <w:jc w:val="center"/>
        <w:rPr>
          <w:rFonts w:cs="Times New Roman"/>
          <w:b/>
          <w:sz w:val="48"/>
          <w:szCs w:val="48"/>
        </w:rPr>
      </w:pPr>
      <w:r w:rsidRPr="00B76053">
        <w:rPr>
          <w:rFonts w:cs="Times New Roman"/>
          <w:b/>
          <w:sz w:val="48"/>
          <w:szCs w:val="48"/>
        </w:rPr>
        <w:t>Evidence from Better.com</w:t>
      </w:r>
    </w:p>
    <w:p w14:paraId="56B928F6" w14:textId="77777777" w:rsidR="007F167A" w:rsidRPr="00B76053" w:rsidRDefault="007F167A">
      <w:pPr>
        <w:jc w:val="center"/>
        <w:rPr>
          <w:rFonts w:cs="Times New Roman"/>
        </w:rPr>
      </w:pPr>
    </w:p>
    <w:p w14:paraId="18653C96" w14:textId="77777777" w:rsidR="008C5F3F" w:rsidRPr="00B76053" w:rsidRDefault="008C5F3F">
      <w:pPr>
        <w:jc w:val="center"/>
        <w:rPr>
          <w:rFonts w:cs="Times New Roman"/>
        </w:rPr>
      </w:pPr>
    </w:p>
    <w:p w14:paraId="7ED20A73" w14:textId="77777777" w:rsidR="008C5F3F" w:rsidRPr="00B76053" w:rsidRDefault="008C5F3F">
      <w:pPr>
        <w:jc w:val="center"/>
        <w:rPr>
          <w:rFonts w:cs="Times New Roman"/>
        </w:rPr>
      </w:pPr>
    </w:p>
    <w:p w14:paraId="5AE7D450" w14:textId="77777777" w:rsidR="008C5F3F" w:rsidRPr="00B76053" w:rsidRDefault="008C5F3F">
      <w:pPr>
        <w:jc w:val="center"/>
        <w:rPr>
          <w:rFonts w:cs="Times New Roman"/>
        </w:rPr>
      </w:pPr>
    </w:p>
    <w:p w14:paraId="0AC8E8B1" w14:textId="77777777" w:rsidR="008C5F3F" w:rsidRPr="00B76053" w:rsidRDefault="008C5F3F">
      <w:pPr>
        <w:jc w:val="center"/>
        <w:rPr>
          <w:rFonts w:cs="Times New Roman"/>
        </w:rPr>
      </w:pPr>
    </w:p>
    <w:p w14:paraId="589389CB" w14:textId="77777777" w:rsidR="008C5F3F" w:rsidRPr="00B76053" w:rsidRDefault="008C5F3F">
      <w:pPr>
        <w:jc w:val="center"/>
        <w:rPr>
          <w:rFonts w:cs="Times New Roman"/>
        </w:rPr>
      </w:pPr>
    </w:p>
    <w:p w14:paraId="2F1A1321" w14:textId="77777777" w:rsidR="008C5F3F" w:rsidRPr="00B76053" w:rsidRDefault="008C5F3F">
      <w:pPr>
        <w:jc w:val="center"/>
        <w:rPr>
          <w:rFonts w:cs="Times New Roman"/>
        </w:rPr>
      </w:pPr>
    </w:p>
    <w:p w14:paraId="165C9F6C" w14:textId="77777777" w:rsidR="00A222D3" w:rsidRPr="00B76053" w:rsidRDefault="006A2132" w:rsidP="008C5F3F">
      <w:pPr>
        <w:spacing w:after="0"/>
        <w:jc w:val="right"/>
        <w:rPr>
          <w:rFonts w:cs="Times New Roman"/>
          <w:bCs/>
          <w:sz w:val="32"/>
          <w:szCs w:val="32"/>
        </w:rPr>
      </w:pPr>
      <w:r w:rsidRPr="00B76053">
        <w:rPr>
          <w:rFonts w:cs="Times New Roman"/>
          <w:bCs/>
          <w:sz w:val="32"/>
          <w:szCs w:val="32"/>
        </w:rPr>
        <w:t>Mukhammad Azim Khadyatullaev</w:t>
      </w:r>
    </w:p>
    <w:p w14:paraId="7A5CC22E" w14:textId="038927FA" w:rsidR="008C5F3F" w:rsidRPr="00B76053" w:rsidRDefault="005E13DB" w:rsidP="008C5F3F">
      <w:pPr>
        <w:spacing w:after="0"/>
        <w:jc w:val="right"/>
        <w:rPr>
          <w:rFonts w:cs="Times New Roman"/>
          <w:bCs/>
          <w:sz w:val="32"/>
          <w:szCs w:val="32"/>
        </w:rPr>
      </w:pPr>
      <w:r w:rsidRPr="00B76053">
        <w:rPr>
          <w:rFonts w:cs="Times New Roman"/>
          <w:bCs/>
          <w:sz w:val="32"/>
          <w:szCs w:val="32"/>
        </w:rPr>
        <w:t>Business Informatics MSc Programme</w:t>
      </w:r>
    </w:p>
    <w:p w14:paraId="539257A5" w14:textId="77777777" w:rsidR="008C5F3F" w:rsidRPr="00B76053" w:rsidRDefault="008C5F3F" w:rsidP="008C5F3F">
      <w:pPr>
        <w:spacing w:after="0"/>
        <w:jc w:val="right"/>
        <w:rPr>
          <w:rFonts w:cs="Times New Roman"/>
          <w:bCs/>
          <w:sz w:val="32"/>
          <w:szCs w:val="32"/>
        </w:rPr>
      </w:pPr>
      <w:r w:rsidRPr="00B76053">
        <w:rPr>
          <w:rFonts w:cs="Times New Roman"/>
          <w:bCs/>
          <w:sz w:val="32"/>
          <w:szCs w:val="32"/>
        </w:rPr>
        <w:t>2026</w:t>
      </w:r>
    </w:p>
    <w:p w14:paraId="30393560" w14:textId="3F12A312" w:rsidR="00A222D3" w:rsidRPr="00B76053" w:rsidRDefault="005E13DB" w:rsidP="008C5F3F">
      <w:pPr>
        <w:spacing w:after="0"/>
        <w:jc w:val="right"/>
        <w:rPr>
          <w:rFonts w:cs="Times New Roman"/>
          <w:bCs/>
          <w:sz w:val="28"/>
          <w:szCs w:val="28"/>
        </w:rPr>
      </w:pPr>
      <w:r w:rsidRPr="00B76053">
        <w:rPr>
          <w:rFonts w:cs="Times New Roman"/>
          <w:bCs/>
          <w:sz w:val="32"/>
          <w:szCs w:val="32"/>
        </w:rPr>
        <w:t xml:space="preserve">Thesis Supervisor: </w:t>
      </w:r>
      <w:r w:rsidR="006A2132" w:rsidRPr="00B76053">
        <w:rPr>
          <w:rFonts w:cs="Times New Roman"/>
          <w:bCs/>
          <w:sz w:val="32"/>
          <w:szCs w:val="32"/>
        </w:rPr>
        <w:t>Mike Nimrod</w:t>
      </w:r>
    </w:p>
    <w:p w14:paraId="4752377B" w14:textId="77777777" w:rsidR="009658E8" w:rsidRPr="00B76053" w:rsidRDefault="009658E8" w:rsidP="009658E8">
      <w:pPr>
        <w:rPr>
          <w:rFonts w:cs="Times New Roman"/>
          <w:b/>
          <w:bCs/>
          <w:sz w:val="32"/>
          <w:szCs w:val="32"/>
        </w:rPr>
      </w:pPr>
    </w:p>
    <w:p w14:paraId="1DC174F3" w14:textId="2168AA19" w:rsidR="00A222D3" w:rsidRPr="00B76053" w:rsidRDefault="006A2132" w:rsidP="009658E8">
      <w:pPr>
        <w:jc w:val="center"/>
        <w:rPr>
          <w:rFonts w:cs="Times New Roman"/>
          <w:b/>
          <w:bCs/>
          <w:sz w:val="32"/>
          <w:szCs w:val="32"/>
        </w:rPr>
      </w:pPr>
      <w:r w:rsidRPr="00B76053">
        <w:rPr>
          <w:rFonts w:cs="Times New Roman"/>
          <w:b/>
          <w:bCs/>
          <w:sz w:val="32"/>
          <w:szCs w:val="32"/>
        </w:rPr>
        <w:lastRenderedPageBreak/>
        <w:t>Abstract</w:t>
      </w:r>
    </w:p>
    <w:p w14:paraId="21B05649" w14:textId="77777777" w:rsidR="00A222D3" w:rsidRPr="00B76053" w:rsidRDefault="006A2132">
      <w:pPr>
        <w:spacing w:after="120"/>
        <w:rPr>
          <w:rFonts w:cs="Times New Roman"/>
        </w:rPr>
      </w:pPr>
      <w:r w:rsidRPr="00B76053">
        <w:rPr>
          <w:rFonts w:cs="Times New Roman"/>
        </w:rPr>
        <w:t>This thesis examines the business value of voice-based Large Language Model (LLM) agents in regulated financial services through a single, revelatory case study of Better.com's 2024 deployment of Betsy, a voice-AI loan assistant built with ElevenLabs voice infrastructure on Better's proprietary Tinman platform. The research addresses two gaps in the existing literature: a disciplinary gap, in which voice-AI evaluation remains concentrated in computer-science and human-computer-interaction venues rather than in management research; and an empirical gap, in which the business-value implications of voice LLM agents in regulated financial workflows remain under-documented despite rapid commercial adoption.</w:t>
      </w:r>
    </w:p>
    <w:p w14:paraId="04EAF75B" w14:textId="77777777" w:rsidR="00A222D3" w:rsidRPr="00B76053" w:rsidRDefault="006A2132">
      <w:pPr>
        <w:spacing w:after="120"/>
        <w:rPr>
          <w:rFonts w:cs="Times New Roman"/>
        </w:rPr>
      </w:pPr>
      <w:r w:rsidRPr="00B76053">
        <w:rPr>
          <w:rFonts w:cs="Times New Roman"/>
        </w:rPr>
        <w:t>The study adopts a convergent-parallel mixed-methods design. Audited annual financial statements (Better Home &amp; Finance Holding Company and Rocket Companies, fiscal years 2018–2025) anchor a descriptive operational-leverage analysis. An independent NLP pipeline applied to a cleaned corpus of 1,915 Trustpilot reviews (1,746 pre-Betsy; 169 post-Betsy) provides customer-discourse evidence through VADER sentiment, Welch's t-tests, BERTopic topic modelling, and Bonferroni-corrected keyword-prevalence analysis. Qualitative process tracing reconstructs the integration mechanism from SEC filings, vendor materials, and industry sources, classified under a four-tier source-reliability hierarchy.</w:t>
      </w:r>
    </w:p>
    <w:p w14:paraId="45200073" w14:textId="77777777" w:rsidR="00A222D3" w:rsidRPr="00B76053" w:rsidRDefault="006A2132">
      <w:pPr>
        <w:spacing w:after="120"/>
        <w:rPr>
          <w:rFonts w:cs="Times New Roman"/>
        </w:rPr>
      </w:pPr>
      <w:r w:rsidRPr="00B76053">
        <w:rPr>
          <w:rFonts w:cs="Times New Roman"/>
        </w:rPr>
        <w:t>The triangulated findings are consistent with AI-enabled operational leverage on the financial-operational dimension (expense ratio improving from 4.79 in 2023 to 2.01 in 2025; revenue per employee recovering from $0.094M to $0.124M; net losses narrowing from −$536.4M to −$165.9M), while customer-experience evidence is mixed: management-reported NPS rises from 39 to 64 over the same window, yet independent Trustpilot star ratings decline from 4.28 to 3.86 (p = 0.0019) and VADER sentiment declines from 0.64 to 0.52 (p = 0.0057). Explicit AI attribution in customer discourse remains near 1.15% pre-Betsy and 1.18% post-Betsy, consistent with voice AI operating as invisible infrastructure. The findings are descriptive and associative, not causal: the single-case design cannot isolate Betsy's specific contribution from concurrent macroeconomic recovery, post-IPO restructuring, and Tinman-platform maturation.</w:t>
      </w:r>
    </w:p>
    <w:p w14:paraId="77BE23ED" w14:textId="77777777" w:rsidR="00A222D3" w:rsidRPr="00B76053" w:rsidRDefault="006A2132">
      <w:pPr>
        <w:spacing w:after="120"/>
        <w:rPr>
          <w:rFonts w:cs="Times New Roman"/>
        </w:rPr>
      </w:pPr>
      <w:r w:rsidRPr="00B76053">
        <w:rPr>
          <w:rFonts w:cs="Times New Roman"/>
        </w:rPr>
        <w:t xml:space="preserve">The thesis contributes empirically by triangulating audited financial, independent customer-discourse, and qualitative integration-architecture evidence on a single regulated voice-AI </w:t>
      </w:r>
      <w:r w:rsidRPr="00B76053">
        <w:rPr>
          <w:rFonts w:cs="Times New Roman"/>
        </w:rPr>
        <w:lastRenderedPageBreak/>
        <w:t>deployment; methodologically by combining a four-tier source-reliability hierarchy with mixed-methods triangulation that accommodates divergent customer-experience signals; and practically by formalising a four-prerequisite design pattern — a process-aware operating platform, a coordination-layer agent scope, low-latency voice infrastructure, and an auditable human-AI escalation model — for voice LLM agents in regulated, communication-intensive financial workflows.</w:t>
      </w:r>
    </w:p>
    <w:p w14:paraId="0664217E" w14:textId="356935C5" w:rsidR="00F70D72" w:rsidRPr="00B76053" w:rsidRDefault="006A2132" w:rsidP="00F70D72">
      <w:pPr>
        <w:spacing w:after="120"/>
        <w:rPr>
          <w:rFonts w:cs="Times New Roman"/>
        </w:rPr>
      </w:pPr>
      <w:r w:rsidRPr="00B76053">
        <w:rPr>
          <w:rFonts w:cs="Times New Roman"/>
        </w:rPr>
        <w:t>Keywords: voice AI, Large Language Models, conversational agents, financial services, mortgage origination, business value, operational leverage, Better.com, Betsy, design pattern, mixed methods, NLP, BERTopic, case study.</w:t>
      </w:r>
    </w:p>
    <w:p w14:paraId="20408788" w14:textId="669C3263" w:rsidR="00F70D72" w:rsidRPr="00B76053" w:rsidRDefault="00F70D72" w:rsidP="00F70D72">
      <w:pPr>
        <w:spacing w:after="120"/>
        <w:rPr>
          <w:rFonts w:cs="Times New Roman"/>
        </w:rPr>
      </w:pPr>
    </w:p>
    <w:p w14:paraId="1145F2D5" w14:textId="43819A50" w:rsidR="00F70D72" w:rsidRPr="00B76053" w:rsidRDefault="00F70D72" w:rsidP="00F70D72">
      <w:pPr>
        <w:spacing w:after="120"/>
        <w:rPr>
          <w:rFonts w:cs="Times New Roman"/>
        </w:rPr>
      </w:pPr>
    </w:p>
    <w:p w14:paraId="5E09CD19" w14:textId="390E1059" w:rsidR="00F70D72" w:rsidRPr="00B76053" w:rsidRDefault="00F70D72" w:rsidP="00F70D72">
      <w:pPr>
        <w:spacing w:after="120"/>
        <w:rPr>
          <w:rFonts w:cs="Times New Roman"/>
        </w:rPr>
      </w:pPr>
    </w:p>
    <w:p w14:paraId="6B95FF1F" w14:textId="74692B77" w:rsidR="00F70D72" w:rsidRPr="00B76053" w:rsidRDefault="00F70D72" w:rsidP="00F70D72">
      <w:pPr>
        <w:spacing w:after="120"/>
        <w:rPr>
          <w:rFonts w:cs="Times New Roman"/>
        </w:rPr>
      </w:pPr>
    </w:p>
    <w:p w14:paraId="01B560F5" w14:textId="265539B3" w:rsidR="00F70D72" w:rsidRPr="00B76053" w:rsidRDefault="00F70D72" w:rsidP="00F70D72">
      <w:pPr>
        <w:spacing w:after="120"/>
        <w:rPr>
          <w:rFonts w:cs="Times New Roman"/>
        </w:rPr>
      </w:pPr>
    </w:p>
    <w:p w14:paraId="2E933F54" w14:textId="61F145F1" w:rsidR="00F70D72" w:rsidRPr="00B76053" w:rsidRDefault="00F70D72" w:rsidP="00F70D72">
      <w:pPr>
        <w:spacing w:after="120"/>
        <w:rPr>
          <w:rFonts w:cs="Times New Roman"/>
        </w:rPr>
      </w:pPr>
    </w:p>
    <w:p w14:paraId="001512E2" w14:textId="438223E5" w:rsidR="00F70D72" w:rsidRPr="00B76053" w:rsidRDefault="00F70D72" w:rsidP="00F70D72">
      <w:pPr>
        <w:spacing w:after="120"/>
        <w:rPr>
          <w:rFonts w:cs="Times New Roman"/>
        </w:rPr>
      </w:pPr>
    </w:p>
    <w:p w14:paraId="72A7E015" w14:textId="2D4C6F94" w:rsidR="00F70D72" w:rsidRPr="00B76053" w:rsidRDefault="00F70D72" w:rsidP="00F70D72">
      <w:pPr>
        <w:spacing w:after="120"/>
        <w:rPr>
          <w:rFonts w:cs="Times New Roman"/>
        </w:rPr>
      </w:pPr>
    </w:p>
    <w:p w14:paraId="6861549C" w14:textId="78F7C853" w:rsidR="00F70D72" w:rsidRPr="00B76053" w:rsidRDefault="00F70D72" w:rsidP="00F70D72">
      <w:pPr>
        <w:spacing w:after="120"/>
        <w:rPr>
          <w:rFonts w:cs="Times New Roman"/>
        </w:rPr>
      </w:pPr>
    </w:p>
    <w:p w14:paraId="54CD0852" w14:textId="58C5087B" w:rsidR="00F70D72" w:rsidRPr="00B76053" w:rsidRDefault="00F70D72" w:rsidP="00F70D72">
      <w:pPr>
        <w:spacing w:after="120"/>
        <w:rPr>
          <w:rFonts w:cs="Times New Roman"/>
        </w:rPr>
      </w:pPr>
    </w:p>
    <w:p w14:paraId="19E33698" w14:textId="3CB22BE0" w:rsidR="00F70D72" w:rsidRPr="00B76053" w:rsidRDefault="00F70D72" w:rsidP="00F70D72">
      <w:pPr>
        <w:spacing w:after="120"/>
        <w:rPr>
          <w:rFonts w:cs="Times New Roman"/>
        </w:rPr>
      </w:pPr>
    </w:p>
    <w:p w14:paraId="1A4A153B" w14:textId="271D3EA5" w:rsidR="00F70D72" w:rsidRPr="00B76053" w:rsidRDefault="00F70D72" w:rsidP="00F70D72">
      <w:pPr>
        <w:spacing w:after="120"/>
        <w:rPr>
          <w:rFonts w:cs="Times New Roman"/>
        </w:rPr>
      </w:pPr>
    </w:p>
    <w:p w14:paraId="27F8FAFD" w14:textId="15C1747C" w:rsidR="00F70D72" w:rsidRPr="00B76053" w:rsidRDefault="00F70D72" w:rsidP="00F70D72">
      <w:pPr>
        <w:spacing w:after="120"/>
        <w:rPr>
          <w:rFonts w:cs="Times New Roman"/>
        </w:rPr>
      </w:pPr>
    </w:p>
    <w:p w14:paraId="399E71D8" w14:textId="0E82392C" w:rsidR="00F70D72" w:rsidRPr="00B76053" w:rsidRDefault="00F70D72" w:rsidP="00F70D72">
      <w:pPr>
        <w:spacing w:after="120"/>
        <w:rPr>
          <w:rFonts w:cs="Times New Roman"/>
        </w:rPr>
      </w:pPr>
    </w:p>
    <w:p w14:paraId="34D80E53" w14:textId="77777777" w:rsidR="00F70D72" w:rsidRPr="00B76053" w:rsidRDefault="00F70D72" w:rsidP="00F70D72">
      <w:pPr>
        <w:spacing w:after="120"/>
        <w:rPr>
          <w:rFonts w:cs="Times New Roman"/>
        </w:rPr>
      </w:pPr>
    </w:p>
    <w:sdt>
      <w:sdtPr>
        <w:rPr>
          <w:rFonts w:cs="Times New Roman"/>
        </w:rPr>
        <w:id w:val="-245416176"/>
        <w:docPartObj>
          <w:docPartGallery w:val="Table of Contents"/>
          <w:docPartUnique/>
        </w:docPartObj>
      </w:sdtPr>
      <w:sdtEndPr>
        <w:rPr>
          <w:rFonts w:eastAsiaTheme="minorEastAsia"/>
          <w:noProof/>
          <w:sz w:val="24"/>
          <w:szCs w:val="22"/>
        </w:rPr>
      </w:sdtEndPr>
      <w:sdtContent>
        <w:p w14:paraId="1926D7AE" w14:textId="5188C115" w:rsidR="00F70D72" w:rsidRPr="00B76053" w:rsidRDefault="00F70D72" w:rsidP="00FE6BDF">
          <w:pPr>
            <w:pStyle w:val="TOCHeading"/>
            <w:jc w:val="center"/>
            <w:rPr>
              <w:rFonts w:cs="Times New Roman"/>
            </w:rPr>
          </w:pPr>
          <w:r w:rsidRPr="00B76053">
            <w:rPr>
              <w:rFonts w:cs="Times New Roman"/>
            </w:rPr>
            <w:t>Table of Contents</w:t>
          </w:r>
        </w:p>
        <w:p w14:paraId="39B71E52" w14:textId="4D4714D0" w:rsidR="009D0591" w:rsidRDefault="00F70D72">
          <w:pPr>
            <w:pStyle w:val="TOC1"/>
            <w:tabs>
              <w:tab w:val="right" w:leader="dot" w:pos="9350"/>
            </w:tabs>
            <w:rPr>
              <w:rFonts w:asciiTheme="minorHAnsi" w:hAnsiTheme="minorHAnsi"/>
              <w:noProof/>
              <w:color w:val="auto"/>
              <w:sz w:val="22"/>
              <w:lang w:val="ru-RU" w:eastAsia="ru-RU"/>
            </w:rPr>
          </w:pPr>
          <w:r w:rsidRPr="00B76053">
            <w:rPr>
              <w:rFonts w:cs="Times New Roman"/>
            </w:rPr>
            <w:fldChar w:fldCharType="begin"/>
          </w:r>
          <w:r w:rsidRPr="00B76053">
            <w:rPr>
              <w:rFonts w:cs="Times New Roman"/>
            </w:rPr>
            <w:instrText xml:space="preserve"> TOC \o "1-3" \h \z \u </w:instrText>
          </w:r>
          <w:r w:rsidRPr="00B76053">
            <w:rPr>
              <w:rFonts w:cs="Times New Roman"/>
            </w:rPr>
            <w:fldChar w:fldCharType="separate"/>
          </w:r>
          <w:hyperlink w:anchor="_Toc229599010" w:history="1">
            <w:r w:rsidR="009D0591" w:rsidRPr="00D351EB">
              <w:rPr>
                <w:rStyle w:val="Hyperlink"/>
                <w:rFonts w:cs="Times New Roman"/>
                <w:noProof/>
              </w:rPr>
              <w:t>1. Introduction</w:t>
            </w:r>
            <w:r w:rsidR="009D0591">
              <w:rPr>
                <w:noProof/>
                <w:webHidden/>
              </w:rPr>
              <w:tab/>
            </w:r>
            <w:r w:rsidR="009D0591">
              <w:rPr>
                <w:noProof/>
                <w:webHidden/>
              </w:rPr>
              <w:fldChar w:fldCharType="begin"/>
            </w:r>
            <w:r w:rsidR="009D0591">
              <w:rPr>
                <w:noProof/>
                <w:webHidden/>
              </w:rPr>
              <w:instrText xml:space="preserve"> PAGEREF _Toc229599010 \h </w:instrText>
            </w:r>
            <w:r w:rsidR="009D0591">
              <w:rPr>
                <w:noProof/>
                <w:webHidden/>
              </w:rPr>
            </w:r>
            <w:r w:rsidR="009D0591">
              <w:rPr>
                <w:noProof/>
                <w:webHidden/>
              </w:rPr>
              <w:fldChar w:fldCharType="separate"/>
            </w:r>
            <w:r w:rsidR="009D0591">
              <w:rPr>
                <w:noProof/>
                <w:webHidden/>
              </w:rPr>
              <w:t>11</w:t>
            </w:r>
            <w:r w:rsidR="009D0591">
              <w:rPr>
                <w:noProof/>
                <w:webHidden/>
              </w:rPr>
              <w:fldChar w:fldCharType="end"/>
            </w:r>
          </w:hyperlink>
        </w:p>
        <w:p w14:paraId="4112F58C" w14:textId="6EF122F0" w:rsidR="009D0591" w:rsidRDefault="009D0591">
          <w:pPr>
            <w:pStyle w:val="TOC2"/>
            <w:tabs>
              <w:tab w:val="right" w:leader="dot" w:pos="9350"/>
            </w:tabs>
            <w:rPr>
              <w:rFonts w:asciiTheme="minorHAnsi" w:hAnsiTheme="minorHAnsi"/>
              <w:noProof/>
              <w:color w:val="auto"/>
              <w:sz w:val="22"/>
              <w:lang w:val="ru-RU" w:eastAsia="ru-RU"/>
            </w:rPr>
          </w:pPr>
          <w:hyperlink w:anchor="_Toc229599011" w:history="1">
            <w:r w:rsidRPr="00D351EB">
              <w:rPr>
                <w:rStyle w:val="Hyperlink"/>
                <w:rFonts w:cs="Times New Roman"/>
                <w:noProof/>
              </w:rPr>
              <w:t>1.1 From Automation to Intelligent Customer Engagement</w:t>
            </w:r>
            <w:r>
              <w:rPr>
                <w:noProof/>
                <w:webHidden/>
              </w:rPr>
              <w:tab/>
            </w:r>
            <w:r>
              <w:rPr>
                <w:noProof/>
                <w:webHidden/>
              </w:rPr>
              <w:fldChar w:fldCharType="begin"/>
            </w:r>
            <w:r>
              <w:rPr>
                <w:noProof/>
                <w:webHidden/>
              </w:rPr>
              <w:instrText xml:space="preserve"> PAGEREF _Toc229599011 \h </w:instrText>
            </w:r>
            <w:r>
              <w:rPr>
                <w:noProof/>
                <w:webHidden/>
              </w:rPr>
            </w:r>
            <w:r>
              <w:rPr>
                <w:noProof/>
                <w:webHidden/>
              </w:rPr>
              <w:fldChar w:fldCharType="separate"/>
            </w:r>
            <w:r>
              <w:rPr>
                <w:noProof/>
                <w:webHidden/>
              </w:rPr>
              <w:t>11</w:t>
            </w:r>
            <w:r>
              <w:rPr>
                <w:noProof/>
                <w:webHidden/>
              </w:rPr>
              <w:fldChar w:fldCharType="end"/>
            </w:r>
          </w:hyperlink>
        </w:p>
        <w:p w14:paraId="0F62D9D3" w14:textId="6BC2BDBA" w:rsidR="009D0591" w:rsidRDefault="009D0591">
          <w:pPr>
            <w:pStyle w:val="TOC2"/>
            <w:tabs>
              <w:tab w:val="right" w:leader="dot" w:pos="9350"/>
            </w:tabs>
            <w:rPr>
              <w:rFonts w:asciiTheme="minorHAnsi" w:hAnsiTheme="minorHAnsi"/>
              <w:noProof/>
              <w:color w:val="auto"/>
              <w:sz w:val="22"/>
              <w:lang w:val="ru-RU" w:eastAsia="ru-RU"/>
            </w:rPr>
          </w:pPr>
          <w:hyperlink w:anchor="_Toc229599012" w:history="1">
            <w:r w:rsidRPr="00D351EB">
              <w:rPr>
                <w:rStyle w:val="Hyperlink"/>
                <w:rFonts w:cs="Times New Roman"/>
                <w:noProof/>
              </w:rPr>
              <w:t>1.2 The Financial Services Context</w:t>
            </w:r>
            <w:r>
              <w:rPr>
                <w:noProof/>
                <w:webHidden/>
              </w:rPr>
              <w:tab/>
            </w:r>
            <w:r>
              <w:rPr>
                <w:noProof/>
                <w:webHidden/>
              </w:rPr>
              <w:fldChar w:fldCharType="begin"/>
            </w:r>
            <w:r>
              <w:rPr>
                <w:noProof/>
                <w:webHidden/>
              </w:rPr>
              <w:instrText xml:space="preserve"> PAGEREF _Toc229599012 \h </w:instrText>
            </w:r>
            <w:r>
              <w:rPr>
                <w:noProof/>
                <w:webHidden/>
              </w:rPr>
            </w:r>
            <w:r>
              <w:rPr>
                <w:noProof/>
                <w:webHidden/>
              </w:rPr>
              <w:fldChar w:fldCharType="separate"/>
            </w:r>
            <w:r>
              <w:rPr>
                <w:noProof/>
                <w:webHidden/>
              </w:rPr>
              <w:t>11</w:t>
            </w:r>
            <w:r>
              <w:rPr>
                <w:noProof/>
                <w:webHidden/>
              </w:rPr>
              <w:fldChar w:fldCharType="end"/>
            </w:r>
          </w:hyperlink>
        </w:p>
        <w:p w14:paraId="5E4B1E96" w14:textId="49765F7D" w:rsidR="009D0591" w:rsidRDefault="009D0591">
          <w:pPr>
            <w:pStyle w:val="TOC2"/>
            <w:tabs>
              <w:tab w:val="right" w:leader="dot" w:pos="9350"/>
            </w:tabs>
            <w:rPr>
              <w:rFonts w:asciiTheme="minorHAnsi" w:hAnsiTheme="minorHAnsi"/>
              <w:noProof/>
              <w:color w:val="auto"/>
              <w:sz w:val="22"/>
              <w:lang w:val="ru-RU" w:eastAsia="ru-RU"/>
            </w:rPr>
          </w:pPr>
          <w:hyperlink w:anchor="_Toc229599013" w:history="1">
            <w:r w:rsidRPr="00D351EB">
              <w:rPr>
                <w:rStyle w:val="Hyperlink"/>
                <w:rFonts w:cs="Times New Roman"/>
                <w:noProof/>
              </w:rPr>
              <w:t>1.3 The Emergence of Voice AI and LLM Agents</w:t>
            </w:r>
            <w:r>
              <w:rPr>
                <w:noProof/>
                <w:webHidden/>
              </w:rPr>
              <w:tab/>
            </w:r>
            <w:r>
              <w:rPr>
                <w:noProof/>
                <w:webHidden/>
              </w:rPr>
              <w:fldChar w:fldCharType="begin"/>
            </w:r>
            <w:r>
              <w:rPr>
                <w:noProof/>
                <w:webHidden/>
              </w:rPr>
              <w:instrText xml:space="preserve"> PAGEREF _Toc229599013 \h </w:instrText>
            </w:r>
            <w:r>
              <w:rPr>
                <w:noProof/>
                <w:webHidden/>
              </w:rPr>
            </w:r>
            <w:r>
              <w:rPr>
                <w:noProof/>
                <w:webHidden/>
              </w:rPr>
              <w:fldChar w:fldCharType="separate"/>
            </w:r>
            <w:r>
              <w:rPr>
                <w:noProof/>
                <w:webHidden/>
              </w:rPr>
              <w:t>12</w:t>
            </w:r>
            <w:r>
              <w:rPr>
                <w:noProof/>
                <w:webHidden/>
              </w:rPr>
              <w:fldChar w:fldCharType="end"/>
            </w:r>
          </w:hyperlink>
        </w:p>
        <w:p w14:paraId="02E13D68" w14:textId="5E966D06" w:rsidR="009D0591" w:rsidRDefault="009D0591">
          <w:pPr>
            <w:pStyle w:val="TOC2"/>
            <w:tabs>
              <w:tab w:val="right" w:leader="dot" w:pos="9350"/>
            </w:tabs>
            <w:rPr>
              <w:rFonts w:asciiTheme="minorHAnsi" w:hAnsiTheme="minorHAnsi"/>
              <w:noProof/>
              <w:color w:val="auto"/>
              <w:sz w:val="22"/>
              <w:lang w:val="ru-RU" w:eastAsia="ru-RU"/>
            </w:rPr>
          </w:pPr>
          <w:hyperlink w:anchor="_Toc229599014" w:history="1">
            <w:r w:rsidRPr="00D351EB">
              <w:rPr>
                <w:rStyle w:val="Hyperlink"/>
                <w:rFonts w:cs="Times New Roman"/>
                <w:noProof/>
              </w:rPr>
              <w:t>1.4 The Research Gap</w:t>
            </w:r>
            <w:r>
              <w:rPr>
                <w:noProof/>
                <w:webHidden/>
              </w:rPr>
              <w:tab/>
            </w:r>
            <w:r>
              <w:rPr>
                <w:noProof/>
                <w:webHidden/>
              </w:rPr>
              <w:fldChar w:fldCharType="begin"/>
            </w:r>
            <w:r>
              <w:rPr>
                <w:noProof/>
                <w:webHidden/>
              </w:rPr>
              <w:instrText xml:space="preserve"> PAGEREF _Toc229599014 \h </w:instrText>
            </w:r>
            <w:r>
              <w:rPr>
                <w:noProof/>
                <w:webHidden/>
              </w:rPr>
            </w:r>
            <w:r>
              <w:rPr>
                <w:noProof/>
                <w:webHidden/>
              </w:rPr>
              <w:fldChar w:fldCharType="separate"/>
            </w:r>
            <w:r>
              <w:rPr>
                <w:noProof/>
                <w:webHidden/>
              </w:rPr>
              <w:t>13</w:t>
            </w:r>
            <w:r>
              <w:rPr>
                <w:noProof/>
                <w:webHidden/>
              </w:rPr>
              <w:fldChar w:fldCharType="end"/>
            </w:r>
          </w:hyperlink>
        </w:p>
        <w:p w14:paraId="15FD7B40" w14:textId="1265C1B7" w:rsidR="009D0591" w:rsidRDefault="009D0591">
          <w:pPr>
            <w:pStyle w:val="TOC2"/>
            <w:tabs>
              <w:tab w:val="right" w:leader="dot" w:pos="9350"/>
            </w:tabs>
            <w:rPr>
              <w:rFonts w:asciiTheme="minorHAnsi" w:hAnsiTheme="minorHAnsi"/>
              <w:noProof/>
              <w:color w:val="auto"/>
              <w:sz w:val="22"/>
              <w:lang w:val="ru-RU" w:eastAsia="ru-RU"/>
            </w:rPr>
          </w:pPr>
          <w:hyperlink w:anchor="_Toc229599015" w:history="1">
            <w:r w:rsidRPr="00D351EB">
              <w:rPr>
                <w:rStyle w:val="Hyperlink"/>
                <w:rFonts w:cs="Times New Roman"/>
                <w:noProof/>
              </w:rPr>
              <w:t>1.5 Research Aim and Questions</w:t>
            </w:r>
            <w:r>
              <w:rPr>
                <w:noProof/>
                <w:webHidden/>
              </w:rPr>
              <w:tab/>
            </w:r>
            <w:r>
              <w:rPr>
                <w:noProof/>
                <w:webHidden/>
              </w:rPr>
              <w:fldChar w:fldCharType="begin"/>
            </w:r>
            <w:r>
              <w:rPr>
                <w:noProof/>
                <w:webHidden/>
              </w:rPr>
              <w:instrText xml:space="preserve"> PAGEREF _Toc229599015 \h </w:instrText>
            </w:r>
            <w:r>
              <w:rPr>
                <w:noProof/>
                <w:webHidden/>
              </w:rPr>
            </w:r>
            <w:r>
              <w:rPr>
                <w:noProof/>
                <w:webHidden/>
              </w:rPr>
              <w:fldChar w:fldCharType="separate"/>
            </w:r>
            <w:r>
              <w:rPr>
                <w:noProof/>
                <w:webHidden/>
              </w:rPr>
              <w:t>14</w:t>
            </w:r>
            <w:r>
              <w:rPr>
                <w:noProof/>
                <w:webHidden/>
              </w:rPr>
              <w:fldChar w:fldCharType="end"/>
            </w:r>
          </w:hyperlink>
        </w:p>
        <w:p w14:paraId="386E1022" w14:textId="083C8D9A" w:rsidR="009D0591" w:rsidRDefault="009D0591">
          <w:pPr>
            <w:pStyle w:val="TOC2"/>
            <w:tabs>
              <w:tab w:val="right" w:leader="dot" w:pos="9350"/>
            </w:tabs>
            <w:rPr>
              <w:rFonts w:asciiTheme="minorHAnsi" w:hAnsiTheme="minorHAnsi"/>
              <w:noProof/>
              <w:color w:val="auto"/>
              <w:sz w:val="22"/>
              <w:lang w:val="ru-RU" w:eastAsia="ru-RU"/>
            </w:rPr>
          </w:pPr>
          <w:hyperlink w:anchor="_Toc229599016" w:history="1">
            <w:r w:rsidRPr="00D351EB">
              <w:rPr>
                <w:rStyle w:val="Hyperlink"/>
                <w:rFonts w:cs="Times New Roman"/>
                <w:noProof/>
              </w:rPr>
              <w:t>1.6 Research Contributions</w:t>
            </w:r>
            <w:r>
              <w:rPr>
                <w:noProof/>
                <w:webHidden/>
              </w:rPr>
              <w:tab/>
            </w:r>
            <w:r>
              <w:rPr>
                <w:noProof/>
                <w:webHidden/>
              </w:rPr>
              <w:fldChar w:fldCharType="begin"/>
            </w:r>
            <w:r>
              <w:rPr>
                <w:noProof/>
                <w:webHidden/>
              </w:rPr>
              <w:instrText xml:space="preserve"> PAGEREF _Toc229599016 \h </w:instrText>
            </w:r>
            <w:r>
              <w:rPr>
                <w:noProof/>
                <w:webHidden/>
              </w:rPr>
            </w:r>
            <w:r>
              <w:rPr>
                <w:noProof/>
                <w:webHidden/>
              </w:rPr>
              <w:fldChar w:fldCharType="separate"/>
            </w:r>
            <w:r>
              <w:rPr>
                <w:noProof/>
                <w:webHidden/>
              </w:rPr>
              <w:t>14</w:t>
            </w:r>
            <w:r>
              <w:rPr>
                <w:noProof/>
                <w:webHidden/>
              </w:rPr>
              <w:fldChar w:fldCharType="end"/>
            </w:r>
          </w:hyperlink>
        </w:p>
        <w:p w14:paraId="716DB693" w14:textId="1B464EFA" w:rsidR="009D0591" w:rsidRDefault="009D0591">
          <w:pPr>
            <w:pStyle w:val="TOC2"/>
            <w:tabs>
              <w:tab w:val="right" w:leader="dot" w:pos="9350"/>
            </w:tabs>
            <w:rPr>
              <w:rFonts w:asciiTheme="minorHAnsi" w:hAnsiTheme="minorHAnsi"/>
              <w:noProof/>
              <w:color w:val="auto"/>
              <w:sz w:val="22"/>
              <w:lang w:val="ru-RU" w:eastAsia="ru-RU"/>
            </w:rPr>
          </w:pPr>
          <w:hyperlink w:anchor="_Toc229599017" w:history="1">
            <w:r w:rsidRPr="00D351EB">
              <w:rPr>
                <w:rStyle w:val="Hyperlink"/>
                <w:rFonts w:cs="Times New Roman"/>
                <w:noProof/>
              </w:rPr>
              <w:t>1.7 Scope and Boundaries</w:t>
            </w:r>
            <w:r>
              <w:rPr>
                <w:noProof/>
                <w:webHidden/>
              </w:rPr>
              <w:tab/>
            </w:r>
            <w:r>
              <w:rPr>
                <w:noProof/>
                <w:webHidden/>
              </w:rPr>
              <w:fldChar w:fldCharType="begin"/>
            </w:r>
            <w:r>
              <w:rPr>
                <w:noProof/>
                <w:webHidden/>
              </w:rPr>
              <w:instrText xml:space="preserve"> PAGEREF _Toc229599017 \h </w:instrText>
            </w:r>
            <w:r>
              <w:rPr>
                <w:noProof/>
                <w:webHidden/>
              </w:rPr>
            </w:r>
            <w:r>
              <w:rPr>
                <w:noProof/>
                <w:webHidden/>
              </w:rPr>
              <w:fldChar w:fldCharType="separate"/>
            </w:r>
            <w:r>
              <w:rPr>
                <w:noProof/>
                <w:webHidden/>
              </w:rPr>
              <w:t>15</w:t>
            </w:r>
            <w:r>
              <w:rPr>
                <w:noProof/>
                <w:webHidden/>
              </w:rPr>
              <w:fldChar w:fldCharType="end"/>
            </w:r>
          </w:hyperlink>
        </w:p>
        <w:p w14:paraId="19021785" w14:textId="169DFBC6" w:rsidR="009D0591" w:rsidRDefault="009D0591">
          <w:pPr>
            <w:pStyle w:val="TOC2"/>
            <w:tabs>
              <w:tab w:val="right" w:leader="dot" w:pos="9350"/>
            </w:tabs>
            <w:rPr>
              <w:rFonts w:asciiTheme="minorHAnsi" w:hAnsiTheme="minorHAnsi"/>
              <w:noProof/>
              <w:color w:val="auto"/>
              <w:sz w:val="22"/>
              <w:lang w:val="ru-RU" w:eastAsia="ru-RU"/>
            </w:rPr>
          </w:pPr>
          <w:hyperlink w:anchor="_Toc229599018" w:history="1">
            <w:r w:rsidRPr="00D351EB">
              <w:rPr>
                <w:rStyle w:val="Hyperlink"/>
                <w:rFonts w:cs="Times New Roman"/>
                <w:noProof/>
              </w:rPr>
              <w:t>1.8 Structure of the Thesis</w:t>
            </w:r>
            <w:r>
              <w:rPr>
                <w:noProof/>
                <w:webHidden/>
              </w:rPr>
              <w:tab/>
            </w:r>
            <w:r>
              <w:rPr>
                <w:noProof/>
                <w:webHidden/>
              </w:rPr>
              <w:fldChar w:fldCharType="begin"/>
            </w:r>
            <w:r>
              <w:rPr>
                <w:noProof/>
                <w:webHidden/>
              </w:rPr>
              <w:instrText xml:space="preserve"> PAGEREF _Toc229599018 \h </w:instrText>
            </w:r>
            <w:r>
              <w:rPr>
                <w:noProof/>
                <w:webHidden/>
              </w:rPr>
            </w:r>
            <w:r>
              <w:rPr>
                <w:noProof/>
                <w:webHidden/>
              </w:rPr>
              <w:fldChar w:fldCharType="separate"/>
            </w:r>
            <w:r>
              <w:rPr>
                <w:noProof/>
                <w:webHidden/>
              </w:rPr>
              <w:t>15</w:t>
            </w:r>
            <w:r>
              <w:rPr>
                <w:noProof/>
                <w:webHidden/>
              </w:rPr>
              <w:fldChar w:fldCharType="end"/>
            </w:r>
          </w:hyperlink>
        </w:p>
        <w:p w14:paraId="004D155F" w14:textId="79A26F21" w:rsidR="009D0591" w:rsidRDefault="009D0591">
          <w:pPr>
            <w:pStyle w:val="TOC1"/>
            <w:tabs>
              <w:tab w:val="right" w:leader="dot" w:pos="9350"/>
            </w:tabs>
            <w:rPr>
              <w:rFonts w:asciiTheme="minorHAnsi" w:hAnsiTheme="minorHAnsi"/>
              <w:noProof/>
              <w:color w:val="auto"/>
              <w:sz w:val="22"/>
              <w:lang w:val="ru-RU" w:eastAsia="ru-RU"/>
            </w:rPr>
          </w:pPr>
          <w:hyperlink w:anchor="_Toc229599019" w:history="1">
            <w:r w:rsidRPr="00D351EB">
              <w:rPr>
                <w:rStyle w:val="Hyperlink"/>
                <w:rFonts w:cs="Times New Roman"/>
                <w:noProof/>
              </w:rPr>
              <w:t>2. Literature Review</w:t>
            </w:r>
            <w:r>
              <w:rPr>
                <w:noProof/>
                <w:webHidden/>
              </w:rPr>
              <w:tab/>
            </w:r>
            <w:r>
              <w:rPr>
                <w:noProof/>
                <w:webHidden/>
              </w:rPr>
              <w:fldChar w:fldCharType="begin"/>
            </w:r>
            <w:r>
              <w:rPr>
                <w:noProof/>
                <w:webHidden/>
              </w:rPr>
              <w:instrText xml:space="preserve"> PAGEREF _Toc229599019 \h </w:instrText>
            </w:r>
            <w:r>
              <w:rPr>
                <w:noProof/>
                <w:webHidden/>
              </w:rPr>
            </w:r>
            <w:r>
              <w:rPr>
                <w:noProof/>
                <w:webHidden/>
              </w:rPr>
              <w:fldChar w:fldCharType="separate"/>
            </w:r>
            <w:r>
              <w:rPr>
                <w:noProof/>
                <w:webHidden/>
              </w:rPr>
              <w:t>17</w:t>
            </w:r>
            <w:r>
              <w:rPr>
                <w:noProof/>
                <w:webHidden/>
              </w:rPr>
              <w:fldChar w:fldCharType="end"/>
            </w:r>
          </w:hyperlink>
        </w:p>
        <w:p w14:paraId="28399F00" w14:textId="01D70019" w:rsidR="009D0591" w:rsidRDefault="009D0591">
          <w:pPr>
            <w:pStyle w:val="TOC2"/>
            <w:tabs>
              <w:tab w:val="right" w:leader="dot" w:pos="9350"/>
            </w:tabs>
            <w:rPr>
              <w:rFonts w:asciiTheme="minorHAnsi" w:hAnsiTheme="minorHAnsi"/>
              <w:noProof/>
              <w:color w:val="auto"/>
              <w:sz w:val="22"/>
              <w:lang w:val="ru-RU" w:eastAsia="ru-RU"/>
            </w:rPr>
          </w:pPr>
          <w:hyperlink w:anchor="_Toc229599020" w:history="1">
            <w:r w:rsidRPr="00D351EB">
              <w:rPr>
                <w:rStyle w:val="Hyperlink"/>
                <w:rFonts w:cs="Times New Roman"/>
                <w:noProof/>
              </w:rPr>
              <w:t>2.1 Artificial Intelligence in Financial Services</w:t>
            </w:r>
            <w:r>
              <w:rPr>
                <w:noProof/>
                <w:webHidden/>
              </w:rPr>
              <w:tab/>
            </w:r>
            <w:r>
              <w:rPr>
                <w:noProof/>
                <w:webHidden/>
              </w:rPr>
              <w:fldChar w:fldCharType="begin"/>
            </w:r>
            <w:r>
              <w:rPr>
                <w:noProof/>
                <w:webHidden/>
              </w:rPr>
              <w:instrText xml:space="preserve"> PAGEREF _Toc229599020 \h </w:instrText>
            </w:r>
            <w:r>
              <w:rPr>
                <w:noProof/>
                <w:webHidden/>
              </w:rPr>
            </w:r>
            <w:r>
              <w:rPr>
                <w:noProof/>
                <w:webHidden/>
              </w:rPr>
              <w:fldChar w:fldCharType="separate"/>
            </w:r>
            <w:r>
              <w:rPr>
                <w:noProof/>
                <w:webHidden/>
              </w:rPr>
              <w:t>17</w:t>
            </w:r>
            <w:r>
              <w:rPr>
                <w:noProof/>
                <w:webHidden/>
              </w:rPr>
              <w:fldChar w:fldCharType="end"/>
            </w:r>
          </w:hyperlink>
        </w:p>
        <w:p w14:paraId="45959366" w14:textId="76BD0521" w:rsidR="009D0591" w:rsidRDefault="009D0591">
          <w:pPr>
            <w:pStyle w:val="TOC2"/>
            <w:tabs>
              <w:tab w:val="right" w:leader="dot" w:pos="9350"/>
            </w:tabs>
            <w:rPr>
              <w:rFonts w:asciiTheme="minorHAnsi" w:hAnsiTheme="minorHAnsi"/>
              <w:noProof/>
              <w:color w:val="auto"/>
              <w:sz w:val="22"/>
              <w:lang w:val="ru-RU" w:eastAsia="ru-RU"/>
            </w:rPr>
          </w:pPr>
          <w:hyperlink w:anchor="_Toc229599021" w:history="1">
            <w:r w:rsidRPr="00D351EB">
              <w:rPr>
                <w:rStyle w:val="Hyperlink"/>
                <w:rFonts w:cs="Times New Roman"/>
                <w:noProof/>
              </w:rPr>
              <w:t>2.2 Conversational AI in Customer Service</w:t>
            </w:r>
            <w:r>
              <w:rPr>
                <w:noProof/>
                <w:webHidden/>
              </w:rPr>
              <w:tab/>
            </w:r>
            <w:r>
              <w:rPr>
                <w:noProof/>
                <w:webHidden/>
              </w:rPr>
              <w:fldChar w:fldCharType="begin"/>
            </w:r>
            <w:r>
              <w:rPr>
                <w:noProof/>
                <w:webHidden/>
              </w:rPr>
              <w:instrText xml:space="preserve"> PAGEREF _Toc229599021 \h </w:instrText>
            </w:r>
            <w:r>
              <w:rPr>
                <w:noProof/>
                <w:webHidden/>
              </w:rPr>
            </w:r>
            <w:r>
              <w:rPr>
                <w:noProof/>
                <w:webHidden/>
              </w:rPr>
              <w:fldChar w:fldCharType="separate"/>
            </w:r>
            <w:r>
              <w:rPr>
                <w:noProof/>
                <w:webHidden/>
              </w:rPr>
              <w:t>19</w:t>
            </w:r>
            <w:r>
              <w:rPr>
                <w:noProof/>
                <w:webHidden/>
              </w:rPr>
              <w:fldChar w:fldCharType="end"/>
            </w:r>
          </w:hyperlink>
        </w:p>
        <w:p w14:paraId="16449476" w14:textId="784CED46" w:rsidR="009D0591" w:rsidRDefault="009D0591">
          <w:pPr>
            <w:pStyle w:val="TOC2"/>
            <w:tabs>
              <w:tab w:val="right" w:leader="dot" w:pos="9350"/>
            </w:tabs>
            <w:rPr>
              <w:rFonts w:asciiTheme="minorHAnsi" w:hAnsiTheme="minorHAnsi"/>
              <w:noProof/>
              <w:color w:val="auto"/>
              <w:sz w:val="22"/>
              <w:lang w:val="ru-RU" w:eastAsia="ru-RU"/>
            </w:rPr>
          </w:pPr>
          <w:hyperlink w:anchor="_Toc229599022" w:history="1">
            <w:r w:rsidRPr="00D351EB">
              <w:rPr>
                <w:rStyle w:val="Hyperlink"/>
                <w:rFonts w:cs="Times New Roman"/>
                <w:noProof/>
              </w:rPr>
              <w:t>2.3 Voice AI and LLM Agents</w:t>
            </w:r>
            <w:r>
              <w:rPr>
                <w:noProof/>
                <w:webHidden/>
              </w:rPr>
              <w:tab/>
            </w:r>
            <w:r>
              <w:rPr>
                <w:noProof/>
                <w:webHidden/>
              </w:rPr>
              <w:fldChar w:fldCharType="begin"/>
            </w:r>
            <w:r>
              <w:rPr>
                <w:noProof/>
                <w:webHidden/>
              </w:rPr>
              <w:instrText xml:space="preserve"> PAGEREF _Toc229599022 \h </w:instrText>
            </w:r>
            <w:r>
              <w:rPr>
                <w:noProof/>
                <w:webHidden/>
              </w:rPr>
            </w:r>
            <w:r>
              <w:rPr>
                <w:noProof/>
                <w:webHidden/>
              </w:rPr>
              <w:fldChar w:fldCharType="separate"/>
            </w:r>
            <w:r>
              <w:rPr>
                <w:noProof/>
                <w:webHidden/>
              </w:rPr>
              <w:t>23</w:t>
            </w:r>
            <w:r>
              <w:rPr>
                <w:noProof/>
                <w:webHidden/>
              </w:rPr>
              <w:fldChar w:fldCharType="end"/>
            </w:r>
          </w:hyperlink>
        </w:p>
        <w:p w14:paraId="600035A0" w14:textId="76A3B6D7" w:rsidR="009D0591" w:rsidRDefault="009D0591">
          <w:pPr>
            <w:pStyle w:val="TOC2"/>
            <w:tabs>
              <w:tab w:val="right" w:leader="dot" w:pos="9350"/>
            </w:tabs>
            <w:rPr>
              <w:rFonts w:asciiTheme="minorHAnsi" w:hAnsiTheme="minorHAnsi"/>
              <w:noProof/>
              <w:color w:val="auto"/>
              <w:sz w:val="22"/>
              <w:lang w:val="ru-RU" w:eastAsia="ru-RU"/>
            </w:rPr>
          </w:pPr>
          <w:hyperlink w:anchor="_Toc229599023" w:history="1">
            <w:r w:rsidRPr="00D351EB">
              <w:rPr>
                <w:rStyle w:val="Hyperlink"/>
                <w:rFonts w:cs="Times New Roman"/>
                <w:noProof/>
              </w:rPr>
              <w:t>2.4 Business Value of Artificial Intelligence in Customer Service</w:t>
            </w:r>
            <w:r>
              <w:rPr>
                <w:noProof/>
                <w:webHidden/>
              </w:rPr>
              <w:tab/>
            </w:r>
            <w:r>
              <w:rPr>
                <w:noProof/>
                <w:webHidden/>
              </w:rPr>
              <w:fldChar w:fldCharType="begin"/>
            </w:r>
            <w:r>
              <w:rPr>
                <w:noProof/>
                <w:webHidden/>
              </w:rPr>
              <w:instrText xml:space="preserve"> PAGEREF _Toc229599023 \h </w:instrText>
            </w:r>
            <w:r>
              <w:rPr>
                <w:noProof/>
                <w:webHidden/>
              </w:rPr>
            </w:r>
            <w:r>
              <w:rPr>
                <w:noProof/>
                <w:webHidden/>
              </w:rPr>
              <w:fldChar w:fldCharType="separate"/>
            </w:r>
            <w:r>
              <w:rPr>
                <w:noProof/>
                <w:webHidden/>
              </w:rPr>
              <w:t>27</w:t>
            </w:r>
            <w:r>
              <w:rPr>
                <w:noProof/>
                <w:webHidden/>
              </w:rPr>
              <w:fldChar w:fldCharType="end"/>
            </w:r>
          </w:hyperlink>
        </w:p>
        <w:p w14:paraId="03163543" w14:textId="10A6EAE4" w:rsidR="009D0591" w:rsidRDefault="009D0591">
          <w:pPr>
            <w:pStyle w:val="TOC3"/>
            <w:tabs>
              <w:tab w:val="right" w:leader="dot" w:pos="9350"/>
            </w:tabs>
            <w:rPr>
              <w:rFonts w:asciiTheme="minorHAnsi" w:hAnsiTheme="minorHAnsi"/>
              <w:noProof/>
              <w:color w:val="auto"/>
              <w:sz w:val="22"/>
              <w:lang w:val="ru-RU" w:eastAsia="ru-RU"/>
            </w:rPr>
          </w:pPr>
          <w:hyperlink w:anchor="_Toc229599024" w:history="1">
            <w:r w:rsidRPr="00D351EB">
              <w:rPr>
                <w:rStyle w:val="Hyperlink"/>
                <w:rFonts w:cs="Times New Roman"/>
                <w:noProof/>
              </w:rPr>
              <w:t>2.4.1 Operational, Customer-Experience, and Scalability Evidence</w:t>
            </w:r>
            <w:r>
              <w:rPr>
                <w:noProof/>
                <w:webHidden/>
              </w:rPr>
              <w:tab/>
            </w:r>
            <w:r>
              <w:rPr>
                <w:noProof/>
                <w:webHidden/>
              </w:rPr>
              <w:fldChar w:fldCharType="begin"/>
            </w:r>
            <w:r>
              <w:rPr>
                <w:noProof/>
                <w:webHidden/>
              </w:rPr>
              <w:instrText xml:space="preserve"> PAGEREF _Toc229599024 \h </w:instrText>
            </w:r>
            <w:r>
              <w:rPr>
                <w:noProof/>
                <w:webHidden/>
              </w:rPr>
            </w:r>
            <w:r>
              <w:rPr>
                <w:noProof/>
                <w:webHidden/>
              </w:rPr>
              <w:fldChar w:fldCharType="separate"/>
            </w:r>
            <w:r>
              <w:rPr>
                <w:noProof/>
                <w:webHidden/>
              </w:rPr>
              <w:t>27</w:t>
            </w:r>
            <w:r>
              <w:rPr>
                <w:noProof/>
                <w:webHidden/>
              </w:rPr>
              <w:fldChar w:fldCharType="end"/>
            </w:r>
          </w:hyperlink>
        </w:p>
        <w:p w14:paraId="060601AB" w14:textId="7C08E4F8" w:rsidR="009D0591" w:rsidRDefault="009D0591">
          <w:pPr>
            <w:pStyle w:val="TOC3"/>
            <w:tabs>
              <w:tab w:val="right" w:leader="dot" w:pos="9350"/>
            </w:tabs>
            <w:rPr>
              <w:rFonts w:asciiTheme="minorHAnsi" w:hAnsiTheme="minorHAnsi"/>
              <w:noProof/>
              <w:color w:val="auto"/>
              <w:sz w:val="22"/>
              <w:lang w:val="ru-RU" w:eastAsia="ru-RU"/>
            </w:rPr>
          </w:pPr>
          <w:hyperlink w:anchor="_Toc229599025" w:history="1">
            <w:r w:rsidRPr="00D351EB">
              <w:rPr>
                <w:rStyle w:val="Hyperlink"/>
                <w:rFonts w:cs="Times New Roman"/>
                <w:noProof/>
              </w:rPr>
              <w:t>2.4.2 Firm Value and Investor Perception</w:t>
            </w:r>
            <w:r>
              <w:rPr>
                <w:noProof/>
                <w:webHidden/>
              </w:rPr>
              <w:tab/>
            </w:r>
            <w:r>
              <w:rPr>
                <w:noProof/>
                <w:webHidden/>
              </w:rPr>
              <w:fldChar w:fldCharType="begin"/>
            </w:r>
            <w:r>
              <w:rPr>
                <w:noProof/>
                <w:webHidden/>
              </w:rPr>
              <w:instrText xml:space="preserve"> PAGEREF _Toc229599025 \h </w:instrText>
            </w:r>
            <w:r>
              <w:rPr>
                <w:noProof/>
                <w:webHidden/>
              </w:rPr>
            </w:r>
            <w:r>
              <w:rPr>
                <w:noProof/>
                <w:webHidden/>
              </w:rPr>
              <w:fldChar w:fldCharType="separate"/>
            </w:r>
            <w:r>
              <w:rPr>
                <w:noProof/>
                <w:webHidden/>
              </w:rPr>
              <w:t>29</w:t>
            </w:r>
            <w:r>
              <w:rPr>
                <w:noProof/>
                <w:webHidden/>
              </w:rPr>
              <w:fldChar w:fldCharType="end"/>
            </w:r>
          </w:hyperlink>
        </w:p>
        <w:p w14:paraId="2F7AA4B0" w14:textId="5E3045A5" w:rsidR="009D0591" w:rsidRDefault="009D0591">
          <w:pPr>
            <w:pStyle w:val="TOC2"/>
            <w:tabs>
              <w:tab w:val="right" w:leader="dot" w:pos="9350"/>
            </w:tabs>
            <w:rPr>
              <w:rFonts w:asciiTheme="minorHAnsi" w:hAnsiTheme="minorHAnsi"/>
              <w:noProof/>
              <w:color w:val="auto"/>
              <w:sz w:val="22"/>
              <w:lang w:val="ru-RU" w:eastAsia="ru-RU"/>
            </w:rPr>
          </w:pPr>
          <w:hyperlink w:anchor="_Toc229599026" w:history="1">
            <w:r w:rsidRPr="00D351EB">
              <w:rPr>
                <w:rStyle w:val="Hyperlink"/>
                <w:rFonts w:cs="Times New Roman"/>
                <w:noProof/>
              </w:rPr>
              <w:t>2.5 Consumer Behaviour and AI Interaction</w:t>
            </w:r>
            <w:r>
              <w:rPr>
                <w:noProof/>
                <w:webHidden/>
              </w:rPr>
              <w:tab/>
            </w:r>
            <w:r>
              <w:rPr>
                <w:noProof/>
                <w:webHidden/>
              </w:rPr>
              <w:fldChar w:fldCharType="begin"/>
            </w:r>
            <w:r>
              <w:rPr>
                <w:noProof/>
                <w:webHidden/>
              </w:rPr>
              <w:instrText xml:space="preserve"> PAGEREF _Toc229599026 \h </w:instrText>
            </w:r>
            <w:r>
              <w:rPr>
                <w:noProof/>
                <w:webHidden/>
              </w:rPr>
            </w:r>
            <w:r>
              <w:rPr>
                <w:noProof/>
                <w:webHidden/>
              </w:rPr>
              <w:fldChar w:fldCharType="separate"/>
            </w:r>
            <w:r>
              <w:rPr>
                <w:noProof/>
                <w:webHidden/>
              </w:rPr>
              <w:t>30</w:t>
            </w:r>
            <w:r>
              <w:rPr>
                <w:noProof/>
                <w:webHidden/>
              </w:rPr>
              <w:fldChar w:fldCharType="end"/>
            </w:r>
          </w:hyperlink>
        </w:p>
        <w:p w14:paraId="0F0CBAD0" w14:textId="1D0A848E" w:rsidR="009D0591" w:rsidRDefault="009D0591">
          <w:pPr>
            <w:pStyle w:val="TOC2"/>
            <w:tabs>
              <w:tab w:val="right" w:leader="dot" w:pos="9350"/>
            </w:tabs>
            <w:rPr>
              <w:rFonts w:asciiTheme="minorHAnsi" w:hAnsiTheme="minorHAnsi"/>
              <w:noProof/>
              <w:color w:val="auto"/>
              <w:sz w:val="22"/>
              <w:lang w:val="ru-RU" w:eastAsia="ru-RU"/>
            </w:rPr>
          </w:pPr>
          <w:hyperlink w:anchor="_Toc229599027" w:history="1">
            <w:r w:rsidRPr="00D351EB">
              <w:rPr>
                <w:rStyle w:val="Hyperlink"/>
                <w:rFonts w:cs="Times New Roman"/>
                <w:noProof/>
              </w:rPr>
              <w:t>2.6 Conceptual Framework: Three Complementary Lenses</w:t>
            </w:r>
            <w:r>
              <w:rPr>
                <w:noProof/>
                <w:webHidden/>
              </w:rPr>
              <w:tab/>
            </w:r>
            <w:r>
              <w:rPr>
                <w:noProof/>
                <w:webHidden/>
              </w:rPr>
              <w:fldChar w:fldCharType="begin"/>
            </w:r>
            <w:r>
              <w:rPr>
                <w:noProof/>
                <w:webHidden/>
              </w:rPr>
              <w:instrText xml:space="preserve"> PAGEREF _Toc229599027 \h </w:instrText>
            </w:r>
            <w:r>
              <w:rPr>
                <w:noProof/>
                <w:webHidden/>
              </w:rPr>
            </w:r>
            <w:r>
              <w:rPr>
                <w:noProof/>
                <w:webHidden/>
              </w:rPr>
              <w:fldChar w:fldCharType="separate"/>
            </w:r>
            <w:r>
              <w:rPr>
                <w:noProof/>
                <w:webHidden/>
              </w:rPr>
              <w:t>31</w:t>
            </w:r>
            <w:r>
              <w:rPr>
                <w:noProof/>
                <w:webHidden/>
              </w:rPr>
              <w:fldChar w:fldCharType="end"/>
            </w:r>
          </w:hyperlink>
        </w:p>
        <w:p w14:paraId="766781B5" w14:textId="5B07C65D" w:rsidR="009D0591" w:rsidRDefault="009D0591">
          <w:pPr>
            <w:pStyle w:val="TOC1"/>
            <w:tabs>
              <w:tab w:val="right" w:leader="dot" w:pos="9350"/>
            </w:tabs>
            <w:rPr>
              <w:rFonts w:asciiTheme="minorHAnsi" w:hAnsiTheme="minorHAnsi"/>
              <w:noProof/>
              <w:color w:val="auto"/>
              <w:sz w:val="22"/>
              <w:lang w:val="ru-RU" w:eastAsia="ru-RU"/>
            </w:rPr>
          </w:pPr>
          <w:hyperlink w:anchor="_Toc229599028" w:history="1">
            <w:r w:rsidRPr="00D351EB">
              <w:rPr>
                <w:rStyle w:val="Hyperlink"/>
                <w:rFonts w:cs="Times New Roman"/>
                <w:noProof/>
              </w:rPr>
              <w:t>3. Research Methodology</w:t>
            </w:r>
            <w:r>
              <w:rPr>
                <w:noProof/>
                <w:webHidden/>
              </w:rPr>
              <w:tab/>
            </w:r>
            <w:r>
              <w:rPr>
                <w:noProof/>
                <w:webHidden/>
              </w:rPr>
              <w:fldChar w:fldCharType="begin"/>
            </w:r>
            <w:r>
              <w:rPr>
                <w:noProof/>
                <w:webHidden/>
              </w:rPr>
              <w:instrText xml:space="preserve"> PAGEREF _Toc229599028 \h </w:instrText>
            </w:r>
            <w:r>
              <w:rPr>
                <w:noProof/>
                <w:webHidden/>
              </w:rPr>
            </w:r>
            <w:r>
              <w:rPr>
                <w:noProof/>
                <w:webHidden/>
              </w:rPr>
              <w:fldChar w:fldCharType="separate"/>
            </w:r>
            <w:r>
              <w:rPr>
                <w:noProof/>
                <w:webHidden/>
              </w:rPr>
              <w:t>34</w:t>
            </w:r>
            <w:r>
              <w:rPr>
                <w:noProof/>
                <w:webHidden/>
              </w:rPr>
              <w:fldChar w:fldCharType="end"/>
            </w:r>
          </w:hyperlink>
        </w:p>
        <w:p w14:paraId="7BE7F187" w14:textId="52B680E2" w:rsidR="009D0591" w:rsidRDefault="009D0591">
          <w:pPr>
            <w:pStyle w:val="TOC2"/>
            <w:tabs>
              <w:tab w:val="right" w:leader="dot" w:pos="9350"/>
            </w:tabs>
            <w:rPr>
              <w:rFonts w:asciiTheme="minorHAnsi" w:hAnsiTheme="minorHAnsi"/>
              <w:noProof/>
              <w:color w:val="auto"/>
              <w:sz w:val="22"/>
              <w:lang w:val="ru-RU" w:eastAsia="ru-RU"/>
            </w:rPr>
          </w:pPr>
          <w:hyperlink w:anchor="_Toc229599029" w:history="1">
            <w:r w:rsidRPr="00D351EB">
              <w:rPr>
                <w:rStyle w:val="Hyperlink"/>
                <w:rFonts w:cs="Times New Roman"/>
                <w:noProof/>
              </w:rPr>
              <w:t>3.1 Research Philosophy</w:t>
            </w:r>
            <w:r>
              <w:rPr>
                <w:noProof/>
                <w:webHidden/>
              </w:rPr>
              <w:tab/>
            </w:r>
            <w:r>
              <w:rPr>
                <w:noProof/>
                <w:webHidden/>
              </w:rPr>
              <w:fldChar w:fldCharType="begin"/>
            </w:r>
            <w:r>
              <w:rPr>
                <w:noProof/>
                <w:webHidden/>
              </w:rPr>
              <w:instrText xml:space="preserve"> PAGEREF _Toc229599029 \h </w:instrText>
            </w:r>
            <w:r>
              <w:rPr>
                <w:noProof/>
                <w:webHidden/>
              </w:rPr>
            </w:r>
            <w:r>
              <w:rPr>
                <w:noProof/>
                <w:webHidden/>
              </w:rPr>
              <w:fldChar w:fldCharType="separate"/>
            </w:r>
            <w:r>
              <w:rPr>
                <w:noProof/>
                <w:webHidden/>
              </w:rPr>
              <w:t>34</w:t>
            </w:r>
            <w:r>
              <w:rPr>
                <w:noProof/>
                <w:webHidden/>
              </w:rPr>
              <w:fldChar w:fldCharType="end"/>
            </w:r>
          </w:hyperlink>
        </w:p>
        <w:p w14:paraId="0C29B884" w14:textId="38FBAFE6" w:rsidR="009D0591" w:rsidRDefault="009D0591">
          <w:pPr>
            <w:pStyle w:val="TOC2"/>
            <w:tabs>
              <w:tab w:val="right" w:leader="dot" w:pos="9350"/>
            </w:tabs>
            <w:rPr>
              <w:rFonts w:asciiTheme="minorHAnsi" w:hAnsiTheme="minorHAnsi"/>
              <w:noProof/>
              <w:color w:val="auto"/>
              <w:sz w:val="22"/>
              <w:lang w:val="ru-RU" w:eastAsia="ru-RU"/>
            </w:rPr>
          </w:pPr>
          <w:hyperlink w:anchor="_Toc229599030" w:history="1">
            <w:r w:rsidRPr="00D351EB">
              <w:rPr>
                <w:rStyle w:val="Hyperlink"/>
                <w:rFonts w:cs="Times New Roman"/>
                <w:noProof/>
              </w:rPr>
              <w:t>3.2 Research Design: Convergent Parallel Mixed Methods</w:t>
            </w:r>
            <w:r>
              <w:rPr>
                <w:noProof/>
                <w:webHidden/>
              </w:rPr>
              <w:tab/>
            </w:r>
            <w:r>
              <w:rPr>
                <w:noProof/>
                <w:webHidden/>
              </w:rPr>
              <w:fldChar w:fldCharType="begin"/>
            </w:r>
            <w:r>
              <w:rPr>
                <w:noProof/>
                <w:webHidden/>
              </w:rPr>
              <w:instrText xml:space="preserve"> PAGEREF _Toc229599030 \h </w:instrText>
            </w:r>
            <w:r>
              <w:rPr>
                <w:noProof/>
                <w:webHidden/>
              </w:rPr>
            </w:r>
            <w:r>
              <w:rPr>
                <w:noProof/>
                <w:webHidden/>
              </w:rPr>
              <w:fldChar w:fldCharType="separate"/>
            </w:r>
            <w:r>
              <w:rPr>
                <w:noProof/>
                <w:webHidden/>
              </w:rPr>
              <w:t>35</w:t>
            </w:r>
            <w:r>
              <w:rPr>
                <w:noProof/>
                <w:webHidden/>
              </w:rPr>
              <w:fldChar w:fldCharType="end"/>
            </w:r>
          </w:hyperlink>
        </w:p>
        <w:p w14:paraId="379845CB" w14:textId="3B3BFEF5" w:rsidR="009D0591" w:rsidRDefault="009D0591">
          <w:pPr>
            <w:pStyle w:val="TOC2"/>
            <w:tabs>
              <w:tab w:val="right" w:leader="dot" w:pos="9350"/>
            </w:tabs>
            <w:rPr>
              <w:rFonts w:asciiTheme="minorHAnsi" w:hAnsiTheme="minorHAnsi"/>
              <w:noProof/>
              <w:color w:val="auto"/>
              <w:sz w:val="22"/>
              <w:lang w:val="ru-RU" w:eastAsia="ru-RU"/>
            </w:rPr>
          </w:pPr>
          <w:hyperlink w:anchor="_Toc229599031" w:history="1">
            <w:r w:rsidRPr="00D351EB">
              <w:rPr>
                <w:rStyle w:val="Hyperlink"/>
                <w:rFonts w:cs="Times New Roman"/>
                <w:noProof/>
              </w:rPr>
              <w:t>3.3 Case Selection</w:t>
            </w:r>
            <w:r>
              <w:rPr>
                <w:noProof/>
                <w:webHidden/>
              </w:rPr>
              <w:tab/>
            </w:r>
            <w:r>
              <w:rPr>
                <w:noProof/>
                <w:webHidden/>
              </w:rPr>
              <w:fldChar w:fldCharType="begin"/>
            </w:r>
            <w:r>
              <w:rPr>
                <w:noProof/>
                <w:webHidden/>
              </w:rPr>
              <w:instrText xml:space="preserve"> PAGEREF _Toc229599031 \h </w:instrText>
            </w:r>
            <w:r>
              <w:rPr>
                <w:noProof/>
                <w:webHidden/>
              </w:rPr>
            </w:r>
            <w:r>
              <w:rPr>
                <w:noProof/>
                <w:webHidden/>
              </w:rPr>
              <w:fldChar w:fldCharType="separate"/>
            </w:r>
            <w:r>
              <w:rPr>
                <w:noProof/>
                <w:webHidden/>
              </w:rPr>
              <w:t>36</w:t>
            </w:r>
            <w:r>
              <w:rPr>
                <w:noProof/>
                <w:webHidden/>
              </w:rPr>
              <w:fldChar w:fldCharType="end"/>
            </w:r>
          </w:hyperlink>
        </w:p>
        <w:p w14:paraId="67BA4C2B" w14:textId="02947925" w:rsidR="009D0591" w:rsidRDefault="009D0591">
          <w:pPr>
            <w:pStyle w:val="TOC2"/>
            <w:tabs>
              <w:tab w:val="right" w:leader="dot" w:pos="9350"/>
            </w:tabs>
            <w:rPr>
              <w:rFonts w:asciiTheme="minorHAnsi" w:hAnsiTheme="minorHAnsi"/>
              <w:noProof/>
              <w:color w:val="auto"/>
              <w:sz w:val="22"/>
              <w:lang w:val="ru-RU" w:eastAsia="ru-RU"/>
            </w:rPr>
          </w:pPr>
          <w:hyperlink w:anchor="_Toc229599032" w:history="1">
            <w:r w:rsidRPr="00D351EB">
              <w:rPr>
                <w:rStyle w:val="Hyperlink"/>
                <w:rFonts w:cs="Times New Roman"/>
                <w:noProof/>
              </w:rPr>
              <w:t>3.4 Data Collection</w:t>
            </w:r>
            <w:r>
              <w:rPr>
                <w:noProof/>
                <w:webHidden/>
              </w:rPr>
              <w:tab/>
            </w:r>
            <w:r>
              <w:rPr>
                <w:noProof/>
                <w:webHidden/>
              </w:rPr>
              <w:fldChar w:fldCharType="begin"/>
            </w:r>
            <w:r>
              <w:rPr>
                <w:noProof/>
                <w:webHidden/>
              </w:rPr>
              <w:instrText xml:space="preserve"> PAGEREF _Toc229599032 \h </w:instrText>
            </w:r>
            <w:r>
              <w:rPr>
                <w:noProof/>
                <w:webHidden/>
              </w:rPr>
            </w:r>
            <w:r>
              <w:rPr>
                <w:noProof/>
                <w:webHidden/>
              </w:rPr>
              <w:fldChar w:fldCharType="separate"/>
            </w:r>
            <w:r>
              <w:rPr>
                <w:noProof/>
                <w:webHidden/>
              </w:rPr>
              <w:t>37</w:t>
            </w:r>
            <w:r>
              <w:rPr>
                <w:noProof/>
                <w:webHidden/>
              </w:rPr>
              <w:fldChar w:fldCharType="end"/>
            </w:r>
          </w:hyperlink>
        </w:p>
        <w:p w14:paraId="7108FC23" w14:textId="16920DE0" w:rsidR="009D0591" w:rsidRDefault="009D0591">
          <w:pPr>
            <w:pStyle w:val="TOC3"/>
            <w:tabs>
              <w:tab w:val="right" w:leader="dot" w:pos="9350"/>
            </w:tabs>
            <w:rPr>
              <w:rFonts w:asciiTheme="minorHAnsi" w:hAnsiTheme="minorHAnsi"/>
              <w:noProof/>
              <w:color w:val="auto"/>
              <w:sz w:val="22"/>
              <w:lang w:val="ru-RU" w:eastAsia="ru-RU"/>
            </w:rPr>
          </w:pPr>
          <w:hyperlink w:anchor="_Toc229599033" w:history="1">
            <w:r w:rsidRPr="00D351EB">
              <w:rPr>
                <w:rStyle w:val="Hyperlink"/>
                <w:rFonts w:cs="Times New Roman"/>
                <w:noProof/>
              </w:rPr>
              <w:t>3.4.1 SEC Financial Filings</w:t>
            </w:r>
            <w:r>
              <w:rPr>
                <w:noProof/>
                <w:webHidden/>
              </w:rPr>
              <w:tab/>
            </w:r>
            <w:r>
              <w:rPr>
                <w:noProof/>
                <w:webHidden/>
              </w:rPr>
              <w:fldChar w:fldCharType="begin"/>
            </w:r>
            <w:r>
              <w:rPr>
                <w:noProof/>
                <w:webHidden/>
              </w:rPr>
              <w:instrText xml:space="preserve"> PAGEREF _Toc229599033 \h </w:instrText>
            </w:r>
            <w:r>
              <w:rPr>
                <w:noProof/>
                <w:webHidden/>
              </w:rPr>
            </w:r>
            <w:r>
              <w:rPr>
                <w:noProof/>
                <w:webHidden/>
              </w:rPr>
              <w:fldChar w:fldCharType="separate"/>
            </w:r>
            <w:r>
              <w:rPr>
                <w:noProof/>
                <w:webHidden/>
              </w:rPr>
              <w:t>37</w:t>
            </w:r>
            <w:r>
              <w:rPr>
                <w:noProof/>
                <w:webHidden/>
              </w:rPr>
              <w:fldChar w:fldCharType="end"/>
            </w:r>
          </w:hyperlink>
        </w:p>
        <w:p w14:paraId="00BDC7D9" w14:textId="4FD2BF34" w:rsidR="009D0591" w:rsidRDefault="009D0591">
          <w:pPr>
            <w:pStyle w:val="TOC3"/>
            <w:tabs>
              <w:tab w:val="right" w:leader="dot" w:pos="9350"/>
            </w:tabs>
            <w:rPr>
              <w:rFonts w:asciiTheme="minorHAnsi" w:hAnsiTheme="minorHAnsi"/>
              <w:noProof/>
              <w:color w:val="auto"/>
              <w:sz w:val="22"/>
              <w:lang w:val="ru-RU" w:eastAsia="ru-RU"/>
            </w:rPr>
          </w:pPr>
          <w:hyperlink w:anchor="_Toc229599034" w:history="1">
            <w:r w:rsidRPr="00D351EB">
              <w:rPr>
                <w:rStyle w:val="Hyperlink"/>
                <w:rFonts w:cs="Times New Roman"/>
                <w:noProof/>
              </w:rPr>
              <w:t>3.4.2 Trustpilot Customer Reviews</w:t>
            </w:r>
            <w:r>
              <w:rPr>
                <w:noProof/>
                <w:webHidden/>
              </w:rPr>
              <w:tab/>
            </w:r>
            <w:r>
              <w:rPr>
                <w:noProof/>
                <w:webHidden/>
              </w:rPr>
              <w:fldChar w:fldCharType="begin"/>
            </w:r>
            <w:r>
              <w:rPr>
                <w:noProof/>
                <w:webHidden/>
              </w:rPr>
              <w:instrText xml:space="preserve"> PAGEREF _Toc229599034 \h </w:instrText>
            </w:r>
            <w:r>
              <w:rPr>
                <w:noProof/>
                <w:webHidden/>
              </w:rPr>
            </w:r>
            <w:r>
              <w:rPr>
                <w:noProof/>
                <w:webHidden/>
              </w:rPr>
              <w:fldChar w:fldCharType="separate"/>
            </w:r>
            <w:r>
              <w:rPr>
                <w:noProof/>
                <w:webHidden/>
              </w:rPr>
              <w:t>37</w:t>
            </w:r>
            <w:r>
              <w:rPr>
                <w:noProof/>
                <w:webHidden/>
              </w:rPr>
              <w:fldChar w:fldCharType="end"/>
            </w:r>
          </w:hyperlink>
        </w:p>
        <w:p w14:paraId="0BA89080" w14:textId="605347D3" w:rsidR="009D0591" w:rsidRDefault="009D0591">
          <w:pPr>
            <w:pStyle w:val="TOC3"/>
            <w:tabs>
              <w:tab w:val="right" w:leader="dot" w:pos="9350"/>
            </w:tabs>
            <w:rPr>
              <w:rFonts w:asciiTheme="minorHAnsi" w:hAnsiTheme="minorHAnsi"/>
              <w:noProof/>
              <w:color w:val="auto"/>
              <w:sz w:val="22"/>
              <w:lang w:val="ru-RU" w:eastAsia="ru-RU"/>
            </w:rPr>
          </w:pPr>
          <w:hyperlink w:anchor="_Toc229599035" w:history="1">
            <w:r w:rsidRPr="00D351EB">
              <w:rPr>
                <w:rStyle w:val="Hyperlink"/>
                <w:rFonts w:cs="Times New Roman"/>
                <w:noProof/>
              </w:rPr>
              <w:t>3.4.3 Supplementary Qualitative Sources</w:t>
            </w:r>
            <w:r>
              <w:rPr>
                <w:noProof/>
                <w:webHidden/>
              </w:rPr>
              <w:tab/>
            </w:r>
            <w:r>
              <w:rPr>
                <w:noProof/>
                <w:webHidden/>
              </w:rPr>
              <w:fldChar w:fldCharType="begin"/>
            </w:r>
            <w:r>
              <w:rPr>
                <w:noProof/>
                <w:webHidden/>
              </w:rPr>
              <w:instrText xml:space="preserve"> PAGEREF _Toc229599035 \h </w:instrText>
            </w:r>
            <w:r>
              <w:rPr>
                <w:noProof/>
                <w:webHidden/>
              </w:rPr>
            </w:r>
            <w:r>
              <w:rPr>
                <w:noProof/>
                <w:webHidden/>
              </w:rPr>
              <w:fldChar w:fldCharType="separate"/>
            </w:r>
            <w:r>
              <w:rPr>
                <w:noProof/>
                <w:webHidden/>
              </w:rPr>
              <w:t>38</w:t>
            </w:r>
            <w:r>
              <w:rPr>
                <w:noProof/>
                <w:webHidden/>
              </w:rPr>
              <w:fldChar w:fldCharType="end"/>
            </w:r>
          </w:hyperlink>
        </w:p>
        <w:p w14:paraId="5CBC289C" w14:textId="004985B2" w:rsidR="009D0591" w:rsidRDefault="009D0591">
          <w:pPr>
            <w:pStyle w:val="TOC2"/>
            <w:tabs>
              <w:tab w:val="right" w:leader="dot" w:pos="9350"/>
            </w:tabs>
            <w:rPr>
              <w:rFonts w:asciiTheme="minorHAnsi" w:hAnsiTheme="minorHAnsi"/>
              <w:noProof/>
              <w:color w:val="auto"/>
              <w:sz w:val="22"/>
              <w:lang w:val="ru-RU" w:eastAsia="ru-RU"/>
            </w:rPr>
          </w:pPr>
          <w:hyperlink w:anchor="_Toc229599036" w:history="1">
            <w:r w:rsidRPr="00D351EB">
              <w:rPr>
                <w:rStyle w:val="Hyperlink"/>
                <w:rFonts w:cs="Times New Roman"/>
                <w:noProof/>
              </w:rPr>
              <w:t>3.5 Data Analysis</w:t>
            </w:r>
            <w:r>
              <w:rPr>
                <w:noProof/>
                <w:webHidden/>
              </w:rPr>
              <w:tab/>
            </w:r>
            <w:r>
              <w:rPr>
                <w:noProof/>
                <w:webHidden/>
              </w:rPr>
              <w:fldChar w:fldCharType="begin"/>
            </w:r>
            <w:r>
              <w:rPr>
                <w:noProof/>
                <w:webHidden/>
              </w:rPr>
              <w:instrText xml:space="preserve"> PAGEREF _Toc229599036 \h </w:instrText>
            </w:r>
            <w:r>
              <w:rPr>
                <w:noProof/>
                <w:webHidden/>
              </w:rPr>
            </w:r>
            <w:r>
              <w:rPr>
                <w:noProof/>
                <w:webHidden/>
              </w:rPr>
              <w:fldChar w:fldCharType="separate"/>
            </w:r>
            <w:r>
              <w:rPr>
                <w:noProof/>
                <w:webHidden/>
              </w:rPr>
              <w:t>39</w:t>
            </w:r>
            <w:r>
              <w:rPr>
                <w:noProof/>
                <w:webHidden/>
              </w:rPr>
              <w:fldChar w:fldCharType="end"/>
            </w:r>
          </w:hyperlink>
        </w:p>
        <w:p w14:paraId="396ED129" w14:textId="4A2ACAE2" w:rsidR="009D0591" w:rsidRDefault="009D0591">
          <w:pPr>
            <w:pStyle w:val="TOC3"/>
            <w:tabs>
              <w:tab w:val="right" w:leader="dot" w:pos="9350"/>
            </w:tabs>
            <w:rPr>
              <w:rFonts w:asciiTheme="minorHAnsi" w:hAnsiTheme="minorHAnsi"/>
              <w:noProof/>
              <w:color w:val="auto"/>
              <w:sz w:val="22"/>
              <w:lang w:val="ru-RU" w:eastAsia="ru-RU"/>
            </w:rPr>
          </w:pPr>
          <w:hyperlink w:anchor="_Toc229599037" w:history="1">
            <w:r w:rsidRPr="00D351EB">
              <w:rPr>
                <w:rStyle w:val="Hyperlink"/>
                <w:rFonts w:cs="Times New Roman"/>
                <w:noProof/>
              </w:rPr>
              <w:t>3.5.1 Financial Ratio and Operational Leverage Analysis</w:t>
            </w:r>
            <w:r>
              <w:rPr>
                <w:noProof/>
                <w:webHidden/>
              </w:rPr>
              <w:tab/>
            </w:r>
            <w:r>
              <w:rPr>
                <w:noProof/>
                <w:webHidden/>
              </w:rPr>
              <w:fldChar w:fldCharType="begin"/>
            </w:r>
            <w:r>
              <w:rPr>
                <w:noProof/>
                <w:webHidden/>
              </w:rPr>
              <w:instrText xml:space="preserve"> PAGEREF _Toc229599037 \h </w:instrText>
            </w:r>
            <w:r>
              <w:rPr>
                <w:noProof/>
                <w:webHidden/>
              </w:rPr>
            </w:r>
            <w:r>
              <w:rPr>
                <w:noProof/>
                <w:webHidden/>
              </w:rPr>
              <w:fldChar w:fldCharType="separate"/>
            </w:r>
            <w:r>
              <w:rPr>
                <w:noProof/>
                <w:webHidden/>
              </w:rPr>
              <w:t>39</w:t>
            </w:r>
            <w:r>
              <w:rPr>
                <w:noProof/>
                <w:webHidden/>
              </w:rPr>
              <w:fldChar w:fldCharType="end"/>
            </w:r>
          </w:hyperlink>
        </w:p>
        <w:p w14:paraId="6B5AE403" w14:textId="7D92337B" w:rsidR="009D0591" w:rsidRDefault="009D0591">
          <w:pPr>
            <w:pStyle w:val="TOC3"/>
            <w:tabs>
              <w:tab w:val="right" w:leader="dot" w:pos="9350"/>
            </w:tabs>
            <w:rPr>
              <w:rFonts w:asciiTheme="minorHAnsi" w:hAnsiTheme="minorHAnsi"/>
              <w:noProof/>
              <w:color w:val="auto"/>
              <w:sz w:val="22"/>
              <w:lang w:val="ru-RU" w:eastAsia="ru-RU"/>
            </w:rPr>
          </w:pPr>
          <w:hyperlink w:anchor="_Toc229599038" w:history="1">
            <w:r w:rsidRPr="00D351EB">
              <w:rPr>
                <w:rStyle w:val="Hyperlink"/>
                <w:rFonts w:cs="Times New Roman"/>
                <w:noProof/>
              </w:rPr>
              <w:t>3.5.2 NLP Text Mining: Joint Topic-Sentiment Modelling</w:t>
            </w:r>
            <w:r>
              <w:rPr>
                <w:noProof/>
                <w:webHidden/>
              </w:rPr>
              <w:tab/>
            </w:r>
            <w:r>
              <w:rPr>
                <w:noProof/>
                <w:webHidden/>
              </w:rPr>
              <w:fldChar w:fldCharType="begin"/>
            </w:r>
            <w:r>
              <w:rPr>
                <w:noProof/>
                <w:webHidden/>
              </w:rPr>
              <w:instrText xml:space="preserve"> PAGEREF _Toc229599038 \h </w:instrText>
            </w:r>
            <w:r>
              <w:rPr>
                <w:noProof/>
                <w:webHidden/>
              </w:rPr>
            </w:r>
            <w:r>
              <w:rPr>
                <w:noProof/>
                <w:webHidden/>
              </w:rPr>
              <w:fldChar w:fldCharType="separate"/>
            </w:r>
            <w:r>
              <w:rPr>
                <w:noProof/>
                <w:webHidden/>
              </w:rPr>
              <w:t>39</w:t>
            </w:r>
            <w:r>
              <w:rPr>
                <w:noProof/>
                <w:webHidden/>
              </w:rPr>
              <w:fldChar w:fldCharType="end"/>
            </w:r>
          </w:hyperlink>
        </w:p>
        <w:p w14:paraId="18EA4A4B" w14:textId="2BCDEC91" w:rsidR="009D0591" w:rsidRDefault="009D0591">
          <w:pPr>
            <w:pStyle w:val="TOC3"/>
            <w:tabs>
              <w:tab w:val="right" w:leader="dot" w:pos="9350"/>
            </w:tabs>
            <w:rPr>
              <w:rFonts w:asciiTheme="minorHAnsi" w:hAnsiTheme="minorHAnsi"/>
              <w:noProof/>
              <w:color w:val="auto"/>
              <w:sz w:val="22"/>
              <w:lang w:val="ru-RU" w:eastAsia="ru-RU"/>
            </w:rPr>
          </w:pPr>
          <w:hyperlink w:anchor="_Toc229599039" w:history="1">
            <w:r w:rsidRPr="00D351EB">
              <w:rPr>
                <w:rStyle w:val="Hyperlink"/>
                <w:rFonts w:cs="Times New Roman"/>
                <w:noProof/>
              </w:rPr>
              <w:t>3.5.3 Qualitative Process Tracing</w:t>
            </w:r>
            <w:r>
              <w:rPr>
                <w:noProof/>
                <w:webHidden/>
              </w:rPr>
              <w:tab/>
            </w:r>
            <w:r>
              <w:rPr>
                <w:noProof/>
                <w:webHidden/>
              </w:rPr>
              <w:fldChar w:fldCharType="begin"/>
            </w:r>
            <w:r>
              <w:rPr>
                <w:noProof/>
                <w:webHidden/>
              </w:rPr>
              <w:instrText xml:space="preserve"> PAGEREF _Toc229599039 \h </w:instrText>
            </w:r>
            <w:r>
              <w:rPr>
                <w:noProof/>
                <w:webHidden/>
              </w:rPr>
            </w:r>
            <w:r>
              <w:rPr>
                <w:noProof/>
                <w:webHidden/>
              </w:rPr>
              <w:fldChar w:fldCharType="separate"/>
            </w:r>
            <w:r>
              <w:rPr>
                <w:noProof/>
                <w:webHidden/>
              </w:rPr>
              <w:t>40</w:t>
            </w:r>
            <w:r>
              <w:rPr>
                <w:noProof/>
                <w:webHidden/>
              </w:rPr>
              <w:fldChar w:fldCharType="end"/>
            </w:r>
          </w:hyperlink>
        </w:p>
        <w:p w14:paraId="6F30D4D1" w14:textId="18836708" w:rsidR="009D0591" w:rsidRDefault="009D0591">
          <w:pPr>
            <w:pStyle w:val="TOC2"/>
            <w:tabs>
              <w:tab w:val="right" w:leader="dot" w:pos="9350"/>
            </w:tabs>
            <w:rPr>
              <w:rFonts w:asciiTheme="minorHAnsi" w:hAnsiTheme="minorHAnsi"/>
              <w:noProof/>
              <w:color w:val="auto"/>
              <w:sz w:val="22"/>
              <w:lang w:val="ru-RU" w:eastAsia="ru-RU"/>
            </w:rPr>
          </w:pPr>
          <w:hyperlink w:anchor="_Toc229599040" w:history="1">
            <w:r w:rsidRPr="00D351EB">
              <w:rPr>
                <w:rStyle w:val="Hyperlink"/>
                <w:rFonts w:cs="Times New Roman"/>
                <w:noProof/>
              </w:rPr>
              <w:t>3.6 Operationalisation of Business Value</w:t>
            </w:r>
            <w:r>
              <w:rPr>
                <w:noProof/>
                <w:webHidden/>
              </w:rPr>
              <w:tab/>
            </w:r>
            <w:r>
              <w:rPr>
                <w:noProof/>
                <w:webHidden/>
              </w:rPr>
              <w:fldChar w:fldCharType="begin"/>
            </w:r>
            <w:r>
              <w:rPr>
                <w:noProof/>
                <w:webHidden/>
              </w:rPr>
              <w:instrText xml:space="preserve"> PAGEREF _Toc229599040 \h </w:instrText>
            </w:r>
            <w:r>
              <w:rPr>
                <w:noProof/>
                <w:webHidden/>
              </w:rPr>
            </w:r>
            <w:r>
              <w:rPr>
                <w:noProof/>
                <w:webHidden/>
              </w:rPr>
              <w:fldChar w:fldCharType="separate"/>
            </w:r>
            <w:r>
              <w:rPr>
                <w:noProof/>
                <w:webHidden/>
              </w:rPr>
              <w:t>41</w:t>
            </w:r>
            <w:r>
              <w:rPr>
                <w:noProof/>
                <w:webHidden/>
              </w:rPr>
              <w:fldChar w:fldCharType="end"/>
            </w:r>
          </w:hyperlink>
        </w:p>
        <w:p w14:paraId="3F615142" w14:textId="11982A76" w:rsidR="009D0591" w:rsidRDefault="009D0591">
          <w:pPr>
            <w:pStyle w:val="TOC2"/>
            <w:tabs>
              <w:tab w:val="right" w:leader="dot" w:pos="9350"/>
            </w:tabs>
            <w:rPr>
              <w:rFonts w:asciiTheme="minorHAnsi" w:hAnsiTheme="minorHAnsi"/>
              <w:noProof/>
              <w:color w:val="auto"/>
              <w:sz w:val="22"/>
              <w:lang w:val="ru-RU" w:eastAsia="ru-RU"/>
            </w:rPr>
          </w:pPr>
          <w:hyperlink w:anchor="_Toc229599041" w:history="1">
            <w:r w:rsidRPr="00D351EB">
              <w:rPr>
                <w:rStyle w:val="Hyperlink"/>
                <w:rFonts w:cs="Times New Roman"/>
                <w:noProof/>
              </w:rPr>
              <w:t>3.7 Source Reliability and Data Provenance</w:t>
            </w:r>
            <w:r>
              <w:rPr>
                <w:noProof/>
                <w:webHidden/>
              </w:rPr>
              <w:tab/>
            </w:r>
            <w:r>
              <w:rPr>
                <w:noProof/>
                <w:webHidden/>
              </w:rPr>
              <w:fldChar w:fldCharType="begin"/>
            </w:r>
            <w:r>
              <w:rPr>
                <w:noProof/>
                <w:webHidden/>
              </w:rPr>
              <w:instrText xml:space="preserve"> PAGEREF _Toc229599041 \h </w:instrText>
            </w:r>
            <w:r>
              <w:rPr>
                <w:noProof/>
                <w:webHidden/>
              </w:rPr>
            </w:r>
            <w:r>
              <w:rPr>
                <w:noProof/>
                <w:webHidden/>
              </w:rPr>
              <w:fldChar w:fldCharType="separate"/>
            </w:r>
            <w:r>
              <w:rPr>
                <w:noProof/>
                <w:webHidden/>
              </w:rPr>
              <w:t>42</w:t>
            </w:r>
            <w:r>
              <w:rPr>
                <w:noProof/>
                <w:webHidden/>
              </w:rPr>
              <w:fldChar w:fldCharType="end"/>
            </w:r>
          </w:hyperlink>
        </w:p>
        <w:p w14:paraId="13772A38" w14:textId="39A8646A" w:rsidR="009D0591" w:rsidRDefault="009D0591">
          <w:pPr>
            <w:pStyle w:val="TOC2"/>
            <w:tabs>
              <w:tab w:val="right" w:leader="dot" w:pos="9350"/>
            </w:tabs>
            <w:rPr>
              <w:rFonts w:asciiTheme="minorHAnsi" w:hAnsiTheme="minorHAnsi"/>
              <w:noProof/>
              <w:color w:val="auto"/>
              <w:sz w:val="22"/>
              <w:lang w:val="ru-RU" w:eastAsia="ru-RU"/>
            </w:rPr>
          </w:pPr>
          <w:hyperlink w:anchor="_Toc229599042" w:history="1">
            <w:r w:rsidRPr="00D351EB">
              <w:rPr>
                <w:rStyle w:val="Hyperlink"/>
                <w:rFonts w:cs="Times New Roman"/>
                <w:noProof/>
              </w:rPr>
              <w:t>3.8 Triangulation Logic</w:t>
            </w:r>
            <w:r>
              <w:rPr>
                <w:noProof/>
                <w:webHidden/>
              </w:rPr>
              <w:tab/>
            </w:r>
            <w:r>
              <w:rPr>
                <w:noProof/>
                <w:webHidden/>
              </w:rPr>
              <w:fldChar w:fldCharType="begin"/>
            </w:r>
            <w:r>
              <w:rPr>
                <w:noProof/>
                <w:webHidden/>
              </w:rPr>
              <w:instrText xml:space="preserve"> PAGEREF _Toc229599042 \h </w:instrText>
            </w:r>
            <w:r>
              <w:rPr>
                <w:noProof/>
                <w:webHidden/>
              </w:rPr>
            </w:r>
            <w:r>
              <w:rPr>
                <w:noProof/>
                <w:webHidden/>
              </w:rPr>
              <w:fldChar w:fldCharType="separate"/>
            </w:r>
            <w:r>
              <w:rPr>
                <w:noProof/>
                <w:webHidden/>
              </w:rPr>
              <w:t>44</w:t>
            </w:r>
            <w:r>
              <w:rPr>
                <w:noProof/>
                <w:webHidden/>
              </w:rPr>
              <w:fldChar w:fldCharType="end"/>
            </w:r>
          </w:hyperlink>
        </w:p>
        <w:p w14:paraId="5D9B66A1" w14:textId="63341427" w:rsidR="009D0591" w:rsidRDefault="009D0591">
          <w:pPr>
            <w:pStyle w:val="TOC2"/>
            <w:tabs>
              <w:tab w:val="right" w:leader="dot" w:pos="9350"/>
            </w:tabs>
            <w:rPr>
              <w:rFonts w:asciiTheme="minorHAnsi" w:hAnsiTheme="minorHAnsi"/>
              <w:noProof/>
              <w:color w:val="auto"/>
              <w:sz w:val="22"/>
              <w:lang w:val="ru-RU" w:eastAsia="ru-RU"/>
            </w:rPr>
          </w:pPr>
          <w:hyperlink w:anchor="_Toc229599043" w:history="1">
            <w:r w:rsidRPr="00D351EB">
              <w:rPr>
                <w:rStyle w:val="Hyperlink"/>
                <w:rFonts w:cs="Times New Roman"/>
                <w:noProof/>
              </w:rPr>
              <w:t>3.9 Methodological Limitations</w:t>
            </w:r>
            <w:r>
              <w:rPr>
                <w:noProof/>
                <w:webHidden/>
              </w:rPr>
              <w:tab/>
            </w:r>
            <w:r>
              <w:rPr>
                <w:noProof/>
                <w:webHidden/>
              </w:rPr>
              <w:fldChar w:fldCharType="begin"/>
            </w:r>
            <w:r>
              <w:rPr>
                <w:noProof/>
                <w:webHidden/>
              </w:rPr>
              <w:instrText xml:space="preserve"> PAGEREF _Toc229599043 \h </w:instrText>
            </w:r>
            <w:r>
              <w:rPr>
                <w:noProof/>
                <w:webHidden/>
              </w:rPr>
            </w:r>
            <w:r>
              <w:rPr>
                <w:noProof/>
                <w:webHidden/>
              </w:rPr>
              <w:fldChar w:fldCharType="separate"/>
            </w:r>
            <w:r>
              <w:rPr>
                <w:noProof/>
                <w:webHidden/>
              </w:rPr>
              <w:t>45</w:t>
            </w:r>
            <w:r>
              <w:rPr>
                <w:noProof/>
                <w:webHidden/>
              </w:rPr>
              <w:fldChar w:fldCharType="end"/>
            </w:r>
          </w:hyperlink>
        </w:p>
        <w:p w14:paraId="2DBD28D9" w14:textId="242BED3B" w:rsidR="009D0591" w:rsidRDefault="009D0591">
          <w:pPr>
            <w:pStyle w:val="TOC2"/>
            <w:tabs>
              <w:tab w:val="right" w:leader="dot" w:pos="9350"/>
            </w:tabs>
            <w:rPr>
              <w:rFonts w:asciiTheme="minorHAnsi" w:hAnsiTheme="minorHAnsi"/>
              <w:noProof/>
              <w:color w:val="auto"/>
              <w:sz w:val="22"/>
              <w:lang w:val="ru-RU" w:eastAsia="ru-RU"/>
            </w:rPr>
          </w:pPr>
          <w:hyperlink w:anchor="_Toc229599044" w:history="1">
            <w:r w:rsidRPr="00D351EB">
              <w:rPr>
                <w:rStyle w:val="Hyperlink"/>
                <w:rFonts w:cs="Times New Roman"/>
                <w:noProof/>
              </w:rPr>
              <w:t>3.10 Research Rigor and Reproducibility</w:t>
            </w:r>
            <w:r>
              <w:rPr>
                <w:noProof/>
                <w:webHidden/>
              </w:rPr>
              <w:tab/>
            </w:r>
            <w:r>
              <w:rPr>
                <w:noProof/>
                <w:webHidden/>
              </w:rPr>
              <w:fldChar w:fldCharType="begin"/>
            </w:r>
            <w:r>
              <w:rPr>
                <w:noProof/>
                <w:webHidden/>
              </w:rPr>
              <w:instrText xml:space="preserve"> PAGEREF _Toc229599044 \h </w:instrText>
            </w:r>
            <w:r>
              <w:rPr>
                <w:noProof/>
                <w:webHidden/>
              </w:rPr>
            </w:r>
            <w:r>
              <w:rPr>
                <w:noProof/>
                <w:webHidden/>
              </w:rPr>
              <w:fldChar w:fldCharType="separate"/>
            </w:r>
            <w:r>
              <w:rPr>
                <w:noProof/>
                <w:webHidden/>
              </w:rPr>
              <w:t>46</w:t>
            </w:r>
            <w:r>
              <w:rPr>
                <w:noProof/>
                <w:webHidden/>
              </w:rPr>
              <w:fldChar w:fldCharType="end"/>
            </w:r>
          </w:hyperlink>
        </w:p>
        <w:p w14:paraId="4CD4D80F" w14:textId="34808A2A" w:rsidR="009D0591" w:rsidRDefault="009D0591">
          <w:pPr>
            <w:pStyle w:val="TOC2"/>
            <w:tabs>
              <w:tab w:val="right" w:leader="dot" w:pos="9350"/>
            </w:tabs>
            <w:rPr>
              <w:rFonts w:asciiTheme="minorHAnsi" w:hAnsiTheme="minorHAnsi"/>
              <w:noProof/>
              <w:color w:val="auto"/>
              <w:sz w:val="22"/>
              <w:lang w:val="ru-RU" w:eastAsia="ru-RU"/>
            </w:rPr>
          </w:pPr>
          <w:hyperlink w:anchor="_Toc229599045" w:history="1">
            <w:r w:rsidRPr="00D351EB">
              <w:rPr>
                <w:rStyle w:val="Hyperlink"/>
                <w:rFonts w:cs="Times New Roman"/>
                <w:noProof/>
              </w:rPr>
              <w:t>3.11 Ethical Considerations</w:t>
            </w:r>
            <w:r>
              <w:rPr>
                <w:noProof/>
                <w:webHidden/>
              </w:rPr>
              <w:tab/>
            </w:r>
            <w:r>
              <w:rPr>
                <w:noProof/>
                <w:webHidden/>
              </w:rPr>
              <w:fldChar w:fldCharType="begin"/>
            </w:r>
            <w:r>
              <w:rPr>
                <w:noProof/>
                <w:webHidden/>
              </w:rPr>
              <w:instrText xml:space="preserve"> PAGEREF _Toc229599045 \h </w:instrText>
            </w:r>
            <w:r>
              <w:rPr>
                <w:noProof/>
                <w:webHidden/>
              </w:rPr>
            </w:r>
            <w:r>
              <w:rPr>
                <w:noProof/>
                <w:webHidden/>
              </w:rPr>
              <w:fldChar w:fldCharType="separate"/>
            </w:r>
            <w:r>
              <w:rPr>
                <w:noProof/>
                <w:webHidden/>
              </w:rPr>
              <w:t>47</w:t>
            </w:r>
            <w:r>
              <w:rPr>
                <w:noProof/>
                <w:webHidden/>
              </w:rPr>
              <w:fldChar w:fldCharType="end"/>
            </w:r>
          </w:hyperlink>
        </w:p>
        <w:p w14:paraId="1C719F61" w14:textId="11121F55" w:rsidR="009D0591" w:rsidRDefault="009D0591">
          <w:pPr>
            <w:pStyle w:val="TOC1"/>
            <w:tabs>
              <w:tab w:val="right" w:leader="dot" w:pos="9350"/>
            </w:tabs>
            <w:rPr>
              <w:rFonts w:asciiTheme="minorHAnsi" w:hAnsiTheme="minorHAnsi"/>
              <w:noProof/>
              <w:color w:val="auto"/>
              <w:sz w:val="22"/>
              <w:lang w:val="ru-RU" w:eastAsia="ru-RU"/>
            </w:rPr>
          </w:pPr>
          <w:hyperlink w:anchor="_Toc229599046" w:history="1">
            <w:r w:rsidRPr="00D351EB">
              <w:rPr>
                <w:rStyle w:val="Hyperlink"/>
                <w:rFonts w:cs="Times New Roman"/>
                <w:noProof/>
              </w:rPr>
              <w:t>4. Case Study Description: Better.com and the Deployment of Voice AI in Mortgage Origination</w:t>
            </w:r>
            <w:r>
              <w:rPr>
                <w:noProof/>
                <w:webHidden/>
              </w:rPr>
              <w:tab/>
            </w:r>
            <w:r>
              <w:rPr>
                <w:noProof/>
                <w:webHidden/>
              </w:rPr>
              <w:fldChar w:fldCharType="begin"/>
            </w:r>
            <w:r>
              <w:rPr>
                <w:noProof/>
                <w:webHidden/>
              </w:rPr>
              <w:instrText xml:space="preserve"> PAGEREF _Toc229599046 \h </w:instrText>
            </w:r>
            <w:r>
              <w:rPr>
                <w:noProof/>
                <w:webHidden/>
              </w:rPr>
            </w:r>
            <w:r>
              <w:rPr>
                <w:noProof/>
                <w:webHidden/>
              </w:rPr>
              <w:fldChar w:fldCharType="separate"/>
            </w:r>
            <w:r>
              <w:rPr>
                <w:noProof/>
                <w:webHidden/>
              </w:rPr>
              <w:t>48</w:t>
            </w:r>
            <w:r>
              <w:rPr>
                <w:noProof/>
                <w:webHidden/>
              </w:rPr>
              <w:fldChar w:fldCharType="end"/>
            </w:r>
          </w:hyperlink>
        </w:p>
        <w:p w14:paraId="4DFBFD3E" w14:textId="7936E8E7" w:rsidR="009D0591" w:rsidRDefault="009D0591">
          <w:pPr>
            <w:pStyle w:val="TOC2"/>
            <w:tabs>
              <w:tab w:val="right" w:leader="dot" w:pos="9350"/>
            </w:tabs>
            <w:rPr>
              <w:rFonts w:asciiTheme="minorHAnsi" w:hAnsiTheme="minorHAnsi"/>
              <w:noProof/>
              <w:color w:val="auto"/>
              <w:sz w:val="22"/>
              <w:lang w:val="ru-RU" w:eastAsia="ru-RU"/>
            </w:rPr>
          </w:pPr>
          <w:hyperlink w:anchor="_Toc229599047" w:history="1">
            <w:r w:rsidRPr="00D351EB">
              <w:rPr>
                <w:rStyle w:val="Hyperlink"/>
                <w:rFonts w:cs="Times New Roman"/>
                <w:noProof/>
              </w:rPr>
              <w:t>4.1 Introduction</w:t>
            </w:r>
            <w:r>
              <w:rPr>
                <w:noProof/>
                <w:webHidden/>
              </w:rPr>
              <w:tab/>
            </w:r>
            <w:r>
              <w:rPr>
                <w:noProof/>
                <w:webHidden/>
              </w:rPr>
              <w:fldChar w:fldCharType="begin"/>
            </w:r>
            <w:r>
              <w:rPr>
                <w:noProof/>
                <w:webHidden/>
              </w:rPr>
              <w:instrText xml:space="preserve"> PAGEREF _Toc229599047 \h </w:instrText>
            </w:r>
            <w:r>
              <w:rPr>
                <w:noProof/>
                <w:webHidden/>
              </w:rPr>
            </w:r>
            <w:r>
              <w:rPr>
                <w:noProof/>
                <w:webHidden/>
              </w:rPr>
              <w:fldChar w:fldCharType="separate"/>
            </w:r>
            <w:r>
              <w:rPr>
                <w:noProof/>
                <w:webHidden/>
              </w:rPr>
              <w:t>48</w:t>
            </w:r>
            <w:r>
              <w:rPr>
                <w:noProof/>
                <w:webHidden/>
              </w:rPr>
              <w:fldChar w:fldCharType="end"/>
            </w:r>
          </w:hyperlink>
        </w:p>
        <w:p w14:paraId="572F056B" w14:textId="77F25C74" w:rsidR="009D0591" w:rsidRDefault="009D0591">
          <w:pPr>
            <w:pStyle w:val="TOC2"/>
            <w:tabs>
              <w:tab w:val="right" w:leader="dot" w:pos="9350"/>
            </w:tabs>
            <w:rPr>
              <w:rFonts w:asciiTheme="minorHAnsi" w:hAnsiTheme="minorHAnsi"/>
              <w:noProof/>
              <w:color w:val="auto"/>
              <w:sz w:val="22"/>
              <w:lang w:val="ru-RU" w:eastAsia="ru-RU"/>
            </w:rPr>
          </w:pPr>
          <w:hyperlink w:anchor="_Toc229599048" w:history="1">
            <w:r w:rsidRPr="00D351EB">
              <w:rPr>
                <w:rStyle w:val="Hyperlink"/>
                <w:rFonts w:cs="Times New Roman"/>
                <w:noProof/>
              </w:rPr>
              <w:t>4.2 Better.com: Company Profile and Strategic Context</w:t>
            </w:r>
            <w:r>
              <w:rPr>
                <w:noProof/>
                <w:webHidden/>
              </w:rPr>
              <w:tab/>
            </w:r>
            <w:r>
              <w:rPr>
                <w:noProof/>
                <w:webHidden/>
              </w:rPr>
              <w:fldChar w:fldCharType="begin"/>
            </w:r>
            <w:r>
              <w:rPr>
                <w:noProof/>
                <w:webHidden/>
              </w:rPr>
              <w:instrText xml:space="preserve"> PAGEREF _Toc229599048 \h </w:instrText>
            </w:r>
            <w:r>
              <w:rPr>
                <w:noProof/>
                <w:webHidden/>
              </w:rPr>
            </w:r>
            <w:r>
              <w:rPr>
                <w:noProof/>
                <w:webHidden/>
              </w:rPr>
              <w:fldChar w:fldCharType="separate"/>
            </w:r>
            <w:r>
              <w:rPr>
                <w:noProof/>
                <w:webHidden/>
              </w:rPr>
              <w:t>48</w:t>
            </w:r>
            <w:r>
              <w:rPr>
                <w:noProof/>
                <w:webHidden/>
              </w:rPr>
              <w:fldChar w:fldCharType="end"/>
            </w:r>
          </w:hyperlink>
        </w:p>
        <w:p w14:paraId="41EFC82A" w14:textId="1AAFB325" w:rsidR="009D0591" w:rsidRDefault="009D0591">
          <w:pPr>
            <w:pStyle w:val="TOC3"/>
            <w:tabs>
              <w:tab w:val="right" w:leader="dot" w:pos="9350"/>
            </w:tabs>
            <w:rPr>
              <w:rFonts w:asciiTheme="minorHAnsi" w:hAnsiTheme="minorHAnsi"/>
              <w:noProof/>
              <w:color w:val="auto"/>
              <w:sz w:val="22"/>
              <w:lang w:val="ru-RU" w:eastAsia="ru-RU"/>
            </w:rPr>
          </w:pPr>
          <w:hyperlink w:anchor="_Toc229599049" w:history="1">
            <w:r w:rsidRPr="00D351EB">
              <w:rPr>
                <w:rStyle w:val="Hyperlink"/>
                <w:rFonts w:cs="Times New Roman"/>
                <w:noProof/>
              </w:rPr>
              <w:t>4.2.1 Founding Logic and Digital-First Model</w:t>
            </w:r>
            <w:r>
              <w:rPr>
                <w:noProof/>
                <w:webHidden/>
              </w:rPr>
              <w:tab/>
            </w:r>
            <w:r>
              <w:rPr>
                <w:noProof/>
                <w:webHidden/>
              </w:rPr>
              <w:fldChar w:fldCharType="begin"/>
            </w:r>
            <w:r>
              <w:rPr>
                <w:noProof/>
                <w:webHidden/>
              </w:rPr>
              <w:instrText xml:space="preserve"> PAGEREF _Toc229599049 \h </w:instrText>
            </w:r>
            <w:r>
              <w:rPr>
                <w:noProof/>
                <w:webHidden/>
              </w:rPr>
            </w:r>
            <w:r>
              <w:rPr>
                <w:noProof/>
                <w:webHidden/>
              </w:rPr>
              <w:fldChar w:fldCharType="separate"/>
            </w:r>
            <w:r>
              <w:rPr>
                <w:noProof/>
                <w:webHidden/>
              </w:rPr>
              <w:t>48</w:t>
            </w:r>
            <w:r>
              <w:rPr>
                <w:noProof/>
                <w:webHidden/>
              </w:rPr>
              <w:fldChar w:fldCharType="end"/>
            </w:r>
          </w:hyperlink>
        </w:p>
        <w:p w14:paraId="26DEDB7C" w14:textId="7B9E5EF8" w:rsidR="009D0591" w:rsidRDefault="009D0591">
          <w:pPr>
            <w:pStyle w:val="TOC3"/>
            <w:tabs>
              <w:tab w:val="right" w:leader="dot" w:pos="9350"/>
            </w:tabs>
            <w:rPr>
              <w:rFonts w:asciiTheme="minorHAnsi" w:hAnsiTheme="minorHAnsi"/>
              <w:noProof/>
              <w:color w:val="auto"/>
              <w:sz w:val="22"/>
              <w:lang w:val="ru-RU" w:eastAsia="ru-RU"/>
            </w:rPr>
          </w:pPr>
          <w:hyperlink w:anchor="_Toc229599050" w:history="1">
            <w:r w:rsidRPr="00D351EB">
              <w:rPr>
                <w:rStyle w:val="Hyperlink"/>
                <w:rFonts w:cs="Times New Roman"/>
                <w:noProof/>
              </w:rPr>
              <w:t>4.2.2 Growth, Contraction, and the Strategic Case for Automation</w:t>
            </w:r>
            <w:r>
              <w:rPr>
                <w:noProof/>
                <w:webHidden/>
              </w:rPr>
              <w:tab/>
            </w:r>
            <w:r>
              <w:rPr>
                <w:noProof/>
                <w:webHidden/>
              </w:rPr>
              <w:fldChar w:fldCharType="begin"/>
            </w:r>
            <w:r>
              <w:rPr>
                <w:noProof/>
                <w:webHidden/>
              </w:rPr>
              <w:instrText xml:space="preserve"> PAGEREF _Toc229599050 \h </w:instrText>
            </w:r>
            <w:r>
              <w:rPr>
                <w:noProof/>
                <w:webHidden/>
              </w:rPr>
            </w:r>
            <w:r>
              <w:rPr>
                <w:noProof/>
                <w:webHidden/>
              </w:rPr>
              <w:fldChar w:fldCharType="separate"/>
            </w:r>
            <w:r>
              <w:rPr>
                <w:noProof/>
                <w:webHidden/>
              </w:rPr>
              <w:t>49</w:t>
            </w:r>
            <w:r>
              <w:rPr>
                <w:noProof/>
                <w:webHidden/>
              </w:rPr>
              <w:fldChar w:fldCharType="end"/>
            </w:r>
          </w:hyperlink>
        </w:p>
        <w:p w14:paraId="4E96F0EC" w14:textId="30D96667" w:rsidR="009D0591" w:rsidRDefault="009D0591">
          <w:pPr>
            <w:pStyle w:val="TOC2"/>
            <w:tabs>
              <w:tab w:val="right" w:leader="dot" w:pos="9350"/>
            </w:tabs>
            <w:rPr>
              <w:rFonts w:asciiTheme="minorHAnsi" w:hAnsiTheme="minorHAnsi"/>
              <w:noProof/>
              <w:color w:val="auto"/>
              <w:sz w:val="22"/>
              <w:lang w:val="ru-RU" w:eastAsia="ru-RU"/>
            </w:rPr>
          </w:pPr>
          <w:hyperlink w:anchor="_Toc229599051" w:history="1">
            <w:r w:rsidRPr="00D351EB">
              <w:rPr>
                <w:rStyle w:val="Hyperlink"/>
                <w:rFonts w:cs="Times New Roman"/>
                <w:noProof/>
              </w:rPr>
              <w:t>4.3 The Mortgage Origination Process as the Operational Context</w:t>
            </w:r>
            <w:r>
              <w:rPr>
                <w:noProof/>
                <w:webHidden/>
              </w:rPr>
              <w:tab/>
            </w:r>
            <w:r>
              <w:rPr>
                <w:noProof/>
                <w:webHidden/>
              </w:rPr>
              <w:fldChar w:fldCharType="begin"/>
            </w:r>
            <w:r>
              <w:rPr>
                <w:noProof/>
                <w:webHidden/>
              </w:rPr>
              <w:instrText xml:space="preserve"> PAGEREF _Toc229599051 \h </w:instrText>
            </w:r>
            <w:r>
              <w:rPr>
                <w:noProof/>
                <w:webHidden/>
              </w:rPr>
            </w:r>
            <w:r>
              <w:rPr>
                <w:noProof/>
                <w:webHidden/>
              </w:rPr>
              <w:fldChar w:fldCharType="separate"/>
            </w:r>
            <w:r>
              <w:rPr>
                <w:noProof/>
                <w:webHidden/>
              </w:rPr>
              <w:t>50</w:t>
            </w:r>
            <w:r>
              <w:rPr>
                <w:noProof/>
                <w:webHidden/>
              </w:rPr>
              <w:fldChar w:fldCharType="end"/>
            </w:r>
          </w:hyperlink>
        </w:p>
        <w:p w14:paraId="0FA57583" w14:textId="4BDEAF66" w:rsidR="009D0591" w:rsidRDefault="009D0591">
          <w:pPr>
            <w:pStyle w:val="TOC2"/>
            <w:tabs>
              <w:tab w:val="right" w:leader="dot" w:pos="9350"/>
            </w:tabs>
            <w:rPr>
              <w:rFonts w:asciiTheme="minorHAnsi" w:hAnsiTheme="minorHAnsi"/>
              <w:noProof/>
              <w:color w:val="auto"/>
              <w:sz w:val="22"/>
              <w:lang w:val="ru-RU" w:eastAsia="ru-RU"/>
            </w:rPr>
          </w:pPr>
          <w:hyperlink w:anchor="_Toc229599052" w:history="1">
            <w:r w:rsidRPr="00D351EB">
              <w:rPr>
                <w:rStyle w:val="Hyperlink"/>
                <w:rFonts w:cs="Times New Roman"/>
                <w:noProof/>
              </w:rPr>
              <w:t>4.4 The Tinman Platform: Technological Foundation for Voice AI</w:t>
            </w:r>
            <w:r>
              <w:rPr>
                <w:noProof/>
                <w:webHidden/>
              </w:rPr>
              <w:tab/>
            </w:r>
            <w:r>
              <w:rPr>
                <w:noProof/>
                <w:webHidden/>
              </w:rPr>
              <w:fldChar w:fldCharType="begin"/>
            </w:r>
            <w:r>
              <w:rPr>
                <w:noProof/>
                <w:webHidden/>
              </w:rPr>
              <w:instrText xml:space="preserve"> PAGEREF _Toc229599052 \h </w:instrText>
            </w:r>
            <w:r>
              <w:rPr>
                <w:noProof/>
                <w:webHidden/>
              </w:rPr>
            </w:r>
            <w:r>
              <w:rPr>
                <w:noProof/>
                <w:webHidden/>
              </w:rPr>
              <w:fldChar w:fldCharType="separate"/>
            </w:r>
            <w:r>
              <w:rPr>
                <w:noProof/>
                <w:webHidden/>
              </w:rPr>
              <w:t>52</w:t>
            </w:r>
            <w:r>
              <w:rPr>
                <w:noProof/>
                <w:webHidden/>
              </w:rPr>
              <w:fldChar w:fldCharType="end"/>
            </w:r>
          </w:hyperlink>
        </w:p>
        <w:p w14:paraId="5999EC05" w14:textId="67FB7F3F" w:rsidR="009D0591" w:rsidRDefault="009D0591">
          <w:pPr>
            <w:pStyle w:val="TOC2"/>
            <w:tabs>
              <w:tab w:val="right" w:leader="dot" w:pos="9350"/>
            </w:tabs>
            <w:rPr>
              <w:rFonts w:asciiTheme="minorHAnsi" w:hAnsiTheme="minorHAnsi"/>
              <w:noProof/>
              <w:color w:val="auto"/>
              <w:sz w:val="22"/>
              <w:lang w:val="ru-RU" w:eastAsia="ru-RU"/>
            </w:rPr>
          </w:pPr>
          <w:hyperlink w:anchor="_Toc229599053" w:history="1">
            <w:r w:rsidRPr="00D351EB">
              <w:rPr>
                <w:rStyle w:val="Hyperlink"/>
                <w:rFonts w:cs="Times New Roman"/>
                <w:noProof/>
              </w:rPr>
              <w:t>4.5 Betsy: Better.com’s Voice AI Loan Assistant</w:t>
            </w:r>
            <w:r>
              <w:rPr>
                <w:noProof/>
                <w:webHidden/>
              </w:rPr>
              <w:tab/>
            </w:r>
            <w:r>
              <w:rPr>
                <w:noProof/>
                <w:webHidden/>
              </w:rPr>
              <w:fldChar w:fldCharType="begin"/>
            </w:r>
            <w:r>
              <w:rPr>
                <w:noProof/>
                <w:webHidden/>
              </w:rPr>
              <w:instrText xml:space="preserve"> PAGEREF _Toc229599053 \h </w:instrText>
            </w:r>
            <w:r>
              <w:rPr>
                <w:noProof/>
                <w:webHidden/>
              </w:rPr>
            </w:r>
            <w:r>
              <w:rPr>
                <w:noProof/>
                <w:webHidden/>
              </w:rPr>
              <w:fldChar w:fldCharType="separate"/>
            </w:r>
            <w:r>
              <w:rPr>
                <w:noProof/>
                <w:webHidden/>
              </w:rPr>
              <w:t>54</w:t>
            </w:r>
            <w:r>
              <w:rPr>
                <w:noProof/>
                <w:webHidden/>
              </w:rPr>
              <w:fldChar w:fldCharType="end"/>
            </w:r>
          </w:hyperlink>
        </w:p>
        <w:p w14:paraId="010055F6" w14:textId="216184F4" w:rsidR="009D0591" w:rsidRDefault="009D0591">
          <w:pPr>
            <w:pStyle w:val="TOC3"/>
            <w:tabs>
              <w:tab w:val="right" w:leader="dot" w:pos="9350"/>
            </w:tabs>
            <w:rPr>
              <w:rFonts w:asciiTheme="minorHAnsi" w:hAnsiTheme="minorHAnsi"/>
              <w:noProof/>
              <w:color w:val="auto"/>
              <w:sz w:val="22"/>
              <w:lang w:val="ru-RU" w:eastAsia="ru-RU"/>
            </w:rPr>
          </w:pPr>
          <w:hyperlink w:anchor="_Toc229599054" w:history="1">
            <w:r w:rsidRPr="00D351EB">
              <w:rPr>
                <w:rStyle w:val="Hyperlink"/>
                <w:rFonts w:cs="Times New Roman"/>
                <w:noProof/>
              </w:rPr>
              <w:t>4.5.1 Launch, Purpose, and Functional Role</w:t>
            </w:r>
            <w:r>
              <w:rPr>
                <w:noProof/>
                <w:webHidden/>
              </w:rPr>
              <w:tab/>
            </w:r>
            <w:r>
              <w:rPr>
                <w:noProof/>
                <w:webHidden/>
              </w:rPr>
              <w:fldChar w:fldCharType="begin"/>
            </w:r>
            <w:r>
              <w:rPr>
                <w:noProof/>
                <w:webHidden/>
              </w:rPr>
              <w:instrText xml:space="preserve"> PAGEREF _Toc229599054 \h </w:instrText>
            </w:r>
            <w:r>
              <w:rPr>
                <w:noProof/>
                <w:webHidden/>
              </w:rPr>
            </w:r>
            <w:r>
              <w:rPr>
                <w:noProof/>
                <w:webHidden/>
              </w:rPr>
              <w:fldChar w:fldCharType="separate"/>
            </w:r>
            <w:r>
              <w:rPr>
                <w:noProof/>
                <w:webHidden/>
              </w:rPr>
              <w:t>54</w:t>
            </w:r>
            <w:r>
              <w:rPr>
                <w:noProof/>
                <w:webHidden/>
              </w:rPr>
              <w:fldChar w:fldCharType="end"/>
            </w:r>
          </w:hyperlink>
        </w:p>
        <w:p w14:paraId="04EE5F31" w14:textId="37636BD0" w:rsidR="009D0591" w:rsidRDefault="009D0591">
          <w:pPr>
            <w:pStyle w:val="TOC3"/>
            <w:tabs>
              <w:tab w:val="right" w:leader="dot" w:pos="9350"/>
            </w:tabs>
            <w:rPr>
              <w:rFonts w:asciiTheme="minorHAnsi" w:hAnsiTheme="minorHAnsi"/>
              <w:noProof/>
              <w:color w:val="auto"/>
              <w:sz w:val="22"/>
              <w:lang w:val="ru-RU" w:eastAsia="ru-RU"/>
            </w:rPr>
          </w:pPr>
          <w:hyperlink w:anchor="_Toc229599055" w:history="1">
            <w:r w:rsidRPr="00D351EB">
              <w:rPr>
                <w:rStyle w:val="Hyperlink"/>
                <w:rFonts w:cs="Times New Roman"/>
                <w:noProof/>
              </w:rPr>
              <w:t>4.5.2 Human-AI Collaboration Model</w:t>
            </w:r>
            <w:r>
              <w:rPr>
                <w:noProof/>
                <w:webHidden/>
              </w:rPr>
              <w:tab/>
            </w:r>
            <w:r>
              <w:rPr>
                <w:noProof/>
                <w:webHidden/>
              </w:rPr>
              <w:fldChar w:fldCharType="begin"/>
            </w:r>
            <w:r>
              <w:rPr>
                <w:noProof/>
                <w:webHidden/>
              </w:rPr>
              <w:instrText xml:space="preserve"> PAGEREF _Toc229599055 \h </w:instrText>
            </w:r>
            <w:r>
              <w:rPr>
                <w:noProof/>
                <w:webHidden/>
              </w:rPr>
            </w:r>
            <w:r>
              <w:rPr>
                <w:noProof/>
                <w:webHidden/>
              </w:rPr>
              <w:fldChar w:fldCharType="separate"/>
            </w:r>
            <w:r>
              <w:rPr>
                <w:noProof/>
                <w:webHidden/>
              </w:rPr>
              <w:t>55</w:t>
            </w:r>
            <w:r>
              <w:rPr>
                <w:noProof/>
                <w:webHidden/>
              </w:rPr>
              <w:fldChar w:fldCharType="end"/>
            </w:r>
          </w:hyperlink>
        </w:p>
        <w:p w14:paraId="47C67D58" w14:textId="5FA6EE02" w:rsidR="009D0591" w:rsidRDefault="009D0591">
          <w:pPr>
            <w:pStyle w:val="TOC2"/>
            <w:tabs>
              <w:tab w:val="right" w:leader="dot" w:pos="9350"/>
            </w:tabs>
            <w:rPr>
              <w:rFonts w:asciiTheme="minorHAnsi" w:hAnsiTheme="minorHAnsi"/>
              <w:noProof/>
              <w:color w:val="auto"/>
              <w:sz w:val="22"/>
              <w:lang w:val="ru-RU" w:eastAsia="ru-RU"/>
            </w:rPr>
          </w:pPr>
          <w:hyperlink w:anchor="_Toc229599056" w:history="1">
            <w:r w:rsidRPr="00D351EB">
              <w:rPr>
                <w:rStyle w:val="Hyperlink"/>
                <w:rFonts w:cs="Times New Roman"/>
                <w:noProof/>
              </w:rPr>
              <w:t>4.6 ElevenLabs as Voice Infrastructure Provider</w:t>
            </w:r>
            <w:r>
              <w:rPr>
                <w:noProof/>
                <w:webHidden/>
              </w:rPr>
              <w:tab/>
            </w:r>
            <w:r>
              <w:rPr>
                <w:noProof/>
                <w:webHidden/>
              </w:rPr>
              <w:fldChar w:fldCharType="begin"/>
            </w:r>
            <w:r>
              <w:rPr>
                <w:noProof/>
                <w:webHidden/>
              </w:rPr>
              <w:instrText xml:space="preserve"> PAGEREF _Toc229599056 \h </w:instrText>
            </w:r>
            <w:r>
              <w:rPr>
                <w:noProof/>
                <w:webHidden/>
              </w:rPr>
            </w:r>
            <w:r>
              <w:rPr>
                <w:noProof/>
                <w:webHidden/>
              </w:rPr>
              <w:fldChar w:fldCharType="separate"/>
            </w:r>
            <w:r>
              <w:rPr>
                <w:noProof/>
                <w:webHidden/>
              </w:rPr>
              <w:t>56</w:t>
            </w:r>
            <w:r>
              <w:rPr>
                <w:noProof/>
                <w:webHidden/>
              </w:rPr>
              <w:fldChar w:fldCharType="end"/>
            </w:r>
          </w:hyperlink>
        </w:p>
        <w:p w14:paraId="24C37431" w14:textId="3ABF9DF4" w:rsidR="009D0591" w:rsidRDefault="009D0591">
          <w:pPr>
            <w:pStyle w:val="TOC2"/>
            <w:tabs>
              <w:tab w:val="right" w:leader="dot" w:pos="9350"/>
            </w:tabs>
            <w:rPr>
              <w:rFonts w:asciiTheme="minorHAnsi" w:hAnsiTheme="minorHAnsi"/>
              <w:noProof/>
              <w:color w:val="auto"/>
              <w:sz w:val="22"/>
              <w:lang w:val="ru-RU" w:eastAsia="ru-RU"/>
            </w:rPr>
          </w:pPr>
          <w:hyperlink w:anchor="_Toc229599057" w:history="1">
            <w:r w:rsidRPr="00D351EB">
              <w:rPr>
                <w:rStyle w:val="Hyperlink"/>
                <w:rFonts w:cs="Times New Roman"/>
                <w:noProof/>
              </w:rPr>
              <w:t>4.7 Implementation Timeline</w:t>
            </w:r>
            <w:r>
              <w:rPr>
                <w:noProof/>
                <w:webHidden/>
              </w:rPr>
              <w:tab/>
            </w:r>
            <w:r>
              <w:rPr>
                <w:noProof/>
                <w:webHidden/>
              </w:rPr>
              <w:fldChar w:fldCharType="begin"/>
            </w:r>
            <w:r>
              <w:rPr>
                <w:noProof/>
                <w:webHidden/>
              </w:rPr>
              <w:instrText xml:space="preserve"> PAGEREF _Toc229599057 \h </w:instrText>
            </w:r>
            <w:r>
              <w:rPr>
                <w:noProof/>
                <w:webHidden/>
              </w:rPr>
            </w:r>
            <w:r>
              <w:rPr>
                <w:noProof/>
                <w:webHidden/>
              </w:rPr>
              <w:fldChar w:fldCharType="separate"/>
            </w:r>
            <w:r>
              <w:rPr>
                <w:noProof/>
                <w:webHidden/>
              </w:rPr>
              <w:t>57</w:t>
            </w:r>
            <w:r>
              <w:rPr>
                <w:noProof/>
                <w:webHidden/>
              </w:rPr>
              <w:fldChar w:fldCharType="end"/>
            </w:r>
          </w:hyperlink>
        </w:p>
        <w:p w14:paraId="794D4082" w14:textId="34B5D9CA" w:rsidR="009D0591" w:rsidRDefault="009D0591">
          <w:pPr>
            <w:pStyle w:val="TOC2"/>
            <w:tabs>
              <w:tab w:val="right" w:leader="dot" w:pos="9350"/>
            </w:tabs>
            <w:rPr>
              <w:rFonts w:asciiTheme="minorHAnsi" w:hAnsiTheme="minorHAnsi"/>
              <w:noProof/>
              <w:color w:val="auto"/>
              <w:sz w:val="22"/>
              <w:lang w:val="ru-RU" w:eastAsia="ru-RU"/>
            </w:rPr>
          </w:pPr>
          <w:hyperlink w:anchor="_Toc229599058" w:history="1">
            <w:r w:rsidRPr="00D351EB">
              <w:rPr>
                <w:rStyle w:val="Hyperlink"/>
                <w:rFonts w:cs="Times New Roman"/>
                <w:noProof/>
              </w:rPr>
              <w:t>4.8 Chapter Summary</w:t>
            </w:r>
            <w:r>
              <w:rPr>
                <w:noProof/>
                <w:webHidden/>
              </w:rPr>
              <w:tab/>
            </w:r>
            <w:r>
              <w:rPr>
                <w:noProof/>
                <w:webHidden/>
              </w:rPr>
              <w:fldChar w:fldCharType="begin"/>
            </w:r>
            <w:r>
              <w:rPr>
                <w:noProof/>
                <w:webHidden/>
              </w:rPr>
              <w:instrText xml:space="preserve"> PAGEREF _Toc229599058 \h </w:instrText>
            </w:r>
            <w:r>
              <w:rPr>
                <w:noProof/>
                <w:webHidden/>
              </w:rPr>
            </w:r>
            <w:r>
              <w:rPr>
                <w:noProof/>
                <w:webHidden/>
              </w:rPr>
              <w:fldChar w:fldCharType="separate"/>
            </w:r>
            <w:r>
              <w:rPr>
                <w:noProof/>
                <w:webHidden/>
              </w:rPr>
              <w:t>59</w:t>
            </w:r>
            <w:r>
              <w:rPr>
                <w:noProof/>
                <w:webHidden/>
              </w:rPr>
              <w:fldChar w:fldCharType="end"/>
            </w:r>
          </w:hyperlink>
        </w:p>
        <w:p w14:paraId="23B0AAB9" w14:textId="21764A7E" w:rsidR="009D0591" w:rsidRDefault="009D0591">
          <w:pPr>
            <w:pStyle w:val="TOC1"/>
            <w:tabs>
              <w:tab w:val="right" w:leader="dot" w:pos="9350"/>
            </w:tabs>
            <w:rPr>
              <w:rFonts w:asciiTheme="minorHAnsi" w:hAnsiTheme="minorHAnsi"/>
              <w:noProof/>
              <w:color w:val="auto"/>
              <w:sz w:val="22"/>
              <w:lang w:val="ru-RU" w:eastAsia="ru-RU"/>
            </w:rPr>
          </w:pPr>
          <w:hyperlink w:anchor="_Toc229599059" w:history="1">
            <w:r w:rsidRPr="00D351EB">
              <w:rPr>
                <w:rStyle w:val="Hyperlink"/>
                <w:rFonts w:cs="Times New Roman"/>
                <w:noProof/>
              </w:rPr>
              <w:t>5. Empirical Findings: Triangulated Evidence on the Business Value of Voice AI at Better.com</w:t>
            </w:r>
            <w:r>
              <w:rPr>
                <w:noProof/>
                <w:webHidden/>
              </w:rPr>
              <w:tab/>
            </w:r>
            <w:r>
              <w:rPr>
                <w:noProof/>
                <w:webHidden/>
              </w:rPr>
              <w:fldChar w:fldCharType="begin"/>
            </w:r>
            <w:r>
              <w:rPr>
                <w:noProof/>
                <w:webHidden/>
              </w:rPr>
              <w:instrText xml:space="preserve"> PAGEREF _Toc229599059 \h </w:instrText>
            </w:r>
            <w:r>
              <w:rPr>
                <w:noProof/>
                <w:webHidden/>
              </w:rPr>
            </w:r>
            <w:r>
              <w:rPr>
                <w:noProof/>
                <w:webHidden/>
              </w:rPr>
              <w:fldChar w:fldCharType="separate"/>
            </w:r>
            <w:r>
              <w:rPr>
                <w:noProof/>
                <w:webHidden/>
              </w:rPr>
              <w:t>60</w:t>
            </w:r>
            <w:r>
              <w:rPr>
                <w:noProof/>
                <w:webHidden/>
              </w:rPr>
              <w:fldChar w:fldCharType="end"/>
            </w:r>
          </w:hyperlink>
        </w:p>
        <w:p w14:paraId="4B923979" w14:textId="6B981D32" w:rsidR="009D0591" w:rsidRDefault="009D0591">
          <w:pPr>
            <w:pStyle w:val="TOC2"/>
            <w:tabs>
              <w:tab w:val="right" w:leader="dot" w:pos="9350"/>
            </w:tabs>
            <w:rPr>
              <w:rFonts w:asciiTheme="minorHAnsi" w:hAnsiTheme="minorHAnsi"/>
              <w:noProof/>
              <w:color w:val="auto"/>
              <w:sz w:val="22"/>
              <w:lang w:val="ru-RU" w:eastAsia="ru-RU"/>
            </w:rPr>
          </w:pPr>
          <w:hyperlink w:anchor="_Toc229599060" w:history="1">
            <w:r w:rsidRPr="00D351EB">
              <w:rPr>
                <w:rStyle w:val="Hyperlink"/>
                <w:rFonts w:cs="Times New Roman"/>
                <w:noProof/>
              </w:rPr>
              <w:t>5.1 Introduction to Empirical Findings</w:t>
            </w:r>
            <w:r>
              <w:rPr>
                <w:noProof/>
                <w:webHidden/>
              </w:rPr>
              <w:tab/>
            </w:r>
            <w:r>
              <w:rPr>
                <w:noProof/>
                <w:webHidden/>
              </w:rPr>
              <w:fldChar w:fldCharType="begin"/>
            </w:r>
            <w:r>
              <w:rPr>
                <w:noProof/>
                <w:webHidden/>
              </w:rPr>
              <w:instrText xml:space="preserve"> PAGEREF _Toc229599060 \h </w:instrText>
            </w:r>
            <w:r>
              <w:rPr>
                <w:noProof/>
                <w:webHidden/>
              </w:rPr>
            </w:r>
            <w:r>
              <w:rPr>
                <w:noProof/>
                <w:webHidden/>
              </w:rPr>
              <w:fldChar w:fldCharType="separate"/>
            </w:r>
            <w:r>
              <w:rPr>
                <w:noProof/>
                <w:webHidden/>
              </w:rPr>
              <w:t>60</w:t>
            </w:r>
            <w:r>
              <w:rPr>
                <w:noProof/>
                <w:webHidden/>
              </w:rPr>
              <w:fldChar w:fldCharType="end"/>
            </w:r>
          </w:hyperlink>
        </w:p>
        <w:p w14:paraId="43B3AEA0" w14:textId="043798CC" w:rsidR="009D0591" w:rsidRDefault="009D0591">
          <w:pPr>
            <w:pStyle w:val="TOC2"/>
            <w:tabs>
              <w:tab w:val="right" w:leader="dot" w:pos="9350"/>
            </w:tabs>
            <w:rPr>
              <w:rFonts w:asciiTheme="minorHAnsi" w:hAnsiTheme="minorHAnsi"/>
              <w:noProof/>
              <w:color w:val="auto"/>
              <w:sz w:val="22"/>
              <w:lang w:val="ru-RU" w:eastAsia="ru-RU"/>
            </w:rPr>
          </w:pPr>
          <w:hyperlink w:anchor="_Toc229599061" w:history="1">
            <w:r w:rsidRPr="00D351EB">
              <w:rPr>
                <w:rStyle w:val="Hyperlink"/>
                <w:rFonts w:cs="Times New Roman"/>
                <w:noProof/>
              </w:rPr>
              <w:t>5.2 RQ1: Integration of Voice LLM Agents into Mortgage Origination</w:t>
            </w:r>
            <w:r>
              <w:rPr>
                <w:noProof/>
                <w:webHidden/>
              </w:rPr>
              <w:tab/>
            </w:r>
            <w:r>
              <w:rPr>
                <w:noProof/>
                <w:webHidden/>
              </w:rPr>
              <w:fldChar w:fldCharType="begin"/>
            </w:r>
            <w:r>
              <w:rPr>
                <w:noProof/>
                <w:webHidden/>
              </w:rPr>
              <w:instrText xml:space="preserve"> PAGEREF _Toc229599061 \h </w:instrText>
            </w:r>
            <w:r>
              <w:rPr>
                <w:noProof/>
                <w:webHidden/>
              </w:rPr>
            </w:r>
            <w:r>
              <w:rPr>
                <w:noProof/>
                <w:webHidden/>
              </w:rPr>
              <w:fldChar w:fldCharType="separate"/>
            </w:r>
            <w:r>
              <w:rPr>
                <w:noProof/>
                <w:webHidden/>
              </w:rPr>
              <w:t>61</w:t>
            </w:r>
            <w:r>
              <w:rPr>
                <w:noProof/>
                <w:webHidden/>
              </w:rPr>
              <w:fldChar w:fldCharType="end"/>
            </w:r>
          </w:hyperlink>
        </w:p>
        <w:p w14:paraId="5F3EF788" w14:textId="693F6007" w:rsidR="009D0591" w:rsidRDefault="009D0591">
          <w:pPr>
            <w:pStyle w:val="TOC3"/>
            <w:tabs>
              <w:tab w:val="right" w:leader="dot" w:pos="9350"/>
            </w:tabs>
            <w:rPr>
              <w:rFonts w:asciiTheme="minorHAnsi" w:hAnsiTheme="minorHAnsi"/>
              <w:noProof/>
              <w:color w:val="auto"/>
              <w:sz w:val="22"/>
              <w:lang w:val="ru-RU" w:eastAsia="ru-RU"/>
            </w:rPr>
          </w:pPr>
          <w:hyperlink w:anchor="_Toc229599062" w:history="1">
            <w:r w:rsidRPr="00D351EB">
              <w:rPr>
                <w:rStyle w:val="Hyperlink"/>
                <w:rFonts w:cs="Times New Roman"/>
                <w:noProof/>
              </w:rPr>
              <w:t>5.2.1 Tinman as the Architectural Prerequisite</w:t>
            </w:r>
            <w:r>
              <w:rPr>
                <w:noProof/>
                <w:webHidden/>
              </w:rPr>
              <w:tab/>
            </w:r>
            <w:r>
              <w:rPr>
                <w:noProof/>
                <w:webHidden/>
              </w:rPr>
              <w:fldChar w:fldCharType="begin"/>
            </w:r>
            <w:r>
              <w:rPr>
                <w:noProof/>
                <w:webHidden/>
              </w:rPr>
              <w:instrText xml:space="preserve"> PAGEREF _Toc229599062 \h </w:instrText>
            </w:r>
            <w:r>
              <w:rPr>
                <w:noProof/>
                <w:webHidden/>
              </w:rPr>
            </w:r>
            <w:r>
              <w:rPr>
                <w:noProof/>
                <w:webHidden/>
              </w:rPr>
              <w:fldChar w:fldCharType="separate"/>
            </w:r>
            <w:r>
              <w:rPr>
                <w:noProof/>
                <w:webHidden/>
              </w:rPr>
              <w:t>61</w:t>
            </w:r>
            <w:r>
              <w:rPr>
                <w:noProof/>
                <w:webHidden/>
              </w:rPr>
              <w:fldChar w:fldCharType="end"/>
            </w:r>
          </w:hyperlink>
        </w:p>
        <w:p w14:paraId="0DAAFA38" w14:textId="0E7671E6" w:rsidR="009D0591" w:rsidRDefault="009D0591">
          <w:pPr>
            <w:pStyle w:val="TOC3"/>
            <w:tabs>
              <w:tab w:val="right" w:leader="dot" w:pos="9350"/>
            </w:tabs>
            <w:rPr>
              <w:rFonts w:asciiTheme="minorHAnsi" w:hAnsiTheme="minorHAnsi"/>
              <w:noProof/>
              <w:color w:val="auto"/>
              <w:sz w:val="22"/>
              <w:lang w:val="ru-RU" w:eastAsia="ru-RU"/>
            </w:rPr>
          </w:pPr>
          <w:hyperlink w:anchor="_Toc229599063" w:history="1">
            <w:r w:rsidRPr="00D351EB">
              <w:rPr>
                <w:rStyle w:val="Hyperlink"/>
                <w:rFonts w:cs="Times New Roman"/>
                <w:noProof/>
              </w:rPr>
              <w:t>5.2.2 Betsy as a Conversational Coordination Layer</w:t>
            </w:r>
            <w:r>
              <w:rPr>
                <w:noProof/>
                <w:webHidden/>
              </w:rPr>
              <w:tab/>
            </w:r>
            <w:r>
              <w:rPr>
                <w:noProof/>
                <w:webHidden/>
              </w:rPr>
              <w:fldChar w:fldCharType="begin"/>
            </w:r>
            <w:r>
              <w:rPr>
                <w:noProof/>
                <w:webHidden/>
              </w:rPr>
              <w:instrText xml:space="preserve"> PAGEREF _Toc229599063 \h </w:instrText>
            </w:r>
            <w:r>
              <w:rPr>
                <w:noProof/>
                <w:webHidden/>
              </w:rPr>
            </w:r>
            <w:r>
              <w:rPr>
                <w:noProof/>
                <w:webHidden/>
              </w:rPr>
              <w:fldChar w:fldCharType="separate"/>
            </w:r>
            <w:r>
              <w:rPr>
                <w:noProof/>
                <w:webHidden/>
              </w:rPr>
              <w:t>62</w:t>
            </w:r>
            <w:r>
              <w:rPr>
                <w:noProof/>
                <w:webHidden/>
              </w:rPr>
              <w:fldChar w:fldCharType="end"/>
            </w:r>
          </w:hyperlink>
        </w:p>
        <w:p w14:paraId="734DF9B4" w14:textId="30725524" w:rsidR="009D0591" w:rsidRDefault="009D0591">
          <w:pPr>
            <w:pStyle w:val="TOC3"/>
            <w:tabs>
              <w:tab w:val="right" w:leader="dot" w:pos="9350"/>
            </w:tabs>
            <w:rPr>
              <w:rFonts w:asciiTheme="minorHAnsi" w:hAnsiTheme="minorHAnsi"/>
              <w:noProof/>
              <w:color w:val="auto"/>
              <w:sz w:val="22"/>
              <w:lang w:val="ru-RU" w:eastAsia="ru-RU"/>
            </w:rPr>
          </w:pPr>
          <w:hyperlink w:anchor="_Toc229599064" w:history="1">
            <w:r w:rsidRPr="00D351EB">
              <w:rPr>
                <w:rStyle w:val="Hyperlink"/>
                <w:rFonts w:cs="Times New Roman"/>
                <w:noProof/>
              </w:rPr>
              <w:t>5.2.3 ElevenLabs as Voice Infrastructure</w:t>
            </w:r>
            <w:r>
              <w:rPr>
                <w:noProof/>
                <w:webHidden/>
              </w:rPr>
              <w:tab/>
            </w:r>
            <w:r>
              <w:rPr>
                <w:noProof/>
                <w:webHidden/>
              </w:rPr>
              <w:fldChar w:fldCharType="begin"/>
            </w:r>
            <w:r>
              <w:rPr>
                <w:noProof/>
                <w:webHidden/>
              </w:rPr>
              <w:instrText xml:space="preserve"> PAGEREF _Toc229599064 \h </w:instrText>
            </w:r>
            <w:r>
              <w:rPr>
                <w:noProof/>
                <w:webHidden/>
              </w:rPr>
            </w:r>
            <w:r>
              <w:rPr>
                <w:noProof/>
                <w:webHidden/>
              </w:rPr>
              <w:fldChar w:fldCharType="separate"/>
            </w:r>
            <w:r>
              <w:rPr>
                <w:noProof/>
                <w:webHidden/>
              </w:rPr>
              <w:t>63</w:t>
            </w:r>
            <w:r>
              <w:rPr>
                <w:noProof/>
                <w:webHidden/>
              </w:rPr>
              <w:fldChar w:fldCharType="end"/>
            </w:r>
          </w:hyperlink>
        </w:p>
        <w:p w14:paraId="1171538C" w14:textId="3D0431AC" w:rsidR="009D0591" w:rsidRDefault="009D0591">
          <w:pPr>
            <w:pStyle w:val="TOC3"/>
            <w:tabs>
              <w:tab w:val="right" w:leader="dot" w:pos="9350"/>
            </w:tabs>
            <w:rPr>
              <w:rFonts w:asciiTheme="minorHAnsi" w:hAnsiTheme="minorHAnsi"/>
              <w:noProof/>
              <w:color w:val="auto"/>
              <w:sz w:val="22"/>
              <w:lang w:val="ru-RU" w:eastAsia="ru-RU"/>
            </w:rPr>
          </w:pPr>
          <w:hyperlink w:anchor="_Toc229599065" w:history="1">
            <w:r w:rsidRPr="00D351EB">
              <w:rPr>
                <w:rStyle w:val="Hyperlink"/>
                <w:rFonts w:cs="Times New Roman"/>
                <w:noProof/>
              </w:rPr>
              <w:t>5.2.4 Human-AI Collaboration and Regulated Task Boundaries</w:t>
            </w:r>
            <w:r>
              <w:rPr>
                <w:noProof/>
                <w:webHidden/>
              </w:rPr>
              <w:tab/>
            </w:r>
            <w:r>
              <w:rPr>
                <w:noProof/>
                <w:webHidden/>
              </w:rPr>
              <w:fldChar w:fldCharType="begin"/>
            </w:r>
            <w:r>
              <w:rPr>
                <w:noProof/>
                <w:webHidden/>
              </w:rPr>
              <w:instrText xml:space="preserve"> PAGEREF _Toc229599065 \h </w:instrText>
            </w:r>
            <w:r>
              <w:rPr>
                <w:noProof/>
                <w:webHidden/>
              </w:rPr>
            </w:r>
            <w:r>
              <w:rPr>
                <w:noProof/>
                <w:webHidden/>
              </w:rPr>
              <w:fldChar w:fldCharType="separate"/>
            </w:r>
            <w:r>
              <w:rPr>
                <w:noProof/>
                <w:webHidden/>
              </w:rPr>
              <w:t>64</w:t>
            </w:r>
            <w:r>
              <w:rPr>
                <w:noProof/>
                <w:webHidden/>
              </w:rPr>
              <w:fldChar w:fldCharType="end"/>
            </w:r>
          </w:hyperlink>
        </w:p>
        <w:p w14:paraId="439EDDBA" w14:textId="0646E443" w:rsidR="009D0591" w:rsidRDefault="009D0591">
          <w:pPr>
            <w:pStyle w:val="TOC2"/>
            <w:tabs>
              <w:tab w:val="right" w:leader="dot" w:pos="9350"/>
            </w:tabs>
            <w:rPr>
              <w:rFonts w:asciiTheme="minorHAnsi" w:hAnsiTheme="minorHAnsi"/>
              <w:noProof/>
              <w:color w:val="auto"/>
              <w:sz w:val="22"/>
              <w:lang w:val="ru-RU" w:eastAsia="ru-RU"/>
            </w:rPr>
          </w:pPr>
          <w:hyperlink w:anchor="_Toc229599066" w:history="1">
            <w:r w:rsidRPr="00D351EB">
              <w:rPr>
                <w:rStyle w:val="Hyperlink"/>
                <w:rFonts w:cs="Times New Roman"/>
                <w:noProof/>
              </w:rPr>
              <w:t>5.3 RQ2: Operational and Financial Business Value</w:t>
            </w:r>
            <w:r>
              <w:rPr>
                <w:noProof/>
                <w:webHidden/>
              </w:rPr>
              <w:tab/>
            </w:r>
            <w:r>
              <w:rPr>
                <w:noProof/>
                <w:webHidden/>
              </w:rPr>
              <w:fldChar w:fldCharType="begin"/>
            </w:r>
            <w:r>
              <w:rPr>
                <w:noProof/>
                <w:webHidden/>
              </w:rPr>
              <w:instrText xml:space="preserve"> PAGEREF _Toc229599066 \h </w:instrText>
            </w:r>
            <w:r>
              <w:rPr>
                <w:noProof/>
                <w:webHidden/>
              </w:rPr>
            </w:r>
            <w:r>
              <w:rPr>
                <w:noProof/>
                <w:webHidden/>
              </w:rPr>
              <w:fldChar w:fldCharType="separate"/>
            </w:r>
            <w:r>
              <w:rPr>
                <w:noProof/>
                <w:webHidden/>
              </w:rPr>
              <w:t>64</w:t>
            </w:r>
            <w:r>
              <w:rPr>
                <w:noProof/>
                <w:webHidden/>
              </w:rPr>
              <w:fldChar w:fldCharType="end"/>
            </w:r>
          </w:hyperlink>
        </w:p>
        <w:p w14:paraId="40AD076E" w14:textId="67616062" w:rsidR="009D0591" w:rsidRDefault="009D0591">
          <w:pPr>
            <w:pStyle w:val="TOC3"/>
            <w:tabs>
              <w:tab w:val="right" w:leader="dot" w:pos="9350"/>
            </w:tabs>
            <w:rPr>
              <w:rFonts w:asciiTheme="minorHAnsi" w:hAnsiTheme="minorHAnsi"/>
              <w:noProof/>
              <w:color w:val="auto"/>
              <w:sz w:val="22"/>
              <w:lang w:val="ru-RU" w:eastAsia="ru-RU"/>
            </w:rPr>
          </w:pPr>
          <w:hyperlink w:anchor="_Toc229599067" w:history="1">
            <w:r w:rsidRPr="00D351EB">
              <w:rPr>
                <w:rStyle w:val="Hyperlink"/>
                <w:rFonts w:cs="Times New Roman"/>
                <w:noProof/>
              </w:rPr>
              <w:t>5.3.1 Revenue Recovery and Post-Transition Growth</w:t>
            </w:r>
            <w:r>
              <w:rPr>
                <w:noProof/>
                <w:webHidden/>
              </w:rPr>
              <w:tab/>
            </w:r>
            <w:r>
              <w:rPr>
                <w:noProof/>
                <w:webHidden/>
              </w:rPr>
              <w:fldChar w:fldCharType="begin"/>
            </w:r>
            <w:r>
              <w:rPr>
                <w:noProof/>
                <w:webHidden/>
              </w:rPr>
              <w:instrText xml:space="preserve"> PAGEREF _Toc229599067 \h </w:instrText>
            </w:r>
            <w:r>
              <w:rPr>
                <w:noProof/>
                <w:webHidden/>
              </w:rPr>
            </w:r>
            <w:r>
              <w:rPr>
                <w:noProof/>
                <w:webHidden/>
              </w:rPr>
              <w:fldChar w:fldCharType="separate"/>
            </w:r>
            <w:r>
              <w:rPr>
                <w:noProof/>
                <w:webHidden/>
              </w:rPr>
              <w:t>66</w:t>
            </w:r>
            <w:r>
              <w:rPr>
                <w:noProof/>
                <w:webHidden/>
              </w:rPr>
              <w:fldChar w:fldCharType="end"/>
            </w:r>
          </w:hyperlink>
        </w:p>
        <w:p w14:paraId="4902DF27" w14:textId="0D0B0C0F" w:rsidR="009D0591" w:rsidRDefault="009D0591">
          <w:pPr>
            <w:pStyle w:val="TOC3"/>
            <w:tabs>
              <w:tab w:val="right" w:leader="dot" w:pos="9350"/>
            </w:tabs>
            <w:rPr>
              <w:rFonts w:asciiTheme="minorHAnsi" w:hAnsiTheme="minorHAnsi"/>
              <w:noProof/>
              <w:color w:val="auto"/>
              <w:sz w:val="22"/>
              <w:lang w:val="ru-RU" w:eastAsia="ru-RU"/>
            </w:rPr>
          </w:pPr>
          <w:hyperlink w:anchor="_Toc229599068" w:history="1">
            <w:r w:rsidRPr="00D351EB">
              <w:rPr>
                <w:rStyle w:val="Hyperlink"/>
                <w:rFonts w:cs="Times New Roman"/>
                <w:noProof/>
              </w:rPr>
              <w:t>5.3.2 Expense Intensity and Operational Efficiency</w:t>
            </w:r>
            <w:r>
              <w:rPr>
                <w:noProof/>
                <w:webHidden/>
              </w:rPr>
              <w:tab/>
            </w:r>
            <w:r>
              <w:rPr>
                <w:noProof/>
                <w:webHidden/>
              </w:rPr>
              <w:fldChar w:fldCharType="begin"/>
            </w:r>
            <w:r>
              <w:rPr>
                <w:noProof/>
                <w:webHidden/>
              </w:rPr>
              <w:instrText xml:space="preserve"> PAGEREF _Toc229599068 \h </w:instrText>
            </w:r>
            <w:r>
              <w:rPr>
                <w:noProof/>
                <w:webHidden/>
              </w:rPr>
            </w:r>
            <w:r>
              <w:rPr>
                <w:noProof/>
                <w:webHidden/>
              </w:rPr>
              <w:fldChar w:fldCharType="separate"/>
            </w:r>
            <w:r>
              <w:rPr>
                <w:noProof/>
                <w:webHidden/>
              </w:rPr>
              <w:t>66</w:t>
            </w:r>
            <w:r>
              <w:rPr>
                <w:noProof/>
                <w:webHidden/>
              </w:rPr>
              <w:fldChar w:fldCharType="end"/>
            </w:r>
          </w:hyperlink>
        </w:p>
        <w:p w14:paraId="0E37ACFE" w14:textId="6E8971C0" w:rsidR="009D0591" w:rsidRDefault="009D0591">
          <w:pPr>
            <w:pStyle w:val="TOC3"/>
            <w:tabs>
              <w:tab w:val="right" w:leader="dot" w:pos="9350"/>
            </w:tabs>
            <w:rPr>
              <w:rFonts w:asciiTheme="minorHAnsi" w:hAnsiTheme="minorHAnsi"/>
              <w:noProof/>
              <w:color w:val="auto"/>
              <w:sz w:val="22"/>
              <w:lang w:val="ru-RU" w:eastAsia="ru-RU"/>
            </w:rPr>
          </w:pPr>
          <w:hyperlink w:anchor="_Toc229599069" w:history="1">
            <w:r w:rsidRPr="00D351EB">
              <w:rPr>
                <w:rStyle w:val="Hyperlink"/>
                <w:rFonts w:cs="Times New Roman"/>
                <w:noProof/>
              </w:rPr>
              <w:t>5.3.3 Net Loss Reduction and Profitability Trajectory</w:t>
            </w:r>
            <w:r>
              <w:rPr>
                <w:noProof/>
                <w:webHidden/>
              </w:rPr>
              <w:tab/>
            </w:r>
            <w:r>
              <w:rPr>
                <w:noProof/>
                <w:webHidden/>
              </w:rPr>
              <w:fldChar w:fldCharType="begin"/>
            </w:r>
            <w:r>
              <w:rPr>
                <w:noProof/>
                <w:webHidden/>
              </w:rPr>
              <w:instrText xml:space="preserve"> PAGEREF _Toc229599069 \h </w:instrText>
            </w:r>
            <w:r>
              <w:rPr>
                <w:noProof/>
                <w:webHidden/>
              </w:rPr>
            </w:r>
            <w:r>
              <w:rPr>
                <w:noProof/>
                <w:webHidden/>
              </w:rPr>
              <w:fldChar w:fldCharType="separate"/>
            </w:r>
            <w:r>
              <w:rPr>
                <w:noProof/>
                <w:webHidden/>
              </w:rPr>
              <w:t>69</w:t>
            </w:r>
            <w:r>
              <w:rPr>
                <w:noProof/>
                <w:webHidden/>
              </w:rPr>
              <w:fldChar w:fldCharType="end"/>
            </w:r>
          </w:hyperlink>
        </w:p>
        <w:p w14:paraId="08F44D3D" w14:textId="4420B887" w:rsidR="009D0591" w:rsidRDefault="009D0591">
          <w:pPr>
            <w:pStyle w:val="TOC3"/>
            <w:tabs>
              <w:tab w:val="right" w:leader="dot" w:pos="9350"/>
            </w:tabs>
            <w:rPr>
              <w:rFonts w:asciiTheme="minorHAnsi" w:hAnsiTheme="minorHAnsi"/>
              <w:noProof/>
              <w:color w:val="auto"/>
              <w:sz w:val="22"/>
              <w:lang w:val="ru-RU" w:eastAsia="ru-RU"/>
            </w:rPr>
          </w:pPr>
          <w:hyperlink w:anchor="_Toc229599070" w:history="1">
            <w:r w:rsidRPr="00D351EB">
              <w:rPr>
                <w:rStyle w:val="Hyperlink"/>
                <w:rFonts w:cs="Times New Roman"/>
                <w:noProof/>
              </w:rPr>
              <w:t>5.3.4 Labour Productivity and Scalability</w:t>
            </w:r>
            <w:r>
              <w:rPr>
                <w:noProof/>
                <w:webHidden/>
              </w:rPr>
              <w:tab/>
            </w:r>
            <w:r>
              <w:rPr>
                <w:noProof/>
                <w:webHidden/>
              </w:rPr>
              <w:fldChar w:fldCharType="begin"/>
            </w:r>
            <w:r>
              <w:rPr>
                <w:noProof/>
                <w:webHidden/>
              </w:rPr>
              <w:instrText xml:space="preserve"> PAGEREF _Toc229599070 \h </w:instrText>
            </w:r>
            <w:r>
              <w:rPr>
                <w:noProof/>
                <w:webHidden/>
              </w:rPr>
            </w:r>
            <w:r>
              <w:rPr>
                <w:noProof/>
                <w:webHidden/>
              </w:rPr>
              <w:fldChar w:fldCharType="separate"/>
            </w:r>
            <w:r>
              <w:rPr>
                <w:noProof/>
                <w:webHidden/>
              </w:rPr>
              <w:t>69</w:t>
            </w:r>
            <w:r>
              <w:rPr>
                <w:noProof/>
                <w:webHidden/>
              </w:rPr>
              <w:fldChar w:fldCharType="end"/>
            </w:r>
          </w:hyperlink>
        </w:p>
        <w:p w14:paraId="1F43E325" w14:textId="3E3F3F7F" w:rsidR="009D0591" w:rsidRDefault="009D0591">
          <w:pPr>
            <w:pStyle w:val="TOC3"/>
            <w:tabs>
              <w:tab w:val="right" w:leader="dot" w:pos="9350"/>
            </w:tabs>
            <w:rPr>
              <w:rFonts w:asciiTheme="minorHAnsi" w:hAnsiTheme="minorHAnsi"/>
              <w:noProof/>
              <w:color w:val="auto"/>
              <w:sz w:val="22"/>
              <w:lang w:val="ru-RU" w:eastAsia="ru-RU"/>
            </w:rPr>
          </w:pPr>
          <w:hyperlink w:anchor="_Toc229599071" w:history="1">
            <w:r w:rsidRPr="00D351EB">
              <w:rPr>
                <w:rStyle w:val="Hyperlink"/>
                <w:rFonts w:cs="Times New Roman"/>
                <w:noProof/>
              </w:rPr>
              <w:t>5.3.5 Benchmark Context with Rocket Mortgage</w:t>
            </w:r>
            <w:r>
              <w:rPr>
                <w:noProof/>
                <w:webHidden/>
              </w:rPr>
              <w:tab/>
            </w:r>
            <w:r>
              <w:rPr>
                <w:noProof/>
                <w:webHidden/>
              </w:rPr>
              <w:fldChar w:fldCharType="begin"/>
            </w:r>
            <w:r>
              <w:rPr>
                <w:noProof/>
                <w:webHidden/>
              </w:rPr>
              <w:instrText xml:space="preserve"> PAGEREF _Toc229599071 \h </w:instrText>
            </w:r>
            <w:r>
              <w:rPr>
                <w:noProof/>
                <w:webHidden/>
              </w:rPr>
            </w:r>
            <w:r>
              <w:rPr>
                <w:noProof/>
                <w:webHidden/>
              </w:rPr>
              <w:fldChar w:fldCharType="separate"/>
            </w:r>
            <w:r>
              <w:rPr>
                <w:noProof/>
                <w:webHidden/>
              </w:rPr>
              <w:t>71</w:t>
            </w:r>
            <w:r>
              <w:rPr>
                <w:noProof/>
                <w:webHidden/>
              </w:rPr>
              <w:fldChar w:fldCharType="end"/>
            </w:r>
          </w:hyperlink>
        </w:p>
        <w:p w14:paraId="0A6DCEF2" w14:textId="79BED834" w:rsidR="009D0591" w:rsidRDefault="009D0591">
          <w:pPr>
            <w:pStyle w:val="TOC3"/>
            <w:tabs>
              <w:tab w:val="right" w:leader="dot" w:pos="9350"/>
            </w:tabs>
            <w:rPr>
              <w:rFonts w:asciiTheme="minorHAnsi" w:hAnsiTheme="minorHAnsi"/>
              <w:noProof/>
              <w:color w:val="auto"/>
              <w:sz w:val="22"/>
              <w:lang w:val="ru-RU" w:eastAsia="ru-RU"/>
            </w:rPr>
          </w:pPr>
          <w:hyperlink w:anchor="_Toc229599072" w:history="1">
            <w:r w:rsidRPr="00D351EB">
              <w:rPr>
                <w:rStyle w:val="Hyperlink"/>
                <w:rFonts w:cs="Times New Roman"/>
                <w:noProof/>
              </w:rPr>
              <w:t>5.3.6 Financial Interpretation Boundaries</w:t>
            </w:r>
            <w:r>
              <w:rPr>
                <w:noProof/>
                <w:webHidden/>
              </w:rPr>
              <w:tab/>
            </w:r>
            <w:r>
              <w:rPr>
                <w:noProof/>
                <w:webHidden/>
              </w:rPr>
              <w:fldChar w:fldCharType="begin"/>
            </w:r>
            <w:r>
              <w:rPr>
                <w:noProof/>
                <w:webHidden/>
              </w:rPr>
              <w:instrText xml:space="preserve"> PAGEREF _Toc229599072 \h </w:instrText>
            </w:r>
            <w:r>
              <w:rPr>
                <w:noProof/>
                <w:webHidden/>
              </w:rPr>
            </w:r>
            <w:r>
              <w:rPr>
                <w:noProof/>
                <w:webHidden/>
              </w:rPr>
              <w:fldChar w:fldCharType="separate"/>
            </w:r>
            <w:r>
              <w:rPr>
                <w:noProof/>
                <w:webHidden/>
              </w:rPr>
              <w:t>71</w:t>
            </w:r>
            <w:r>
              <w:rPr>
                <w:noProof/>
                <w:webHidden/>
              </w:rPr>
              <w:fldChar w:fldCharType="end"/>
            </w:r>
          </w:hyperlink>
        </w:p>
        <w:p w14:paraId="31A8DED9" w14:textId="182409C1" w:rsidR="009D0591" w:rsidRDefault="009D0591">
          <w:pPr>
            <w:pStyle w:val="TOC2"/>
            <w:tabs>
              <w:tab w:val="right" w:leader="dot" w:pos="9350"/>
            </w:tabs>
            <w:rPr>
              <w:rFonts w:asciiTheme="minorHAnsi" w:hAnsiTheme="minorHAnsi"/>
              <w:noProof/>
              <w:color w:val="auto"/>
              <w:sz w:val="22"/>
              <w:lang w:val="ru-RU" w:eastAsia="ru-RU"/>
            </w:rPr>
          </w:pPr>
          <w:hyperlink w:anchor="_Toc229599073" w:history="1">
            <w:r w:rsidRPr="00D351EB">
              <w:rPr>
                <w:rStyle w:val="Hyperlink"/>
                <w:rFonts w:cs="Times New Roman"/>
                <w:noProof/>
              </w:rPr>
              <w:t>5.4 RQ2: Customer Experience and NLP Evidence</w:t>
            </w:r>
            <w:r>
              <w:rPr>
                <w:noProof/>
                <w:webHidden/>
              </w:rPr>
              <w:tab/>
            </w:r>
            <w:r>
              <w:rPr>
                <w:noProof/>
                <w:webHidden/>
              </w:rPr>
              <w:fldChar w:fldCharType="begin"/>
            </w:r>
            <w:r>
              <w:rPr>
                <w:noProof/>
                <w:webHidden/>
              </w:rPr>
              <w:instrText xml:space="preserve"> PAGEREF _Toc229599073 \h </w:instrText>
            </w:r>
            <w:r>
              <w:rPr>
                <w:noProof/>
                <w:webHidden/>
              </w:rPr>
            </w:r>
            <w:r>
              <w:rPr>
                <w:noProof/>
                <w:webHidden/>
              </w:rPr>
              <w:fldChar w:fldCharType="separate"/>
            </w:r>
            <w:r>
              <w:rPr>
                <w:noProof/>
                <w:webHidden/>
              </w:rPr>
              <w:t>72</w:t>
            </w:r>
            <w:r>
              <w:rPr>
                <w:noProof/>
                <w:webHidden/>
              </w:rPr>
              <w:fldChar w:fldCharType="end"/>
            </w:r>
          </w:hyperlink>
        </w:p>
        <w:p w14:paraId="367A08DE" w14:textId="0EF99C0D" w:rsidR="009D0591" w:rsidRDefault="009D0591">
          <w:pPr>
            <w:pStyle w:val="TOC3"/>
            <w:tabs>
              <w:tab w:val="right" w:leader="dot" w:pos="9350"/>
            </w:tabs>
            <w:rPr>
              <w:rFonts w:asciiTheme="minorHAnsi" w:hAnsiTheme="minorHAnsi"/>
              <w:noProof/>
              <w:color w:val="auto"/>
              <w:sz w:val="22"/>
              <w:lang w:val="ru-RU" w:eastAsia="ru-RU"/>
            </w:rPr>
          </w:pPr>
          <w:hyperlink w:anchor="_Toc229599074" w:history="1">
            <w:r w:rsidRPr="00D351EB">
              <w:rPr>
                <w:rStyle w:val="Hyperlink"/>
                <w:rFonts w:cs="Times New Roman"/>
                <w:noProof/>
              </w:rPr>
              <w:t>5.4.1 Management-Reported NPS as Medium-Reliability Evidence</w:t>
            </w:r>
            <w:r>
              <w:rPr>
                <w:noProof/>
                <w:webHidden/>
              </w:rPr>
              <w:tab/>
            </w:r>
            <w:r>
              <w:rPr>
                <w:noProof/>
                <w:webHidden/>
              </w:rPr>
              <w:fldChar w:fldCharType="begin"/>
            </w:r>
            <w:r>
              <w:rPr>
                <w:noProof/>
                <w:webHidden/>
              </w:rPr>
              <w:instrText xml:space="preserve"> PAGEREF _Toc229599074 \h </w:instrText>
            </w:r>
            <w:r>
              <w:rPr>
                <w:noProof/>
                <w:webHidden/>
              </w:rPr>
            </w:r>
            <w:r>
              <w:rPr>
                <w:noProof/>
                <w:webHidden/>
              </w:rPr>
              <w:fldChar w:fldCharType="separate"/>
            </w:r>
            <w:r>
              <w:rPr>
                <w:noProof/>
                <w:webHidden/>
              </w:rPr>
              <w:t>72</w:t>
            </w:r>
            <w:r>
              <w:rPr>
                <w:noProof/>
                <w:webHidden/>
              </w:rPr>
              <w:fldChar w:fldCharType="end"/>
            </w:r>
          </w:hyperlink>
        </w:p>
        <w:p w14:paraId="02B304EB" w14:textId="65DB6D37" w:rsidR="009D0591" w:rsidRDefault="009D0591">
          <w:pPr>
            <w:pStyle w:val="TOC3"/>
            <w:tabs>
              <w:tab w:val="right" w:leader="dot" w:pos="9350"/>
            </w:tabs>
            <w:rPr>
              <w:rFonts w:asciiTheme="minorHAnsi" w:hAnsiTheme="minorHAnsi"/>
              <w:noProof/>
              <w:color w:val="auto"/>
              <w:sz w:val="22"/>
              <w:lang w:val="ru-RU" w:eastAsia="ru-RU"/>
            </w:rPr>
          </w:pPr>
          <w:hyperlink w:anchor="_Toc229599075" w:history="1">
            <w:r w:rsidRPr="00D351EB">
              <w:rPr>
                <w:rStyle w:val="Hyperlink"/>
                <w:rFonts w:cs="Times New Roman"/>
                <w:noProof/>
              </w:rPr>
              <w:t>5.4.2 Trustpilot Ratings and VADER Sentiment as Independent Customer Discourse</w:t>
            </w:r>
            <w:r>
              <w:rPr>
                <w:noProof/>
                <w:webHidden/>
              </w:rPr>
              <w:tab/>
            </w:r>
            <w:r>
              <w:rPr>
                <w:noProof/>
                <w:webHidden/>
              </w:rPr>
              <w:fldChar w:fldCharType="begin"/>
            </w:r>
            <w:r>
              <w:rPr>
                <w:noProof/>
                <w:webHidden/>
              </w:rPr>
              <w:instrText xml:space="preserve"> PAGEREF _Toc229599075 \h </w:instrText>
            </w:r>
            <w:r>
              <w:rPr>
                <w:noProof/>
                <w:webHidden/>
              </w:rPr>
            </w:r>
            <w:r>
              <w:rPr>
                <w:noProof/>
                <w:webHidden/>
              </w:rPr>
              <w:fldChar w:fldCharType="separate"/>
            </w:r>
            <w:r>
              <w:rPr>
                <w:noProof/>
                <w:webHidden/>
              </w:rPr>
              <w:t>72</w:t>
            </w:r>
            <w:r>
              <w:rPr>
                <w:noProof/>
                <w:webHidden/>
              </w:rPr>
              <w:fldChar w:fldCharType="end"/>
            </w:r>
          </w:hyperlink>
        </w:p>
        <w:p w14:paraId="28D05DCD" w14:textId="5AF62D1E" w:rsidR="009D0591" w:rsidRDefault="009D0591">
          <w:pPr>
            <w:pStyle w:val="TOC3"/>
            <w:tabs>
              <w:tab w:val="right" w:leader="dot" w:pos="9350"/>
            </w:tabs>
            <w:rPr>
              <w:rFonts w:asciiTheme="minorHAnsi" w:hAnsiTheme="minorHAnsi"/>
              <w:noProof/>
              <w:color w:val="auto"/>
              <w:sz w:val="22"/>
              <w:lang w:val="ru-RU" w:eastAsia="ru-RU"/>
            </w:rPr>
          </w:pPr>
          <w:hyperlink w:anchor="_Toc229599076" w:history="1">
            <w:r w:rsidRPr="00D351EB">
              <w:rPr>
                <w:rStyle w:val="Hyperlink"/>
                <w:rFonts w:cs="Times New Roman"/>
                <w:noProof/>
              </w:rPr>
              <w:t>5.4.3 Keyword Prevalence and the AI-Invisibility Finding</w:t>
            </w:r>
            <w:r>
              <w:rPr>
                <w:noProof/>
                <w:webHidden/>
              </w:rPr>
              <w:tab/>
            </w:r>
            <w:r>
              <w:rPr>
                <w:noProof/>
                <w:webHidden/>
              </w:rPr>
              <w:fldChar w:fldCharType="begin"/>
            </w:r>
            <w:r>
              <w:rPr>
                <w:noProof/>
                <w:webHidden/>
              </w:rPr>
              <w:instrText xml:space="preserve"> PAGEREF _Toc229599076 \h </w:instrText>
            </w:r>
            <w:r>
              <w:rPr>
                <w:noProof/>
                <w:webHidden/>
              </w:rPr>
            </w:r>
            <w:r>
              <w:rPr>
                <w:noProof/>
                <w:webHidden/>
              </w:rPr>
              <w:fldChar w:fldCharType="separate"/>
            </w:r>
            <w:r>
              <w:rPr>
                <w:noProof/>
                <w:webHidden/>
              </w:rPr>
              <w:t>74</w:t>
            </w:r>
            <w:r>
              <w:rPr>
                <w:noProof/>
                <w:webHidden/>
              </w:rPr>
              <w:fldChar w:fldCharType="end"/>
            </w:r>
          </w:hyperlink>
        </w:p>
        <w:p w14:paraId="5CAB3E51" w14:textId="7D9975FB" w:rsidR="009D0591" w:rsidRDefault="009D0591">
          <w:pPr>
            <w:pStyle w:val="TOC3"/>
            <w:tabs>
              <w:tab w:val="right" w:leader="dot" w:pos="9350"/>
            </w:tabs>
            <w:rPr>
              <w:rFonts w:asciiTheme="minorHAnsi" w:hAnsiTheme="minorHAnsi"/>
              <w:noProof/>
              <w:color w:val="auto"/>
              <w:sz w:val="22"/>
              <w:lang w:val="ru-RU" w:eastAsia="ru-RU"/>
            </w:rPr>
          </w:pPr>
          <w:hyperlink w:anchor="_Toc229599077" w:history="1">
            <w:r w:rsidRPr="00D351EB">
              <w:rPr>
                <w:rStyle w:val="Hyperlink"/>
                <w:rFonts w:cs="Times New Roman"/>
                <w:noProof/>
              </w:rPr>
              <w:t>5.4.4 Topic Modelling and Product-Mix Interpretation</w:t>
            </w:r>
            <w:r>
              <w:rPr>
                <w:noProof/>
                <w:webHidden/>
              </w:rPr>
              <w:tab/>
            </w:r>
            <w:r>
              <w:rPr>
                <w:noProof/>
                <w:webHidden/>
              </w:rPr>
              <w:fldChar w:fldCharType="begin"/>
            </w:r>
            <w:r>
              <w:rPr>
                <w:noProof/>
                <w:webHidden/>
              </w:rPr>
              <w:instrText xml:space="preserve"> PAGEREF _Toc229599077 \h </w:instrText>
            </w:r>
            <w:r>
              <w:rPr>
                <w:noProof/>
                <w:webHidden/>
              </w:rPr>
            </w:r>
            <w:r>
              <w:rPr>
                <w:noProof/>
                <w:webHidden/>
              </w:rPr>
              <w:fldChar w:fldCharType="separate"/>
            </w:r>
            <w:r>
              <w:rPr>
                <w:noProof/>
                <w:webHidden/>
              </w:rPr>
              <w:t>75</w:t>
            </w:r>
            <w:r>
              <w:rPr>
                <w:noProof/>
                <w:webHidden/>
              </w:rPr>
              <w:fldChar w:fldCharType="end"/>
            </w:r>
          </w:hyperlink>
        </w:p>
        <w:p w14:paraId="308286CA" w14:textId="2F3DB678" w:rsidR="009D0591" w:rsidRDefault="009D0591">
          <w:pPr>
            <w:pStyle w:val="TOC3"/>
            <w:tabs>
              <w:tab w:val="right" w:leader="dot" w:pos="9350"/>
            </w:tabs>
            <w:rPr>
              <w:rFonts w:asciiTheme="minorHAnsi" w:hAnsiTheme="minorHAnsi"/>
              <w:noProof/>
              <w:color w:val="auto"/>
              <w:sz w:val="22"/>
              <w:lang w:val="ru-RU" w:eastAsia="ru-RU"/>
            </w:rPr>
          </w:pPr>
          <w:hyperlink w:anchor="_Toc229599078" w:history="1">
            <w:r w:rsidRPr="00D351EB">
              <w:rPr>
                <w:rStyle w:val="Hyperlink"/>
                <w:rFonts w:cs="Times New Roman"/>
                <w:noProof/>
              </w:rPr>
              <w:t>5.4.5 Customer-Experience Boundaries: Synthesis for the NLP Stream</w:t>
            </w:r>
            <w:r>
              <w:rPr>
                <w:noProof/>
                <w:webHidden/>
              </w:rPr>
              <w:tab/>
            </w:r>
            <w:r>
              <w:rPr>
                <w:noProof/>
                <w:webHidden/>
              </w:rPr>
              <w:fldChar w:fldCharType="begin"/>
            </w:r>
            <w:r>
              <w:rPr>
                <w:noProof/>
                <w:webHidden/>
              </w:rPr>
              <w:instrText xml:space="preserve"> PAGEREF _Toc229599078 \h </w:instrText>
            </w:r>
            <w:r>
              <w:rPr>
                <w:noProof/>
                <w:webHidden/>
              </w:rPr>
            </w:r>
            <w:r>
              <w:rPr>
                <w:noProof/>
                <w:webHidden/>
              </w:rPr>
              <w:fldChar w:fldCharType="separate"/>
            </w:r>
            <w:r>
              <w:rPr>
                <w:noProof/>
                <w:webHidden/>
              </w:rPr>
              <w:t>77</w:t>
            </w:r>
            <w:r>
              <w:rPr>
                <w:noProof/>
                <w:webHidden/>
              </w:rPr>
              <w:fldChar w:fldCharType="end"/>
            </w:r>
          </w:hyperlink>
        </w:p>
        <w:p w14:paraId="1A79B34D" w14:textId="46CC22F0" w:rsidR="009D0591" w:rsidRDefault="009D0591">
          <w:pPr>
            <w:pStyle w:val="TOC2"/>
            <w:tabs>
              <w:tab w:val="right" w:leader="dot" w:pos="9350"/>
            </w:tabs>
            <w:rPr>
              <w:rFonts w:asciiTheme="minorHAnsi" w:hAnsiTheme="minorHAnsi"/>
              <w:noProof/>
              <w:color w:val="auto"/>
              <w:sz w:val="22"/>
              <w:lang w:val="ru-RU" w:eastAsia="ru-RU"/>
            </w:rPr>
          </w:pPr>
          <w:hyperlink w:anchor="_Toc229599079" w:history="1">
            <w:r w:rsidRPr="00D351EB">
              <w:rPr>
                <w:rStyle w:val="Hyperlink"/>
                <w:rFonts w:cs="Times New Roman"/>
                <w:noProof/>
              </w:rPr>
              <w:t>5.5 Triangulated Interpretation</w:t>
            </w:r>
            <w:r>
              <w:rPr>
                <w:noProof/>
                <w:webHidden/>
              </w:rPr>
              <w:tab/>
            </w:r>
            <w:r>
              <w:rPr>
                <w:noProof/>
                <w:webHidden/>
              </w:rPr>
              <w:fldChar w:fldCharType="begin"/>
            </w:r>
            <w:r>
              <w:rPr>
                <w:noProof/>
                <w:webHidden/>
              </w:rPr>
              <w:instrText xml:space="preserve"> PAGEREF _Toc229599079 \h </w:instrText>
            </w:r>
            <w:r>
              <w:rPr>
                <w:noProof/>
                <w:webHidden/>
              </w:rPr>
            </w:r>
            <w:r>
              <w:rPr>
                <w:noProof/>
                <w:webHidden/>
              </w:rPr>
              <w:fldChar w:fldCharType="separate"/>
            </w:r>
            <w:r>
              <w:rPr>
                <w:noProof/>
                <w:webHidden/>
              </w:rPr>
              <w:t>77</w:t>
            </w:r>
            <w:r>
              <w:rPr>
                <w:noProof/>
                <w:webHidden/>
              </w:rPr>
              <w:fldChar w:fldCharType="end"/>
            </w:r>
          </w:hyperlink>
        </w:p>
        <w:p w14:paraId="49E04220" w14:textId="18B24FE1" w:rsidR="009D0591" w:rsidRDefault="009D0591">
          <w:pPr>
            <w:pStyle w:val="TOC2"/>
            <w:tabs>
              <w:tab w:val="right" w:leader="dot" w:pos="9350"/>
            </w:tabs>
            <w:rPr>
              <w:rFonts w:asciiTheme="minorHAnsi" w:hAnsiTheme="minorHAnsi"/>
              <w:noProof/>
              <w:color w:val="auto"/>
              <w:sz w:val="22"/>
              <w:lang w:val="ru-RU" w:eastAsia="ru-RU"/>
            </w:rPr>
          </w:pPr>
          <w:hyperlink w:anchor="_Toc229599080" w:history="1">
            <w:r w:rsidRPr="00D351EB">
              <w:rPr>
                <w:rStyle w:val="Hyperlink"/>
                <w:rFonts w:cs="Times New Roman"/>
                <w:noProof/>
              </w:rPr>
              <w:t>5.6 Boundary Conditions</w:t>
            </w:r>
            <w:r>
              <w:rPr>
                <w:noProof/>
                <w:webHidden/>
              </w:rPr>
              <w:tab/>
            </w:r>
            <w:r>
              <w:rPr>
                <w:noProof/>
                <w:webHidden/>
              </w:rPr>
              <w:fldChar w:fldCharType="begin"/>
            </w:r>
            <w:r>
              <w:rPr>
                <w:noProof/>
                <w:webHidden/>
              </w:rPr>
              <w:instrText xml:space="preserve"> PAGEREF _Toc229599080 \h </w:instrText>
            </w:r>
            <w:r>
              <w:rPr>
                <w:noProof/>
                <w:webHidden/>
              </w:rPr>
            </w:r>
            <w:r>
              <w:rPr>
                <w:noProof/>
                <w:webHidden/>
              </w:rPr>
              <w:fldChar w:fldCharType="separate"/>
            </w:r>
            <w:r>
              <w:rPr>
                <w:noProof/>
                <w:webHidden/>
              </w:rPr>
              <w:t>78</w:t>
            </w:r>
            <w:r>
              <w:rPr>
                <w:noProof/>
                <w:webHidden/>
              </w:rPr>
              <w:fldChar w:fldCharType="end"/>
            </w:r>
          </w:hyperlink>
        </w:p>
        <w:p w14:paraId="3B55A575" w14:textId="732E270F" w:rsidR="009D0591" w:rsidRDefault="009D0591">
          <w:pPr>
            <w:pStyle w:val="TOC2"/>
            <w:tabs>
              <w:tab w:val="right" w:leader="dot" w:pos="9350"/>
            </w:tabs>
            <w:rPr>
              <w:rFonts w:asciiTheme="minorHAnsi" w:hAnsiTheme="minorHAnsi"/>
              <w:noProof/>
              <w:color w:val="auto"/>
              <w:sz w:val="22"/>
              <w:lang w:val="ru-RU" w:eastAsia="ru-RU"/>
            </w:rPr>
          </w:pPr>
          <w:hyperlink w:anchor="_Toc229599081" w:history="1">
            <w:r w:rsidRPr="00D351EB">
              <w:rPr>
                <w:rStyle w:val="Hyperlink"/>
                <w:rFonts w:cs="Times New Roman"/>
                <w:noProof/>
              </w:rPr>
              <w:t>5.7 Summary of Empirical Findings</w:t>
            </w:r>
            <w:r>
              <w:rPr>
                <w:noProof/>
                <w:webHidden/>
              </w:rPr>
              <w:tab/>
            </w:r>
            <w:r>
              <w:rPr>
                <w:noProof/>
                <w:webHidden/>
              </w:rPr>
              <w:fldChar w:fldCharType="begin"/>
            </w:r>
            <w:r>
              <w:rPr>
                <w:noProof/>
                <w:webHidden/>
              </w:rPr>
              <w:instrText xml:space="preserve"> PAGEREF _Toc229599081 \h </w:instrText>
            </w:r>
            <w:r>
              <w:rPr>
                <w:noProof/>
                <w:webHidden/>
              </w:rPr>
            </w:r>
            <w:r>
              <w:rPr>
                <w:noProof/>
                <w:webHidden/>
              </w:rPr>
              <w:fldChar w:fldCharType="separate"/>
            </w:r>
            <w:r>
              <w:rPr>
                <w:noProof/>
                <w:webHidden/>
              </w:rPr>
              <w:t>79</w:t>
            </w:r>
            <w:r>
              <w:rPr>
                <w:noProof/>
                <w:webHidden/>
              </w:rPr>
              <w:fldChar w:fldCharType="end"/>
            </w:r>
          </w:hyperlink>
        </w:p>
        <w:p w14:paraId="5FB95F8E" w14:textId="3EB82A9D" w:rsidR="009D0591" w:rsidRDefault="009D0591">
          <w:pPr>
            <w:pStyle w:val="TOC1"/>
            <w:tabs>
              <w:tab w:val="right" w:leader="dot" w:pos="9350"/>
            </w:tabs>
            <w:rPr>
              <w:rFonts w:asciiTheme="minorHAnsi" w:hAnsiTheme="minorHAnsi"/>
              <w:noProof/>
              <w:color w:val="auto"/>
              <w:sz w:val="22"/>
              <w:lang w:val="ru-RU" w:eastAsia="ru-RU"/>
            </w:rPr>
          </w:pPr>
          <w:hyperlink w:anchor="_Toc229599082" w:history="1">
            <w:r w:rsidRPr="00D351EB">
              <w:rPr>
                <w:rStyle w:val="Hyperlink"/>
                <w:rFonts w:cs="Times New Roman"/>
                <w:noProof/>
              </w:rPr>
              <w:t>6. A Voice-AI-in-Regulated-Workflow Design Pattern</w:t>
            </w:r>
            <w:r>
              <w:rPr>
                <w:noProof/>
                <w:webHidden/>
              </w:rPr>
              <w:tab/>
            </w:r>
            <w:r>
              <w:rPr>
                <w:noProof/>
                <w:webHidden/>
              </w:rPr>
              <w:fldChar w:fldCharType="begin"/>
            </w:r>
            <w:r>
              <w:rPr>
                <w:noProof/>
                <w:webHidden/>
              </w:rPr>
              <w:instrText xml:space="preserve"> PAGEREF _Toc229599082 \h </w:instrText>
            </w:r>
            <w:r>
              <w:rPr>
                <w:noProof/>
                <w:webHidden/>
              </w:rPr>
            </w:r>
            <w:r>
              <w:rPr>
                <w:noProof/>
                <w:webHidden/>
              </w:rPr>
              <w:fldChar w:fldCharType="separate"/>
            </w:r>
            <w:r>
              <w:rPr>
                <w:noProof/>
                <w:webHidden/>
              </w:rPr>
              <w:t>80</w:t>
            </w:r>
            <w:r>
              <w:rPr>
                <w:noProof/>
                <w:webHidden/>
              </w:rPr>
              <w:fldChar w:fldCharType="end"/>
            </w:r>
          </w:hyperlink>
        </w:p>
        <w:p w14:paraId="6593B38F" w14:textId="6F0A324F" w:rsidR="009D0591" w:rsidRDefault="009D0591">
          <w:pPr>
            <w:pStyle w:val="TOC2"/>
            <w:tabs>
              <w:tab w:val="right" w:leader="dot" w:pos="9350"/>
            </w:tabs>
            <w:rPr>
              <w:rFonts w:asciiTheme="minorHAnsi" w:hAnsiTheme="minorHAnsi"/>
              <w:noProof/>
              <w:color w:val="auto"/>
              <w:sz w:val="22"/>
              <w:lang w:val="ru-RU" w:eastAsia="ru-RU"/>
            </w:rPr>
          </w:pPr>
          <w:hyperlink w:anchor="_Toc229599083" w:history="1">
            <w:r w:rsidRPr="00D351EB">
              <w:rPr>
                <w:rStyle w:val="Hyperlink"/>
                <w:rFonts w:cs="Times New Roman"/>
                <w:noProof/>
              </w:rPr>
              <w:t>6.1 Introduction and Design-Science Framing</w:t>
            </w:r>
            <w:r>
              <w:rPr>
                <w:noProof/>
                <w:webHidden/>
              </w:rPr>
              <w:tab/>
            </w:r>
            <w:r>
              <w:rPr>
                <w:noProof/>
                <w:webHidden/>
              </w:rPr>
              <w:fldChar w:fldCharType="begin"/>
            </w:r>
            <w:r>
              <w:rPr>
                <w:noProof/>
                <w:webHidden/>
              </w:rPr>
              <w:instrText xml:space="preserve"> PAGEREF _Toc229599083 \h </w:instrText>
            </w:r>
            <w:r>
              <w:rPr>
                <w:noProof/>
                <w:webHidden/>
              </w:rPr>
            </w:r>
            <w:r>
              <w:rPr>
                <w:noProof/>
                <w:webHidden/>
              </w:rPr>
              <w:fldChar w:fldCharType="separate"/>
            </w:r>
            <w:r>
              <w:rPr>
                <w:noProof/>
                <w:webHidden/>
              </w:rPr>
              <w:t>80</w:t>
            </w:r>
            <w:r>
              <w:rPr>
                <w:noProof/>
                <w:webHidden/>
              </w:rPr>
              <w:fldChar w:fldCharType="end"/>
            </w:r>
          </w:hyperlink>
        </w:p>
        <w:p w14:paraId="6E5C6125" w14:textId="1A8E0E25" w:rsidR="009D0591" w:rsidRDefault="009D0591">
          <w:pPr>
            <w:pStyle w:val="TOC2"/>
            <w:tabs>
              <w:tab w:val="right" w:leader="dot" w:pos="9350"/>
            </w:tabs>
            <w:rPr>
              <w:rFonts w:asciiTheme="minorHAnsi" w:hAnsiTheme="minorHAnsi"/>
              <w:noProof/>
              <w:color w:val="auto"/>
              <w:sz w:val="22"/>
              <w:lang w:val="ru-RU" w:eastAsia="ru-RU"/>
            </w:rPr>
          </w:pPr>
          <w:hyperlink w:anchor="_Toc229599084" w:history="1">
            <w:r w:rsidRPr="00D351EB">
              <w:rPr>
                <w:rStyle w:val="Hyperlink"/>
                <w:rFonts w:cs="Times New Roman"/>
                <w:noProof/>
              </w:rPr>
              <w:t>6.2 Preconditions for Value Capture</w:t>
            </w:r>
            <w:r>
              <w:rPr>
                <w:noProof/>
                <w:webHidden/>
              </w:rPr>
              <w:tab/>
            </w:r>
            <w:r>
              <w:rPr>
                <w:noProof/>
                <w:webHidden/>
              </w:rPr>
              <w:fldChar w:fldCharType="begin"/>
            </w:r>
            <w:r>
              <w:rPr>
                <w:noProof/>
                <w:webHidden/>
              </w:rPr>
              <w:instrText xml:space="preserve"> PAGEREF _Toc229599084 \h </w:instrText>
            </w:r>
            <w:r>
              <w:rPr>
                <w:noProof/>
                <w:webHidden/>
              </w:rPr>
            </w:r>
            <w:r>
              <w:rPr>
                <w:noProof/>
                <w:webHidden/>
              </w:rPr>
              <w:fldChar w:fldCharType="separate"/>
            </w:r>
            <w:r>
              <w:rPr>
                <w:noProof/>
                <w:webHidden/>
              </w:rPr>
              <w:t>81</w:t>
            </w:r>
            <w:r>
              <w:rPr>
                <w:noProof/>
                <w:webHidden/>
              </w:rPr>
              <w:fldChar w:fldCharType="end"/>
            </w:r>
          </w:hyperlink>
        </w:p>
        <w:p w14:paraId="6907AD5E" w14:textId="4032A178" w:rsidR="009D0591" w:rsidRDefault="009D0591">
          <w:pPr>
            <w:pStyle w:val="TOC2"/>
            <w:tabs>
              <w:tab w:val="right" w:leader="dot" w:pos="9350"/>
            </w:tabs>
            <w:rPr>
              <w:rFonts w:asciiTheme="minorHAnsi" w:hAnsiTheme="minorHAnsi"/>
              <w:noProof/>
              <w:color w:val="auto"/>
              <w:sz w:val="22"/>
              <w:lang w:val="ru-RU" w:eastAsia="ru-RU"/>
            </w:rPr>
          </w:pPr>
          <w:hyperlink w:anchor="_Toc229599085" w:history="1">
            <w:r w:rsidRPr="00D351EB">
              <w:rPr>
                <w:rStyle w:val="Hyperlink"/>
                <w:rFonts w:cs="Times New Roman"/>
                <w:noProof/>
              </w:rPr>
              <w:t>6.3 Voice-AI Architecture: Four Prerequisites</w:t>
            </w:r>
            <w:r>
              <w:rPr>
                <w:noProof/>
                <w:webHidden/>
              </w:rPr>
              <w:tab/>
            </w:r>
            <w:r>
              <w:rPr>
                <w:noProof/>
                <w:webHidden/>
              </w:rPr>
              <w:fldChar w:fldCharType="begin"/>
            </w:r>
            <w:r>
              <w:rPr>
                <w:noProof/>
                <w:webHidden/>
              </w:rPr>
              <w:instrText xml:space="preserve"> PAGEREF _Toc229599085 \h </w:instrText>
            </w:r>
            <w:r>
              <w:rPr>
                <w:noProof/>
                <w:webHidden/>
              </w:rPr>
            </w:r>
            <w:r>
              <w:rPr>
                <w:noProof/>
                <w:webHidden/>
              </w:rPr>
              <w:fldChar w:fldCharType="separate"/>
            </w:r>
            <w:r>
              <w:rPr>
                <w:noProof/>
                <w:webHidden/>
              </w:rPr>
              <w:t>81</w:t>
            </w:r>
            <w:r>
              <w:rPr>
                <w:noProof/>
                <w:webHidden/>
              </w:rPr>
              <w:fldChar w:fldCharType="end"/>
            </w:r>
          </w:hyperlink>
        </w:p>
        <w:p w14:paraId="6692E2C3" w14:textId="65592801" w:rsidR="009D0591" w:rsidRDefault="009D0591">
          <w:pPr>
            <w:pStyle w:val="TOC3"/>
            <w:tabs>
              <w:tab w:val="right" w:leader="dot" w:pos="9350"/>
            </w:tabs>
            <w:rPr>
              <w:rFonts w:asciiTheme="minorHAnsi" w:hAnsiTheme="minorHAnsi"/>
              <w:noProof/>
              <w:color w:val="auto"/>
              <w:sz w:val="22"/>
              <w:lang w:val="ru-RU" w:eastAsia="ru-RU"/>
            </w:rPr>
          </w:pPr>
          <w:hyperlink w:anchor="_Toc229599086" w:history="1">
            <w:r w:rsidRPr="00D351EB">
              <w:rPr>
                <w:rStyle w:val="Hyperlink"/>
                <w:rFonts w:cs="Times New Roman"/>
                <w:noProof/>
              </w:rPr>
              <w:t>6.3.1 Process-aware operating platform</w:t>
            </w:r>
            <w:r>
              <w:rPr>
                <w:noProof/>
                <w:webHidden/>
              </w:rPr>
              <w:tab/>
            </w:r>
            <w:r>
              <w:rPr>
                <w:noProof/>
                <w:webHidden/>
              </w:rPr>
              <w:fldChar w:fldCharType="begin"/>
            </w:r>
            <w:r>
              <w:rPr>
                <w:noProof/>
                <w:webHidden/>
              </w:rPr>
              <w:instrText xml:space="preserve"> PAGEREF _Toc229599086 \h </w:instrText>
            </w:r>
            <w:r>
              <w:rPr>
                <w:noProof/>
                <w:webHidden/>
              </w:rPr>
            </w:r>
            <w:r>
              <w:rPr>
                <w:noProof/>
                <w:webHidden/>
              </w:rPr>
              <w:fldChar w:fldCharType="separate"/>
            </w:r>
            <w:r>
              <w:rPr>
                <w:noProof/>
                <w:webHidden/>
              </w:rPr>
              <w:t>82</w:t>
            </w:r>
            <w:r>
              <w:rPr>
                <w:noProof/>
                <w:webHidden/>
              </w:rPr>
              <w:fldChar w:fldCharType="end"/>
            </w:r>
          </w:hyperlink>
        </w:p>
        <w:p w14:paraId="2C123718" w14:textId="7A36D851" w:rsidR="009D0591" w:rsidRDefault="009D0591">
          <w:pPr>
            <w:pStyle w:val="TOC3"/>
            <w:tabs>
              <w:tab w:val="right" w:leader="dot" w:pos="9350"/>
            </w:tabs>
            <w:rPr>
              <w:rFonts w:asciiTheme="minorHAnsi" w:hAnsiTheme="minorHAnsi"/>
              <w:noProof/>
              <w:color w:val="auto"/>
              <w:sz w:val="22"/>
              <w:lang w:val="ru-RU" w:eastAsia="ru-RU"/>
            </w:rPr>
          </w:pPr>
          <w:hyperlink w:anchor="_Toc229599087" w:history="1">
            <w:r w:rsidRPr="00D351EB">
              <w:rPr>
                <w:rStyle w:val="Hyperlink"/>
                <w:rFonts w:cs="Times New Roman"/>
                <w:noProof/>
              </w:rPr>
              <w:t>6.3.2 Coordination-layer agent scope</w:t>
            </w:r>
            <w:r>
              <w:rPr>
                <w:noProof/>
                <w:webHidden/>
              </w:rPr>
              <w:tab/>
            </w:r>
            <w:r>
              <w:rPr>
                <w:noProof/>
                <w:webHidden/>
              </w:rPr>
              <w:fldChar w:fldCharType="begin"/>
            </w:r>
            <w:r>
              <w:rPr>
                <w:noProof/>
                <w:webHidden/>
              </w:rPr>
              <w:instrText xml:space="preserve"> PAGEREF _Toc229599087 \h </w:instrText>
            </w:r>
            <w:r>
              <w:rPr>
                <w:noProof/>
                <w:webHidden/>
              </w:rPr>
            </w:r>
            <w:r>
              <w:rPr>
                <w:noProof/>
                <w:webHidden/>
              </w:rPr>
              <w:fldChar w:fldCharType="separate"/>
            </w:r>
            <w:r>
              <w:rPr>
                <w:noProof/>
                <w:webHidden/>
              </w:rPr>
              <w:t>82</w:t>
            </w:r>
            <w:r>
              <w:rPr>
                <w:noProof/>
                <w:webHidden/>
              </w:rPr>
              <w:fldChar w:fldCharType="end"/>
            </w:r>
          </w:hyperlink>
        </w:p>
        <w:p w14:paraId="51D86EE8" w14:textId="2B163EEF" w:rsidR="009D0591" w:rsidRDefault="009D0591">
          <w:pPr>
            <w:pStyle w:val="TOC3"/>
            <w:tabs>
              <w:tab w:val="right" w:leader="dot" w:pos="9350"/>
            </w:tabs>
            <w:rPr>
              <w:rFonts w:asciiTheme="minorHAnsi" w:hAnsiTheme="minorHAnsi"/>
              <w:noProof/>
              <w:color w:val="auto"/>
              <w:sz w:val="22"/>
              <w:lang w:val="ru-RU" w:eastAsia="ru-RU"/>
            </w:rPr>
          </w:pPr>
          <w:hyperlink w:anchor="_Toc229599088" w:history="1">
            <w:r w:rsidRPr="00D351EB">
              <w:rPr>
                <w:rStyle w:val="Hyperlink"/>
                <w:rFonts w:cs="Times New Roman"/>
                <w:noProof/>
              </w:rPr>
              <w:t>6.3.3 Low-latency voice infrastructure</w:t>
            </w:r>
            <w:r>
              <w:rPr>
                <w:noProof/>
                <w:webHidden/>
              </w:rPr>
              <w:tab/>
            </w:r>
            <w:r>
              <w:rPr>
                <w:noProof/>
                <w:webHidden/>
              </w:rPr>
              <w:fldChar w:fldCharType="begin"/>
            </w:r>
            <w:r>
              <w:rPr>
                <w:noProof/>
                <w:webHidden/>
              </w:rPr>
              <w:instrText xml:space="preserve"> PAGEREF _Toc229599088 \h </w:instrText>
            </w:r>
            <w:r>
              <w:rPr>
                <w:noProof/>
                <w:webHidden/>
              </w:rPr>
            </w:r>
            <w:r>
              <w:rPr>
                <w:noProof/>
                <w:webHidden/>
              </w:rPr>
              <w:fldChar w:fldCharType="separate"/>
            </w:r>
            <w:r>
              <w:rPr>
                <w:noProof/>
                <w:webHidden/>
              </w:rPr>
              <w:t>83</w:t>
            </w:r>
            <w:r>
              <w:rPr>
                <w:noProof/>
                <w:webHidden/>
              </w:rPr>
              <w:fldChar w:fldCharType="end"/>
            </w:r>
          </w:hyperlink>
        </w:p>
        <w:p w14:paraId="7723964A" w14:textId="4B12F45C" w:rsidR="009D0591" w:rsidRDefault="009D0591">
          <w:pPr>
            <w:pStyle w:val="TOC3"/>
            <w:tabs>
              <w:tab w:val="right" w:leader="dot" w:pos="9350"/>
            </w:tabs>
            <w:rPr>
              <w:rFonts w:asciiTheme="minorHAnsi" w:hAnsiTheme="minorHAnsi"/>
              <w:noProof/>
              <w:color w:val="auto"/>
              <w:sz w:val="22"/>
              <w:lang w:val="ru-RU" w:eastAsia="ru-RU"/>
            </w:rPr>
          </w:pPr>
          <w:hyperlink w:anchor="_Toc229599089" w:history="1">
            <w:r w:rsidRPr="00D351EB">
              <w:rPr>
                <w:rStyle w:val="Hyperlink"/>
                <w:rFonts w:cs="Times New Roman"/>
                <w:noProof/>
              </w:rPr>
              <w:t>6.3.4 Auditable human escalation</w:t>
            </w:r>
            <w:r>
              <w:rPr>
                <w:noProof/>
                <w:webHidden/>
              </w:rPr>
              <w:tab/>
            </w:r>
            <w:r>
              <w:rPr>
                <w:noProof/>
                <w:webHidden/>
              </w:rPr>
              <w:fldChar w:fldCharType="begin"/>
            </w:r>
            <w:r>
              <w:rPr>
                <w:noProof/>
                <w:webHidden/>
              </w:rPr>
              <w:instrText xml:space="preserve"> PAGEREF _Toc229599089 \h </w:instrText>
            </w:r>
            <w:r>
              <w:rPr>
                <w:noProof/>
                <w:webHidden/>
              </w:rPr>
            </w:r>
            <w:r>
              <w:rPr>
                <w:noProof/>
                <w:webHidden/>
              </w:rPr>
              <w:fldChar w:fldCharType="separate"/>
            </w:r>
            <w:r>
              <w:rPr>
                <w:noProof/>
                <w:webHidden/>
              </w:rPr>
              <w:t>83</w:t>
            </w:r>
            <w:r>
              <w:rPr>
                <w:noProof/>
                <w:webHidden/>
              </w:rPr>
              <w:fldChar w:fldCharType="end"/>
            </w:r>
          </w:hyperlink>
        </w:p>
        <w:p w14:paraId="2B49972F" w14:textId="6E1CD35A" w:rsidR="009D0591" w:rsidRDefault="009D0591">
          <w:pPr>
            <w:pStyle w:val="TOC2"/>
            <w:tabs>
              <w:tab w:val="right" w:leader="dot" w:pos="9350"/>
            </w:tabs>
            <w:rPr>
              <w:rFonts w:asciiTheme="minorHAnsi" w:hAnsiTheme="minorHAnsi"/>
              <w:noProof/>
              <w:color w:val="auto"/>
              <w:sz w:val="22"/>
              <w:lang w:val="ru-RU" w:eastAsia="ru-RU"/>
            </w:rPr>
          </w:pPr>
          <w:hyperlink w:anchor="_Toc229599090" w:history="1">
            <w:r w:rsidRPr="00D351EB">
              <w:rPr>
                <w:rStyle w:val="Hyperlink"/>
                <w:rFonts w:cs="Times New Roman"/>
                <w:noProof/>
              </w:rPr>
              <w:t>6.4 Implementation Stages</w:t>
            </w:r>
            <w:r>
              <w:rPr>
                <w:noProof/>
                <w:webHidden/>
              </w:rPr>
              <w:tab/>
            </w:r>
            <w:r>
              <w:rPr>
                <w:noProof/>
                <w:webHidden/>
              </w:rPr>
              <w:fldChar w:fldCharType="begin"/>
            </w:r>
            <w:r>
              <w:rPr>
                <w:noProof/>
                <w:webHidden/>
              </w:rPr>
              <w:instrText xml:space="preserve"> PAGEREF _Toc229599090 \h </w:instrText>
            </w:r>
            <w:r>
              <w:rPr>
                <w:noProof/>
                <w:webHidden/>
              </w:rPr>
            </w:r>
            <w:r>
              <w:rPr>
                <w:noProof/>
                <w:webHidden/>
              </w:rPr>
              <w:fldChar w:fldCharType="separate"/>
            </w:r>
            <w:r>
              <w:rPr>
                <w:noProof/>
                <w:webHidden/>
              </w:rPr>
              <w:t>84</w:t>
            </w:r>
            <w:r>
              <w:rPr>
                <w:noProof/>
                <w:webHidden/>
              </w:rPr>
              <w:fldChar w:fldCharType="end"/>
            </w:r>
          </w:hyperlink>
        </w:p>
        <w:p w14:paraId="4139BB1E" w14:textId="542CE15D" w:rsidR="009D0591" w:rsidRDefault="009D0591">
          <w:pPr>
            <w:pStyle w:val="TOC2"/>
            <w:tabs>
              <w:tab w:val="right" w:leader="dot" w:pos="9350"/>
            </w:tabs>
            <w:rPr>
              <w:rFonts w:asciiTheme="minorHAnsi" w:hAnsiTheme="minorHAnsi"/>
              <w:noProof/>
              <w:color w:val="auto"/>
              <w:sz w:val="22"/>
              <w:lang w:val="ru-RU" w:eastAsia="ru-RU"/>
            </w:rPr>
          </w:pPr>
          <w:hyperlink w:anchor="_Toc229599091" w:history="1">
            <w:r w:rsidRPr="00D351EB">
              <w:rPr>
                <w:rStyle w:val="Hyperlink"/>
                <w:rFonts w:cs="Times New Roman"/>
                <w:noProof/>
              </w:rPr>
              <w:t>6.5 Business-Value Mechanisms by Prerequisite</w:t>
            </w:r>
            <w:r>
              <w:rPr>
                <w:noProof/>
                <w:webHidden/>
              </w:rPr>
              <w:tab/>
            </w:r>
            <w:r>
              <w:rPr>
                <w:noProof/>
                <w:webHidden/>
              </w:rPr>
              <w:fldChar w:fldCharType="begin"/>
            </w:r>
            <w:r>
              <w:rPr>
                <w:noProof/>
                <w:webHidden/>
              </w:rPr>
              <w:instrText xml:space="preserve"> PAGEREF _Toc229599091 \h </w:instrText>
            </w:r>
            <w:r>
              <w:rPr>
                <w:noProof/>
                <w:webHidden/>
              </w:rPr>
            </w:r>
            <w:r>
              <w:rPr>
                <w:noProof/>
                <w:webHidden/>
              </w:rPr>
              <w:fldChar w:fldCharType="separate"/>
            </w:r>
            <w:r>
              <w:rPr>
                <w:noProof/>
                <w:webHidden/>
              </w:rPr>
              <w:t>84</w:t>
            </w:r>
            <w:r>
              <w:rPr>
                <w:noProof/>
                <w:webHidden/>
              </w:rPr>
              <w:fldChar w:fldCharType="end"/>
            </w:r>
          </w:hyperlink>
        </w:p>
        <w:p w14:paraId="5ECC4DF4" w14:textId="31A64E89" w:rsidR="009D0591" w:rsidRDefault="009D0591">
          <w:pPr>
            <w:pStyle w:val="TOC2"/>
            <w:tabs>
              <w:tab w:val="right" w:leader="dot" w:pos="9350"/>
            </w:tabs>
            <w:rPr>
              <w:rFonts w:asciiTheme="minorHAnsi" w:hAnsiTheme="minorHAnsi"/>
              <w:noProof/>
              <w:color w:val="auto"/>
              <w:sz w:val="22"/>
              <w:lang w:val="ru-RU" w:eastAsia="ru-RU"/>
            </w:rPr>
          </w:pPr>
          <w:hyperlink w:anchor="_Toc229599092" w:history="1">
            <w:r w:rsidRPr="00D351EB">
              <w:rPr>
                <w:rStyle w:val="Hyperlink"/>
                <w:rFonts w:cs="Times New Roman"/>
                <w:noProof/>
              </w:rPr>
              <w:t>6.6 Boundary Conditions</w:t>
            </w:r>
            <w:r>
              <w:rPr>
                <w:noProof/>
                <w:webHidden/>
              </w:rPr>
              <w:tab/>
            </w:r>
            <w:r>
              <w:rPr>
                <w:noProof/>
                <w:webHidden/>
              </w:rPr>
              <w:fldChar w:fldCharType="begin"/>
            </w:r>
            <w:r>
              <w:rPr>
                <w:noProof/>
                <w:webHidden/>
              </w:rPr>
              <w:instrText xml:space="preserve"> PAGEREF _Toc229599092 \h </w:instrText>
            </w:r>
            <w:r>
              <w:rPr>
                <w:noProof/>
                <w:webHidden/>
              </w:rPr>
            </w:r>
            <w:r>
              <w:rPr>
                <w:noProof/>
                <w:webHidden/>
              </w:rPr>
              <w:fldChar w:fldCharType="separate"/>
            </w:r>
            <w:r>
              <w:rPr>
                <w:noProof/>
                <w:webHidden/>
              </w:rPr>
              <w:t>85</w:t>
            </w:r>
            <w:r>
              <w:rPr>
                <w:noProof/>
                <w:webHidden/>
              </w:rPr>
              <w:fldChar w:fldCharType="end"/>
            </w:r>
          </w:hyperlink>
        </w:p>
        <w:p w14:paraId="5ED78499" w14:textId="270AF397" w:rsidR="009D0591" w:rsidRDefault="009D0591">
          <w:pPr>
            <w:pStyle w:val="TOC2"/>
            <w:tabs>
              <w:tab w:val="right" w:leader="dot" w:pos="9350"/>
            </w:tabs>
            <w:rPr>
              <w:rFonts w:asciiTheme="minorHAnsi" w:hAnsiTheme="minorHAnsi"/>
              <w:noProof/>
              <w:color w:val="auto"/>
              <w:sz w:val="22"/>
              <w:lang w:val="ru-RU" w:eastAsia="ru-RU"/>
            </w:rPr>
          </w:pPr>
          <w:hyperlink w:anchor="_Toc229599093" w:history="1">
            <w:r w:rsidRPr="00D351EB">
              <w:rPr>
                <w:rStyle w:val="Hyperlink"/>
                <w:rFonts w:cs="Times New Roman"/>
                <w:noProof/>
              </w:rPr>
              <w:t>6.7 Transferability to Adjacent Regulated Settings</w:t>
            </w:r>
            <w:r>
              <w:rPr>
                <w:noProof/>
                <w:webHidden/>
              </w:rPr>
              <w:tab/>
            </w:r>
            <w:r>
              <w:rPr>
                <w:noProof/>
                <w:webHidden/>
              </w:rPr>
              <w:fldChar w:fldCharType="begin"/>
            </w:r>
            <w:r>
              <w:rPr>
                <w:noProof/>
                <w:webHidden/>
              </w:rPr>
              <w:instrText xml:space="preserve"> PAGEREF _Toc229599093 \h </w:instrText>
            </w:r>
            <w:r>
              <w:rPr>
                <w:noProof/>
                <w:webHidden/>
              </w:rPr>
            </w:r>
            <w:r>
              <w:rPr>
                <w:noProof/>
                <w:webHidden/>
              </w:rPr>
              <w:fldChar w:fldCharType="separate"/>
            </w:r>
            <w:r>
              <w:rPr>
                <w:noProof/>
                <w:webHidden/>
              </w:rPr>
              <w:t>86</w:t>
            </w:r>
            <w:r>
              <w:rPr>
                <w:noProof/>
                <w:webHidden/>
              </w:rPr>
              <w:fldChar w:fldCharType="end"/>
            </w:r>
          </w:hyperlink>
        </w:p>
        <w:p w14:paraId="0D06BE32" w14:textId="2217DD2D" w:rsidR="009D0591" w:rsidRDefault="009D0591">
          <w:pPr>
            <w:pStyle w:val="TOC2"/>
            <w:tabs>
              <w:tab w:val="right" w:leader="dot" w:pos="9350"/>
            </w:tabs>
            <w:rPr>
              <w:rFonts w:asciiTheme="minorHAnsi" w:hAnsiTheme="minorHAnsi"/>
              <w:noProof/>
              <w:color w:val="auto"/>
              <w:sz w:val="22"/>
              <w:lang w:val="ru-RU" w:eastAsia="ru-RU"/>
            </w:rPr>
          </w:pPr>
          <w:hyperlink w:anchor="_Toc229599094" w:history="1">
            <w:r w:rsidRPr="00D351EB">
              <w:rPr>
                <w:rStyle w:val="Hyperlink"/>
                <w:rFonts w:cs="Times New Roman"/>
                <w:noProof/>
              </w:rPr>
              <w:t>6.8 Chapter Summary</w:t>
            </w:r>
            <w:r>
              <w:rPr>
                <w:noProof/>
                <w:webHidden/>
              </w:rPr>
              <w:tab/>
            </w:r>
            <w:r>
              <w:rPr>
                <w:noProof/>
                <w:webHidden/>
              </w:rPr>
              <w:fldChar w:fldCharType="begin"/>
            </w:r>
            <w:r>
              <w:rPr>
                <w:noProof/>
                <w:webHidden/>
              </w:rPr>
              <w:instrText xml:space="preserve"> PAGEREF _Toc229599094 \h </w:instrText>
            </w:r>
            <w:r>
              <w:rPr>
                <w:noProof/>
                <w:webHidden/>
              </w:rPr>
            </w:r>
            <w:r>
              <w:rPr>
                <w:noProof/>
                <w:webHidden/>
              </w:rPr>
              <w:fldChar w:fldCharType="separate"/>
            </w:r>
            <w:r>
              <w:rPr>
                <w:noProof/>
                <w:webHidden/>
              </w:rPr>
              <w:t>86</w:t>
            </w:r>
            <w:r>
              <w:rPr>
                <w:noProof/>
                <w:webHidden/>
              </w:rPr>
              <w:fldChar w:fldCharType="end"/>
            </w:r>
          </w:hyperlink>
        </w:p>
        <w:p w14:paraId="56BB4B1F" w14:textId="739F2560" w:rsidR="009D0591" w:rsidRDefault="009D0591">
          <w:pPr>
            <w:pStyle w:val="TOC1"/>
            <w:tabs>
              <w:tab w:val="right" w:leader="dot" w:pos="9350"/>
            </w:tabs>
            <w:rPr>
              <w:rFonts w:asciiTheme="minorHAnsi" w:hAnsiTheme="minorHAnsi"/>
              <w:noProof/>
              <w:color w:val="auto"/>
              <w:sz w:val="22"/>
              <w:lang w:val="ru-RU" w:eastAsia="ru-RU"/>
            </w:rPr>
          </w:pPr>
          <w:hyperlink w:anchor="_Toc229599095" w:history="1">
            <w:r w:rsidRPr="00D351EB">
              <w:rPr>
                <w:rStyle w:val="Hyperlink"/>
                <w:rFonts w:cs="Times New Roman"/>
                <w:noProof/>
              </w:rPr>
              <w:t>7. Discussion</w:t>
            </w:r>
            <w:r>
              <w:rPr>
                <w:noProof/>
                <w:webHidden/>
              </w:rPr>
              <w:tab/>
            </w:r>
            <w:r>
              <w:rPr>
                <w:noProof/>
                <w:webHidden/>
              </w:rPr>
              <w:fldChar w:fldCharType="begin"/>
            </w:r>
            <w:r>
              <w:rPr>
                <w:noProof/>
                <w:webHidden/>
              </w:rPr>
              <w:instrText xml:space="preserve"> PAGEREF _Toc229599095 \h </w:instrText>
            </w:r>
            <w:r>
              <w:rPr>
                <w:noProof/>
                <w:webHidden/>
              </w:rPr>
            </w:r>
            <w:r>
              <w:rPr>
                <w:noProof/>
                <w:webHidden/>
              </w:rPr>
              <w:fldChar w:fldCharType="separate"/>
            </w:r>
            <w:r>
              <w:rPr>
                <w:noProof/>
                <w:webHidden/>
              </w:rPr>
              <w:t>87</w:t>
            </w:r>
            <w:r>
              <w:rPr>
                <w:noProof/>
                <w:webHidden/>
              </w:rPr>
              <w:fldChar w:fldCharType="end"/>
            </w:r>
          </w:hyperlink>
        </w:p>
        <w:p w14:paraId="6A3DBE9F" w14:textId="39996064" w:rsidR="009D0591" w:rsidRDefault="009D0591">
          <w:pPr>
            <w:pStyle w:val="TOC2"/>
            <w:tabs>
              <w:tab w:val="right" w:leader="dot" w:pos="9350"/>
            </w:tabs>
            <w:rPr>
              <w:rFonts w:asciiTheme="minorHAnsi" w:hAnsiTheme="minorHAnsi"/>
              <w:noProof/>
              <w:color w:val="auto"/>
              <w:sz w:val="22"/>
              <w:lang w:val="ru-RU" w:eastAsia="ru-RU"/>
            </w:rPr>
          </w:pPr>
          <w:hyperlink w:anchor="_Toc229599096" w:history="1">
            <w:r w:rsidRPr="00D351EB">
              <w:rPr>
                <w:rStyle w:val="Hyperlink"/>
                <w:rFonts w:cs="Times New Roman"/>
                <w:noProof/>
              </w:rPr>
              <w:t>7.1 Introduction</w:t>
            </w:r>
            <w:r>
              <w:rPr>
                <w:noProof/>
                <w:webHidden/>
              </w:rPr>
              <w:tab/>
            </w:r>
            <w:r>
              <w:rPr>
                <w:noProof/>
                <w:webHidden/>
              </w:rPr>
              <w:fldChar w:fldCharType="begin"/>
            </w:r>
            <w:r>
              <w:rPr>
                <w:noProof/>
                <w:webHidden/>
              </w:rPr>
              <w:instrText xml:space="preserve"> PAGEREF _Toc229599096 \h </w:instrText>
            </w:r>
            <w:r>
              <w:rPr>
                <w:noProof/>
                <w:webHidden/>
              </w:rPr>
            </w:r>
            <w:r>
              <w:rPr>
                <w:noProof/>
                <w:webHidden/>
              </w:rPr>
              <w:fldChar w:fldCharType="separate"/>
            </w:r>
            <w:r>
              <w:rPr>
                <w:noProof/>
                <w:webHidden/>
              </w:rPr>
              <w:t>87</w:t>
            </w:r>
            <w:r>
              <w:rPr>
                <w:noProof/>
                <w:webHidden/>
              </w:rPr>
              <w:fldChar w:fldCharType="end"/>
            </w:r>
          </w:hyperlink>
        </w:p>
        <w:p w14:paraId="5DC6DC36" w14:textId="2A9B81AC" w:rsidR="009D0591" w:rsidRDefault="009D0591">
          <w:pPr>
            <w:pStyle w:val="TOC2"/>
            <w:tabs>
              <w:tab w:val="right" w:leader="dot" w:pos="9350"/>
            </w:tabs>
            <w:rPr>
              <w:rFonts w:asciiTheme="minorHAnsi" w:hAnsiTheme="minorHAnsi"/>
              <w:noProof/>
              <w:color w:val="auto"/>
              <w:sz w:val="22"/>
              <w:lang w:val="ru-RU" w:eastAsia="ru-RU"/>
            </w:rPr>
          </w:pPr>
          <w:hyperlink w:anchor="_Toc229599097" w:history="1">
            <w:r w:rsidRPr="00D351EB">
              <w:rPr>
                <w:rStyle w:val="Hyperlink"/>
                <w:rFonts w:cs="Times New Roman"/>
                <w:noProof/>
              </w:rPr>
              <w:t>7.2 Interpreting the Financial Trajectory</w:t>
            </w:r>
            <w:r>
              <w:rPr>
                <w:noProof/>
                <w:webHidden/>
              </w:rPr>
              <w:tab/>
            </w:r>
            <w:r>
              <w:rPr>
                <w:noProof/>
                <w:webHidden/>
              </w:rPr>
              <w:fldChar w:fldCharType="begin"/>
            </w:r>
            <w:r>
              <w:rPr>
                <w:noProof/>
                <w:webHidden/>
              </w:rPr>
              <w:instrText xml:space="preserve"> PAGEREF _Toc229599097 \h </w:instrText>
            </w:r>
            <w:r>
              <w:rPr>
                <w:noProof/>
                <w:webHidden/>
              </w:rPr>
            </w:r>
            <w:r>
              <w:rPr>
                <w:noProof/>
                <w:webHidden/>
              </w:rPr>
              <w:fldChar w:fldCharType="separate"/>
            </w:r>
            <w:r>
              <w:rPr>
                <w:noProof/>
                <w:webHidden/>
              </w:rPr>
              <w:t>87</w:t>
            </w:r>
            <w:r>
              <w:rPr>
                <w:noProof/>
                <w:webHidden/>
              </w:rPr>
              <w:fldChar w:fldCharType="end"/>
            </w:r>
          </w:hyperlink>
        </w:p>
        <w:p w14:paraId="30FAE686" w14:textId="222DD6DB" w:rsidR="009D0591" w:rsidRDefault="009D0591">
          <w:pPr>
            <w:pStyle w:val="TOC2"/>
            <w:tabs>
              <w:tab w:val="right" w:leader="dot" w:pos="9350"/>
            </w:tabs>
            <w:rPr>
              <w:rFonts w:asciiTheme="minorHAnsi" w:hAnsiTheme="minorHAnsi"/>
              <w:noProof/>
              <w:color w:val="auto"/>
              <w:sz w:val="22"/>
              <w:lang w:val="ru-RU" w:eastAsia="ru-RU"/>
            </w:rPr>
          </w:pPr>
          <w:hyperlink w:anchor="_Toc229599098" w:history="1">
            <w:r w:rsidRPr="00D351EB">
              <w:rPr>
                <w:rStyle w:val="Hyperlink"/>
                <w:rFonts w:cs="Times New Roman"/>
                <w:noProof/>
              </w:rPr>
              <w:t>7.3 Interpreting the NPS – Trustpilot Divergence</w:t>
            </w:r>
            <w:r>
              <w:rPr>
                <w:noProof/>
                <w:webHidden/>
              </w:rPr>
              <w:tab/>
            </w:r>
            <w:r>
              <w:rPr>
                <w:noProof/>
                <w:webHidden/>
              </w:rPr>
              <w:fldChar w:fldCharType="begin"/>
            </w:r>
            <w:r>
              <w:rPr>
                <w:noProof/>
                <w:webHidden/>
              </w:rPr>
              <w:instrText xml:space="preserve"> PAGEREF _Toc229599098 \h </w:instrText>
            </w:r>
            <w:r>
              <w:rPr>
                <w:noProof/>
                <w:webHidden/>
              </w:rPr>
            </w:r>
            <w:r>
              <w:rPr>
                <w:noProof/>
                <w:webHidden/>
              </w:rPr>
              <w:fldChar w:fldCharType="separate"/>
            </w:r>
            <w:r>
              <w:rPr>
                <w:noProof/>
                <w:webHidden/>
              </w:rPr>
              <w:t>88</w:t>
            </w:r>
            <w:r>
              <w:rPr>
                <w:noProof/>
                <w:webHidden/>
              </w:rPr>
              <w:fldChar w:fldCharType="end"/>
            </w:r>
          </w:hyperlink>
        </w:p>
        <w:p w14:paraId="246A7388" w14:textId="2A067FE9" w:rsidR="009D0591" w:rsidRDefault="009D0591">
          <w:pPr>
            <w:pStyle w:val="TOC2"/>
            <w:tabs>
              <w:tab w:val="right" w:leader="dot" w:pos="9350"/>
            </w:tabs>
            <w:rPr>
              <w:rFonts w:asciiTheme="minorHAnsi" w:hAnsiTheme="minorHAnsi"/>
              <w:noProof/>
              <w:color w:val="auto"/>
              <w:sz w:val="22"/>
              <w:lang w:val="ru-RU" w:eastAsia="ru-RU"/>
            </w:rPr>
          </w:pPr>
          <w:hyperlink w:anchor="_Toc229599099" w:history="1">
            <w:r w:rsidRPr="00D351EB">
              <w:rPr>
                <w:rStyle w:val="Hyperlink"/>
                <w:rFonts w:cs="Times New Roman"/>
                <w:noProof/>
              </w:rPr>
              <w:t>7.4 Theoretical Contributions</w:t>
            </w:r>
            <w:r>
              <w:rPr>
                <w:noProof/>
                <w:webHidden/>
              </w:rPr>
              <w:tab/>
            </w:r>
            <w:r>
              <w:rPr>
                <w:noProof/>
                <w:webHidden/>
              </w:rPr>
              <w:fldChar w:fldCharType="begin"/>
            </w:r>
            <w:r>
              <w:rPr>
                <w:noProof/>
                <w:webHidden/>
              </w:rPr>
              <w:instrText xml:space="preserve"> PAGEREF _Toc229599099 \h </w:instrText>
            </w:r>
            <w:r>
              <w:rPr>
                <w:noProof/>
                <w:webHidden/>
              </w:rPr>
            </w:r>
            <w:r>
              <w:rPr>
                <w:noProof/>
                <w:webHidden/>
              </w:rPr>
              <w:fldChar w:fldCharType="separate"/>
            </w:r>
            <w:r>
              <w:rPr>
                <w:noProof/>
                <w:webHidden/>
              </w:rPr>
              <w:t>89</w:t>
            </w:r>
            <w:r>
              <w:rPr>
                <w:noProof/>
                <w:webHidden/>
              </w:rPr>
              <w:fldChar w:fldCharType="end"/>
            </w:r>
          </w:hyperlink>
        </w:p>
        <w:p w14:paraId="22DEDB82" w14:textId="5A71D872" w:rsidR="009D0591" w:rsidRDefault="009D0591">
          <w:pPr>
            <w:pStyle w:val="TOC2"/>
            <w:tabs>
              <w:tab w:val="right" w:leader="dot" w:pos="9350"/>
            </w:tabs>
            <w:rPr>
              <w:rFonts w:asciiTheme="minorHAnsi" w:hAnsiTheme="minorHAnsi"/>
              <w:noProof/>
              <w:color w:val="auto"/>
              <w:sz w:val="22"/>
              <w:lang w:val="ru-RU" w:eastAsia="ru-RU"/>
            </w:rPr>
          </w:pPr>
          <w:hyperlink w:anchor="_Toc229599100" w:history="1">
            <w:r w:rsidRPr="00D351EB">
              <w:rPr>
                <w:rStyle w:val="Hyperlink"/>
                <w:rFonts w:cs="Times New Roman"/>
                <w:noProof/>
              </w:rPr>
              <w:t>7.5 Alternative Explanations and Competing Hypotheses</w:t>
            </w:r>
            <w:r>
              <w:rPr>
                <w:noProof/>
                <w:webHidden/>
              </w:rPr>
              <w:tab/>
            </w:r>
            <w:r>
              <w:rPr>
                <w:noProof/>
                <w:webHidden/>
              </w:rPr>
              <w:fldChar w:fldCharType="begin"/>
            </w:r>
            <w:r>
              <w:rPr>
                <w:noProof/>
                <w:webHidden/>
              </w:rPr>
              <w:instrText xml:space="preserve"> PAGEREF _Toc229599100 \h </w:instrText>
            </w:r>
            <w:r>
              <w:rPr>
                <w:noProof/>
                <w:webHidden/>
              </w:rPr>
            </w:r>
            <w:r>
              <w:rPr>
                <w:noProof/>
                <w:webHidden/>
              </w:rPr>
              <w:fldChar w:fldCharType="separate"/>
            </w:r>
            <w:r>
              <w:rPr>
                <w:noProof/>
                <w:webHidden/>
              </w:rPr>
              <w:t>90</w:t>
            </w:r>
            <w:r>
              <w:rPr>
                <w:noProof/>
                <w:webHidden/>
              </w:rPr>
              <w:fldChar w:fldCharType="end"/>
            </w:r>
          </w:hyperlink>
        </w:p>
        <w:p w14:paraId="5A97DF6B" w14:textId="62D9FFD2" w:rsidR="009D0591" w:rsidRDefault="009D0591">
          <w:pPr>
            <w:pStyle w:val="TOC2"/>
            <w:tabs>
              <w:tab w:val="right" w:leader="dot" w:pos="9350"/>
            </w:tabs>
            <w:rPr>
              <w:rFonts w:asciiTheme="minorHAnsi" w:hAnsiTheme="minorHAnsi"/>
              <w:noProof/>
              <w:color w:val="auto"/>
              <w:sz w:val="22"/>
              <w:lang w:val="ru-RU" w:eastAsia="ru-RU"/>
            </w:rPr>
          </w:pPr>
          <w:hyperlink w:anchor="_Toc229599101" w:history="1">
            <w:r w:rsidRPr="00D351EB">
              <w:rPr>
                <w:rStyle w:val="Hyperlink"/>
                <w:rFonts w:cs="Times New Roman"/>
                <w:noProof/>
              </w:rPr>
              <w:t>7.6 Practical Implications</w:t>
            </w:r>
            <w:r>
              <w:rPr>
                <w:noProof/>
                <w:webHidden/>
              </w:rPr>
              <w:tab/>
            </w:r>
            <w:r>
              <w:rPr>
                <w:noProof/>
                <w:webHidden/>
              </w:rPr>
              <w:fldChar w:fldCharType="begin"/>
            </w:r>
            <w:r>
              <w:rPr>
                <w:noProof/>
                <w:webHidden/>
              </w:rPr>
              <w:instrText xml:space="preserve"> PAGEREF _Toc229599101 \h </w:instrText>
            </w:r>
            <w:r>
              <w:rPr>
                <w:noProof/>
                <w:webHidden/>
              </w:rPr>
            </w:r>
            <w:r>
              <w:rPr>
                <w:noProof/>
                <w:webHidden/>
              </w:rPr>
              <w:fldChar w:fldCharType="separate"/>
            </w:r>
            <w:r>
              <w:rPr>
                <w:noProof/>
                <w:webHidden/>
              </w:rPr>
              <w:t>91</w:t>
            </w:r>
            <w:r>
              <w:rPr>
                <w:noProof/>
                <w:webHidden/>
              </w:rPr>
              <w:fldChar w:fldCharType="end"/>
            </w:r>
          </w:hyperlink>
        </w:p>
        <w:p w14:paraId="0F62F9DE" w14:textId="4C2E957B" w:rsidR="009D0591" w:rsidRDefault="009D0591">
          <w:pPr>
            <w:pStyle w:val="TOC2"/>
            <w:tabs>
              <w:tab w:val="right" w:leader="dot" w:pos="9350"/>
            </w:tabs>
            <w:rPr>
              <w:rFonts w:asciiTheme="minorHAnsi" w:hAnsiTheme="minorHAnsi"/>
              <w:noProof/>
              <w:color w:val="auto"/>
              <w:sz w:val="22"/>
              <w:lang w:val="ru-RU" w:eastAsia="ru-RU"/>
            </w:rPr>
          </w:pPr>
          <w:hyperlink w:anchor="_Toc229599102" w:history="1">
            <w:r w:rsidRPr="00D351EB">
              <w:rPr>
                <w:rStyle w:val="Hyperlink"/>
                <w:rFonts w:cs="Times New Roman"/>
                <w:noProof/>
              </w:rPr>
              <w:t>7.7 Chapter Summary</w:t>
            </w:r>
            <w:r>
              <w:rPr>
                <w:noProof/>
                <w:webHidden/>
              </w:rPr>
              <w:tab/>
            </w:r>
            <w:r>
              <w:rPr>
                <w:noProof/>
                <w:webHidden/>
              </w:rPr>
              <w:fldChar w:fldCharType="begin"/>
            </w:r>
            <w:r>
              <w:rPr>
                <w:noProof/>
                <w:webHidden/>
              </w:rPr>
              <w:instrText xml:space="preserve"> PAGEREF _Toc229599102 \h </w:instrText>
            </w:r>
            <w:r>
              <w:rPr>
                <w:noProof/>
                <w:webHidden/>
              </w:rPr>
            </w:r>
            <w:r>
              <w:rPr>
                <w:noProof/>
                <w:webHidden/>
              </w:rPr>
              <w:fldChar w:fldCharType="separate"/>
            </w:r>
            <w:r>
              <w:rPr>
                <w:noProof/>
                <w:webHidden/>
              </w:rPr>
              <w:t>92</w:t>
            </w:r>
            <w:r>
              <w:rPr>
                <w:noProof/>
                <w:webHidden/>
              </w:rPr>
              <w:fldChar w:fldCharType="end"/>
            </w:r>
          </w:hyperlink>
        </w:p>
        <w:p w14:paraId="63188600" w14:textId="1494940D" w:rsidR="009D0591" w:rsidRDefault="009D0591">
          <w:pPr>
            <w:pStyle w:val="TOC1"/>
            <w:tabs>
              <w:tab w:val="right" w:leader="dot" w:pos="9350"/>
            </w:tabs>
            <w:rPr>
              <w:rFonts w:asciiTheme="minorHAnsi" w:hAnsiTheme="minorHAnsi"/>
              <w:noProof/>
              <w:color w:val="auto"/>
              <w:sz w:val="22"/>
              <w:lang w:val="ru-RU" w:eastAsia="ru-RU"/>
            </w:rPr>
          </w:pPr>
          <w:hyperlink w:anchor="_Toc229599103" w:history="1">
            <w:r w:rsidRPr="00D351EB">
              <w:rPr>
                <w:rStyle w:val="Hyperlink"/>
                <w:rFonts w:cs="Times New Roman"/>
                <w:noProof/>
              </w:rPr>
              <w:t>8. Limitations</w:t>
            </w:r>
            <w:r>
              <w:rPr>
                <w:noProof/>
                <w:webHidden/>
              </w:rPr>
              <w:tab/>
            </w:r>
            <w:r>
              <w:rPr>
                <w:noProof/>
                <w:webHidden/>
              </w:rPr>
              <w:fldChar w:fldCharType="begin"/>
            </w:r>
            <w:r>
              <w:rPr>
                <w:noProof/>
                <w:webHidden/>
              </w:rPr>
              <w:instrText xml:space="preserve"> PAGEREF _Toc229599103 \h </w:instrText>
            </w:r>
            <w:r>
              <w:rPr>
                <w:noProof/>
                <w:webHidden/>
              </w:rPr>
            </w:r>
            <w:r>
              <w:rPr>
                <w:noProof/>
                <w:webHidden/>
              </w:rPr>
              <w:fldChar w:fldCharType="separate"/>
            </w:r>
            <w:r>
              <w:rPr>
                <w:noProof/>
                <w:webHidden/>
              </w:rPr>
              <w:t>92</w:t>
            </w:r>
            <w:r>
              <w:rPr>
                <w:noProof/>
                <w:webHidden/>
              </w:rPr>
              <w:fldChar w:fldCharType="end"/>
            </w:r>
          </w:hyperlink>
        </w:p>
        <w:p w14:paraId="3ED98B5C" w14:textId="459C563B" w:rsidR="009D0591" w:rsidRDefault="009D0591">
          <w:pPr>
            <w:pStyle w:val="TOC2"/>
            <w:tabs>
              <w:tab w:val="right" w:leader="dot" w:pos="9350"/>
            </w:tabs>
            <w:rPr>
              <w:rFonts w:asciiTheme="minorHAnsi" w:hAnsiTheme="minorHAnsi"/>
              <w:noProof/>
              <w:color w:val="auto"/>
              <w:sz w:val="22"/>
              <w:lang w:val="ru-RU" w:eastAsia="ru-RU"/>
            </w:rPr>
          </w:pPr>
          <w:hyperlink w:anchor="_Toc229599104" w:history="1">
            <w:r w:rsidRPr="00D351EB">
              <w:rPr>
                <w:rStyle w:val="Hyperlink"/>
                <w:rFonts w:cs="Times New Roman"/>
                <w:noProof/>
              </w:rPr>
              <w:t>8.1 Introduction</w:t>
            </w:r>
            <w:r>
              <w:rPr>
                <w:noProof/>
                <w:webHidden/>
              </w:rPr>
              <w:tab/>
            </w:r>
            <w:r>
              <w:rPr>
                <w:noProof/>
                <w:webHidden/>
              </w:rPr>
              <w:fldChar w:fldCharType="begin"/>
            </w:r>
            <w:r>
              <w:rPr>
                <w:noProof/>
                <w:webHidden/>
              </w:rPr>
              <w:instrText xml:space="preserve"> PAGEREF _Toc229599104 \h </w:instrText>
            </w:r>
            <w:r>
              <w:rPr>
                <w:noProof/>
                <w:webHidden/>
              </w:rPr>
            </w:r>
            <w:r>
              <w:rPr>
                <w:noProof/>
                <w:webHidden/>
              </w:rPr>
              <w:fldChar w:fldCharType="separate"/>
            </w:r>
            <w:r>
              <w:rPr>
                <w:noProof/>
                <w:webHidden/>
              </w:rPr>
              <w:t>92</w:t>
            </w:r>
            <w:r>
              <w:rPr>
                <w:noProof/>
                <w:webHidden/>
              </w:rPr>
              <w:fldChar w:fldCharType="end"/>
            </w:r>
          </w:hyperlink>
        </w:p>
        <w:p w14:paraId="3AC42EB3" w14:textId="661EFA37" w:rsidR="009D0591" w:rsidRDefault="009D0591">
          <w:pPr>
            <w:pStyle w:val="TOC2"/>
            <w:tabs>
              <w:tab w:val="right" w:leader="dot" w:pos="9350"/>
            </w:tabs>
            <w:rPr>
              <w:rFonts w:asciiTheme="minorHAnsi" w:hAnsiTheme="minorHAnsi"/>
              <w:noProof/>
              <w:color w:val="auto"/>
              <w:sz w:val="22"/>
              <w:lang w:val="ru-RU" w:eastAsia="ru-RU"/>
            </w:rPr>
          </w:pPr>
          <w:hyperlink w:anchor="_Toc229599105" w:history="1">
            <w:r w:rsidRPr="00D351EB">
              <w:rPr>
                <w:rStyle w:val="Hyperlink"/>
                <w:rFonts w:cs="Times New Roman"/>
                <w:noProof/>
              </w:rPr>
              <w:t>8.2 No Causal Identification</w:t>
            </w:r>
            <w:r>
              <w:rPr>
                <w:noProof/>
                <w:webHidden/>
              </w:rPr>
              <w:tab/>
            </w:r>
            <w:r>
              <w:rPr>
                <w:noProof/>
                <w:webHidden/>
              </w:rPr>
              <w:fldChar w:fldCharType="begin"/>
            </w:r>
            <w:r>
              <w:rPr>
                <w:noProof/>
                <w:webHidden/>
              </w:rPr>
              <w:instrText xml:space="preserve"> PAGEREF _Toc229599105 \h </w:instrText>
            </w:r>
            <w:r>
              <w:rPr>
                <w:noProof/>
                <w:webHidden/>
              </w:rPr>
            </w:r>
            <w:r>
              <w:rPr>
                <w:noProof/>
                <w:webHidden/>
              </w:rPr>
              <w:fldChar w:fldCharType="separate"/>
            </w:r>
            <w:r>
              <w:rPr>
                <w:noProof/>
                <w:webHidden/>
              </w:rPr>
              <w:t>92</w:t>
            </w:r>
            <w:r>
              <w:rPr>
                <w:noProof/>
                <w:webHidden/>
              </w:rPr>
              <w:fldChar w:fldCharType="end"/>
            </w:r>
          </w:hyperlink>
        </w:p>
        <w:p w14:paraId="1340608C" w14:textId="49A4E33B" w:rsidR="009D0591" w:rsidRDefault="009D0591">
          <w:pPr>
            <w:pStyle w:val="TOC2"/>
            <w:tabs>
              <w:tab w:val="right" w:leader="dot" w:pos="9350"/>
            </w:tabs>
            <w:rPr>
              <w:rFonts w:asciiTheme="minorHAnsi" w:hAnsiTheme="minorHAnsi"/>
              <w:noProof/>
              <w:color w:val="auto"/>
              <w:sz w:val="22"/>
              <w:lang w:val="ru-RU" w:eastAsia="ru-RU"/>
            </w:rPr>
          </w:pPr>
          <w:hyperlink w:anchor="_Toc229599106" w:history="1">
            <w:r w:rsidRPr="00D351EB">
              <w:rPr>
                <w:rStyle w:val="Hyperlink"/>
                <w:rFonts w:cs="Times New Roman"/>
                <w:noProof/>
              </w:rPr>
              <w:t>8.3 Annual Financial Granularity</w:t>
            </w:r>
            <w:r>
              <w:rPr>
                <w:noProof/>
                <w:webHidden/>
              </w:rPr>
              <w:tab/>
            </w:r>
            <w:r>
              <w:rPr>
                <w:noProof/>
                <w:webHidden/>
              </w:rPr>
              <w:fldChar w:fldCharType="begin"/>
            </w:r>
            <w:r>
              <w:rPr>
                <w:noProof/>
                <w:webHidden/>
              </w:rPr>
              <w:instrText xml:space="preserve"> PAGEREF _Toc229599106 \h </w:instrText>
            </w:r>
            <w:r>
              <w:rPr>
                <w:noProof/>
                <w:webHidden/>
              </w:rPr>
            </w:r>
            <w:r>
              <w:rPr>
                <w:noProof/>
                <w:webHidden/>
              </w:rPr>
              <w:fldChar w:fldCharType="separate"/>
            </w:r>
            <w:r>
              <w:rPr>
                <w:noProof/>
                <w:webHidden/>
              </w:rPr>
              <w:t>93</w:t>
            </w:r>
            <w:r>
              <w:rPr>
                <w:noProof/>
                <w:webHidden/>
              </w:rPr>
              <w:fldChar w:fldCharType="end"/>
            </w:r>
          </w:hyperlink>
        </w:p>
        <w:p w14:paraId="27C49455" w14:textId="4927F561" w:rsidR="009D0591" w:rsidRDefault="009D0591">
          <w:pPr>
            <w:pStyle w:val="TOC2"/>
            <w:tabs>
              <w:tab w:val="right" w:leader="dot" w:pos="9350"/>
            </w:tabs>
            <w:rPr>
              <w:rFonts w:asciiTheme="minorHAnsi" w:hAnsiTheme="minorHAnsi"/>
              <w:noProof/>
              <w:color w:val="auto"/>
              <w:sz w:val="22"/>
              <w:lang w:val="ru-RU" w:eastAsia="ru-RU"/>
            </w:rPr>
          </w:pPr>
          <w:hyperlink w:anchor="_Toc229599107" w:history="1">
            <w:r w:rsidRPr="00D351EB">
              <w:rPr>
                <w:rStyle w:val="Hyperlink"/>
                <w:rFonts w:cs="Times New Roman"/>
                <w:noProof/>
              </w:rPr>
              <w:t>8.4 Reliance on Public-Data and Single-Vendor Sources</w:t>
            </w:r>
            <w:r>
              <w:rPr>
                <w:noProof/>
                <w:webHidden/>
              </w:rPr>
              <w:tab/>
            </w:r>
            <w:r>
              <w:rPr>
                <w:noProof/>
                <w:webHidden/>
              </w:rPr>
              <w:fldChar w:fldCharType="begin"/>
            </w:r>
            <w:r>
              <w:rPr>
                <w:noProof/>
                <w:webHidden/>
              </w:rPr>
              <w:instrText xml:space="preserve"> PAGEREF _Toc229599107 \h </w:instrText>
            </w:r>
            <w:r>
              <w:rPr>
                <w:noProof/>
                <w:webHidden/>
              </w:rPr>
            </w:r>
            <w:r>
              <w:rPr>
                <w:noProof/>
                <w:webHidden/>
              </w:rPr>
              <w:fldChar w:fldCharType="separate"/>
            </w:r>
            <w:r>
              <w:rPr>
                <w:noProof/>
                <w:webHidden/>
              </w:rPr>
              <w:t>93</w:t>
            </w:r>
            <w:r>
              <w:rPr>
                <w:noProof/>
                <w:webHidden/>
              </w:rPr>
              <w:fldChar w:fldCharType="end"/>
            </w:r>
          </w:hyperlink>
        </w:p>
        <w:p w14:paraId="3B7B4092" w14:textId="0121FED4" w:rsidR="009D0591" w:rsidRDefault="009D0591">
          <w:pPr>
            <w:pStyle w:val="TOC2"/>
            <w:tabs>
              <w:tab w:val="right" w:leader="dot" w:pos="9350"/>
            </w:tabs>
            <w:rPr>
              <w:rFonts w:asciiTheme="minorHAnsi" w:hAnsiTheme="minorHAnsi"/>
              <w:noProof/>
              <w:color w:val="auto"/>
              <w:sz w:val="22"/>
              <w:lang w:val="ru-RU" w:eastAsia="ru-RU"/>
            </w:rPr>
          </w:pPr>
          <w:hyperlink w:anchor="_Toc229599108" w:history="1">
            <w:r w:rsidRPr="00D351EB">
              <w:rPr>
                <w:rStyle w:val="Hyperlink"/>
                <w:rFonts w:cs="Times New Roman"/>
                <w:noProof/>
              </w:rPr>
              <w:t>8.5 Single-Case Generalisability</w:t>
            </w:r>
            <w:r>
              <w:rPr>
                <w:noProof/>
                <w:webHidden/>
              </w:rPr>
              <w:tab/>
            </w:r>
            <w:r>
              <w:rPr>
                <w:noProof/>
                <w:webHidden/>
              </w:rPr>
              <w:fldChar w:fldCharType="begin"/>
            </w:r>
            <w:r>
              <w:rPr>
                <w:noProof/>
                <w:webHidden/>
              </w:rPr>
              <w:instrText xml:space="preserve"> PAGEREF _Toc229599108 \h </w:instrText>
            </w:r>
            <w:r>
              <w:rPr>
                <w:noProof/>
                <w:webHidden/>
              </w:rPr>
            </w:r>
            <w:r>
              <w:rPr>
                <w:noProof/>
                <w:webHidden/>
              </w:rPr>
              <w:fldChar w:fldCharType="separate"/>
            </w:r>
            <w:r>
              <w:rPr>
                <w:noProof/>
                <w:webHidden/>
              </w:rPr>
              <w:t>94</w:t>
            </w:r>
            <w:r>
              <w:rPr>
                <w:noProof/>
                <w:webHidden/>
              </w:rPr>
              <w:fldChar w:fldCharType="end"/>
            </w:r>
          </w:hyperlink>
        </w:p>
        <w:p w14:paraId="0268E3A8" w14:textId="0A81F2E1" w:rsidR="009D0591" w:rsidRDefault="009D0591">
          <w:pPr>
            <w:pStyle w:val="TOC2"/>
            <w:tabs>
              <w:tab w:val="right" w:leader="dot" w:pos="9350"/>
            </w:tabs>
            <w:rPr>
              <w:rFonts w:asciiTheme="minorHAnsi" w:hAnsiTheme="minorHAnsi"/>
              <w:noProof/>
              <w:color w:val="auto"/>
              <w:sz w:val="22"/>
              <w:lang w:val="ru-RU" w:eastAsia="ru-RU"/>
            </w:rPr>
          </w:pPr>
          <w:hyperlink w:anchor="_Toc229599109" w:history="1">
            <w:r w:rsidRPr="00D351EB">
              <w:rPr>
                <w:rStyle w:val="Hyperlink"/>
                <w:rFonts w:cs="Times New Roman"/>
                <w:noProof/>
              </w:rPr>
              <w:t>8.6 Trustpilot Self-Selection and Pre/Post Imbalance</w:t>
            </w:r>
            <w:r>
              <w:rPr>
                <w:noProof/>
                <w:webHidden/>
              </w:rPr>
              <w:tab/>
            </w:r>
            <w:r>
              <w:rPr>
                <w:noProof/>
                <w:webHidden/>
              </w:rPr>
              <w:fldChar w:fldCharType="begin"/>
            </w:r>
            <w:r>
              <w:rPr>
                <w:noProof/>
                <w:webHidden/>
              </w:rPr>
              <w:instrText xml:space="preserve"> PAGEREF _Toc229599109 \h </w:instrText>
            </w:r>
            <w:r>
              <w:rPr>
                <w:noProof/>
                <w:webHidden/>
              </w:rPr>
            </w:r>
            <w:r>
              <w:rPr>
                <w:noProof/>
                <w:webHidden/>
              </w:rPr>
              <w:fldChar w:fldCharType="separate"/>
            </w:r>
            <w:r>
              <w:rPr>
                <w:noProof/>
                <w:webHidden/>
              </w:rPr>
              <w:t>94</w:t>
            </w:r>
            <w:r>
              <w:rPr>
                <w:noProof/>
                <w:webHidden/>
              </w:rPr>
              <w:fldChar w:fldCharType="end"/>
            </w:r>
          </w:hyperlink>
        </w:p>
        <w:p w14:paraId="0CF24381" w14:textId="44F2BD32" w:rsidR="009D0591" w:rsidRDefault="009D0591">
          <w:pPr>
            <w:pStyle w:val="TOC2"/>
            <w:tabs>
              <w:tab w:val="right" w:leader="dot" w:pos="9350"/>
            </w:tabs>
            <w:rPr>
              <w:rFonts w:asciiTheme="minorHAnsi" w:hAnsiTheme="minorHAnsi"/>
              <w:noProof/>
              <w:color w:val="auto"/>
              <w:sz w:val="22"/>
              <w:lang w:val="ru-RU" w:eastAsia="ru-RU"/>
            </w:rPr>
          </w:pPr>
          <w:hyperlink w:anchor="_Toc229599110" w:history="1">
            <w:r w:rsidRPr="00D351EB">
              <w:rPr>
                <w:rStyle w:val="Hyperlink"/>
                <w:rFonts w:cs="Times New Roman"/>
                <w:noProof/>
              </w:rPr>
              <w:t>8.7 Topic-Modelling Sensitivity</w:t>
            </w:r>
            <w:r>
              <w:rPr>
                <w:noProof/>
                <w:webHidden/>
              </w:rPr>
              <w:tab/>
            </w:r>
            <w:r>
              <w:rPr>
                <w:noProof/>
                <w:webHidden/>
              </w:rPr>
              <w:fldChar w:fldCharType="begin"/>
            </w:r>
            <w:r>
              <w:rPr>
                <w:noProof/>
                <w:webHidden/>
              </w:rPr>
              <w:instrText xml:space="preserve"> PAGEREF _Toc229599110 \h </w:instrText>
            </w:r>
            <w:r>
              <w:rPr>
                <w:noProof/>
                <w:webHidden/>
              </w:rPr>
            </w:r>
            <w:r>
              <w:rPr>
                <w:noProof/>
                <w:webHidden/>
              </w:rPr>
              <w:fldChar w:fldCharType="separate"/>
            </w:r>
            <w:r>
              <w:rPr>
                <w:noProof/>
                <w:webHidden/>
              </w:rPr>
              <w:t>95</w:t>
            </w:r>
            <w:r>
              <w:rPr>
                <w:noProof/>
                <w:webHidden/>
              </w:rPr>
              <w:fldChar w:fldCharType="end"/>
            </w:r>
          </w:hyperlink>
        </w:p>
        <w:p w14:paraId="45146A6E" w14:textId="74EA260C" w:rsidR="009D0591" w:rsidRDefault="009D0591">
          <w:pPr>
            <w:pStyle w:val="TOC2"/>
            <w:tabs>
              <w:tab w:val="right" w:leader="dot" w:pos="9350"/>
            </w:tabs>
            <w:rPr>
              <w:rFonts w:asciiTheme="minorHAnsi" w:hAnsiTheme="minorHAnsi"/>
              <w:noProof/>
              <w:color w:val="auto"/>
              <w:sz w:val="22"/>
              <w:lang w:val="ru-RU" w:eastAsia="ru-RU"/>
            </w:rPr>
          </w:pPr>
          <w:hyperlink w:anchor="_Toc229599111" w:history="1">
            <w:r w:rsidRPr="00D351EB">
              <w:rPr>
                <w:rStyle w:val="Hyperlink"/>
                <w:rFonts w:cs="Times New Roman"/>
                <w:noProof/>
              </w:rPr>
              <w:t>8.8 Rocket Comparability</w:t>
            </w:r>
            <w:r>
              <w:rPr>
                <w:noProof/>
                <w:webHidden/>
              </w:rPr>
              <w:tab/>
            </w:r>
            <w:r>
              <w:rPr>
                <w:noProof/>
                <w:webHidden/>
              </w:rPr>
              <w:fldChar w:fldCharType="begin"/>
            </w:r>
            <w:r>
              <w:rPr>
                <w:noProof/>
                <w:webHidden/>
              </w:rPr>
              <w:instrText xml:space="preserve"> PAGEREF _Toc229599111 \h </w:instrText>
            </w:r>
            <w:r>
              <w:rPr>
                <w:noProof/>
                <w:webHidden/>
              </w:rPr>
            </w:r>
            <w:r>
              <w:rPr>
                <w:noProof/>
                <w:webHidden/>
              </w:rPr>
              <w:fldChar w:fldCharType="separate"/>
            </w:r>
            <w:r>
              <w:rPr>
                <w:noProof/>
                <w:webHidden/>
              </w:rPr>
              <w:t>95</w:t>
            </w:r>
            <w:r>
              <w:rPr>
                <w:noProof/>
                <w:webHidden/>
              </w:rPr>
              <w:fldChar w:fldCharType="end"/>
            </w:r>
          </w:hyperlink>
        </w:p>
        <w:p w14:paraId="3B43E222" w14:textId="033CB581" w:rsidR="009D0591" w:rsidRDefault="009D0591">
          <w:pPr>
            <w:pStyle w:val="TOC2"/>
            <w:tabs>
              <w:tab w:val="right" w:leader="dot" w:pos="9350"/>
            </w:tabs>
            <w:rPr>
              <w:rFonts w:asciiTheme="minorHAnsi" w:hAnsiTheme="minorHAnsi"/>
              <w:noProof/>
              <w:color w:val="auto"/>
              <w:sz w:val="22"/>
              <w:lang w:val="ru-RU" w:eastAsia="ru-RU"/>
            </w:rPr>
          </w:pPr>
          <w:hyperlink w:anchor="_Toc229599112" w:history="1">
            <w:r w:rsidRPr="00D351EB">
              <w:rPr>
                <w:rStyle w:val="Hyperlink"/>
                <w:rFonts w:cs="Times New Roman"/>
                <w:noProof/>
              </w:rPr>
              <w:t>8.9 Implications for Future Research</w:t>
            </w:r>
            <w:r>
              <w:rPr>
                <w:noProof/>
                <w:webHidden/>
              </w:rPr>
              <w:tab/>
            </w:r>
            <w:r>
              <w:rPr>
                <w:noProof/>
                <w:webHidden/>
              </w:rPr>
              <w:fldChar w:fldCharType="begin"/>
            </w:r>
            <w:r>
              <w:rPr>
                <w:noProof/>
                <w:webHidden/>
              </w:rPr>
              <w:instrText xml:space="preserve"> PAGEREF _Toc229599112 \h </w:instrText>
            </w:r>
            <w:r>
              <w:rPr>
                <w:noProof/>
                <w:webHidden/>
              </w:rPr>
            </w:r>
            <w:r>
              <w:rPr>
                <w:noProof/>
                <w:webHidden/>
              </w:rPr>
              <w:fldChar w:fldCharType="separate"/>
            </w:r>
            <w:r>
              <w:rPr>
                <w:noProof/>
                <w:webHidden/>
              </w:rPr>
              <w:t>95</w:t>
            </w:r>
            <w:r>
              <w:rPr>
                <w:noProof/>
                <w:webHidden/>
              </w:rPr>
              <w:fldChar w:fldCharType="end"/>
            </w:r>
          </w:hyperlink>
        </w:p>
        <w:p w14:paraId="3646F749" w14:textId="172A417C" w:rsidR="009D0591" w:rsidRDefault="009D0591">
          <w:pPr>
            <w:pStyle w:val="TOC1"/>
            <w:tabs>
              <w:tab w:val="right" w:leader="dot" w:pos="9350"/>
            </w:tabs>
            <w:rPr>
              <w:rFonts w:asciiTheme="minorHAnsi" w:hAnsiTheme="minorHAnsi"/>
              <w:noProof/>
              <w:color w:val="auto"/>
              <w:sz w:val="22"/>
              <w:lang w:val="ru-RU" w:eastAsia="ru-RU"/>
            </w:rPr>
          </w:pPr>
          <w:hyperlink w:anchor="_Toc229599113" w:history="1">
            <w:r w:rsidRPr="00D351EB">
              <w:rPr>
                <w:rStyle w:val="Hyperlink"/>
                <w:rFonts w:cs="Times New Roman"/>
                <w:noProof/>
              </w:rPr>
              <w:t>9. Conclusion</w:t>
            </w:r>
            <w:r>
              <w:rPr>
                <w:noProof/>
                <w:webHidden/>
              </w:rPr>
              <w:tab/>
            </w:r>
            <w:r>
              <w:rPr>
                <w:noProof/>
                <w:webHidden/>
              </w:rPr>
              <w:fldChar w:fldCharType="begin"/>
            </w:r>
            <w:r>
              <w:rPr>
                <w:noProof/>
                <w:webHidden/>
              </w:rPr>
              <w:instrText xml:space="preserve"> PAGEREF _Toc229599113 \h </w:instrText>
            </w:r>
            <w:r>
              <w:rPr>
                <w:noProof/>
                <w:webHidden/>
              </w:rPr>
            </w:r>
            <w:r>
              <w:rPr>
                <w:noProof/>
                <w:webHidden/>
              </w:rPr>
              <w:fldChar w:fldCharType="separate"/>
            </w:r>
            <w:r>
              <w:rPr>
                <w:noProof/>
                <w:webHidden/>
              </w:rPr>
              <w:t>96</w:t>
            </w:r>
            <w:r>
              <w:rPr>
                <w:noProof/>
                <w:webHidden/>
              </w:rPr>
              <w:fldChar w:fldCharType="end"/>
            </w:r>
          </w:hyperlink>
        </w:p>
        <w:p w14:paraId="5B89898E" w14:textId="2A4446DD" w:rsidR="009D0591" w:rsidRDefault="009D0591">
          <w:pPr>
            <w:pStyle w:val="TOC2"/>
            <w:tabs>
              <w:tab w:val="right" w:leader="dot" w:pos="9350"/>
            </w:tabs>
            <w:rPr>
              <w:rFonts w:asciiTheme="minorHAnsi" w:hAnsiTheme="minorHAnsi"/>
              <w:noProof/>
              <w:color w:val="auto"/>
              <w:sz w:val="22"/>
              <w:lang w:val="ru-RU" w:eastAsia="ru-RU"/>
            </w:rPr>
          </w:pPr>
          <w:hyperlink w:anchor="_Toc229599114" w:history="1">
            <w:r w:rsidRPr="00D351EB">
              <w:rPr>
                <w:rStyle w:val="Hyperlink"/>
                <w:rFonts w:cs="Times New Roman"/>
                <w:noProof/>
              </w:rPr>
              <w:t>9.1 Direct Answer to RQ1</w:t>
            </w:r>
            <w:r>
              <w:rPr>
                <w:noProof/>
                <w:webHidden/>
              </w:rPr>
              <w:tab/>
            </w:r>
            <w:r>
              <w:rPr>
                <w:noProof/>
                <w:webHidden/>
              </w:rPr>
              <w:fldChar w:fldCharType="begin"/>
            </w:r>
            <w:r>
              <w:rPr>
                <w:noProof/>
                <w:webHidden/>
              </w:rPr>
              <w:instrText xml:space="preserve"> PAGEREF _Toc229599114 \h </w:instrText>
            </w:r>
            <w:r>
              <w:rPr>
                <w:noProof/>
                <w:webHidden/>
              </w:rPr>
            </w:r>
            <w:r>
              <w:rPr>
                <w:noProof/>
                <w:webHidden/>
              </w:rPr>
              <w:fldChar w:fldCharType="separate"/>
            </w:r>
            <w:r>
              <w:rPr>
                <w:noProof/>
                <w:webHidden/>
              </w:rPr>
              <w:t>96</w:t>
            </w:r>
            <w:r>
              <w:rPr>
                <w:noProof/>
                <w:webHidden/>
              </w:rPr>
              <w:fldChar w:fldCharType="end"/>
            </w:r>
          </w:hyperlink>
        </w:p>
        <w:p w14:paraId="466EE4DA" w14:textId="4CCDAEBC" w:rsidR="009D0591" w:rsidRDefault="009D0591">
          <w:pPr>
            <w:pStyle w:val="TOC2"/>
            <w:tabs>
              <w:tab w:val="right" w:leader="dot" w:pos="9350"/>
            </w:tabs>
            <w:rPr>
              <w:rFonts w:asciiTheme="minorHAnsi" w:hAnsiTheme="minorHAnsi"/>
              <w:noProof/>
              <w:color w:val="auto"/>
              <w:sz w:val="22"/>
              <w:lang w:val="ru-RU" w:eastAsia="ru-RU"/>
            </w:rPr>
          </w:pPr>
          <w:hyperlink w:anchor="_Toc229599115" w:history="1">
            <w:r w:rsidRPr="00D351EB">
              <w:rPr>
                <w:rStyle w:val="Hyperlink"/>
                <w:rFonts w:cs="Times New Roman"/>
                <w:noProof/>
              </w:rPr>
              <w:t>9.2 Direct Answer to RQ2</w:t>
            </w:r>
            <w:r>
              <w:rPr>
                <w:noProof/>
                <w:webHidden/>
              </w:rPr>
              <w:tab/>
            </w:r>
            <w:r>
              <w:rPr>
                <w:noProof/>
                <w:webHidden/>
              </w:rPr>
              <w:fldChar w:fldCharType="begin"/>
            </w:r>
            <w:r>
              <w:rPr>
                <w:noProof/>
                <w:webHidden/>
              </w:rPr>
              <w:instrText xml:space="preserve"> PAGEREF _Toc229599115 \h </w:instrText>
            </w:r>
            <w:r>
              <w:rPr>
                <w:noProof/>
                <w:webHidden/>
              </w:rPr>
            </w:r>
            <w:r>
              <w:rPr>
                <w:noProof/>
                <w:webHidden/>
              </w:rPr>
              <w:fldChar w:fldCharType="separate"/>
            </w:r>
            <w:r>
              <w:rPr>
                <w:noProof/>
                <w:webHidden/>
              </w:rPr>
              <w:t>96</w:t>
            </w:r>
            <w:r>
              <w:rPr>
                <w:noProof/>
                <w:webHidden/>
              </w:rPr>
              <w:fldChar w:fldCharType="end"/>
            </w:r>
          </w:hyperlink>
        </w:p>
        <w:p w14:paraId="274E57FD" w14:textId="0A34CA0B" w:rsidR="009D0591" w:rsidRDefault="009D0591">
          <w:pPr>
            <w:pStyle w:val="TOC2"/>
            <w:tabs>
              <w:tab w:val="right" w:leader="dot" w:pos="9350"/>
            </w:tabs>
            <w:rPr>
              <w:rFonts w:asciiTheme="minorHAnsi" w:hAnsiTheme="minorHAnsi"/>
              <w:noProof/>
              <w:color w:val="auto"/>
              <w:sz w:val="22"/>
              <w:lang w:val="ru-RU" w:eastAsia="ru-RU"/>
            </w:rPr>
          </w:pPr>
          <w:hyperlink w:anchor="_Toc229599116" w:history="1">
            <w:r w:rsidRPr="00D351EB">
              <w:rPr>
                <w:rStyle w:val="Hyperlink"/>
                <w:rFonts w:cs="Times New Roman"/>
                <w:noProof/>
              </w:rPr>
              <w:t>9.3 Contributions</w:t>
            </w:r>
            <w:r>
              <w:rPr>
                <w:noProof/>
                <w:webHidden/>
              </w:rPr>
              <w:tab/>
            </w:r>
            <w:r>
              <w:rPr>
                <w:noProof/>
                <w:webHidden/>
              </w:rPr>
              <w:fldChar w:fldCharType="begin"/>
            </w:r>
            <w:r>
              <w:rPr>
                <w:noProof/>
                <w:webHidden/>
              </w:rPr>
              <w:instrText xml:space="preserve"> PAGEREF _Toc229599116 \h </w:instrText>
            </w:r>
            <w:r>
              <w:rPr>
                <w:noProof/>
                <w:webHidden/>
              </w:rPr>
            </w:r>
            <w:r>
              <w:rPr>
                <w:noProof/>
                <w:webHidden/>
              </w:rPr>
              <w:fldChar w:fldCharType="separate"/>
            </w:r>
            <w:r>
              <w:rPr>
                <w:noProof/>
                <w:webHidden/>
              </w:rPr>
              <w:t>97</w:t>
            </w:r>
            <w:r>
              <w:rPr>
                <w:noProof/>
                <w:webHidden/>
              </w:rPr>
              <w:fldChar w:fldCharType="end"/>
            </w:r>
          </w:hyperlink>
        </w:p>
        <w:p w14:paraId="039241C2" w14:textId="09D9B1C1" w:rsidR="009D0591" w:rsidRDefault="009D0591">
          <w:pPr>
            <w:pStyle w:val="TOC3"/>
            <w:tabs>
              <w:tab w:val="right" w:leader="dot" w:pos="9350"/>
            </w:tabs>
            <w:rPr>
              <w:rFonts w:asciiTheme="minorHAnsi" w:hAnsiTheme="minorHAnsi"/>
              <w:noProof/>
              <w:color w:val="auto"/>
              <w:sz w:val="22"/>
              <w:lang w:val="ru-RU" w:eastAsia="ru-RU"/>
            </w:rPr>
          </w:pPr>
          <w:hyperlink w:anchor="_Toc229599117" w:history="1">
            <w:r w:rsidRPr="00D351EB">
              <w:rPr>
                <w:rStyle w:val="Hyperlink"/>
                <w:rFonts w:cs="Times New Roman"/>
                <w:noProof/>
              </w:rPr>
              <w:t>9.3.1 Empirical Contribution</w:t>
            </w:r>
            <w:r>
              <w:rPr>
                <w:noProof/>
                <w:webHidden/>
              </w:rPr>
              <w:tab/>
            </w:r>
            <w:r>
              <w:rPr>
                <w:noProof/>
                <w:webHidden/>
              </w:rPr>
              <w:fldChar w:fldCharType="begin"/>
            </w:r>
            <w:r>
              <w:rPr>
                <w:noProof/>
                <w:webHidden/>
              </w:rPr>
              <w:instrText xml:space="preserve"> PAGEREF _Toc229599117 \h </w:instrText>
            </w:r>
            <w:r>
              <w:rPr>
                <w:noProof/>
                <w:webHidden/>
              </w:rPr>
            </w:r>
            <w:r>
              <w:rPr>
                <w:noProof/>
                <w:webHidden/>
              </w:rPr>
              <w:fldChar w:fldCharType="separate"/>
            </w:r>
            <w:r>
              <w:rPr>
                <w:noProof/>
                <w:webHidden/>
              </w:rPr>
              <w:t>97</w:t>
            </w:r>
            <w:r>
              <w:rPr>
                <w:noProof/>
                <w:webHidden/>
              </w:rPr>
              <w:fldChar w:fldCharType="end"/>
            </w:r>
          </w:hyperlink>
        </w:p>
        <w:p w14:paraId="1CF14F79" w14:textId="6B076FC3" w:rsidR="009D0591" w:rsidRDefault="009D0591">
          <w:pPr>
            <w:pStyle w:val="TOC3"/>
            <w:tabs>
              <w:tab w:val="right" w:leader="dot" w:pos="9350"/>
            </w:tabs>
            <w:rPr>
              <w:rFonts w:asciiTheme="minorHAnsi" w:hAnsiTheme="minorHAnsi"/>
              <w:noProof/>
              <w:color w:val="auto"/>
              <w:sz w:val="22"/>
              <w:lang w:val="ru-RU" w:eastAsia="ru-RU"/>
            </w:rPr>
          </w:pPr>
          <w:hyperlink w:anchor="_Toc229599118" w:history="1">
            <w:r w:rsidRPr="00D351EB">
              <w:rPr>
                <w:rStyle w:val="Hyperlink"/>
                <w:rFonts w:cs="Times New Roman"/>
                <w:noProof/>
              </w:rPr>
              <w:t>9.3.2 Methodological Contribution</w:t>
            </w:r>
            <w:r>
              <w:rPr>
                <w:noProof/>
                <w:webHidden/>
              </w:rPr>
              <w:tab/>
            </w:r>
            <w:r>
              <w:rPr>
                <w:noProof/>
                <w:webHidden/>
              </w:rPr>
              <w:fldChar w:fldCharType="begin"/>
            </w:r>
            <w:r>
              <w:rPr>
                <w:noProof/>
                <w:webHidden/>
              </w:rPr>
              <w:instrText xml:space="preserve"> PAGEREF _Toc229599118 \h </w:instrText>
            </w:r>
            <w:r>
              <w:rPr>
                <w:noProof/>
                <w:webHidden/>
              </w:rPr>
            </w:r>
            <w:r>
              <w:rPr>
                <w:noProof/>
                <w:webHidden/>
              </w:rPr>
              <w:fldChar w:fldCharType="separate"/>
            </w:r>
            <w:r>
              <w:rPr>
                <w:noProof/>
                <w:webHidden/>
              </w:rPr>
              <w:t>97</w:t>
            </w:r>
            <w:r>
              <w:rPr>
                <w:noProof/>
                <w:webHidden/>
              </w:rPr>
              <w:fldChar w:fldCharType="end"/>
            </w:r>
          </w:hyperlink>
        </w:p>
        <w:p w14:paraId="70829DEF" w14:textId="3499B1F8" w:rsidR="009D0591" w:rsidRDefault="009D0591">
          <w:pPr>
            <w:pStyle w:val="TOC3"/>
            <w:tabs>
              <w:tab w:val="right" w:leader="dot" w:pos="9350"/>
            </w:tabs>
            <w:rPr>
              <w:rFonts w:asciiTheme="minorHAnsi" w:hAnsiTheme="minorHAnsi"/>
              <w:noProof/>
              <w:color w:val="auto"/>
              <w:sz w:val="22"/>
              <w:lang w:val="ru-RU" w:eastAsia="ru-RU"/>
            </w:rPr>
          </w:pPr>
          <w:hyperlink w:anchor="_Toc229599119" w:history="1">
            <w:r w:rsidRPr="00D351EB">
              <w:rPr>
                <w:rStyle w:val="Hyperlink"/>
                <w:rFonts w:cs="Times New Roman"/>
                <w:noProof/>
              </w:rPr>
              <w:t>9.3.3 Practical Contribution</w:t>
            </w:r>
            <w:r>
              <w:rPr>
                <w:noProof/>
                <w:webHidden/>
              </w:rPr>
              <w:tab/>
            </w:r>
            <w:r>
              <w:rPr>
                <w:noProof/>
                <w:webHidden/>
              </w:rPr>
              <w:fldChar w:fldCharType="begin"/>
            </w:r>
            <w:r>
              <w:rPr>
                <w:noProof/>
                <w:webHidden/>
              </w:rPr>
              <w:instrText xml:space="preserve"> PAGEREF _Toc229599119 \h </w:instrText>
            </w:r>
            <w:r>
              <w:rPr>
                <w:noProof/>
                <w:webHidden/>
              </w:rPr>
            </w:r>
            <w:r>
              <w:rPr>
                <w:noProof/>
                <w:webHidden/>
              </w:rPr>
              <w:fldChar w:fldCharType="separate"/>
            </w:r>
            <w:r>
              <w:rPr>
                <w:noProof/>
                <w:webHidden/>
              </w:rPr>
              <w:t>98</w:t>
            </w:r>
            <w:r>
              <w:rPr>
                <w:noProof/>
                <w:webHidden/>
              </w:rPr>
              <w:fldChar w:fldCharType="end"/>
            </w:r>
          </w:hyperlink>
        </w:p>
        <w:p w14:paraId="5DF1D6E1" w14:textId="5FD97264" w:rsidR="009D0591" w:rsidRDefault="009D0591">
          <w:pPr>
            <w:pStyle w:val="TOC2"/>
            <w:tabs>
              <w:tab w:val="right" w:leader="dot" w:pos="9350"/>
            </w:tabs>
            <w:rPr>
              <w:rFonts w:asciiTheme="minorHAnsi" w:hAnsiTheme="minorHAnsi"/>
              <w:noProof/>
              <w:color w:val="auto"/>
              <w:sz w:val="22"/>
              <w:lang w:val="ru-RU" w:eastAsia="ru-RU"/>
            </w:rPr>
          </w:pPr>
          <w:hyperlink w:anchor="_Toc229599120" w:history="1">
            <w:r w:rsidRPr="00D351EB">
              <w:rPr>
                <w:rStyle w:val="Hyperlink"/>
                <w:rFonts w:cs="Times New Roman"/>
                <w:noProof/>
              </w:rPr>
              <w:t>9.4 Limitations</w:t>
            </w:r>
            <w:r>
              <w:rPr>
                <w:noProof/>
                <w:webHidden/>
              </w:rPr>
              <w:tab/>
            </w:r>
            <w:r>
              <w:rPr>
                <w:noProof/>
                <w:webHidden/>
              </w:rPr>
              <w:fldChar w:fldCharType="begin"/>
            </w:r>
            <w:r>
              <w:rPr>
                <w:noProof/>
                <w:webHidden/>
              </w:rPr>
              <w:instrText xml:space="preserve"> PAGEREF _Toc229599120 \h </w:instrText>
            </w:r>
            <w:r>
              <w:rPr>
                <w:noProof/>
                <w:webHidden/>
              </w:rPr>
            </w:r>
            <w:r>
              <w:rPr>
                <w:noProof/>
                <w:webHidden/>
              </w:rPr>
              <w:fldChar w:fldCharType="separate"/>
            </w:r>
            <w:r>
              <w:rPr>
                <w:noProof/>
                <w:webHidden/>
              </w:rPr>
              <w:t>98</w:t>
            </w:r>
            <w:r>
              <w:rPr>
                <w:noProof/>
                <w:webHidden/>
              </w:rPr>
              <w:fldChar w:fldCharType="end"/>
            </w:r>
          </w:hyperlink>
        </w:p>
        <w:p w14:paraId="21CD55B9" w14:textId="5D242BAB" w:rsidR="009D0591" w:rsidRDefault="009D0591">
          <w:pPr>
            <w:pStyle w:val="TOC2"/>
            <w:tabs>
              <w:tab w:val="right" w:leader="dot" w:pos="9350"/>
            </w:tabs>
            <w:rPr>
              <w:rFonts w:asciiTheme="minorHAnsi" w:hAnsiTheme="minorHAnsi"/>
              <w:noProof/>
              <w:color w:val="auto"/>
              <w:sz w:val="22"/>
              <w:lang w:val="ru-RU" w:eastAsia="ru-RU"/>
            </w:rPr>
          </w:pPr>
          <w:hyperlink w:anchor="_Toc229599121" w:history="1">
            <w:r w:rsidRPr="00D351EB">
              <w:rPr>
                <w:rStyle w:val="Hyperlink"/>
                <w:rFonts w:cs="Times New Roman"/>
                <w:noProof/>
              </w:rPr>
              <w:t>9.5 Future Research</w:t>
            </w:r>
            <w:r>
              <w:rPr>
                <w:noProof/>
                <w:webHidden/>
              </w:rPr>
              <w:tab/>
            </w:r>
            <w:r>
              <w:rPr>
                <w:noProof/>
                <w:webHidden/>
              </w:rPr>
              <w:fldChar w:fldCharType="begin"/>
            </w:r>
            <w:r>
              <w:rPr>
                <w:noProof/>
                <w:webHidden/>
              </w:rPr>
              <w:instrText xml:space="preserve"> PAGEREF _Toc229599121 \h </w:instrText>
            </w:r>
            <w:r>
              <w:rPr>
                <w:noProof/>
                <w:webHidden/>
              </w:rPr>
            </w:r>
            <w:r>
              <w:rPr>
                <w:noProof/>
                <w:webHidden/>
              </w:rPr>
              <w:fldChar w:fldCharType="separate"/>
            </w:r>
            <w:r>
              <w:rPr>
                <w:noProof/>
                <w:webHidden/>
              </w:rPr>
              <w:t>98</w:t>
            </w:r>
            <w:r>
              <w:rPr>
                <w:noProof/>
                <w:webHidden/>
              </w:rPr>
              <w:fldChar w:fldCharType="end"/>
            </w:r>
          </w:hyperlink>
        </w:p>
        <w:p w14:paraId="5D5E67D5" w14:textId="46498A1D" w:rsidR="009D0591" w:rsidRDefault="009D0591">
          <w:pPr>
            <w:pStyle w:val="TOC2"/>
            <w:tabs>
              <w:tab w:val="right" w:leader="dot" w:pos="9350"/>
            </w:tabs>
            <w:rPr>
              <w:rFonts w:asciiTheme="minorHAnsi" w:hAnsiTheme="minorHAnsi"/>
              <w:noProof/>
              <w:color w:val="auto"/>
              <w:sz w:val="22"/>
              <w:lang w:val="ru-RU" w:eastAsia="ru-RU"/>
            </w:rPr>
          </w:pPr>
          <w:hyperlink w:anchor="_Toc229599122" w:history="1">
            <w:r w:rsidRPr="00D351EB">
              <w:rPr>
                <w:rStyle w:val="Hyperlink"/>
                <w:rFonts w:cs="Times New Roman"/>
                <w:noProof/>
              </w:rPr>
              <w:t>9.6 Closing Statement</w:t>
            </w:r>
            <w:r>
              <w:rPr>
                <w:noProof/>
                <w:webHidden/>
              </w:rPr>
              <w:tab/>
            </w:r>
            <w:r>
              <w:rPr>
                <w:noProof/>
                <w:webHidden/>
              </w:rPr>
              <w:fldChar w:fldCharType="begin"/>
            </w:r>
            <w:r>
              <w:rPr>
                <w:noProof/>
                <w:webHidden/>
              </w:rPr>
              <w:instrText xml:space="preserve"> PAGEREF _Toc229599122 \h </w:instrText>
            </w:r>
            <w:r>
              <w:rPr>
                <w:noProof/>
                <w:webHidden/>
              </w:rPr>
            </w:r>
            <w:r>
              <w:rPr>
                <w:noProof/>
                <w:webHidden/>
              </w:rPr>
              <w:fldChar w:fldCharType="separate"/>
            </w:r>
            <w:r>
              <w:rPr>
                <w:noProof/>
                <w:webHidden/>
              </w:rPr>
              <w:t>99</w:t>
            </w:r>
            <w:r>
              <w:rPr>
                <w:noProof/>
                <w:webHidden/>
              </w:rPr>
              <w:fldChar w:fldCharType="end"/>
            </w:r>
          </w:hyperlink>
        </w:p>
        <w:p w14:paraId="09C2371D" w14:textId="45C060B3" w:rsidR="009D0591" w:rsidRDefault="009D0591">
          <w:pPr>
            <w:pStyle w:val="TOC1"/>
            <w:tabs>
              <w:tab w:val="right" w:leader="dot" w:pos="9350"/>
            </w:tabs>
            <w:rPr>
              <w:rFonts w:asciiTheme="minorHAnsi" w:hAnsiTheme="minorHAnsi"/>
              <w:noProof/>
              <w:color w:val="auto"/>
              <w:sz w:val="22"/>
              <w:lang w:val="ru-RU" w:eastAsia="ru-RU"/>
            </w:rPr>
          </w:pPr>
          <w:hyperlink w:anchor="_Toc229599123" w:history="1">
            <w:r w:rsidRPr="00D351EB">
              <w:rPr>
                <w:rStyle w:val="Hyperlink"/>
                <w:rFonts w:cs="Times New Roman"/>
                <w:noProof/>
              </w:rPr>
              <w:t>References</w:t>
            </w:r>
            <w:r>
              <w:rPr>
                <w:noProof/>
                <w:webHidden/>
              </w:rPr>
              <w:tab/>
            </w:r>
            <w:r>
              <w:rPr>
                <w:noProof/>
                <w:webHidden/>
              </w:rPr>
              <w:fldChar w:fldCharType="begin"/>
            </w:r>
            <w:r>
              <w:rPr>
                <w:noProof/>
                <w:webHidden/>
              </w:rPr>
              <w:instrText xml:space="preserve"> PAGEREF _Toc229599123 \h </w:instrText>
            </w:r>
            <w:r>
              <w:rPr>
                <w:noProof/>
                <w:webHidden/>
              </w:rPr>
            </w:r>
            <w:r>
              <w:rPr>
                <w:noProof/>
                <w:webHidden/>
              </w:rPr>
              <w:fldChar w:fldCharType="separate"/>
            </w:r>
            <w:r>
              <w:rPr>
                <w:noProof/>
                <w:webHidden/>
              </w:rPr>
              <w:t>100</w:t>
            </w:r>
            <w:r>
              <w:rPr>
                <w:noProof/>
                <w:webHidden/>
              </w:rPr>
              <w:fldChar w:fldCharType="end"/>
            </w:r>
          </w:hyperlink>
        </w:p>
        <w:p w14:paraId="7AC91A1D" w14:textId="14B0B97A" w:rsidR="009D0591" w:rsidRDefault="009D0591">
          <w:pPr>
            <w:pStyle w:val="TOC1"/>
            <w:tabs>
              <w:tab w:val="right" w:leader="dot" w:pos="9350"/>
            </w:tabs>
            <w:rPr>
              <w:rFonts w:asciiTheme="minorHAnsi" w:hAnsiTheme="minorHAnsi"/>
              <w:noProof/>
              <w:color w:val="auto"/>
              <w:sz w:val="22"/>
              <w:lang w:val="ru-RU" w:eastAsia="ru-RU"/>
            </w:rPr>
          </w:pPr>
          <w:hyperlink w:anchor="_Toc229599124" w:history="1">
            <w:r w:rsidRPr="00D351EB">
              <w:rPr>
                <w:rStyle w:val="Hyperlink"/>
                <w:rFonts w:cs="Times New Roman"/>
                <w:noProof/>
              </w:rPr>
              <w:t>Appendix A. Financial Dataset and Metric Definitions</w:t>
            </w:r>
            <w:r>
              <w:rPr>
                <w:noProof/>
                <w:webHidden/>
              </w:rPr>
              <w:tab/>
            </w:r>
            <w:r>
              <w:rPr>
                <w:noProof/>
                <w:webHidden/>
              </w:rPr>
              <w:fldChar w:fldCharType="begin"/>
            </w:r>
            <w:r>
              <w:rPr>
                <w:noProof/>
                <w:webHidden/>
              </w:rPr>
              <w:instrText xml:space="preserve"> PAGEREF _Toc229599124 \h </w:instrText>
            </w:r>
            <w:r>
              <w:rPr>
                <w:noProof/>
                <w:webHidden/>
              </w:rPr>
            </w:r>
            <w:r>
              <w:rPr>
                <w:noProof/>
                <w:webHidden/>
              </w:rPr>
              <w:fldChar w:fldCharType="separate"/>
            </w:r>
            <w:r>
              <w:rPr>
                <w:noProof/>
                <w:webHidden/>
              </w:rPr>
              <w:t>106</w:t>
            </w:r>
            <w:r>
              <w:rPr>
                <w:noProof/>
                <w:webHidden/>
              </w:rPr>
              <w:fldChar w:fldCharType="end"/>
            </w:r>
          </w:hyperlink>
        </w:p>
        <w:p w14:paraId="0FFBCEC9" w14:textId="3E2F9250" w:rsidR="009D0591" w:rsidRDefault="009D0591">
          <w:pPr>
            <w:pStyle w:val="TOC2"/>
            <w:tabs>
              <w:tab w:val="right" w:leader="dot" w:pos="9350"/>
            </w:tabs>
            <w:rPr>
              <w:rFonts w:asciiTheme="minorHAnsi" w:hAnsiTheme="minorHAnsi"/>
              <w:noProof/>
              <w:color w:val="auto"/>
              <w:sz w:val="22"/>
              <w:lang w:val="ru-RU" w:eastAsia="ru-RU"/>
            </w:rPr>
          </w:pPr>
          <w:hyperlink w:anchor="_Toc229599125" w:history="1">
            <w:r w:rsidRPr="00D351EB">
              <w:rPr>
                <w:rStyle w:val="Hyperlink"/>
                <w:rFonts w:cs="Times New Roman"/>
                <w:noProof/>
              </w:rPr>
              <w:t>A.1 Dataset Overview</w:t>
            </w:r>
            <w:r>
              <w:rPr>
                <w:noProof/>
                <w:webHidden/>
              </w:rPr>
              <w:tab/>
            </w:r>
            <w:r>
              <w:rPr>
                <w:noProof/>
                <w:webHidden/>
              </w:rPr>
              <w:fldChar w:fldCharType="begin"/>
            </w:r>
            <w:r>
              <w:rPr>
                <w:noProof/>
                <w:webHidden/>
              </w:rPr>
              <w:instrText xml:space="preserve"> PAGEREF _Toc229599125 \h </w:instrText>
            </w:r>
            <w:r>
              <w:rPr>
                <w:noProof/>
                <w:webHidden/>
              </w:rPr>
            </w:r>
            <w:r>
              <w:rPr>
                <w:noProof/>
                <w:webHidden/>
              </w:rPr>
              <w:fldChar w:fldCharType="separate"/>
            </w:r>
            <w:r>
              <w:rPr>
                <w:noProof/>
                <w:webHidden/>
              </w:rPr>
              <w:t>106</w:t>
            </w:r>
            <w:r>
              <w:rPr>
                <w:noProof/>
                <w:webHidden/>
              </w:rPr>
              <w:fldChar w:fldCharType="end"/>
            </w:r>
          </w:hyperlink>
        </w:p>
        <w:p w14:paraId="4A38BF6C" w14:textId="5E331D98" w:rsidR="009D0591" w:rsidRDefault="009D0591">
          <w:pPr>
            <w:pStyle w:val="TOC2"/>
            <w:tabs>
              <w:tab w:val="right" w:leader="dot" w:pos="9350"/>
            </w:tabs>
            <w:rPr>
              <w:rFonts w:asciiTheme="minorHAnsi" w:hAnsiTheme="minorHAnsi"/>
              <w:noProof/>
              <w:color w:val="auto"/>
              <w:sz w:val="22"/>
              <w:lang w:val="ru-RU" w:eastAsia="ru-RU"/>
            </w:rPr>
          </w:pPr>
          <w:hyperlink w:anchor="_Toc229599126" w:history="1">
            <w:r w:rsidRPr="00D351EB">
              <w:rPr>
                <w:rStyle w:val="Hyperlink"/>
                <w:rFonts w:cs="Times New Roman"/>
                <w:noProof/>
              </w:rPr>
              <w:t>A.2 Variable Definitions</w:t>
            </w:r>
            <w:r>
              <w:rPr>
                <w:noProof/>
                <w:webHidden/>
              </w:rPr>
              <w:tab/>
            </w:r>
            <w:r>
              <w:rPr>
                <w:noProof/>
                <w:webHidden/>
              </w:rPr>
              <w:fldChar w:fldCharType="begin"/>
            </w:r>
            <w:r>
              <w:rPr>
                <w:noProof/>
                <w:webHidden/>
              </w:rPr>
              <w:instrText xml:space="preserve"> PAGEREF _Toc229599126 \h </w:instrText>
            </w:r>
            <w:r>
              <w:rPr>
                <w:noProof/>
                <w:webHidden/>
              </w:rPr>
            </w:r>
            <w:r>
              <w:rPr>
                <w:noProof/>
                <w:webHidden/>
              </w:rPr>
              <w:fldChar w:fldCharType="separate"/>
            </w:r>
            <w:r>
              <w:rPr>
                <w:noProof/>
                <w:webHidden/>
              </w:rPr>
              <w:t>106</w:t>
            </w:r>
            <w:r>
              <w:rPr>
                <w:noProof/>
                <w:webHidden/>
              </w:rPr>
              <w:fldChar w:fldCharType="end"/>
            </w:r>
          </w:hyperlink>
        </w:p>
        <w:p w14:paraId="7E147A3B" w14:textId="37A768A6" w:rsidR="009D0591" w:rsidRDefault="009D0591">
          <w:pPr>
            <w:pStyle w:val="TOC2"/>
            <w:tabs>
              <w:tab w:val="right" w:leader="dot" w:pos="9350"/>
            </w:tabs>
            <w:rPr>
              <w:rFonts w:asciiTheme="minorHAnsi" w:hAnsiTheme="minorHAnsi"/>
              <w:noProof/>
              <w:color w:val="auto"/>
              <w:sz w:val="22"/>
              <w:lang w:val="ru-RU" w:eastAsia="ru-RU"/>
            </w:rPr>
          </w:pPr>
          <w:hyperlink w:anchor="_Toc229599127" w:history="1">
            <w:r w:rsidRPr="00D351EB">
              <w:rPr>
                <w:rStyle w:val="Hyperlink"/>
                <w:rFonts w:cs="Times New Roman"/>
                <w:noProof/>
              </w:rPr>
              <w:t>A.3 Annual Observations</w:t>
            </w:r>
            <w:r>
              <w:rPr>
                <w:noProof/>
                <w:webHidden/>
              </w:rPr>
              <w:tab/>
            </w:r>
            <w:r>
              <w:rPr>
                <w:noProof/>
                <w:webHidden/>
              </w:rPr>
              <w:fldChar w:fldCharType="begin"/>
            </w:r>
            <w:r>
              <w:rPr>
                <w:noProof/>
                <w:webHidden/>
              </w:rPr>
              <w:instrText xml:space="preserve"> PAGEREF _Toc229599127 \h </w:instrText>
            </w:r>
            <w:r>
              <w:rPr>
                <w:noProof/>
                <w:webHidden/>
              </w:rPr>
            </w:r>
            <w:r>
              <w:rPr>
                <w:noProof/>
                <w:webHidden/>
              </w:rPr>
              <w:fldChar w:fldCharType="separate"/>
            </w:r>
            <w:r>
              <w:rPr>
                <w:noProof/>
                <w:webHidden/>
              </w:rPr>
              <w:t>107</w:t>
            </w:r>
            <w:r>
              <w:rPr>
                <w:noProof/>
                <w:webHidden/>
              </w:rPr>
              <w:fldChar w:fldCharType="end"/>
            </w:r>
          </w:hyperlink>
        </w:p>
        <w:p w14:paraId="72A22E21" w14:textId="4F51B7B9" w:rsidR="009D0591" w:rsidRDefault="009D0591">
          <w:pPr>
            <w:pStyle w:val="TOC2"/>
            <w:tabs>
              <w:tab w:val="right" w:leader="dot" w:pos="9350"/>
            </w:tabs>
            <w:rPr>
              <w:rFonts w:asciiTheme="minorHAnsi" w:hAnsiTheme="minorHAnsi"/>
              <w:noProof/>
              <w:color w:val="auto"/>
              <w:sz w:val="22"/>
              <w:lang w:val="ru-RU" w:eastAsia="ru-RU"/>
            </w:rPr>
          </w:pPr>
          <w:hyperlink w:anchor="_Toc229599128" w:history="1">
            <w:r w:rsidRPr="00D351EB">
              <w:rPr>
                <w:rStyle w:val="Hyperlink"/>
                <w:rFonts w:cs="Times New Roman"/>
                <w:noProof/>
              </w:rPr>
              <w:t>A.4 Calculation Methodology</w:t>
            </w:r>
            <w:r>
              <w:rPr>
                <w:noProof/>
                <w:webHidden/>
              </w:rPr>
              <w:tab/>
            </w:r>
            <w:r>
              <w:rPr>
                <w:noProof/>
                <w:webHidden/>
              </w:rPr>
              <w:fldChar w:fldCharType="begin"/>
            </w:r>
            <w:r>
              <w:rPr>
                <w:noProof/>
                <w:webHidden/>
              </w:rPr>
              <w:instrText xml:space="preserve"> PAGEREF _Toc229599128 \h </w:instrText>
            </w:r>
            <w:r>
              <w:rPr>
                <w:noProof/>
                <w:webHidden/>
              </w:rPr>
            </w:r>
            <w:r>
              <w:rPr>
                <w:noProof/>
                <w:webHidden/>
              </w:rPr>
              <w:fldChar w:fldCharType="separate"/>
            </w:r>
            <w:r>
              <w:rPr>
                <w:noProof/>
                <w:webHidden/>
              </w:rPr>
              <w:t>108</w:t>
            </w:r>
            <w:r>
              <w:rPr>
                <w:noProof/>
                <w:webHidden/>
              </w:rPr>
              <w:fldChar w:fldCharType="end"/>
            </w:r>
          </w:hyperlink>
        </w:p>
        <w:p w14:paraId="52D09C34" w14:textId="07DB14A3" w:rsidR="009D0591" w:rsidRDefault="009D0591">
          <w:pPr>
            <w:pStyle w:val="TOC1"/>
            <w:tabs>
              <w:tab w:val="right" w:leader="dot" w:pos="9350"/>
            </w:tabs>
            <w:rPr>
              <w:rFonts w:asciiTheme="minorHAnsi" w:hAnsiTheme="minorHAnsi"/>
              <w:noProof/>
              <w:color w:val="auto"/>
              <w:sz w:val="22"/>
              <w:lang w:val="ru-RU" w:eastAsia="ru-RU"/>
            </w:rPr>
          </w:pPr>
          <w:hyperlink w:anchor="_Toc229599129" w:history="1">
            <w:r w:rsidRPr="00D351EB">
              <w:rPr>
                <w:rStyle w:val="Hyperlink"/>
                <w:rFonts w:cs="Times New Roman"/>
                <w:noProof/>
              </w:rPr>
              <w:t>Appendix B. SEC Filing Provenance</w:t>
            </w:r>
            <w:r>
              <w:rPr>
                <w:noProof/>
                <w:webHidden/>
              </w:rPr>
              <w:tab/>
            </w:r>
            <w:r>
              <w:rPr>
                <w:noProof/>
                <w:webHidden/>
              </w:rPr>
              <w:fldChar w:fldCharType="begin"/>
            </w:r>
            <w:r>
              <w:rPr>
                <w:noProof/>
                <w:webHidden/>
              </w:rPr>
              <w:instrText xml:space="preserve"> PAGEREF _Toc229599129 \h </w:instrText>
            </w:r>
            <w:r>
              <w:rPr>
                <w:noProof/>
                <w:webHidden/>
              </w:rPr>
            </w:r>
            <w:r>
              <w:rPr>
                <w:noProof/>
                <w:webHidden/>
              </w:rPr>
              <w:fldChar w:fldCharType="separate"/>
            </w:r>
            <w:r>
              <w:rPr>
                <w:noProof/>
                <w:webHidden/>
              </w:rPr>
              <w:t>109</w:t>
            </w:r>
            <w:r>
              <w:rPr>
                <w:noProof/>
                <w:webHidden/>
              </w:rPr>
              <w:fldChar w:fldCharType="end"/>
            </w:r>
          </w:hyperlink>
        </w:p>
        <w:p w14:paraId="2805463E" w14:textId="65C4A6F3" w:rsidR="009D0591" w:rsidRDefault="009D0591">
          <w:pPr>
            <w:pStyle w:val="TOC2"/>
            <w:tabs>
              <w:tab w:val="right" w:leader="dot" w:pos="9350"/>
            </w:tabs>
            <w:rPr>
              <w:rFonts w:asciiTheme="minorHAnsi" w:hAnsiTheme="minorHAnsi"/>
              <w:noProof/>
              <w:color w:val="auto"/>
              <w:sz w:val="22"/>
              <w:lang w:val="ru-RU" w:eastAsia="ru-RU"/>
            </w:rPr>
          </w:pPr>
          <w:hyperlink w:anchor="_Toc229599130" w:history="1">
            <w:r w:rsidRPr="00D351EB">
              <w:rPr>
                <w:rStyle w:val="Hyperlink"/>
                <w:rFonts w:cs="Times New Roman"/>
                <w:noProof/>
              </w:rPr>
              <w:t>B.1 Filings List</w:t>
            </w:r>
            <w:r>
              <w:rPr>
                <w:noProof/>
                <w:webHidden/>
              </w:rPr>
              <w:tab/>
            </w:r>
            <w:r>
              <w:rPr>
                <w:noProof/>
                <w:webHidden/>
              </w:rPr>
              <w:fldChar w:fldCharType="begin"/>
            </w:r>
            <w:r>
              <w:rPr>
                <w:noProof/>
                <w:webHidden/>
              </w:rPr>
              <w:instrText xml:space="preserve"> PAGEREF _Toc229599130 \h </w:instrText>
            </w:r>
            <w:r>
              <w:rPr>
                <w:noProof/>
                <w:webHidden/>
              </w:rPr>
            </w:r>
            <w:r>
              <w:rPr>
                <w:noProof/>
                <w:webHidden/>
              </w:rPr>
              <w:fldChar w:fldCharType="separate"/>
            </w:r>
            <w:r>
              <w:rPr>
                <w:noProof/>
                <w:webHidden/>
              </w:rPr>
              <w:t>109</w:t>
            </w:r>
            <w:r>
              <w:rPr>
                <w:noProof/>
                <w:webHidden/>
              </w:rPr>
              <w:fldChar w:fldCharType="end"/>
            </w:r>
          </w:hyperlink>
        </w:p>
        <w:p w14:paraId="6D6479B5" w14:textId="3613CC56" w:rsidR="009D0591" w:rsidRDefault="009D0591">
          <w:pPr>
            <w:pStyle w:val="TOC2"/>
            <w:tabs>
              <w:tab w:val="right" w:leader="dot" w:pos="9350"/>
            </w:tabs>
            <w:rPr>
              <w:rFonts w:asciiTheme="minorHAnsi" w:hAnsiTheme="minorHAnsi"/>
              <w:noProof/>
              <w:color w:val="auto"/>
              <w:sz w:val="22"/>
              <w:lang w:val="ru-RU" w:eastAsia="ru-RU"/>
            </w:rPr>
          </w:pPr>
          <w:hyperlink w:anchor="_Toc229599131" w:history="1">
            <w:r w:rsidRPr="00D351EB">
              <w:rPr>
                <w:rStyle w:val="Hyperlink"/>
                <w:rFonts w:cs="Times New Roman"/>
                <w:noProof/>
              </w:rPr>
              <w:t>B.2 Extraction Methodology</w:t>
            </w:r>
            <w:r>
              <w:rPr>
                <w:noProof/>
                <w:webHidden/>
              </w:rPr>
              <w:tab/>
            </w:r>
            <w:r>
              <w:rPr>
                <w:noProof/>
                <w:webHidden/>
              </w:rPr>
              <w:fldChar w:fldCharType="begin"/>
            </w:r>
            <w:r>
              <w:rPr>
                <w:noProof/>
                <w:webHidden/>
              </w:rPr>
              <w:instrText xml:space="preserve"> PAGEREF _Toc229599131 \h </w:instrText>
            </w:r>
            <w:r>
              <w:rPr>
                <w:noProof/>
                <w:webHidden/>
              </w:rPr>
            </w:r>
            <w:r>
              <w:rPr>
                <w:noProof/>
                <w:webHidden/>
              </w:rPr>
              <w:fldChar w:fldCharType="separate"/>
            </w:r>
            <w:r>
              <w:rPr>
                <w:noProof/>
                <w:webHidden/>
              </w:rPr>
              <w:t>110</w:t>
            </w:r>
            <w:r>
              <w:rPr>
                <w:noProof/>
                <w:webHidden/>
              </w:rPr>
              <w:fldChar w:fldCharType="end"/>
            </w:r>
          </w:hyperlink>
        </w:p>
        <w:p w14:paraId="429E1601" w14:textId="40D75D8E" w:rsidR="009D0591" w:rsidRDefault="009D0591">
          <w:pPr>
            <w:pStyle w:val="TOC2"/>
            <w:tabs>
              <w:tab w:val="right" w:leader="dot" w:pos="9350"/>
            </w:tabs>
            <w:rPr>
              <w:rFonts w:asciiTheme="minorHAnsi" w:hAnsiTheme="minorHAnsi"/>
              <w:noProof/>
              <w:color w:val="auto"/>
              <w:sz w:val="22"/>
              <w:lang w:val="ru-RU" w:eastAsia="ru-RU"/>
            </w:rPr>
          </w:pPr>
          <w:hyperlink w:anchor="_Toc229599132" w:history="1">
            <w:r w:rsidRPr="00D351EB">
              <w:rPr>
                <w:rStyle w:val="Hyperlink"/>
                <w:rFonts w:cs="Times New Roman"/>
                <w:noProof/>
              </w:rPr>
              <w:t>B.3 Validation and Cross-Checks</w:t>
            </w:r>
            <w:r>
              <w:rPr>
                <w:noProof/>
                <w:webHidden/>
              </w:rPr>
              <w:tab/>
            </w:r>
            <w:r>
              <w:rPr>
                <w:noProof/>
                <w:webHidden/>
              </w:rPr>
              <w:fldChar w:fldCharType="begin"/>
            </w:r>
            <w:r>
              <w:rPr>
                <w:noProof/>
                <w:webHidden/>
              </w:rPr>
              <w:instrText xml:space="preserve"> PAGEREF _Toc229599132 \h </w:instrText>
            </w:r>
            <w:r>
              <w:rPr>
                <w:noProof/>
                <w:webHidden/>
              </w:rPr>
            </w:r>
            <w:r>
              <w:rPr>
                <w:noProof/>
                <w:webHidden/>
              </w:rPr>
              <w:fldChar w:fldCharType="separate"/>
            </w:r>
            <w:r>
              <w:rPr>
                <w:noProof/>
                <w:webHidden/>
              </w:rPr>
              <w:t>111</w:t>
            </w:r>
            <w:r>
              <w:rPr>
                <w:noProof/>
                <w:webHidden/>
              </w:rPr>
              <w:fldChar w:fldCharType="end"/>
            </w:r>
          </w:hyperlink>
        </w:p>
        <w:p w14:paraId="45BF0AF1" w14:textId="209422C0" w:rsidR="009D0591" w:rsidRDefault="009D0591">
          <w:pPr>
            <w:pStyle w:val="TOC1"/>
            <w:tabs>
              <w:tab w:val="right" w:leader="dot" w:pos="9350"/>
            </w:tabs>
            <w:rPr>
              <w:rFonts w:asciiTheme="minorHAnsi" w:hAnsiTheme="minorHAnsi"/>
              <w:noProof/>
              <w:color w:val="auto"/>
              <w:sz w:val="22"/>
              <w:lang w:val="ru-RU" w:eastAsia="ru-RU"/>
            </w:rPr>
          </w:pPr>
          <w:hyperlink w:anchor="_Toc229599133" w:history="1">
            <w:r w:rsidRPr="00D351EB">
              <w:rPr>
                <w:rStyle w:val="Hyperlink"/>
                <w:rFonts w:cs="Times New Roman"/>
                <w:noProof/>
              </w:rPr>
              <w:t>Appendix C. NLP Cleaning and Modelling Pipeline</w:t>
            </w:r>
            <w:r>
              <w:rPr>
                <w:noProof/>
                <w:webHidden/>
              </w:rPr>
              <w:tab/>
            </w:r>
            <w:r>
              <w:rPr>
                <w:noProof/>
                <w:webHidden/>
              </w:rPr>
              <w:fldChar w:fldCharType="begin"/>
            </w:r>
            <w:r>
              <w:rPr>
                <w:noProof/>
                <w:webHidden/>
              </w:rPr>
              <w:instrText xml:space="preserve"> PAGEREF _Toc229599133 \h </w:instrText>
            </w:r>
            <w:r>
              <w:rPr>
                <w:noProof/>
                <w:webHidden/>
              </w:rPr>
            </w:r>
            <w:r>
              <w:rPr>
                <w:noProof/>
                <w:webHidden/>
              </w:rPr>
              <w:fldChar w:fldCharType="separate"/>
            </w:r>
            <w:r>
              <w:rPr>
                <w:noProof/>
                <w:webHidden/>
              </w:rPr>
              <w:t>111</w:t>
            </w:r>
            <w:r>
              <w:rPr>
                <w:noProof/>
                <w:webHidden/>
              </w:rPr>
              <w:fldChar w:fldCharType="end"/>
            </w:r>
          </w:hyperlink>
        </w:p>
        <w:p w14:paraId="4D138C94" w14:textId="65D09795" w:rsidR="009D0591" w:rsidRDefault="009D0591">
          <w:pPr>
            <w:pStyle w:val="TOC2"/>
            <w:tabs>
              <w:tab w:val="right" w:leader="dot" w:pos="9350"/>
            </w:tabs>
            <w:rPr>
              <w:rFonts w:asciiTheme="minorHAnsi" w:hAnsiTheme="minorHAnsi"/>
              <w:noProof/>
              <w:color w:val="auto"/>
              <w:sz w:val="22"/>
              <w:lang w:val="ru-RU" w:eastAsia="ru-RU"/>
            </w:rPr>
          </w:pPr>
          <w:hyperlink w:anchor="_Toc229599134" w:history="1">
            <w:r w:rsidRPr="00D351EB">
              <w:rPr>
                <w:rStyle w:val="Hyperlink"/>
                <w:rFonts w:cs="Times New Roman"/>
                <w:noProof/>
              </w:rPr>
              <w:t>C.1 Trustpilot Extraction</w:t>
            </w:r>
            <w:r>
              <w:rPr>
                <w:noProof/>
                <w:webHidden/>
              </w:rPr>
              <w:tab/>
            </w:r>
            <w:r>
              <w:rPr>
                <w:noProof/>
                <w:webHidden/>
              </w:rPr>
              <w:fldChar w:fldCharType="begin"/>
            </w:r>
            <w:r>
              <w:rPr>
                <w:noProof/>
                <w:webHidden/>
              </w:rPr>
              <w:instrText xml:space="preserve"> PAGEREF _Toc229599134 \h </w:instrText>
            </w:r>
            <w:r>
              <w:rPr>
                <w:noProof/>
                <w:webHidden/>
              </w:rPr>
            </w:r>
            <w:r>
              <w:rPr>
                <w:noProof/>
                <w:webHidden/>
              </w:rPr>
              <w:fldChar w:fldCharType="separate"/>
            </w:r>
            <w:r>
              <w:rPr>
                <w:noProof/>
                <w:webHidden/>
              </w:rPr>
              <w:t>111</w:t>
            </w:r>
            <w:r>
              <w:rPr>
                <w:noProof/>
                <w:webHidden/>
              </w:rPr>
              <w:fldChar w:fldCharType="end"/>
            </w:r>
          </w:hyperlink>
        </w:p>
        <w:p w14:paraId="0204D91E" w14:textId="762CF003" w:rsidR="009D0591" w:rsidRDefault="009D0591">
          <w:pPr>
            <w:pStyle w:val="TOC2"/>
            <w:tabs>
              <w:tab w:val="right" w:leader="dot" w:pos="9350"/>
            </w:tabs>
            <w:rPr>
              <w:rFonts w:asciiTheme="minorHAnsi" w:hAnsiTheme="minorHAnsi"/>
              <w:noProof/>
              <w:color w:val="auto"/>
              <w:sz w:val="22"/>
              <w:lang w:val="ru-RU" w:eastAsia="ru-RU"/>
            </w:rPr>
          </w:pPr>
          <w:hyperlink w:anchor="_Toc229599135" w:history="1">
            <w:r w:rsidRPr="00D351EB">
              <w:rPr>
                <w:rStyle w:val="Hyperlink"/>
                <w:rFonts w:cs="Times New Roman"/>
                <w:noProof/>
              </w:rPr>
              <w:t>C.2 Cleaning Pipeline</w:t>
            </w:r>
            <w:r>
              <w:rPr>
                <w:noProof/>
                <w:webHidden/>
              </w:rPr>
              <w:tab/>
            </w:r>
            <w:r>
              <w:rPr>
                <w:noProof/>
                <w:webHidden/>
              </w:rPr>
              <w:fldChar w:fldCharType="begin"/>
            </w:r>
            <w:r>
              <w:rPr>
                <w:noProof/>
                <w:webHidden/>
              </w:rPr>
              <w:instrText xml:space="preserve"> PAGEREF _Toc229599135 \h </w:instrText>
            </w:r>
            <w:r>
              <w:rPr>
                <w:noProof/>
                <w:webHidden/>
              </w:rPr>
            </w:r>
            <w:r>
              <w:rPr>
                <w:noProof/>
                <w:webHidden/>
              </w:rPr>
              <w:fldChar w:fldCharType="separate"/>
            </w:r>
            <w:r>
              <w:rPr>
                <w:noProof/>
                <w:webHidden/>
              </w:rPr>
              <w:t>111</w:t>
            </w:r>
            <w:r>
              <w:rPr>
                <w:noProof/>
                <w:webHidden/>
              </w:rPr>
              <w:fldChar w:fldCharType="end"/>
            </w:r>
          </w:hyperlink>
        </w:p>
        <w:p w14:paraId="0F0A1517" w14:textId="5299B145" w:rsidR="009D0591" w:rsidRDefault="009D0591">
          <w:pPr>
            <w:pStyle w:val="TOC2"/>
            <w:tabs>
              <w:tab w:val="right" w:leader="dot" w:pos="9350"/>
            </w:tabs>
            <w:rPr>
              <w:rFonts w:asciiTheme="minorHAnsi" w:hAnsiTheme="minorHAnsi"/>
              <w:noProof/>
              <w:color w:val="auto"/>
              <w:sz w:val="22"/>
              <w:lang w:val="ru-RU" w:eastAsia="ru-RU"/>
            </w:rPr>
          </w:pPr>
          <w:hyperlink w:anchor="_Toc229599136" w:history="1">
            <w:r w:rsidRPr="00D351EB">
              <w:rPr>
                <w:rStyle w:val="Hyperlink"/>
                <w:rFonts w:cs="Times New Roman"/>
                <w:noProof/>
              </w:rPr>
              <w:t>C.3 VADER Configuration</w:t>
            </w:r>
            <w:r>
              <w:rPr>
                <w:noProof/>
                <w:webHidden/>
              </w:rPr>
              <w:tab/>
            </w:r>
            <w:r>
              <w:rPr>
                <w:noProof/>
                <w:webHidden/>
              </w:rPr>
              <w:fldChar w:fldCharType="begin"/>
            </w:r>
            <w:r>
              <w:rPr>
                <w:noProof/>
                <w:webHidden/>
              </w:rPr>
              <w:instrText xml:space="preserve"> PAGEREF _Toc229599136 \h </w:instrText>
            </w:r>
            <w:r>
              <w:rPr>
                <w:noProof/>
                <w:webHidden/>
              </w:rPr>
            </w:r>
            <w:r>
              <w:rPr>
                <w:noProof/>
                <w:webHidden/>
              </w:rPr>
              <w:fldChar w:fldCharType="separate"/>
            </w:r>
            <w:r>
              <w:rPr>
                <w:noProof/>
                <w:webHidden/>
              </w:rPr>
              <w:t>112</w:t>
            </w:r>
            <w:r>
              <w:rPr>
                <w:noProof/>
                <w:webHidden/>
              </w:rPr>
              <w:fldChar w:fldCharType="end"/>
            </w:r>
          </w:hyperlink>
        </w:p>
        <w:p w14:paraId="10D7C7E3" w14:textId="1CA1AEA0" w:rsidR="009D0591" w:rsidRDefault="009D0591">
          <w:pPr>
            <w:pStyle w:val="TOC2"/>
            <w:tabs>
              <w:tab w:val="right" w:leader="dot" w:pos="9350"/>
            </w:tabs>
            <w:rPr>
              <w:rFonts w:asciiTheme="minorHAnsi" w:hAnsiTheme="minorHAnsi"/>
              <w:noProof/>
              <w:color w:val="auto"/>
              <w:sz w:val="22"/>
              <w:lang w:val="ru-RU" w:eastAsia="ru-RU"/>
            </w:rPr>
          </w:pPr>
          <w:hyperlink w:anchor="_Toc229599137" w:history="1">
            <w:r w:rsidRPr="00D351EB">
              <w:rPr>
                <w:rStyle w:val="Hyperlink"/>
                <w:rFonts w:cs="Times New Roman"/>
                <w:noProof/>
              </w:rPr>
              <w:t>C.4 BERTopic Hyperparameters</w:t>
            </w:r>
            <w:r>
              <w:rPr>
                <w:noProof/>
                <w:webHidden/>
              </w:rPr>
              <w:tab/>
            </w:r>
            <w:r>
              <w:rPr>
                <w:noProof/>
                <w:webHidden/>
              </w:rPr>
              <w:fldChar w:fldCharType="begin"/>
            </w:r>
            <w:r>
              <w:rPr>
                <w:noProof/>
                <w:webHidden/>
              </w:rPr>
              <w:instrText xml:space="preserve"> PAGEREF _Toc229599137 \h </w:instrText>
            </w:r>
            <w:r>
              <w:rPr>
                <w:noProof/>
                <w:webHidden/>
              </w:rPr>
            </w:r>
            <w:r>
              <w:rPr>
                <w:noProof/>
                <w:webHidden/>
              </w:rPr>
              <w:fldChar w:fldCharType="separate"/>
            </w:r>
            <w:r>
              <w:rPr>
                <w:noProof/>
                <w:webHidden/>
              </w:rPr>
              <w:t>112</w:t>
            </w:r>
            <w:r>
              <w:rPr>
                <w:noProof/>
                <w:webHidden/>
              </w:rPr>
              <w:fldChar w:fldCharType="end"/>
            </w:r>
          </w:hyperlink>
        </w:p>
        <w:p w14:paraId="411C003E" w14:textId="6844FFA2" w:rsidR="009D0591" w:rsidRDefault="009D0591">
          <w:pPr>
            <w:pStyle w:val="TOC2"/>
            <w:tabs>
              <w:tab w:val="right" w:leader="dot" w:pos="9350"/>
            </w:tabs>
            <w:rPr>
              <w:rFonts w:asciiTheme="minorHAnsi" w:hAnsiTheme="minorHAnsi"/>
              <w:noProof/>
              <w:color w:val="auto"/>
              <w:sz w:val="22"/>
              <w:lang w:val="ru-RU" w:eastAsia="ru-RU"/>
            </w:rPr>
          </w:pPr>
          <w:hyperlink w:anchor="_Toc229599138" w:history="1">
            <w:r w:rsidRPr="00D351EB">
              <w:rPr>
                <w:rStyle w:val="Hyperlink"/>
                <w:rFonts w:cs="Times New Roman"/>
                <w:noProof/>
              </w:rPr>
              <w:t>C.5 Statistical Test Parameters</w:t>
            </w:r>
            <w:r>
              <w:rPr>
                <w:noProof/>
                <w:webHidden/>
              </w:rPr>
              <w:tab/>
            </w:r>
            <w:r>
              <w:rPr>
                <w:noProof/>
                <w:webHidden/>
              </w:rPr>
              <w:fldChar w:fldCharType="begin"/>
            </w:r>
            <w:r>
              <w:rPr>
                <w:noProof/>
                <w:webHidden/>
              </w:rPr>
              <w:instrText xml:space="preserve"> PAGEREF _Toc229599138 \h </w:instrText>
            </w:r>
            <w:r>
              <w:rPr>
                <w:noProof/>
                <w:webHidden/>
              </w:rPr>
            </w:r>
            <w:r>
              <w:rPr>
                <w:noProof/>
                <w:webHidden/>
              </w:rPr>
              <w:fldChar w:fldCharType="separate"/>
            </w:r>
            <w:r>
              <w:rPr>
                <w:noProof/>
                <w:webHidden/>
              </w:rPr>
              <w:t>112</w:t>
            </w:r>
            <w:r>
              <w:rPr>
                <w:noProof/>
                <w:webHidden/>
              </w:rPr>
              <w:fldChar w:fldCharType="end"/>
            </w:r>
          </w:hyperlink>
        </w:p>
        <w:p w14:paraId="6A422DE0" w14:textId="37432273" w:rsidR="009D0591" w:rsidRDefault="009D0591">
          <w:pPr>
            <w:pStyle w:val="TOC1"/>
            <w:tabs>
              <w:tab w:val="right" w:leader="dot" w:pos="9350"/>
            </w:tabs>
            <w:rPr>
              <w:rFonts w:asciiTheme="minorHAnsi" w:hAnsiTheme="minorHAnsi"/>
              <w:noProof/>
              <w:color w:val="auto"/>
              <w:sz w:val="22"/>
              <w:lang w:val="ru-RU" w:eastAsia="ru-RU"/>
            </w:rPr>
          </w:pPr>
          <w:hyperlink w:anchor="_Toc229599139" w:history="1">
            <w:r w:rsidRPr="00D351EB">
              <w:rPr>
                <w:rStyle w:val="Hyperlink"/>
                <w:rFonts w:cs="Times New Roman"/>
                <w:noProof/>
              </w:rPr>
              <w:t>Appendix D. Topic Inventory and Keyword Dictionary</w:t>
            </w:r>
            <w:r>
              <w:rPr>
                <w:noProof/>
                <w:webHidden/>
              </w:rPr>
              <w:tab/>
            </w:r>
            <w:r>
              <w:rPr>
                <w:noProof/>
                <w:webHidden/>
              </w:rPr>
              <w:fldChar w:fldCharType="begin"/>
            </w:r>
            <w:r>
              <w:rPr>
                <w:noProof/>
                <w:webHidden/>
              </w:rPr>
              <w:instrText xml:space="preserve"> PAGEREF _Toc229599139 \h </w:instrText>
            </w:r>
            <w:r>
              <w:rPr>
                <w:noProof/>
                <w:webHidden/>
              </w:rPr>
            </w:r>
            <w:r>
              <w:rPr>
                <w:noProof/>
                <w:webHidden/>
              </w:rPr>
              <w:fldChar w:fldCharType="separate"/>
            </w:r>
            <w:r>
              <w:rPr>
                <w:noProof/>
                <w:webHidden/>
              </w:rPr>
              <w:t>113</w:t>
            </w:r>
            <w:r>
              <w:rPr>
                <w:noProof/>
                <w:webHidden/>
              </w:rPr>
              <w:fldChar w:fldCharType="end"/>
            </w:r>
          </w:hyperlink>
        </w:p>
        <w:p w14:paraId="07E6E509" w14:textId="74A88A0B" w:rsidR="009D0591" w:rsidRDefault="009D0591">
          <w:pPr>
            <w:pStyle w:val="TOC2"/>
            <w:tabs>
              <w:tab w:val="right" w:leader="dot" w:pos="9350"/>
            </w:tabs>
            <w:rPr>
              <w:rFonts w:asciiTheme="minorHAnsi" w:hAnsiTheme="minorHAnsi"/>
              <w:noProof/>
              <w:color w:val="auto"/>
              <w:sz w:val="22"/>
              <w:lang w:val="ru-RU" w:eastAsia="ru-RU"/>
            </w:rPr>
          </w:pPr>
          <w:hyperlink w:anchor="_Toc229599140" w:history="1">
            <w:r w:rsidRPr="00D351EB">
              <w:rPr>
                <w:rStyle w:val="Hyperlink"/>
                <w:rFonts w:cs="Times New Roman"/>
                <w:noProof/>
              </w:rPr>
              <w:t>D.1 Top BERTopic Topics by Share</w:t>
            </w:r>
            <w:r>
              <w:rPr>
                <w:noProof/>
                <w:webHidden/>
              </w:rPr>
              <w:tab/>
            </w:r>
            <w:r>
              <w:rPr>
                <w:noProof/>
                <w:webHidden/>
              </w:rPr>
              <w:fldChar w:fldCharType="begin"/>
            </w:r>
            <w:r>
              <w:rPr>
                <w:noProof/>
                <w:webHidden/>
              </w:rPr>
              <w:instrText xml:space="preserve"> PAGEREF _Toc229599140 \h </w:instrText>
            </w:r>
            <w:r>
              <w:rPr>
                <w:noProof/>
                <w:webHidden/>
              </w:rPr>
            </w:r>
            <w:r>
              <w:rPr>
                <w:noProof/>
                <w:webHidden/>
              </w:rPr>
              <w:fldChar w:fldCharType="separate"/>
            </w:r>
            <w:r>
              <w:rPr>
                <w:noProof/>
                <w:webHidden/>
              </w:rPr>
              <w:t>113</w:t>
            </w:r>
            <w:r>
              <w:rPr>
                <w:noProof/>
                <w:webHidden/>
              </w:rPr>
              <w:fldChar w:fldCharType="end"/>
            </w:r>
          </w:hyperlink>
        </w:p>
        <w:p w14:paraId="3FED4B02" w14:textId="7CC073B7" w:rsidR="009D0591" w:rsidRDefault="009D0591">
          <w:pPr>
            <w:pStyle w:val="TOC2"/>
            <w:tabs>
              <w:tab w:val="right" w:leader="dot" w:pos="9350"/>
            </w:tabs>
            <w:rPr>
              <w:rFonts w:asciiTheme="minorHAnsi" w:hAnsiTheme="minorHAnsi"/>
              <w:noProof/>
              <w:color w:val="auto"/>
              <w:sz w:val="22"/>
              <w:lang w:val="ru-RU" w:eastAsia="ru-RU"/>
            </w:rPr>
          </w:pPr>
          <w:hyperlink w:anchor="_Toc229599141" w:history="1">
            <w:r w:rsidRPr="00D351EB">
              <w:rPr>
                <w:rStyle w:val="Hyperlink"/>
                <w:rFonts w:cs="Times New Roman"/>
                <w:noProof/>
              </w:rPr>
              <w:t>D.2 Keyword Dictionary</w:t>
            </w:r>
            <w:r>
              <w:rPr>
                <w:noProof/>
                <w:webHidden/>
              </w:rPr>
              <w:tab/>
            </w:r>
            <w:r>
              <w:rPr>
                <w:noProof/>
                <w:webHidden/>
              </w:rPr>
              <w:fldChar w:fldCharType="begin"/>
            </w:r>
            <w:r>
              <w:rPr>
                <w:noProof/>
                <w:webHidden/>
              </w:rPr>
              <w:instrText xml:space="preserve"> PAGEREF _Toc229599141 \h </w:instrText>
            </w:r>
            <w:r>
              <w:rPr>
                <w:noProof/>
                <w:webHidden/>
              </w:rPr>
            </w:r>
            <w:r>
              <w:rPr>
                <w:noProof/>
                <w:webHidden/>
              </w:rPr>
              <w:fldChar w:fldCharType="separate"/>
            </w:r>
            <w:r>
              <w:rPr>
                <w:noProof/>
                <w:webHidden/>
              </w:rPr>
              <w:t>113</w:t>
            </w:r>
            <w:r>
              <w:rPr>
                <w:noProof/>
                <w:webHidden/>
              </w:rPr>
              <w:fldChar w:fldCharType="end"/>
            </w:r>
          </w:hyperlink>
        </w:p>
        <w:p w14:paraId="0D63632C" w14:textId="21C243E5" w:rsidR="009D0591" w:rsidRDefault="009D0591">
          <w:pPr>
            <w:pStyle w:val="TOC1"/>
            <w:tabs>
              <w:tab w:val="right" w:leader="dot" w:pos="9350"/>
            </w:tabs>
            <w:rPr>
              <w:rFonts w:asciiTheme="minorHAnsi" w:hAnsiTheme="minorHAnsi"/>
              <w:noProof/>
              <w:color w:val="auto"/>
              <w:sz w:val="22"/>
              <w:lang w:val="ru-RU" w:eastAsia="ru-RU"/>
            </w:rPr>
          </w:pPr>
          <w:hyperlink w:anchor="_Toc229599142" w:history="1">
            <w:r w:rsidRPr="00D351EB">
              <w:rPr>
                <w:rStyle w:val="Hyperlink"/>
                <w:rFonts w:cs="Times New Roman"/>
                <w:noProof/>
              </w:rPr>
              <w:t>Appendix E. Supplementary Figures</w:t>
            </w:r>
            <w:r>
              <w:rPr>
                <w:noProof/>
                <w:webHidden/>
              </w:rPr>
              <w:tab/>
            </w:r>
            <w:r>
              <w:rPr>
                <w:noProof/>
                <w:webHidden/>
              </w:rPr>
              <w:fldChar w:fldCharType="begin"/>
            </w:r>
            <w:r>
              <w:rPr>
                <w:noProof/>
                <w:webHidden/>
              </w:rPr>
              <w:instrText xml:space="preserve"> PAGEREF _Toc229599142 \h </w:instrText>
            </w:r>
            <w:r>
              <w:rPr>
                <w:noProof/>
                <w:webHidden/>
              </w:rPr>
            </w:r>
            <w:r>
              <w:rPr>
                <w:noProof/>
                <w:webHidden/>
              </w:rPr>
              <w:fldChar w:fldCharType="separate"/>
            </w:r>
            <w:r>
              <w:rPr>
                <w:noProof/>
                <w:webHidden/>
              </w:rPr>
              <w:t>114</w:t>
            </w:r>
            <w:r>
              <w:rPr>
                <w:noProof/>
                <w:webHidden/>
              </w:rPr>
              <w:fldChar w:fldCharType="end"/>
            </w:r>
          </w:hyperlink>
        </w:p>
        <w:p w14:paraId="38E0417D" w14:textId="4BDDBEF0" w:rsidR="009D0591" w:rsidRDefault="009D0591">
          <w:pPr>
            <w:pStyle w:val="TOC2"/>
            <w:tabs>
              <w:tab w:val="right" w:leader="dot" w:pos="9350"/>
            </w:tabs>
            <w:rPr>
              <w:rFonts w:asciiTheme="minorHAnsi" w:hAnsiTheme="minorHAnsi"/>
              <w:noProof/>
              <w:color w:val="auto"/>
              <w:sz w:val="22"/>
              <w:lang w:val="ru-RU" w:eastAsia="ru-RU"/>
            </w:rPr>
          </w:pPr>
          <w:hyperlink w:anchor="_Toc229599143" w:history="1">
            <w:r w:rsidRPr="00D351EB">
              <w:rPr>
                <w:rStyle w:val="Hyperlink"/>
                <w:rFonts w:cs="Times New Roman"/>
                <w:noProof/>
              </w:rPr>
              <w:t>E.1 Operational Leverage Index</w:t>
            </w:r>
            <w:r>
              <w:rPr>
                <w:noProof/>
                <w:webHidden/>
              </w:rPr>
              <w:tab/>
            </w:r>
            <w:r>
              <w:rPr>
                <w:noProof/>
                <w:webHidden/>
              </w:rPr>
              <w:fldChar w:fldCharType="begin"/>
            </w:r>
            <w:r>
              <w:rPr>
                <w:noProof/>
                <w:webHidden/>
              </w:rPr>
              <w:instrText xml:space="preserve"> PAGEREF _Toc229599143 \h </w:instrText>
            </w:r>
            <w:r>
              <w:rPr>
                <w:noProof/>
                <w:webHidden/>
              </w:rPr>
            </w:r>
            <w:r>
              <w:rPr>
                <w:noProof/>
                <w:webHidden/>
              </w:rPr>
              <w:fldChar w:fldCharType="separate"/>
            </w:r>
            <w:r>
              <w:rPr>
                <w:noProof/>
                <w:webHidden/>
              </w:rPr>
              <w:t>114</w:t>
            </w:r>
            <w:r>
              <w:rPr>
                <w:noProof/>
                <w:webHidden/>
              </w:rPr>
              <w:fldChar w:fldCharType="end"/>
            </w:r>
          </w:hyperlink>
        </w:p>
        <w:p w14:paraId="0E3D1C39" w14:textId="6AF98C7F" w:rsidR="009D0591" w:rsidRDefault="009D0591">
          <w:pPr>
            <w:pStyle w:val="TOC2"/>
            <w:tabs>
              <w:tab w:val="right" w:leader="dot" w:pos="9350"/>
            </w:tabs>
            <w:rPr>
              <w:rFonts w:asciiTheme="minorHAnsi" w:hAnsiTheme="minorHAnsi"/>
              <w:noProof/>
              <w:color w:val="auto"/>
              <w:sz w:val="22"/>
              <w:lang w:val="ru-RU" w:eastAsia="ru-RU"/>
            </w:rPr>
          </w:pPr>
          <w:hyperlink w:anchor="_Toc229599144" w:history="1">
            <w:r w:rsidRPr="00D351EB">
              <w:rPr>
                <w:rStyle w:val="Hyperlink"/>
                <w:rFonts w:cs="Times New Roman"/>
                <w:noProof/>
              </w:rPr>
              <w:t>E.2 BERTopic Topic Map</w:t>
            </w:r>
            <w:r>
              <w:rPr>
                <w:noProof/>
                <w:webHidden/>
              </w:rPr>
              <w:tab/>
            </w:r>
            <w:r>
              <w:rPr>
                <w:noProof/>
                <w:webHidden/>
              </w:rPr>
              <w:fldChar w:fldCharType="begin"/>
            </w:r>
            <w:r>
              <w:rPr>
                <w:noProof/>
                <w:webHidden/>
              </w:rPr>
              <w:instrText xml:space="preserve"> PAGEREF _Toc229599144 \h </w:instrText>
            </w:r>
            <w:r>
              <w:rPr>
                <w:noProof/>
                <w:webHidden/>
              </w:rPr>
            </w:r>
            <w:r>
              <w:rPr>
                <w:noProof/>
                <w:webHidden/>
              </w:rPr>
              <w:fldChar w:fldCharType="separate"/>
            </w:r>
            <w:r>
              <w:rPr>
                <w:noProof/>
                <w:webHidden/>
              </w:rPr>
              <w:t>115</w:t>
            </w:r>
            <w:r>
              <w:rPr>
                <w:noProof/>
                <w:webHidden/>
              </w:rPr>
              <w:fldChar w:fldCharType="end"/>
            </w:r>
          </w:hyperlink>
        </w:p>
        <w:p w14:paraId="597078F1" w14:textId="01CB833B" w:rsidR="009D0591" w:rsidRDefault="009D0591">
          <w:pPr>
            <w:pStyle w:val="TOC2"/>
            <w:tabs>
              <w:tab w:val="right" w:leader="dot" w:pos="9350"/>
            </w:tabs>
            <w:rPr>
              <w:rFonts w:asciiTheme="minorHAnsi" w:hAnsiTheme="minorHAnsi"/>
              <w:noProof/>
              <w:color w:val="auto"/>
              <w:sz w:val="22"/>
              <w:lang w:val="ru-RU" w:eastAsia="ru-RU"/>
            </w:rPr>
          </w:pPr>
          <w:hyperlink w:anchor="_Toc229599145" w:history="1">
            <w:r w:rsidRPr="00D351EB">
              <w:rPr>
                <w:rStyle w:val="Hyperlink"/>
                <w:rFonts w:cs="Times New Roman"/>
                <w:noProof/>
              </w:rPr>
              <w:t>E.3 BERTopic Topic-Word Importance</w:t>
            </w:r>
            <w:r>
              <w:rPr>
                <w:noProof/>
                <w:webHidden/>
              </w:rPr>
              <w:tab/>
            </w:r>
            <w:r>
              <w:rPr>
                <w:noProof/>
                <w:webHidden/>
              </w:rPr>
              <w:fldChar w:fldCharType="begin"/>
            </w:r>
            <w:r>
              <w:rPr>
                <w:noProof/>
                <w:webHidden/>
              </w:rPr>
              <w:instrText xml:space="preserve"> PAGEREF _Toc229599145 \h </w:instrText>
            </w:r>
            <w:r>
              <w:rPr>
                <w:noProof/>
                <w:webHidden/>
              </w:rPr>
            </w:r>
            <w:r>
              <w:rPr>
                <w:noProof/>
                <w:webHidden/>
              </w:rPr>
              <w:fldChar w:fldCharType="separate"/>
            </w:r>
            <w:r>
              <w:rPr>
                <w:noProof/>
                <w:webHidden/>
              </w:rPr>
              <w:t>116</w:t>
            </w:r>
            <w:r>
              <w:rPr>
                <w:noProof/>
                <w:webHidden/>
              </w:rPr>
              <w:fldChar w:fldCharType="end"/>
            </w:r>
          </w:hyperlink>
        </w:p>
        <w:p w14:paraId="4ADCA545" w14:textId="3EA1CCF5" w:rsidR="009D0591" w:rsidRDefault="009D0591">
          <w:pPr>
            <w:pStyle w:val="TOC1"/>
            <w:tabs>
              <w:tab w:val="right" w:leader="dot" w:pos="9350"/>
            </w:tabs>
            <w:rPr>
              <w:rFonts w:asciiTheme="minorHAnsi" w:hAnsiTheme="minorHAnsi"/>
              <w:noProof/>
              <w:color w:val="auto"/>
              <w:sz w:val="22"/>
              <w:lang w:val="ru-RU" w:eastAsia="ru-RU"/>
            </w:rPr>
          </w:pPr>
          <w:hyperlink w:anchor="_Toc229599146" w:history="1">
            <w:r w:rsidRPr="00D351EB">
              <w:rPr>
                <w:rStyle w:val="Hyperlink"/>
                <w:rFonts w:cs="Times New Roman"/>
                <w:noProof/>
              </w:rPr>
              <w:t>Appendix F. Source Reliability and Citation Audit Summary</w:t>
            </w:r>
            <w:r>
              <w:rPr>
                <w:noProof/>
                <w:webHidden/>
              </w:rPr>
              <w:tab/>
            </w:r>
            <w:r>
              <w:rPr>
                <w:noProof/>
                <w:webHidden/>
              </w:rPr>
              <w:fldChar w:fldCharType="begin"/>
            </w:r>
            <w:r>
              <w:rPr>
                <w:noProof/>
                <w:webHidden/>
              </w:rPr>
              <w:instrText xml:space="preserve"> PAGEREF _Toc229599146 \h </w:instrText>
            </w:r>
            <w:r>
              <w:rPr>
                <w:noProof/>
                <w:webHidden/>
              </w:rPr>
            </w:r>
            <w:r>
              <w:rPr>
                <w:noProof/>
                <w:webHidden/>
              </w:rPr>
              <w:fldChar w:fldCharType="separate"/>
            </w:r>
            <w:r>
              <w:rPr>
                <w:noProof/>
                <w:webHidden/>
              </w:rPr>
              <w:t>117</w:t>
            </w:r>
            <w:r>
              <w:rPr>
                <w:noProof/>
                <w:webHidden/>
              </w:rPr>
              <w:fldChar w:fldCharType="end"/>
            </w:r>
          </w:hyperlink>
        </w:p>
        <w:p w14:paraId="0DBD1B3D" w14:textId="122C72F5" w:rsidR="009D0591" w:rsidRDefault="009D0591">
          <w:pPr>
            <w:pStyle w:val="TOC2"/>
            <w:tabs>
              <w:tab w:val="right" w:leader="dot" w:pos="9350"/>
            </w:tabs>
            <w:rPr>
              <w:rFonts w:asciiTheme="minorHAnsi" w:hAnsiTheme="minorHAnsi"/>
              <w:noProof/>
              <w:color w:val="auto"/>
              <w:sz w:val="22"/>
              <w:lang w:val="ru-RU" w:eastAsia="ru-RU"/>
            </w:rPr>
          </w:pPr>
          <w:hyperlink w:anchor="_Toc229599147" w:history="1">
            <w:r w:rsidRPr="00D351EB">
              <w:rPr>
                <w:rStyle w:val="Hyperlink"/>
                <w:rFonts w:cs="Times New Roman"/>
                <w:noProof/>
              </w:rPr>
              <w:t>F.1 Source-Reliability Tier Counts</w:t>
            </w:r>
            <w:r>
              <w:rPr>
                <w:noProof/>
                <w:webHidden/>
              </w:rPr>
              <w:tab/>
            </w:r>
            <w:r>
              <w:rPr>
                <w:noProof/>
                <w:webHidden/>
              </w:rPr>
              <w:fldChar w:fldCharType="begin"/>
            </w:r>
            <w:r>
              <w:rPr>
                <w:noProof/>
                <w:webHidden/>
              </w:rPr>
              <w:instrText xml:space="preserve"> PAGEREF _Toc229599147 \h </w:instrText>
            </w:r>
            <w:r>
              <w:rPr>
                <w:noProof/>
                <w:webHidden/>
              </w:rPr>
            </w:r>
            <w:r>
              <w:rPr>
                <w:noProof/>
                <w:webHidden/>
              </w:rPr>
              <w:fldChar w:fldCharType="separate"/>
            </w:r>
            <w:r>
              <w:rPr>
                <w:noProof/>
                <w:webHidden/>
              </w:rPr>
              <w:t>117</w:t>
            </w:r>
            <w:r>
              <w:rPr>
                <w:noProof/>
                <w:webHidden/>
              </w:rPr>
              <w:fldChar w:fldCharType="end"/>
            </w:r>
          </w:hyperlink>
        </w:p>
        <w:p w14:paraId="2ACABE77" w14:textId="711991E1" w:rsidR="009D0591" w:rsidRDefault="009D0591">
          <w:pPr>
            <w:pStyle w:val="TOC2"/>
            <w:tabs>
              <w:tab w:val="right" w:leader="dot" w:pos="9350"/>
            </w:tabs>
            <w:rPr>
              <w:rFonts w:asciiTheme="minorHAnsi" w:hAnsiTheme="minorHAnsi"/>
              <w:noProof/>
              <w:color w:val="auto"/>
              <w:sz w:val="22"/>
              <w:lang w:val="ru-RU" w:eastAsia="ru-RU"/>
            </w:rPr>
          </w:pPr>
          <w:hyperlink w:anchor="_Toc229599148" w:history="1">
            <w:r w:rsidRPr="00D351EB">
              <w:rPr>
                <w:rStyle w:val="Hyperlink"/>
                <w:rFonts w:cs="Times New Roman"/>
                <w:noProof/>
              </w:rPr>
              <w:t>F.2 Citation-Audit Summary</w:t>
            </w:r>
            <w:r>
              <w:rPr>
                <w:noProof/>
                <w:webHidden/>
              </w:rPr>
              <w:tab/>
            </w:r>
            <w:r>
              <w:rPr>
                <w:noProof/>
                <w:webHidden/>
              </w:rPr>
              <w:fldChar w:fldCharType="begin"/>
            </w:r>
            <w:r>
              <w:rPr>
                <w:noProof/>
                <w:webHidden/>
              </w:rPr>
              <w:instrText xml:space="preserve"> PAGEREF _Toc229599148 \h </w:instrText>
            </w:r>
            <w:r>
              <w:rPr>
                <w:noProof/>
                <w:webHidden/>
              </w:rPr>
            </w:r>
            <w:r>
              <w:rPr>
                <w:noProof/>
                <w:webHidden/>
              </w:rPr>
              <w:fldChar w:fldCharType="separate"/>
            </w:r>
            <w:r>
              <w:rPr>
                <w:noProof/>
                <w:webHidden/>
              </w:rPr>
              <w:t>117</w:t>
            </w:r>
            <w:r>
              <w:rPr>
                <w:noProof/>
                <w:webHidden/>
              </w:rPr>
              <w:fldChar w:fldCharType="end"/>
            </w:r>
          </w:hyperlink>
        </w:p>
        <w:p w14:paraId="3EF9A3C3" w14:textId="6CCC0ECF" w:rsidR="009D0591" w:rsidRDefault="009D0591">
          <w:pPr>
            <w:pStyle w:val="TOC1"/>
            <w:tabs>
              <w:tab w:val="right" w:leader="dot" w:pos="9350"/>
            </w:tabs>
            <w:rPr>
              <w:rFonts w:asciiTheme="minorHAnsi" w:hAnsiTheme="minorHAnsi"/>
              <w:noProof/>
              <w:color w:val="auto"/>
              <w:sz w:val="22"/>
              <w:lang w:val="ru-RU" w:eastAsia="ru-RU"/>
            </w:rPr>
          </w:pPr>
          <w:hyperlink w:anchor="_Toc229599149" w:history="1">
            <w:r w:rsidRPr="00D351EB">
              <w:rPr>
                <w:rStyle w:val="Hyperlink"/>
                <w:rFonts w:cs="Times New Roman"/>
                <w:noProof/>
              </w:rPr>
              <w:t>Appendix G. Reproducibility Notes</w:t>
            </w:r>
            <w:r>
              <w:rPr>
                <w:noProof/>
                <w:webHidden/>
              </w:rPr>
              <w:tab/>
            </w:r>
            <w:r>
              <w:rPr>
                <w:noProof/>
                <w:webHidden/>
              </w:rPr>
              <w:fldChar w:fldCharType="begin"/>
            </w:r>
            <w:r>
              <w:rPr>
                <w:noProof/>
                <w:webHidden/>
              </w:rPr>
              <w:instrText xml:space="preserve"> PAGEREF _Toc229599149 \h </w:instrText>
            </w:r>
            <w:r>
              <w:rPr>
                <w:noProof/>
                <w:webHidden/>
              </w:rPr>
            </w:r>
            <w:r>
              <w:rPr>
                <w:noProof/>
                <w:webHidden/>
              </w:rPr>
              <w:fldChar w:fldCharType="separate"/>
            </w:r>
            <w:r>
              <w:rPr>
                <w:noProof/>
                <w:webHidden/>
              </w:rPr>
              <w:t>118</w:t>
            </w:r>
            <w:r>
              <w:rPr>
                <w:noProof/>
                <w:webHidden/>
              </w:rPr>
              <w:fldChar w:fldCharType="end"/>
            </w:r>
          </w:hyperlink>
        </w:p>
        <w:p w14:paraId="0A0C4317" w14:textId="42D4A27C" w:rsidR="009D0591" w:rsidRDefault="009D0591">
          <w:pPr>
            <w:pStyle w:val="TOC2"/>
            <w:tabs>
              <w:tab w:val="right" w:leader="dot" w:pos="9350"/>
            </w:tabs>
            <w:rPr>
              <w:rFonts w:asciiTheme="minorHAnsi" w:hAnsiTheme="minorHAnsi"/>
              <w:noProof/>
              <w:color w:val="auto"/>
              <w:sz w:val="22"/>
              <w:lang w:val="ru-RU" w:eastAsia="ru-RU"/>
            </w:rPr>
          </w:pPr>
          <w:hyperlink w:anchor="_Toc229599150" w:history="1">
            <w:r w:rsidRPr="00D351EB">
              <w:rPr>
                <w:rStyle w:val="Hyperlink"/>
                <w:rFonts w:cs="Times New Roman"/>
                <w:noProof/>
              </w:rPr>
              <w:t>G.0 Source Code Repository</w:t>
            </w:r>
            <w:r>
              <w:rPr>
                <w:noProof/>
                <w:webHidden/>
              </w:rPr>
              <w:tab/>
            </w:r>
            <w:r>
              <w:rPr>
                <w:noProof/>
                <w:webHidden/>
              </w:rPr>
              <w:fldChar w:fldCharType="begin"/>
            </w:r>
            <w:r>
              <w:rPr>
                <w:noProof/>
                <w:webHidden/>
              </w:rPr>
              <w:instrText xml:space="preserve"> PAGEREF _Toc229599150 \h </w:instrText>
            </w:r>
            <w:r>
              <w:rPr>
                <w:noProof/>
                <w:webHidden/>
              </w:rPr>
            </w:r>
            <w:r>
              <w:rPr>
                <w:noProof/>
                <w:webHidden/>
              </w:rPr>
              <w:fldChar w:fldCharType="separate"/>
            </w:r>
            <w:r>
              <w:rPr>
                <w:noProof/>
                <w:webHidden/>
              </w:rPr>
              <w:t>118</w:t>
            </w:r>
            <w:r>
              <w:rPr>
                <w:noProof/>
                <w:webHidden/>
              </w:rPr>
              <w:fldChar w:fldCharType="end"/>
            </w:r>
          </w:hyperlink>
        </w:p>
        <w:p w14:paraId="13767544" w14:textId="46CB96EC" w:rsidR="009D0591" w:rsidRDefault="009D0591">
          <w:pPr>
            <w:pStyle w:val="TOC2"/>
            <w:tabs>
              <w:tab w:val="right" w:leader="dot" w:pos="9350"/>
            </w:tabs>
            <w:rPr>
              <w:rFonts w:asciiTheme="minorHAnsi" w:hAnsiTheme="minorHAnsi"/>
              <w:noProof/>
              <w:color w:val="auto"/>
              <w:sz w:val="22"/>
              <w:lang w:val="ru-RU" w:eastAsia="ru-RU"/>
            </w:rPr>
          </w:pPr>
          <w:hyperlink w:anchor="_Toc229599151" w:history="1">
            <w:r w:rsidRPr="00D351EB">
              <w:rPr>
                <w:rStyle w:val="Hyperlink"/>
                <w:rFonts w:cs="Times New Roman"/>
                <w:noProof/>
              </w:rPr>
              <w:t>G.1 Repository Structure</w:t>
            </w:r>
            <w:r>
              <w:rPr>
                <w:noProof/>
                <w:webHidden/>
              </w:rPr>
              <w:tab/>
            </w:r>
            <w:r>
              <w:rPr>
                <w:noProof/>
                <w:webHidden/>
              </w:rPr>
              <w:fldChar w:fldCharType="begin"/>
            </w:r>
            <w:r>
              <w:rPr>
                <w:noProof/>
                <w:webHidden/>
              </w:rPr>
              <w:instrText xml:space="preserve"> PAGEREF _Toc229599151 \h </w:instrText>
            </w:r>
            <w:r>
              <w:rPr>
                <w:noProof/>
                <w:webHidden/>
              </w:rPr>
            </w:r>
            <w:r>
              <w:rPr>
                <w:noProof/>
                <w:webHidden/>
              </w:rPr>
              <w:fldChar w:fldCharType="separate"/>
            </w:r>
            <w:r>
              <w:rPr>
                <w:noProof/>
                <w:webHidden/>
              </w:rPr>
              <w:t>118</w:t>
            </w:r>
            <w:r>
              <w:rPr>
                <w:noProof/>
                <w:webHidden/>
              </w:rPr>
              <w:fldChar w:fldCharType="end"/>
            </w:r>
          </w:hyperlink>
        </w:p>
        <w:p w14:paraId="427D761D" w14:textId="7A689015" w:rsidR="009D0591" w:rsidRDefault="009D0591">
          <w:pPr>
            <w:pStyle w:val="TOC2"/>
            <w:tabs>
              <w:tab w:val="right" w:leader="dot" w:pos="9350"/>
            </w:tabs>
            <w:rPr>
              <w:rFonts w:asciiTheme="minorHAnsi" w:hAnsiTheme="minorHAnsi"/>
              <w:noProof/>
              <w:color w:val="auto"/>
              <w:sz w:val="22"/>
              <w:lang w:val="ru-RU" w:eastAsia="ru-RU"/>
            </w:rPr>
          </w:pPr>
          <w:hyperlink w:anchor="_Toc229599152" w:history="1">
            <w:r w:rsidRPr="00D351EB">
              <w:rPr>
                <w:rStyle w:val="Hyperlink"/>
                <w:rFonts w:cs="Times New Roman"/>
                <w:noProof/>
              </w:rPr>
              <w:t>G.2 Run-Once-from-Clone Commands</w:t>
            </w:r>
            <w:r>
              <w:rPr>
                <w:noProof/>
                <w:webHidden/>
              </w:rPr>
              <w:tab/>
            </w:r>
            <w:r>
              <w:rPr>
                <w:noProof/>
                <w:webHidden/>
              </w:rPr>
              <w:fldChar w:fldCharType="begin"/>
            </w:r>
            <w:r>
              <w:rPr>
                <w:noProof/>
                <w:webHidden/>
              </w:rPr>
              <w:instrText xml:space="preserve"> PAGEREF _Toc229599152 \h </w:instrText>
            </w:r>
            <w:r>
              <w:rPr>
                <w:noProof/>
                <w:webHidden/>
              </w:rPr>
            </w:r>
            <w:r>
              <w:rPr>
                <w:noProof/>
                <w:webHidden/>
              </w:rPr>
              <w:fldChar w:fldCharType="separate"/>
            </w:r>
            <w:r>
              <w:rPr>
                <w:noProof/>
                <w:webHidden/>
              </w:rPr>
              <w:t>118</w:t>
            </w:r>
            <w:r>
              <w:rPr>
                <w:noProof/>
                <w:webHidden/>
              </w:rPr>
              <w:fldChar w:fldCharType="end"/>
            </w:r>
          </w:hyperlink>
        </w:p>
        <w:p w14:paraId="62290A27" w14:textId="134EB1E9" w:rsidR="009D0591" w:rsidRDefault="009D0591">
          <w:pPr>
            <w:pStyle w:val="TOC2"/>
            <w:tabs>
              <w:tab w:val="right" w:leader="dot" w:pos="9350"/>
            </w:tabs>
            <w:rPr>
              <w:rFonts w:asciiTheme="minorHAnsi" w:hAnsiTheme="minorHAnsi"/>
              <w:noProof/>
              <w:color w:val="auto"/>
              <w:sz w:val="22"/>
              <w:lang w:val="ru-RU" w:eastAsia="ru-RU"/>
            </w:rPr>
          </w:pPr>
          <w:hyperlink w:anchor="_Toc229599153" w:history="1">
            <w:r w:rsidRPr="00D351EB">
              <w:rPr>
                <w:rStyle w:val="Hyperlink"/>
                <w:rFonts w:cs="Times New Roman"/>
                <w:noProof/>
              </w:rPr>
              <w:t>G.3 Package Versions</w:t>
            </w:r>
            <w:r>
              <w:rPr>
                <w:noProof/>
                <w:webHidden/>
              </w:rPr>
              <w:tab/>
            </w:r>
            <w:r>
              <w:rPr>
                <w:noProof/>
                <w:webHidden/>
              </w:rPr>
              <w:fldChar w:fldCharType="begin"/>
            </w:r>
            <w:r>
              <w:rPr>
                <w:noProof/>
                <w:webHidden/>
              </w:rPr>
              <w:instrText xml:space="preserve"> PAGEREF _Toc229599153 \h </w:instrText>
            </w:r>
            <w:r>
              <w:rPr>
                <w:noProof/>
                <w:webHidden/>
              </w:rPr>
            </w:r>
            <w:r>
              <w:rPr>
                <w:noProof/>
                <w:webHidden/>
              </w:rPr>
              <w:fldChar w:fldCharType="separate"/>
            </w:r>
            <w:r>
              <w:rPr>
                <w:noProof/>
                <w:webHidden/>
              </w:rPr>
              <w:t>119</w:t>
            </w:r>
            <w:r>
              <w:rPr>
                <w:noProof/>
                <w:webHidden/>
              </w:rPr>
              <w:fldChar w:fldCharType="end"/>
            </w:r>
          </w:hyperlink>
        </w:p>
        <w:p w14:paraId="5B776F48" w14:textId="5C92949C" w:rsidR="009D0591" w:rsidRDefault="009D0591">
          <w:pPr>
            <w:pStyle w:val="TOC1"/>
            <w:tabs>
              <w:tab w:val="right" w:leader="dot" w:pos="9350"/>
            </w:tabs>
            <w:rPr>
              <w:rFonts w:asciiTheme="minorHAnsi" w:hAnsiTheme="minorHAnsi"/>
              <w:noProof/>
              <w:color w:val="auto"/>
              <w:sz w:val="22"/>
              <w:lang w:val="ru-RU" w:eastAsia="ru-RU"/>
            </w:rPr>
          </w:pPr>
          <w:hyperlink w:anchor="_Toc229599154" w:history="1">
            <w:r w:rsidRPr="00D351EB">
              <w:rPr>
                <w:rStyle w:val="Hyperlink"/>
                <w:rFonts w:cs="Times New Roman"/>
                <w:noProof/>
              </w:rPr>
              <w:t>STATEMENT ON THE USE OF GENERATIVE AI</w:t>
            </w:r>
            <w:r>
              <w:rPr>
                <w:noProof/>
                <w:webHidden/>
              </w:rPr>
              <w:tab/>
            </w:r>
            <w:r>
              <w:rPr>
                <w:noProof/>
                <w:webHidden/>
              </w:rPr>
              <w:fldChar w:fldCharType="begin"/>
            </w:r>
            <w:r>
              <w:rPr>
                <w:noProof/>
                <w:webHidden/>
              </w:rPr>
              <w:instrText xml:space="preserve"> PAGEREF _Toc229599154 \h </w:instrText>
            </w:r>
            <w:r>
              <w:rPr>
                <w:noProof/>
                <w:webHidden/>
              </w:rPr>
            </w:r>
            <w:r>
              <w:rPr>
                <w:noProof/>
                <w:webHidden/>
              </w:rPr>
              <w:fldChar w:fldCharType="separate"/>
            </w:r>
            <w:r>
              <w:rPr>
                <w:noProof/>
                <w:webHidden/>
              </w:rPr>
              <w:t>121</w:t>
            </w:r>
            <w:r>
              <w:rPr>
                <w:noProof/>
                <w:webHidden/>
              </w:rPr>
              <w:fldChar w:fldCharType="end"/>
            </w:r>
          </w:hyperlink>
        </w:p>
        <w:p w14:paraId="022CF878" w14:textId="0FF4F354" w:rsidR="00F70D72" w:rsidRPr="00B76053" w:rsidRDefault="00F70D72">
          <w:pPr>
            <w:rPr>
              <w:rFonts w:cs="Times New Roman"/>
            </w:rPr>
          </w:pPr>
          <w:r w:rsidRPr="00B76053">
            <w:rPr>
              <w:rFonts w:cs="Times New Roman"/>
              <w:b/>
              <w:bCs/>
              <w:noProof/>
            </w:rPr>
            <w:fldChar w:fldCharType="end"/>
          </w:r>
        </w:p>
      </w:sdtContent>
    </w:sdt>
    <w:p w14:paraId="27323B9D" w14:textId="77777777" w:rsidR="00B91681" w:rsidRPr="00B76053" w:rsidRDefault="00B91681">
      <w:pPr>
        <w:rPr>
          <w:rFonts w:cs="Times New Roman"/>
        </w:rPr>
      </w:pPr>
    </w:p>
    <w:p w14:paraId="4D25B98C" w14:textId="77777777" w:rsidR="006046D2" w:rsidRPr="00B76053" w:rsidRDefault="00B04762">
      <w:pPr>
        <w:pStyle w:val="Heading1"/>
        <w:pageBreakBefore/>
        <w:spacing w:before="360" w:after="120"/>
        <w:rPr>
          <w:rFonts w:cs="Times New Roman"/>
        </w:rPr>
      </w:pPr>
      <w:bookmarkStart w:id="0" w:name="_Toc229599010"/>
      <w:r w:rsidRPr="00B76053">
        <w:rPr>
          <w:rFonts w:cs="Times New Roman"/>
        </w:rPr>
        <w:lastRenderedPageBreak/>
        <w:t>1. Introduction</w:t>
      </w:r>
      <w:bookmarkEnd w:id="0"/>
    </w:p>
    <w:p w14:paraId="3B4BFC96" w14:textId="77777777" w:rsidR="006046D2" w:rsidRPr="00B76053" w:rsidRDefault="00B04762">
      <w:pPr>
        <w:pStyle w:val="Heading2"/>
        <w:spacing w:before="280"/>
        <w:rPr>
          <w:rFonts w:cs="Times New Roman"/>
        </w:rPr>
      </w:pPr>
      <w:bookmarkStart w:id="1" w:name="_Toc229599011"/>
      <w:r w:rsidRPr="00B76053">
        <w:rPr>
          <w:rFonts w:cs="Times New Roman"/>
        </w:rPr>
        <w:t xml:space="preserve">1.1 </w:t>
      </w:r>
      <w:r w:rsidR="0070279B" w:rsidRPr="00B76053">
        <w:rPr>
          <w:rFonts w:cs="Times New Roman"/>
        </w:rPr>
        <w:t>From Automation to Intelligent Customer Engagement</w:t>
      </w:r>
      <w:bookmarkEnd w:id="1"/>
    </w:p>
    <w:p w14:paraId="6D25E054" w14:textId="77777777" w:rsidR="0070279B" w:rsidRPr="00B76053" w:rsidRDefault="0070279B" w:rsidP="00F40F38">
      <w:pPr>
        <w:rPr>
          <w:rFonts w:cs="Times New Roman"/>
        </w:rPr>
      </w:pPr>
      <w:r w:rsidRPr="00B76053">
        <w:rPr>
          <w:rFonts w:cs="Times New Roman"/>
        </w:rPr>
        <w:t>Artificial intelligence has fundamentally shifted the frontier of enterprise automation — from rigid, rules-based systems toward adaptive, intelligent technologies capable of supporting front-line customer engagement at scale. Large Language Models (LLMs), in particular, generate contextually appropriate responses across open-ended dialogue, marking a qualitative departure from earlier automation that could only retrieve pre-scripted outputs (Brynjolfsson et al., 2023). Rather than forcing customers to navigate predetermined query pathways, these systems synthesise unstructured inputs and produce nuanced, context-aware dialogue in real time — a capability that is materially changing how organisations interact with their customers.</w:t>
      </w:r>
    </w:p>
    <w:p w14:paraId="611BEE8D" w14:textId="77777777" w:rsidR="0070279B" w:rsidRPr="00B76053" w:rsidRDefault="0070279B" w:rsidP="00F40F38">
      <w:pPr>
        <w:rPr>
          <w:rFonts w:cs="Times New Roman"/>
        </w:rPr>
      </w:pPr>
      <w:r w:rsidRPr="00B76053">
        <w:rPr>
          <w:rFonts w:cs="Times New Roman"/>
        </w:rPr>
        <w:t>First-generation conversational AI — primarily text-based chatbots — represented an early attempt to automate routine customer queries. While these systems reduced staffing costs and extended service availability, they remained structurally constrained by limited decision trees, poor intent recognition, and an inability to manage the complexity of multi-layered customer requests (Huang &amp; Rust, 2018). As organisations seek to preserve the scale advantages of automation without sacrificing the quality of human-like interaction, attention has turned toward a more capable class of AI technology — one that operates through natural spoken language and dynamically adapts to customer needs in real time.</w:t>
      </w:r>
    </w:p>
    <w:p w14:paraId="079B70C4" w14:textId="77777777" w:rsidR="006046D2" w:rsidRPr="00B76053" w:rsidRDefault="00B04762">
      <w:pPr>
        <w:pStyle w:val="Heading2"/>
        <w:spacing w:before="280"/>
        <w:rPr>
          <w:rFonts w:cs="Times New Roman"/>
        </w:rPr>
      </w:pPr>
      <w:bookmarkStart w:id="2" w:name="_Toc229599012"/>
      <w:r w:rsidRPr="00B76053">
        <w:rPr>
          <w:rFonts w:cs="Times New Roman"/>
        </w:rPr>
        <w:t>1.2 The Financial Services Context</w:t>
      </w:r>
      <w:bookmarkEnd w:id="2"/>
    </w:p>
    <w:p w14:paraId="7141C500" w14:textId="77777777" w:rsidR="00553255" w:rsidRPr="00B76053" w:rsidRDefault="00553255" w:rsidP="00553255">
      <w:pPr>
        <w:rPr>
          <w:rFonts w:cs="Times New Roman"/>
        </w:rPr>
      </w:pPr>
      <w:r w:rsidRPr="00B76053">
        <w:rPr>
          <w:rFonts w:cs="Times New Roman"/>
        </w:rPr>
        <w:t>The financial services sector is a particularly instructive setting in which to examine this technological transition. Financial institutions operate under sustained pressure to deliver consistent, high-quality customer experiences while managing operational costs and regulatory compliance (Hentzen et al., 2022). In mortgage origination — the empirical focus of this thesis — the customer journey is especially communication-intensive: borrowers require repeated guidance through documentation requirements, eligibility checks, rate disclosures, and closing timelines across a process that may span weeks. This creates a persistent operational tension between the cost of maintaining human-staffed service capacity and the quality demands of a high-stakes, time-sensitive interaction.</w:t>
      </w:r>
    </w:p>
    <w:p w14:paraId="032F7AE1" w14:textId="77777777" w:rsidR="004A14A8" w:rsidRPr="00B76053" w:rsidRDefault="00553255" w:rsidP="00553255">
      <w:pPr>
        <w:rPr>
          <w:rFonts w:cs="Times New Roman"/>
        </w:rPr>
      </w:pPr>
      <w:r w:rsidRPr="00B76053">
        <w:rPr>
          <w:rFonts w:cs="Times New Roman"/>
        </w:rPr>
        <w:lastRenderedPageBreak/>
        <w:t>The financial sector has historically been an early adopter of AI technologies. Machine learning has been deployed in backend operational functions including algorithmic credit scoring, fraud detection, and investment decision support (Liu et al., 2024). More recently, AI has moved to the customer interface, with automated routing systems and text-based chatbots managing high-volume query flows and extending service availability beyond traditional business hours (Mogaji &amp; Nguyen, 2021). Yet the limitations of these earlier systems are increasingly apparent in complex financial interactions. Securing a mortgage demands empathetic communication, dynamic problem-solving, and a level of responsiveness that scripted automation cannot consistently provide (Hentzen et al., 2022). The financial services sector is therefore both an important test case for, and a natural beneficiary of, more capable voice-based AI systems.</w:t>
      </w:r>
    </w:p>
    <w:p w14:paraId="4F89B02D" w14:textId="77777777" w:rsidR="006046D2" w:rsidRPr="00B76053" w:rsidRDefault="00B04762">
      <w:pPr>
        <w:pStyle w:val="Heading2"/>
        <w:spacing w:before="0"/>
        <w:rPr>
          <w:rFonts w:cs="Times New Roman"/>
        </w:rPr>
      </w:pPr>
      <w:bookmarkStart w:id="3" w:name="_Toc229599013"/>
      <w:r w:rsidRPr="00B76053">
        <w:rPr>
          <w:rFonts w:cs="Times New Roman"/>
        </w:rPr>
        <w:t>1.3 The Emergence of Voice AI and LLM Agents</w:t>
      </w:r>
      <w:bookmarkEnd w:id="3"/>
    </w:p>
    <w:p w14:paraId="70388F28" w14:textId="77777777" w:rsidR="00E64270" w:rsidRPr="00B76053" w:rsidRDefault="00E64270" w:rsidP="00E64270">
      <w:pPr>
        <w:rPr>
          <w:rFonts w:cs="Times New Roman"/>
        </w:rPr>
      </w:pPr>
      <w:r w:rsidRPr="00B76053">
        <w:rPr>
          <w:rFonts w:cs="Times New Roman"/>
        </w:rPr>
        <w:t>Voice-based Large Language Model (LLM) agents represent a meaningful step beyond earlier conversational technologies. These systems integrate automatic speech recognition (ASR), generative natural language processing (NLP), and near-instantaneous text-to-speech (TTS) synthesis to enable multi-turn spoken dialogue that adapts to the user rather than constraining the user to pre-defined interaction structures. This marks a material departure from earlier technologies: traditional interactive voice response (IVR) systems require customers to navigate rigid, hierarchical menus optimised for operational routing rather than customer need (Wang et al., 2023), while text-based chatbots frequently falter when conversations escalate in complexity or require emotional responsiveness (Zhang et al., 2023).</w:t>
      </w:r>
    </w:p>
    <w:p w14:paraId="44D8D616" w14:textId="77777777" w:rsidR="00E64270" w:rsidRPr="00B76053" w:rsidRDefault="00E64270" w:rsidP="00E64270">
      <w:pPr>
        <w:rPr>
          <w:rFonts w:cs="Times New Roman"/>
        </w:rPr>
      </w:pPr>
      <w:r w:rsidRPr="00B76053">
        <w:rPr>
          <w:rFonts w:cs="Times New Roman"/>
        </w:rPr>
        <w:t xml:space="preserve">Voice LLM agents overcome these constraints through three distinguishing capabilities. First, natural conversational fluidity: responses are generated dynamically rather than retrieved from pre-scripted templates, allowing the agent to adapt to unexpected turns in dialogue. Second, real-time responsiveness: end-to-end latency is sufficiently low to support natural spoken turn-taking without disruptive pauses. Third, operational scalability: the same system can serve thousands of users simultaneously without performance degradation (Aggarwal et al., 2025). By combining conversational intelligence with the immediacy of spoken language, voice LLM agents restore the communicative richness of human interaction while retaining the economic advantages of digital automation — a combination that is particularly consequential in financial services, where </w:t>
      </w:r>
      <w:r w:rsidRPr="00B76053">
        <w:rPr>
          <w:rFonts w:cs="Times New Roman"/>
        </w:rPr>
        <w:lastRenderedPageBreak/>
        <w:t>the quality and reliability of customer communication is central to both service experience and regulatory compliance (Adam et al., 2021).</w:t>
      </w:r>
    </w:p>
    <w:p w14:paraId="4D99DAD7" w14:textId="77777777" w:rsidR="006046D2" w:rsidRPr="00B76053" w:rsidRDefault="00B04762">
      <w:pPr>
        <w:pStyle w:val="Heading2"/>
        <w:spacing w:before="280"/>
        <w:rPr>
          <w:rFonts w:cs="Times New Roman"/>
        </w:rPr>
      </w:pPr>
      <w:bookmarkStart w:id="4" w:name="_Toc229599014"/>
      <w:r w:rsidRPr="00B76053">
        <w:rPr>
          <w:rFonts w:cs="Times New Roman"/>
        </w:rPr>
        <w:t>1.4 The Research Gap</w:t>
      </w:r>
      <w:bookmarkEnd w:id="4"/>
    </w:p>
    <w:p w14:paraId="226D4392" w14:textId="77777777" w:rsidR="007F45A9" w:rsidRPr="00B76053" w:rsidRDefault="007F45A9" w:rsidP="007F45A9">
      <w:pPr>
        <w:rPr>
          <w:rFonts w:cs="Times New Roman"/>
        </w:rPr>
      </w:pPr>
      <w:r w:rsidRPr="00B76053">
        <w:rPr>
          <w:rFonts w:cs="Times New Roman"/>
        </w:rPr>
        <w:t>Despite the rapid commercial adoption of generative AI technologies, the academic literature has not kept pace with enterprise-level developments. Two distinct gaps motivate this thesis.</w:t>
      </w:r>
    </w:p>
    <w:p w14:paraId="54C60D3B" w14:textId="77777777" w:rsidR="007F45A9" w:rsidRPr="00B76053" w:rsidRDefault="007F45A9" w:rsidP="007F45A9">
      <w:pPr>
        <w:rPr>
          <w:rFonts w:cs="Times New Roman"/>
        </w:rPr>
      </w:pPr>
      <w:r w:rsidRPr="00B76053">
        <w:rPr>
          <w:rFonts w:cs="Times New Roman"/>
        </w:rPr>
        <w:t>The first is a disciplinary gap. The majority of contemporary AI research remains concentrated in computer science and engineering, focusing on technical performance metrics: model accuracy, algorithmic latency, and neural network architecture. Within business and information systems, the literature has largely examined user acceptance, ethical implications, or abstract frameworks for AI adoption (Adam et al., 2021). What remains underexplored is empirical, business-oriented research connecting AI implementation to downstream organisational outcomes — particularly in regulated, high-stakes settings where integration is architecturally complex and operationally consequential.</w:t>
      </w:r>
    </w:p>
    <w:p w14:paraId="4CF67E6E" w14:textId="77777777" w:rsidR="007F45A9" w:rsidRPr="00B76053" w:rsidRDefault="007F45A9" w:rsidP="007F45A9">
      <w:pPr>
        <w:rPr>
          <w:rFonts w:cs="Times New Roman"/>
        </w:rPr>
      </w:pPr>
      <w:r w:rsidRPr="00B76053">
        <w:rPr>
          <w:rFonts w:cs="Times New Roman"/>
        </w:rPr>
        <w:t>The second is an empirical gap. While Andrade and Tumelero (2022) document efficiency gains associated with basic text-based chatbots, and Fotheringham and Wiles (2023) examine aggregate investor reactions to chatbot service announcements, the literature lacks rigorous examination of how frontier voice AI systems generate measurable business value in real enterprise environments. There are almost no published case studies tracing the full arc of a voice LLM deployment — from technical integration into proprietary backend systems through to observable financial and customer-experience outcomes. Existing work offers theoretical assertions about how advanced AI could transform financial services (Aggarwal et al., 2025), but concrete, empirically grounded accounts of actual integration architecture, prerequisite conditions, and post-deployment performance remain scarce.</w:t>
      </w:r>
    </w:p>
    <w:p w14:paraId="275D0E51" w14:textId="77777777" w:rsidR="007F45A9" w:rsidRPr="00B76053" w:rsidRDefault="007F45A9" w:rsidP="007F45A9">
      <w:pPr>
        <w:rPr>
          <w:rFonts w:cs="Times New Roman"/>
        </w:rPr>
      </w:pPr>
      <w:r w:rsidRPr="00B76053">
        <w:rPr>
          <w:rFonts w:cs="Times New Roman"/>
        </w:rPr>
        <w:t xml:space="preserve">This gap limits both academic understanding and practical decision-making. As organisations face growing pressure to justify substantial AI investments, they lack the empirical benchmarks needed to evaluate the business value and operational feasibility of voice AI deployment. Analysing a live, large-scale implementation — with publicly audited financial data and independent customer-experience evidence spanning both pre- and post-deployment periods — </w:t>
      </w:r>
      <w:r w:rsidRPr="00B76053">
        <w:rPr>
          <w:rFonts w:cs="Times New Roman"/>
        </w:rPr>
        <w:lastRenderedPageBreak/>
        <w:t>is therefore essential to move the academic discourse from theoretical assertion toward evidence-based understanding.</w:t>
      </w:r>
    </w:p>
    <w:p w14:paraId="37FAF06D" w14:textId="77777777" w:rsidR="006046D2" w:rsidRPr="00B76053" w:rsidRDefault="00B04762">
      <w:pPr>
        <w:pStyle w:val="Heading2"/>
        <w:spacing w:before="280"/>
        <w:rPr>
          <w:rFonts w:cs="Times New Roman"/>
        </w:rPr>
      </w:pPr>
      <w:bookmarkStart w:id="5" w:name="_Toc229599015"/>
      <w:r w:rsidRPr="00B76053">
        <w:rPr>
          <w:rFonts w:cs="Times New Roman"/>
        </w:rPr>
        <w:t>1.5 Research Aim and Questions</w:t>
      </w:r>
      <w:bookmarkEnd w:id="5"/>
    </w:p>
    <w:p w14:paraId="30E64583" w14:textId="77777777" w:rsidR="00445C54" w:rsidRPr="00B76053" w:rsidRDefault="00445C54" w:rsidP="00445C54">
      <w:pPr>
        <w:spacing w:after="120"/>
        <w:rPr>
          <w:rFonts w:cs="Times New Roman"/>
        </w:rPr>
      </w:pPr>
      <w:r w:rsidRPr="00B76053">
        <w:rPr>
          <w:rFonts w:cs="Times New Roman"/>
        </w:rPr>
        <w:t>The primary aim of this research is to examine how voice-based LLM agents create measurable business value in financial services by analysing the implementation case of Better.com. The study seeks to establish how advanced voice AI is integrated into complex, regulated business processes, what technical and organisational prerequisites this integration requires, and how the resulting changes are associated with measurable organisational performance.</w:t>
      </w:r>
    </w:p>
    <w:p w14:paraId="0D058A1C" w14:textId="77777777" w:rsidR="00445C54" w:rsidRPr="00B76053" w:rsidRDefault="00445C54" w:rsidP="00445C54">
      <w:pPr>
        <w:spacing w:after="120"/>
        <w:rPr>
          <w:rFonts w:cs="Times New Roman"/>
        </w:rPr>
      </w:pPr>
      <w:r w:rsidRPr="00B76053">
        <w:rPr>
          <w:rFonts w:cs="Times New Roman"/>
        </w:rPr>
        <w:t>Better.com is selected as the primary empirical context because it constitutes a critical, revelatory case: a publicly listed, digital-first U.S. mortgage lender that launched a proprietary voice LLM agent (Betsy) in October 2024 and has publicly disclosed audited financial and operating data spanning both pre- and post-deployment periods. This combination of integration evidence and measurable outcome data is rare in the academic literature and provides a tractable empirical setting for examining the thesis's two research questions.</w:t>
      </w:r>
    </w:p>
    <w:p w14:paraId="28900DA5" w14:textId="77777777" w:rsidR="003E691E" w:rsidRPr="00B76053" w:rsidRDefault="00445C54" w:rsidP="00445C54">
      <w:pPr>
        <w:spacing w:after="120"/>
        <w:rPr>
          <w:rFonts w:cs="Times New Roman"/>
        </w:rPr>
      </w:pPr>
      <w:r w:rsidRPr="00B76053">
        <w:rPr>
          <w:rFonts w:cs="Times New Roman"/>
        </w:rPr>
        <w:t>To systematically fulfil this aim, the thesis is guided by the following two central research questions:</w:t>
      </w:r>
    </w:p>
    <w:p w14:paraId="396832A2" w14:textId="77777777" w:rsidR="006046D2" w:rsidRPr="00B76053" w:rsidRDefault="00B04762" w:rsidP="00445C54">
      <w:pPr>
        <w:spacing w:after="120"/>
        <w:rPr>
          <w:rFonts w:cs="Times New Roman"/>
        </w:rPr>
      </w:pPr>
      <w:r w:rsidRPr="00B76053">
        <w:rPr>
          <w:rFonts w:cs="Times New Roman"/>
        </w:rPr>
        <w:t>RQ1: How have voice LLM agents been integrated into Better.com's mortgage origination processes, and what does this integration reveal about the technical and organisational prerequisites for deploying conversational AI in a regulated financial services environment?</w:t>
      </w:r>
    </w:p>
    <w:p w14:paraId="6D6B3376" w14:textId="77777777" w:rsidR="006046D2" w:rsidRPr="00B76053" w:rsidRDefault="00B04762">
      <w:pPr>
        <w:spacing w:after="120"/>
        <w:rPr>
          <w:rFonts w:cs="Times New Roman"/>
        </w:rPr>
      </w:pPr>
      <w:r w:rsidRPr="00B76053">
        <w:rPr>
          <w:rFonts w:cs="Times New Roman"/>
        </w:rPr>
        <w:t>RQ2: What measurable business value can be associated with Better.com’s voice AI deployment across operational efficiency, productivity, customer experience, and financial performance, and what factors mediate the realisation of this value?</w:t>
      </w:r>
    </w:p>
    <w:p w14:paraId="44A22210" w14:textId="77777777" w:rsidR="006046D2" w:rsidRPr="00B76053" w:rsidRDefault="00B04762">
      <w:pPr>
        <w:pStyle w:val="Heading2"/>
        <w:spacing w:before="280"/>
        <w:rPr>
          <w:rFonts w:cs="Times New Roman"/>
        </w:rPr>
      </w:pPr>
      <w:bookmarkStart w:id="6" w:name="_Toc229599016"/>
      <w:r w:rsidRPr="00B76053">
        <w:rPr>
          <w:rFonts w:cs="Times New Roman"/>
        </w:rPr>
        <w:t xml:space="preserve">1.6 </w:t>
      </w:r>
      <w:r w:rsidR="00141720" w:rsidRPr="00B76053">
        <w:rPr>
          <w:rFonts w:cs="Times New Roman"/>
        </w:rPr>
        <w:t>Research Contributions</w:t>
      </w:r>
      <w:bookmarkEnd w:id="6"/>
    </w:p>
    <w:p w14:paraId="1B01A4BE" w14:textId="77777777" w:rsidR="00D55050" w:rsidRPr="00B76053" w:rsidRDefault="00D55050" w:rsidP="00D55050">
      <w:pPr>
        <w:rPr>
          <w:rFonts w:cs="Times New Roman"/>
        </w:rPr>
      </w:pPr>
      <w:r w:rsidRPr="00B76053">
        <w:rPr>
          <w:rFonts w:cs="Times New Roman"/>
        </w:rPr>
        <w:t xml:space="preserve">This study makes three contributions. Empirically, it provides one of the first case-level triangulations of audited SEC financial data, independent NLP-based customer-discourse analysis, and qualitative process tracing for a voice LLM deployment in a regulated, high-stakes financial-services workflow — grounding AI productivity theory in observable corporate outcomes and advancing the evidence base for how voice AI transitions from experimentation to </w:t>
      </w:r>
      <w:r w:rsidRPr="00B76053">
        <w:rPr>
          <w:rFonts w:cs="Times New Roman"/>
        </w:rPr>
        <w:lastRenderedPageBreak/>
        <w:t>operational value creation (Aggarwal et al., 2025; Liu et al., 2024). Practically, the four-prerequisite design pattern derived from the Better.com case provides executives with a structured diagnostic for evaluating voice AI readiness, and offers regulators a workable supervisory primitive — auditable human-escalation routing — for overseeing AI deployments in regulated financial workflows. Methodologically, the thesis contributes a mixed-methods triangulation protocol that combines SEC financial analysis, NLP sentiment and topic modelling, and qualitative process tracing, governed by an explicit four-tier source-reliability hierarchy that controls the strength of inference drawn from evidence streams of differing credibility.</w:t>
      </w:r>
    </w:p>
    <w:p w14:paraId="2919DA34" w14:textId="77777777" w:rsidR="006046D2" w:rsidRPr="00B76053" w:rsidRDefault="00B04762">
      <w:pPr>
        <w:pStyle w:val="Heading2"/>
        <w:spacing w:before="280"/>
        <w:rPr>
          <w:rFonts w:cs="Times New Roman"/>
        </w:rPr>
      </w:pPr>
      <w:bookmarkStart w:id="7" w:name="_Toc229599017"/>
      <w:r w:rsidRPr="00B76053">
        <w:rPr>
          <w:rFonts w:cs="Times New Roman"/>
        </w:rPr>
        <w:t>1.7 Scope and Boundaries</w:t>
      </w:r>
      <w:bookmarkEnd w:id="7"/>
    </w:p>
    <w:p w14:paraId="5FD4B3D0" w14:textId="77777777" w:rsidR="005D0FAD" w:rsidRPr="00B76053" w:rsidRDefault="005D0FAD" w:rsidP="005D0FAD">
      <w:pPr>
        <w:rPr>
          <w:rFonts w:cs="Times New Roman"/>
        </w:rPr>
      </w:pPr>
      <w:r w:rsidRPr="00B76053">
        <w:rPr>
          <w:rFonts w:cs="Times New Roman"/>
        </w:rPr>
        <w:t>This study is bounded to a single in-depth empirical case: Better.com, a digital-first mortgage lender operating within the U.S. financial services sector. ElevenLabs is treated as the enabling voice-infrastructure provider that supplies the speech layer through which Better.com's voice agent operates; it is not the primary unit of analysis. Rocket Companies (Rocket Mortgage) is used solely as a directional industry benchmark to contextualise Better.com's financial performance trajectory — not as a formal counterfactual or control group.</w:t>
      </w:r>
    </w:p>
    <w:p w14:paraId="7E0311DE" w14:textId="77777777" w:rsidR="005D0FAD" w:rsidRPr="00B76053" w:rsidRDefault="005D0FAD" w:rsidP="005D0FAD">
      <w:pPr>
        <w:rPr>
          <w:rFonts w:cs="Times New Roman"/>
        </w:rPr>
      </w:pPr>
      <w:r w:rsidRPr="00B76053">
        <w:rPr>
          <w:rFonts w:cs="Times New Roman"/>
        </w:rPr>
        <w:t>The study relies exclusively on publicly available data sources to ensure transparency and reproducibility. These include SEC filings (annual 10-K reports, S-1 registration forms, and quarterly earnings releases), publicly accessible customer reviews on Trustpilot, joint company–vendor press materials, and peer-reviewed academic literature. No proprietary or internal company data is used. The research scope is limited to business value creation and process integration; broader questions of AI ethics, data privacy, and regulatory policy design fall outside the primary objective of this thesis.</w:t>
      </w:r>
    </w:p>
    <w:p w14:paraId="56D173A6" w14:textId="77777777" w:rsidR="006046D2" w:rsidRPr="00B76053" w:rsidRDefault="00B04762">
      <w:pPr>
        <w:pStyle w:val="Heading2"/>
        <w:spacing w:before="280"/>
        <w:rPr>
          <w:rFonts w:cs="Times New Roman"/>
        </w:rPr>
      </w:pPr>
      <w:bookmarkStart w:id="8" w:name="_Toc229599018"/>
      <w:r w:rsidRPr="00B76053">
        <w:rPr>
          <w:rFonts w:cs="Times New Roman"/>
        </w:rPr>
        <w:t>1.8 Structure of the Thesis</w:t>
      </w:r>
      <w:bookmarkEnd w:id="8"/>
    </w:p>
    <w:p w14:paraId="3C4E86D7" w14:textId="77777777" w:rsidR="00D831F5" w:rsidRPr="00B76053" w:rsidRDefault="00D831F5" w:rsidP="00D831F5">
      <w:pPr>
        <w:rPr>
          <w:rFonts w:cs="Times New Roman"/>
        </w:rPr>
      </w:pPr>
      <w:r w:rsidRPr="00B76053">
        <w:rPr>
          <w:rFonts w:cs="Times New Roman"/>
        </w:rPr>
        <w:t xml:space="preserve">The remainder of this thesis is structured as follows. Chapter 2 reviews the literature on AI in financial services, conversational AI, voice AI capabilities, business value creation, and consumer behaviour, establishing the three theoretical lenses — task–technology fit, the AI service hierarchy, and AI-enabled productivity — applied throughout the empirical analysis. Chapter 3 presents the research methodology, detailing the convergent parallel mixed-methods </w:t>
      </w:r>
      <w:r w:rsidRPr="00B76053">
        <w:rPr>
          <w:rFonts w:cs="Times New Roman"/>
        </w:rPr>
        <w:lastRenderedPageBreak/>
        <w:t>design, data collection pipelines, analytical strategies, and source-reliability hierarchy. Chapter 4 introduces the Better.com case, covering the company's digital-first operating model, the Tinman mortgage platform, the Betsy voice agent, and the ElevenLabs partnership, together with a structured implementation timeline. Chapter 5 presents the triangulated empirical findings, addressing RQ1 through qualitative case-study evidence and RQ2 through longitudinal financial analysis and NLP-based customer-discourse analysis. Chapter 6 formalises the case findings as a transferable four-prerequisite design pattern for voice AI in regulated financial-services workflows. Chapter 7 integrates the findings with the literature, evaluates alternative explanations, and discusses theoretical and practical implications. Chapter 8 examines the study's limitations in detail. Chapter 9 provides direct answers to RQ1 and RQ2, summarises the contributions, and identifies four directions for future research. Appendices A–G document the financial dataset, SEC provenance, NLP pipeline, topic inventory, supplementary figures, source-reliability audit, and reproducibility notes.</w:t>
      </w:r>
    </w:p>
    <w:p w14:paraId="2B97B049" w14:textId="77777777" w:rsidR="006046D2" w:rsidRPr="00B76053" w:rsidRDefault="00B04762">
      <w:pPr>
        <w:pStyle w:val="Heading1"/>
        <w:pageBreakBefore/>
        <w:spacing w:before="360" w:after="120"/>
        <w:rPr>
          <w:rFonts w:cs="Times New Roman"/>
        </w:rPr>
      </w:pPr>
      <w:bookmarkStart w:id="9" w:name="_Toc229599019"/>
      <w:r w:rsidRPr="00B76053">
        <w:rPr>
          <w:rFonts w:cs="Times New Roman"/>
        </w:rPr>
        <w:lastRenderedPageBreak/>
        <w:t>2. Literature Review</w:t>
      </w:r>
      <w:bookmarkEnd w:id="9"/>
    </w:p>
    <w:p w14:paraId="7552B39D" w14:textId="77777777" w:rsidR="00210A7F" w:rsidRPr="00B76053" w:rsidRDefault="00210A7F" w:rsidP="00210A7F">
      <w:pPr>
        <w:rPr>
          <w:rFonts w:cs="Times New Roman"/>
          <w:b/>
          <w:bCs/>
        </w:rPr>
      </w:pPr>
      <w:r w:rsidRPr="00B76053">
        <w:rPr>
          <w:rFonts w:cs="Times New Roman"/>
        </w:rPr>
        <w:t>This chapter reviews five bodies of literature that together establish the theoretical and empirical foundation for the analysis in Chapters 4 and 5. The review moves from the broad context of AI in financial services (§2.1) through conversational AI in customer service (§2.2) and voice AI and LLM agents specifically (§2.3), to the empirical business-value evidence (§2.4) and the consumer-behaviour considerations most directly relevant to the Better.com case (§2.5). Section 2.6 synthesises three theoretical lenses drawn from across these five bodies of work — task–technology fit, the AI service hierarchy, and AI-enabled productivity — that provide the interpretive framework for the empirical chapters. The distinction between the five thematic sections and the three theoretical lenses is one of level: the former organise the empirical literature by domain, while the latter abstract the theoretical propositions the thesis evaluates against the case-study evidence.</w:t>
      </w:r>
    </w:p>
    <w:p w14:paraId="00C178BD" w14:textId="77777777" w:rsidR="006046D2" w:rsidRPr="00B76053" w:rsidRDefault="00B04762">
      <w:pPr>
        <w:pStyle w:val="Heading2"/>
        <w:spacing w:before="280"/>
        <w:rPr>
          <w:rFonts w:cs="Times New Roman"/>
        </w:rPr>
      </w:pPr>
      <w:bookmarkStart w:id="10" w:name="_Toc229599020"/>
      <w:r w:rsidRPr="00B76053">
        <w:rPr>
          <w:rFonts w:cs="Times New Roman"/>
        </w:rPr>
        <w:t>2.1 Artificial Intelligence in Financial Services</w:t>
      </w:r>
      <w:bookmarkEnd w:id="10"/>
    </w:p>
    <w:p w14:paraId="194190F4" w14:textId="77777777" w:rsidR="002B5EE6" w:rsidRPr="00B76053" w:rsidRDefault="002B5EE6" w:rsidP="002B5EE6">
      <w:pPr>
        <w:rPr>
          <w:rFonts w:cs="Times New Roman"/>
        </w:rPr>
      </w:pPr>
      <w:r w:rsidRPr="00B76053">
        <w:rPr>
          <w:rFonts w:cs="Times New Roman"/>
        </w:rPr>
        <w:t>The integration of artificial intelligence into financial services represents one of the more consequential technological shifts in the industry's recent history. Driven by advances in computing power, the availability of large-scale data, and growing competitive pressure, financial institutions have increasingly turned to AI not merely as an efficiency tool but as a strategic infrastructure for service delivery, risk management, and customer engagement. Hentzen et al. (2022) provide a comprehensive foundation for understanding this landscape through a systematic review of 90 peer-reviewed studies on AI in customer-facing financial services. Their analysis confirms that AI is already deployed across a wide range of functions, including fraud detection, credit scoring, algorithmic trading, robo-advisory, and chatbot-based customer interaction, with the banking sector representing the most intensively studied context. Importantly, their findings also reveal a structural imbalance in the field: most research to date has been data-driven and technically oriented, with comparatively little attention paid to theoretical frameworks capable of explaining how and why AI generates value for different organisational actors. This gap is particularly relevant for a thesis concerned with business value creation, as it points to the need to situate technical capabilities within broader organisational and strategic contexts.</w:t>
      </w:r>
    </w:p>
    <w:p w14:paraId="03628D27" w14:textId="77777777" w:rsidR="002B5EE6" w:rsidRPr="00B76053" w:rsidRDefault="002B5EE6" w:rsidP="002B5EE6">
      <w:pPr>
        <w:rPr>
          <w:rFonts w:cs="Times New Roman"/>
        </w:rPr>
      </w:pPr>
      <w:r w:rsidRPr="00B76053">
        <w:rPr>
          <w:rFonts w:cs="Times New Roman"/>
        </w:rPr>
        <w:lastRenderedPageBreak/>
        <w:t>From a functional perspective, the efficiency gains enabled by AI in financial services are substantial and well-documented. Liu et al. (2024) examine this from the vantage point of financial investment, arguing that AI has materially restructured how market participants process information and make decisions. CNN-based models have improved market trend prediction at accuracies that outperform traditional trading strategies, while deep reinforcement learning algorithms enable continuous portfolio optimisation at a level of responsiveness that conventional quantitative methods cannot match. Beyond trading, real-time anomaly detection systems using machine learning have enhanced the capacity of regulators and compliance teams to identify irregular transaction patterns with greater speed and precision than post-hoc manual review procedures. These developments indicate that AI's role in financial services has expanded well beyond the automation of administrative tasks into the domain of complex, judgement-intensive decision-making that was previously the exclusive province of human specialists.</w:t>
      </w:r>
    </w:p>
    <w:p w14:paraId="76CDCC19" w14:textId="77777777" w:rsidR="002B5EE6" w:rsidRPr="00B76053" w:rsidRDefault="002B5EE6" w:rsidP="002B5EE6">
      <w:pPr>
        <w:rPr>
          <w:rFonts w:cs="Times New Roman"/>
        </w:rPr>
      </w:pPr>
      <w:r w:rsidRPr="00B76053">
        <w:rPr>
          <w:rFonts w:cs="Times New Roman"/>
        </w:rPr>
        <w:t>At the operational level, the cost-reduction potential of AI is equally significant. Liu et al. (2024) point to intelligent customer service systems as among the most commercially relevant implementations: advanced systems now achieve high customer query recognition rates while operating across multiple communication channels simultaneously, substantially reducing the reliance on human agents for routine inquiries. These cases collectively demonstrate that AI creates business value not by replacing human judgement wholesale but by structurally altering the division of labour between human and automated processes across different tiers of complexity.</w:t>
      </w:r>
    </w:p>
    <w:p w14:paraId="501BC2BF" w14:textId="77777777" w:rsidR="002B5EE6" w:rsidRPr="00B76053" w:rsidRDefault="002B5EE6" w:rsidP="002B5EE6">
      <w:pPr>
        <w:rPr>
          <w:rFonts w:cs="Times New Roman"/>
        </w:rPr>
      </w:pPr>
      <w:r w:rsidRPr="00B76053">
        <w:rPr>
          <w:rFonts w:cs="Times New Roman"/>
        </w:rPr>
        <w:t xml:space="preserve">However, the adoption of AI in financial services is far from uniform, and the organisational and managerial dimensions of implementation present challenges that technical capability alone cannot resolve. Mogaji and Nguyen (2021) investigate this reality through semi-structured interviews with 47 bank managers across four countries — the United Kingdom, Canada, Nigeria, and Vietnam — and find that while managers broadly recognise the strategic importance of AI, its adoption is mediated by a complex set of institutional, organisational, and regulatory factors. Managers frequently struggled to communicate the business case for AI to senior leadership, to assemble teams with the necessary technical competencies, and to govern development processes that were often partially or entirely outsourced. The study also challenges a prevalent misconception in both practitioner and academic discourse: that AI in financial </w:t>
      </w:r>
      <w:r w:rsidRPr="00B76053">
        <w:rPr>
          <w:rFonts w:cs="Times New Roman"/>
        </w:rPr>
        <w:lastRenderedPageBreak/>
        <w:t>services is primarily synonymous with customer-facing chatbot deployment. On the contrary, Mogaji and Nguyen (2021) argue that the more consequential applications lie in areas such as credit evaluation, behavioural analytics, and personalised product recommendation systems operating invisibly within backend infrastructure. This distinction between AI as a back-end operational tool and AI as a customer-facing service interface is analytically important and is further reinforced by the conceptual framework they develop, which maps the full data ecosystem — from customer data collection through third-party aggregation to algorithmic processing — within which financial AI operates.</w:t>
      </w:r>
    </w:p>
    <w:p w14:paraId="540AEB95" w14:textId="77777777" w:rsidR="002B5EE6" w:rsidRPr="00B76053" w:rsidRDefault="002B5EE6" w:rsidP="002B5EE6">
      <w:pPr>
        <w:rPr>
          <w:rFonts w:cs="Times New Roman"/>
        </w:rPr>
      </w:pPr>
      <w:r w:rsidRPr="00B76053">
        <w:rPr>
          <w:rFonts w:cs="Times New Roman"/>
        </w:rPr>
        <w:t>A cross-cutting finding across all three bodies of work is the uneven development of AI capability and governance across geographic and institutional contexts. Hentzen et al. (2022) note that research predominantly draws on data from North America and Western Europe, leaving developing and emerging market contexts underrepresented. Mogaji and Nguyen (2021) corroborate this empirically: managers in Nigeria and Vietnam reported not only more limited technological infrastructure but also weaker regulatory frameworks for AI oversight, in contrast to their counterparts in the UK, who acknowledged the proactive role of the Financial Conduct Authority in setting ethical and operational standards for AI deployment. This regulatory asymmetry has direct implications for how organisations in different contexts can responsibly scale AI implementations and what governance safeguards need to be developed in parallel.</w:t>
      </w:r>
    </w:p>
    <w:p w14:paraId="41FC96EF" w14:textId="77777777" w:rsidR="002B5EE6" w:rsidRPr="00B76053" w:rsidRDefault="002B5EE6" w:rsidP="002B5EE6">
      <w:pPr>
        <w:rPr>
          <w:rFonts w:cs="Times New Roman"/>
        </w:rPr>
      </w:pPr>
      <w:r w:rsidRPr="00B76053">
        <w:rPr>
          <w:rFonts w:cs="Times New Roman"/>
        </w:rPr>
        <w:t>Taken together, these bodies of work establish that AI in financial services is a multidimensional phenomenon spanning operational efficiency, investment decision-making, customer engagement, and organisational governance. As AI moves closer to the customer interface — whether through advisory tools, automated decision systems, or real-time service delivery — the specific modalities through which customers interact with these systems become increasingly consequential. This transition sets the analytical foundation for the following section, which examines conversational AI as a distinct and rapidly evolving dimension of AI-enabled customer service in financial institutions.</w:t>
      </w:r>
    </w:p>
    <w:p w14:paraId="12372692" w14:textId="77777777" w:rsidR="006046D2" w:rsidRPr="00B76053" w:rsidRDefault="00B04762">
      <w:pPr>
        <w:pStyle w:val="Heading2"/>
        <w:spacing w:before="280"/>
        <w:rPr>
          <w:rFonts w:cs="Times New Roman"/>
        </w:rPr>
      </w:pPr>
      <w:bookmarkStart w:id="11" w:name="_Toc229599021"/>
      <w:r w:rsidRPr="00B76053">
        <w:rPr>
          <w:rFonts w:cs="Times New Roman"/>
        </w:rPr>
        <w:t>2.2 Conversational AI in Customer Service</w:t>
      </w:r>
      <w:bookmarkEnd w:id="11"/>
    </w:p>
    <w:p w14:paraId="68CF570C" w14:textId="77777777" w:rsidR="009233C8" w:rsidRPr="00B76053" w:rsidRDefault="009233C8" w:rsidP="009233C8">
      <w:pPr>
        <w:rPr>
          <w:rFonts w:cs="Times New Roman"/>
        </w:rPr>
      </w:pPr>
      <w:r w:rsidRPr="00B76053">
        <w:rPr>
          <w:rFonts w:cs="Times New Roman"/>
        </w:rPr>
        <w:t xml:space="preserve">The deployment of artificial intelligence in customer-facing service roles has been most visibly expressed through the development of conversational AI — systems designed to interact with </w:t>
      </w:r>
      <w:r w:rsidRPr="00B76053">
        <w:rPr>
          <w:rFonts w:cs="Times New Roman"/>
        </w:rPr>
        <w:lastRenderedPageBreak/>
        <w:t>customers through natural language dialogue. Understanding what distinguishes conversational AI from broader AI applications requires a theoretical foundation capable of capturing the different cognitive and relational demands that service interactions place on automated systems. Huang and Rust (2018) provide such a foundation through a framework specifying four types of intelligence required for service tasks: mechanical, analytical, intuitive, and empathetic. Within this hierarchy, conversational AI occupies a distinctive position, combining analytical intelligence — the capacity to process language, identify intent, and generate contextually appropriate responses — with increasingly sophisticated attempts at empathetic intelligence, which involves recognising and responding to the emotional and relational dimensions of customer communication. Critically, Huang and Rust (2018) argue that AI develops in a predictable order across these intelligence types, with mechanical and analytical capabilities maturing earlier than intuitive and empathetic ones. This developmental trajectory carries significant implications for customer service: systems optimised for transactional efficiency may be structurally ill-equipped to handle the full complexity of relational service encounters, a tension that runs through the entire literature on chatbots in organisational contexts.</w:t>
      </w:r>
    </w:p>
    <w:p w14:paraId="754B6769" w14:textId="77777777" w:rsidR="009233C8" w:rsidRPr="00B76053" w:rsidRDefault="009233C8" w:rsidP="009233C8">
      <w:pPr>
        <w:rPr>
          <w:rFonts w:cs="Times New Roman"/>
        </w:rPr>
      </w:pPr>
      <w:r w:rsidRPr="00B76053">
        <w:rPr>
          <w:rFonts w:cs="Times New Roman"/>
        </w:rPr>
        <w:t>Within financial services, chatbots have emerged as the dominant operational form of conversational AI, driven by a combination of cost reduction imperatives, digital transformation strategies, and the scalability demands of high-volume customer contact environments. Jang et al. (2021) provide a detailed account of this dynamic through semi-structured interviews with managers in the Korean financial industry, finding that institutions have deployed chatbots primarily for product inquiries, fund purchases, repurchases, overseas money transfers, and routine customer consultations. The managerial rationale is straightforward: chatbots enable 24-hour service availability, eliminate waiting times for standard queries, and redirect human agents toward higher-value interactions requiring nuanced judgement. This pattern of adoption is not confined to technologically mature markets. Abdulquadri et al. (2021), examining Nigerian banking institutions, demonstrate that chatbot deployment has been pursued simultaneously as a digital transformation tool and as a mechanism for extending financial inclusion to customer segments previously underserved by branch-based service models. The cross-market consistency of this organisational logic suggests that the appeal of conversational AI in financial services is structural rather than context-specific, rooted in the economics of customer service at scale rather than in the idiosyncrasies of particular institutional environments.</w:t>
      </w:r>
    </w:p>
    <w:p w14:paraId="68CB113E" w14:textId="77777777" w:rsidR="009233C8" w:rsidRPr="00B76053" w:rsidRDefault="009233C8" w:rsidP="009233C8">
      <w:pPr>
        <w:rPr>
          <w:rFonts w:cs="Times New Roman"/>
        </w:rPr>
      </w:pPr>
      <w:r w:rsidRPr="00B76053">
        <w:rPr>
          <w:rFonts w:cs="Times New Roman"/>
        </w:rPr>
        <w:lastRenderedPageBreak/>
        <w:t>The operational case for chatbot deployment is supported by substantive empirical evidence. Andrade and Tumelero (2022) document the experience of a major Brazilian commercial bank deploying an IBM Watson-powered virtual assistant, finding that the system generated measurable gains in service agility, availability, accessibility, and predictability while substantially reducing call centre queues — enabling human agents to concentrate capacity on complex, high-involvement interactions. The volumetric scale and quality metrics of this deployment are presented in §2.4.1, where its findings are contextualised within the broader business-value analysis. Zhang et al. (2023), in a separate call centre context, corroborate this direction of effect: the introduction of an AI-based conversational agent produced measurable service quality improvements, with effects on interaction dynamics that parallel those documented by Andrade and Tumelero (2022). Together, these studies establish that conversational AI generates quantifiable operational value when appropriately deployed, but also that its effects on service dynamics are more nuanced than simple volume reduction.</w:t>
      </w:r>
    </w:p>
    <w:p w14:paraId="51615927" w14:textId="77777777" w:rsidR="009233C8" w:rsidRPr="00B76053" w:rsidRDefault="009233C8" w:rsidP="009233C8">
      <w:pPr>
        <w:rPr>
          <w:rFonts w:cs="Times New Roman"/>
        </w:rPr>
      </w:pPr>
      <w:r w:rsidRPr="00B76053">
        <w:rPr>
          <w:rFonts w:cs="Times New Roman"/>
        </w:rPr>
        <w:t>The consumer dimension of chatbot adoption introduces a further layer of complexity. Research has consistently shown that how a conversational system presents itself — not merely what it says — significantly influences customer responses. Adam et al. (2021) demonstrates through a randomised online experiment that anthropomorphic design cues, including identity signals, empathetic language, and conversational small talk, substantially increase the likelihood that users comply with chatbot service requests. The theoretical mechanism they identify is social presence — the degree to which an interlocutor is perceived as a real person present in the interaction. Social presence mediates the relationship between anthropomorphic design and user compliance, meaning that design choices that make a chatbot feel more human-like translate into more productive service exchanges. This finding is consequential because it reveals that the effectiveness of conversational AI is not a purely functional property of its information retrieval capability, but is contingent on the relational dynamics of the interaction itself. The implication for system design is significant: investing in linguistic and interpersonal design features produces measurable behavioural outcomes, independent of the underlying technical sophistication of the system.</w:t>
      </w:r>
    </w:p>
    <w:p w14:paraId="1EA62102" w14:textId="77777777" w:rsidR="009233C8" w:rsidRPr="00B76053" w:rsidRDefault="009233C8" w:rsidP="009233C8">
      <w:pPr>
        <w:rPr>
          <w:rFonts w:cs="Times New Roman"/>
        </w:rPr>
      </w:pPr>
      <w:r w:rsidRPr="00B76053">
        <w:rPr>
          <w:rFonts w:cs="Times New Roman"/>
        </w:rPr>
        <w:t xml:space="preserve">Consumer responses to conversational AI are, however, conditional on the nature of the task being addressed. Xu et al. (2020), using three field-based experiments conducted in a banking </w:t>
      </w:r>
      <w:r w:rsidRPr="00B76053">
        <w:rPr>
          <w:rFonts w:cs="Times New Roman"/>
        </w:rPr>
        <w:lastRenderedPageBreak/>
        <w:t>services context, find that consumers perceive AI as superior to human customer service for low-complexity tasks, where speed, accuracy, and availability are the primary determinants of service quality. The same consumers, however, assess human agents as unambiguously superior when task complexity increases — a finding operationalised through perceived problem-solving ability as the mediating mechanism between service type, task complexity, and usage intention. This task-complexity boundary condition carries important consequences for financial services specifically, where the interaction portfolio spans a wide range from highly routine queries such as balance enquiries and payment confirmations to complex, high-stakes conversations around mortgage applications, investment decisions, or financial hardship. Text-based chatbots optimised for the former category of interaction are structurally disadvantaged when deployed across the full spectrum of customer needs, a limitation that becomes increasingly visible as digital-first financial organisations seek to automate more of their customer conversation pipeline.</w:t>
      </w:r>
    </w:p>
    <w:p w14:paraId="664D1C85" w14:textId="77777777" w:rsidR="009233C8" w:rsidRPr="00B76053" w:rsidRDefault="009233C8" w:rsidP="009233C8">
      <w:pPr>
        <w:rPr>
          <w:rFonts w:cs="Times New Roman"/>
        </w:rPr>
      </w:pPr>
      <w:r w:rsidRPr="00B76053">
        <w:rPr>
          <w:rFonts w:cs="Times New Roman"/>
        </w:rPr>
        <w:t>The relational deficit of current conversational AI systems represents a theoretical challenge that goes beyond task complexity. Blümel et al. (2024) develop a conceptual framework of relational personalisation for conversational AI grounded in social information processing theory, arguing that effective automated customer service requires not only accurate information retrieval but also the capacity to personalise communication styles based on psychological and individual customer knowledge, contextual service factors, and the specific emotional register of the interaction. Their framework identifies multiple conversation styles — including empathy expression, relationship acknowledgement, and tone adaptation — whose degree of personalisation must be calibrated to individual customers to deliver genuinely relational service quality. The authors draw a critical distinction between functional personalisation, which tailors information content to individual needs, and relational personalisation, which tailors the communicative and emotional character of the interaction itself. Current text-based conversational AI systems demonstrate considerably more capability in the former than the latter. As Blümel et al. (2024) note, customer service conversations are becoming increasingly digital and automated, yet this automation frequently produces encounters that customers experience as impersonal — a paradox that undermines the relational foundations on which financial service relationships are built.</w:t>
      </w:r>
    </w:p>
    <w:p w14:paraId="374C0F81" w14:textId="77777777" w:rsidR="009233C8" w:rsidRPr="00B76053" w:rsidRDefault="009233C8" w:rsidP="009233C8">
      <w:pPr>
        <w:rPr>
          <w:rFonts w:cs="Times New Roman"/>
        </w:rPr>
      </w:pPr>
      <w:r w:rsidRPr="00B76053">
        <w:rPr>
          <w:rFonts w:cs="Times New Roman"/>
        </w:rPr>
        <w:lastRenderedPageBreak/>
        <w:t>Synthesising across this body of evidence, a coherent picture emerges of conversational AI as a technology that has delivered real and measurable value in routine, high-volume service contexts while simultaneously encountering structural limitations when applied to interactions requiring emotional attunement, relational continuity, or complex problem-solving. These limitations reflect the fundamental constraints of text-based interaction as a modality: text strips away the paralinguistic cues — tone of voice, pace, warmth — that play a crucial role in how customers experience service quality and how trust is established in high-stakes financial conversations. The emergence of large language model technology, capable of generating contextually rich, multi-turn dialogue with substantially greater depth and adaptability than rule-based systems, creates the preconditions for a qualitative shift in automated customer interaction. The most consequential expression of this shift is the move from text-based to voice-based conversational agents, and it is to this development that the following section turns.</w:t>
      </w:r>
    </w:p>
    <w:p w14:paraId="7BFBA4FF" w14:textId="77777777" w:rsidR="006046D2" w:rsidRPr="00B76053" w:rsidRDefault="00B04762">
      <w:pPr>
        <w:pStyle w:val="Heading2"/>
        <w:spacing w:before="280"/>
        <w:rPr>
          <w:rFonts w:cs="Times New Roman"/>
        </w:rPr>
      </w:pPr>
      <w:bookmarkStart w:id="12" w:name="_Toc229599022"/>
      <w:r w:rsidRPr="00B76053">
        <w:rPr>
          <w:rFonts w:cs="Times New Roman"/>
        </w:rPr>
        <w:t>2.3 Voice AI and LLM Agents</w:t>
      </w:r>
      <w:bookmarkEnd w:id="12"/>
    </w:p>
    <w:p w14:paraId="7FF5C25E" w14:textId="77777777" w:rsidR="00D34E71" w:rsidRPr="00B76053" w:rsidRDefault="00D34E71" w:rsidP="00D34E71">
      <w:pPr>
        <w:rPr>
          <w:rFonts w:cs="Times New Roman"/>
        </w:rPr>
      </w:pPr>
      <w:r w:rsidRPr="00B76053">
        <w:rPr>
          <w:rFonts w:cs="Times New Roman"/>
        </w:rPr>
        <w:t>The emergence of voice-based artificial intelligence represents a qualitatively distinct development within the broader trajectory of conversational AI, one that extends beyond the incremental improvement of text-based chatbots toward a materially different mode of human-machine interaction. While text-based systems rely on the written exchange of natural language, voice AI systems engage customers through spoken dialogue, integrating speech recognition, natural language processing, and speech synthesis into a unified conversational interface. Aggarwal et al. (2025) define Voice AI technology as the broad body of tools and technologies that use AI to drive synthetic voice interfaces, characterised by systems that are responsive and conversational, operate with superhuman-like speed and accuracy, demonstrate adaptive learning from prior interactions, and exhibit qualities approaching empathic responsiveness. This definition is significant because it positions voice AI not merely as a channel variation — voice instead of text — but as a technological architecture with distinct capabilities that alter the fundamental character of automated service encounters. Based on industry projections reported in Aggarwal et al. (2025), the global voice AI market was valued at approximately $12 billion in 2022 and is projected to reach $50 billion by 2029, with early-adopting firms reporting customer service cost reductions of approximately 20%; these figures are industry estimates rather than audited benchmarks and should be read as directional indicators of market trajectory.</w:t>
      </w:r>
    </w:p>
    <w:p w14:paraId="122E9A8B" w14:textId="77777777" w:rsidR="00D34E71" w:rsidRPr="00B76053" w:rsidRDefault="00D34E71" w:rsidP="00D34E71">
      <w:pPr>
        <w:rPr>
          <w:rFonts w:cs="Times New Roman"/>
        </w:rPr>
      </w:pPr>
      <w:r w:rsidRPr="00B76053">
        <w:rPr>
          <w:rFonts w:cs="Times New Roman"/>
        </w:rPr>
        <w:lastRenderedPageBreak/>
        <w:t>The most immediate operational context in which voice AI has been empirically studied is the call centre, where it is deployed as a replacement for traditional interactive voice response (IVR) systems. Wang et al. (2023) examine this transition through a natural field experiment at a large telecommunications company in China, providing one of the most rigorous empirical tests of voice AI's effects in a live service context. The contrast between the AI system and the IVR system it replaces is theoretically meaningful: where the IVR requires customers to navigate rigid hierarchical menus using phone keypads, the voice AI system allows customers to express their needs through natural spoken dialogue, with the system routing them directly to appropriate services — a shift the authors term service flexibility. The empirical results reveal a nuanced performance profile: the voice AI system persistently and significantly reduces customer complaints, with the estimated magnitude of this reduction reaching 61.54% compared to the pre-implementation baseline, while initially increasing interaction duration as customers adapt to an unfamiliar mode. Crucially, the study also identifies a binding technical constraint: speech-recognition failures occurred in approximately 28.5% of observed sessions and significantly increased both demand for human agent transfers and customer complaints — directly connecting the quality of the voice infrastructure to its service outcomes. Zhang et al. (2023) corroborate this picture in a separate call centre study, finding that AI-based conversational agents increase average call length in a pattern consistent with AI handling brief routine queries and routing more substantive conversations to human agents, thereby raising the average complexity of calls that persist in the system alongside measurable service quality improvements.</w:t>
      </w:r>
    </w:p>
    <w:p w14:paraId="20EB8CDB" w14:textId="77777777" w:rsidR="00D34E71" w:rsidRPr="00B76053" w:rsidRDefault="00D34E71" w:rsidP="00D34E71">
      <w:pPr>
        <w:rPr>
          <w:rFonts w:cs="Times New Roman"/>
        </w:rPr>
      </w:pPr>
      <w:r w:rsidRPr="00B76053">
        <w:rPr>
          <w:rFonts w:cs="Times New Roman"/>
        </w:rPr>
        <w:t>Beyond these aggregate effects, Wang et al. (2023) document important heterogeneity in how different customer populations respond to voice AI systems. The complaint reduction effect is significantly larger for older customers, female customers, and customers with longer tenure in using the traditional IVR system. The authors explain this pattern in terms of the differential burden that rigid menu-based IVR systems place on these groups: older and experienced users are disproportionately aware of the IVR system's limitations and correspondingly more able to appreciate the flexibility and naturalness of voice dialogue. This heterogeneity finding has practical significance for organisations managing AI transitions, as it suggests that the populations most underserved by legacy automated systems may be precisely those who benefit most from voice AI implementation.</w:t>
      </w:r>
    </w:p>
    <w:p w14:paraId="0787768B" w14:textId="77777777" w:rsidR="00D34E71" w:rsidRPr="00B76053" w:rsidRDefault="00D34E71" w:rsidP="00D34E71">
      <w:pPr>
        <w:rPr>
          <w:rFonts w:cs="Times New Roman"/>
        </w:rPr>
      </w:pPr>
      <w:r w:rsidRPr="00B76053">
        <w:rPr>
          <w:rFonts w:cs="Times New Roman"/>
        </w:rPr>
        <w:lastRenderedPageBreak/>
        <w:t>The strategic dimension of voice AI implementation extends considerably beyond call centre performance metrics, and it is this dimension that Aggarwal et al. (2025) address through a grounded theory investigation combining consumer surveys, managerial focus groups, and expert interviews across multiple industries. Their framework reveals a series of counterintuitive relationships that challenge conventional technology adoption logic. Foremost among these is the paradoxical relationship between integration potential and investment intensity: firms whose core offerings integrate most naturally with voice AI paradoxically tend to invest less in proprietary voice solutions, preferring instead to adopt white-label or licensed platforms because competitive standardisation pressures reduce the incentive for differentiated development. This finding reverses the typical assumption in technology adoption literature that ease of integration encourages investment, revealing that in voice AI contexts, high integration potential can trigger mimetic isomorphism rather than innovation. A second counterintuitive finding concerns the role of regulatory environments. In industries governed by stringent regulatory frameworks — a description that applies directly to financial services — regulatory constraints function as powerful override mechanisms that can suppress voice AI investment even when compelling business cases exist. This dynamic creates an asymmetry between the technical capability to deploy voice AI and the organisational conditions under which deployment is feasible, a tension that financial institutions navigating compliance requirements must actively manage.</w:t>
      </w:r>
    </w:p>
    <w:p w14:paraId="72DB62D2" w14:textId="77777777" w:rsidR="00D34E71" w:rsidRPr="00B76053" w:rsidRDefault="00D34E71" w:rsidP="00D34E71">
      <w:pPr>
        <w:rPr>
          <w:rFonts w:cs="Times New Roman"/>
        </w:rPr>
      </w:pPr>
      <w:r w:rsidRPr="00B76053">
        <w:rPr>
          <w:rFonts w:cs="Times New Roman"/>
        </w:rPr>
        <w:t>Aggarwal et al. (2025) also identify domain specialisation as a significant value amplifier in voice AI deployment. Firms that invest in voice AI systems trained on domain-specific knowledge and calibrated to sector-specific use cases demonstrate substantially higher perceived value creation than those deploying generic platforms, because specialisation creates a form of asset specificity that raises the quality of customer interactions and increases competitive differentiation. This insight is particularly pertinent for financial services, where the vocabulary, regulatory requirements, and customer needs are sufficiently distinctive that general-purpose voice AI systems may underperform relative to solutions developed with financial service contexts in mind. The framework further establishes that value creation in voice AI operates simultaneously across multiple pathways — enhanced customer experience, operational cost reduction, and the ability to leverage the system across additional internal and external applications — and that these pathways reinforce one another over time as organisations deepen their AI integration.</w:t>
      </w:r>
    </w:p>
    <w:p w14:paraId="656B188F" w14:textId="77777777" w:rsidR="00D34E71" w:rsidRPr="00B76053" w:rsidRDefault="00D34E71" w:rsidP="00D34E71">
      <w:pPr>
        <w:rPr>
          <w:rFonts w:cs="Times New Roman"/>
        </w:rPr>
      </w:pPr>
      <w:r w:rsidRPr="00B76053">
        <w:rPr>
          <w:rFonts w:cs="Times New Roman"/>
        </w:rPr>
        <w:lastRenderedPageBreak/>
        <w:t>A recurring theme across this literature is the role of anthropomorphism in shaping how customers respond to voice AI systems, and the findings here are more nuanced than earlier research on text-based chatbots suggested. Aggarwal et al. (2025) find that anthropomorphism does not produce uniform benefits across voice AI use contexts. In applications involving information search and content interaction, higher anthropomorphism enhances engagement. In transactional and commerce-oriented contexts, however, higher levels of human-likeness create discomfort, with customers expressing concern about privacy and feeling that the interaction is inappropriately intimate for a task they conceptualise as functional rather than relational. This context-dependency of anthropomorphism's effects is particularly consequential in financial services, where different interaction types — routine enquiries versus mortgage consultations versus fraud alerts — demand different levels of relational warmth, and where a one-size-fits-all anthropomorphic design approach may actively harm customer experience in certain interaction categories.</w:t>
      </w:r>
    </w:p>
    <w:p w14:paraId="589A12F8" w14:textId="77777777" w:rsidR="00D34E71" w:rsidRPr="00B76053" w:rsidRDefault="00D34E71" w:rsidP="00D34E71">
      <w:pPr>
        <w:rPr>
          <w:rFonts w:cs="Times New Roman"/>
        </w:rPr>
      </w:pPr>
      <w:r w:rsidRPr="00B76053">
        <w:rPr>
          <w:rFonts w:cs="Times New Roman"/>
        </w:rPr>
        <w:t>Considered together, the studies reviewed in this section establish that voice AI is not simply a more capable version of text-based chatbot technology but a qualitatively different service infrastructure with its own performance dynamics, adoption logic, and strategic implications. The empirical evidence from Wang et al. (2023) and Zhang et al. (2023) confirms that voice AI can deliver persistent improvements in service quality outcomes while introducing transitional challenges around novelty effects, interaction duration, and speech-recognition reliability. The strategic framework developed by Aggarwal et al. (2025) contextualises these findings within a broader theory of value creation and appropriation, identifying the conditions under which organisations are likely to realise sustainable business value from voice AI investments. What remains less developed in this body of research, however, is systematic evidence connecting voice AI implementation to the quantifiable financial performance indicators — revenue trajectory, expense intensity, and labour productivity — and to independent customer-perception signals that regulated firms publicly disclose. It is precisely this gap that the empirical analysis of the following chapters addresses, through an examination of the Better.com case as a concrete instance of how a voice LLM agent embedded in a regulated mortgage workflow translates implementation choices into measurable business outcomes.</w:t>
      </w:r>
    </w:p>
    <w:p w14:paraId="29D698F3" w14:textId="77777777" w:rsidR="006046D2" w:rsidRPr="00B76053" w:rsidRDefault="00B04762">
      <w:pPr>
        <w:pStyle w:val="Heading2"/>
        <w:spacing w:before="280"/>
        <w:rPr>
          <w:rFonts w:cs="Times New Roman"/>
        </w:rPr>
      </w:pPr>
      <w:bookmarkStart w:id="13" w:name="_Toc229599023"/>
      <w:r w:rsidRPr="00B76053">
        <w:rPr>
          <w:rFonts w:cs="Times New Roman"/>
        </w:rPr>
        <w:lastRenderedPageBreak/>
        <w:t>2.4 Business Value of Artificial Intelligence in Customer Service</w:t>
      </w:r>
      <w:bookmarkEnd w:id="13"/>
    </w:p>
    <w:p w14:paraId="28B6687D" w14:textId="77777777" w:rsidR="00276ABC" w:rsidRPr="00B76053" w:rsidRDefault="00276ABC" w:rsidP="00276ABC">
      <w:pPr>
        <w:rPr>
          <w:rFonts w:cs="Times New Roman"/>
        </w:rPr>
      </w:pPr>
      <w:r w:rsidRPr="00B76053">
        <w:rPr>
          <w:rFonts w:cs="Times New Roman"/>
        </w:rPr>
        <w:t>The deployment of AI-powered customer service systems generates business value across multiple dimensions, spanning operational efficiency, customer experience, scalability, and firm-level financial performance. While the technical capabilities of conversational AI have been extensively documented in the literature, a growing body of empirical research now establishes clear linkages between AI implementation and measurable organisational outcomes. Two complementary streams of evidence are particularly instructive: case-based operational analysis and capital market studies.</w:t>
      </w:r>
    </w:p>
    <w:p w14:paraId="78D33E73" w14:textId="77777777" w:rsidR="006046D2" w:rsidRPr="00B76053" w:rsidRDefault="00B04762">
      <w:pPr>
        <w:pStyle w:val="Heading3"/>
        <w:spacing w:before="240" w:after="80"/>
        <w:rPr>
          <w:rFonts w:cs="Times New Roman"/>
        </w:rPr>
      </w:pPr>
      <w:bookmarkStart w:id="14" w:name="_Toc229599024"/>
      <w:r w:rsidRPr="00B76053">
        <w:rPr>
          <w:rFonts w:cs="Times New Roman"/>
        </w:rPr>
        <w:t xml:space="preserve">2.4.1 </w:t>
      </w:r>
      <w:r w:rsidR="00B55F55" w:rsidRPr="00B76053">
        <w:rPr>
          <w:rFonts w:cs="Times New Roman"/>
        </w:rPr>
        <w:t>Operational, Customer-Experience, and Scalability Evidence</w:t>
      </w:r>
      <w:bookmarkEnd w:id="14"/>
    </w:p>
    <w:p w14:paraId="5B0FC713" w14:textId="77777777" w:rsidR="00B55F55" w:rsidRPr="00B76053" w:rsidRDefault="00B55F55" w:rsidP="00B55F55">
      <w:pPr>
        <w:rPr>
          <w:rFonts w:cs="Times New Roman"/>
        </w:rPr>
      </w:pPr>
      <w:r w:rsidRPr="00B76053">
        <w:rPr>
          <w:rFonts w:cs="Times New Roman"/>
        </w:rPr>
        <w:t>One of the most consistently documented benefits of AI in customer service is its capacity to significantly reduce operational costs while simultaneously increasing throughput and sustaining service quality. Andrade and Tumelero (2022) provide detailed empirical evidence of this dynamic through a longitudinal case study of a major Brazilian commercial bank. Their findings demonstrate that the bank's AI chatbot achieved a 2,350% increase in customer interactions via WhatsApp between 2019 and 2021 — growing from 17 million to approximately 400 million interactions — while the number of customers actively using the virtual assistant expanded by 1,590% over the same period. Critically, these volumetric gains were achieved without a proportional increase in human staffing, reflecting the fundamental cost-efficiency logic of AI-driven automation. The chatbot's problem resolution rate improved from 77% in 2019 to 92.1% in 2021 — a 19-percentage-point improvement — indicating that value creation through AI is not merely a function of volume, but of quality and assertiveness in service delivery (Andrade &amp; Tumelero, 2022). The authors conclude that AI chatbot applications directly reduce queuing at call centres, redirect human agents toward higher-complexity interactions, and compress interaction times from processes that could take over 20 minutes into responses measured in fractions of seconds.</w:t>
      </w:r>
    </w:p>
    <w:p w14:paraId="07550324" w14:textId="77777777" w:rsidR="00B55F55" w:rsidRPr="00B76053" w:rsidRDefault="00B55F55" w:rsidP="00B55F55">
      <w:pPr>
        <w:rPr>
          <w:rFonts w:cs="Times New Roman"/>
        </w:rPr>
      </w:pPr>
      <w:r w:rsidRPr="00B76053">
        <w:rPr>
          <w:rFonts w:cs="Times New Roman"/>
        </w:rPr>
        <w:t xml:space="preserve">Beyond cost reduction, the same deployment demonstrates that AI-enabled customer service creates value through improvements in service quality and customer experience. Andrade and Tumelero (2022) report that the bank's AI chatbot achieved an average customer satisfaction score of 3.9 out of 5, with more than 70% of users rating their interactions at the highest levels. </w:t>
      </w:r>
      <w:r w:rsidRPr="00B76053">
        <w:rPr>
          <w:rFonts w:cs="Times New Roman"/>
        </w:rPr>
        <w:lastRenderedPageBreak/>
        <w:t>These findings suggest that operational efficiency and customer satisfaction are not in tension — rather, the speed, accessibility, and 24/7 availability offered by AI systems can simultaneously reduce costs and enhance the customer's experience of the service. This relationship is theoretically consistent with the service-profit chain framework, which posits that improvements in service quality drive customer satisfaction, and customer satisfaction drives loyalty and, ultimately, profitability (Heskett et al., 1994, as cited in Fotheringham &amp; Wiles, 2023). In the context of financial services, where trust, responsiveness, and frictionless access to information are of particular importance, AI systems that deliver consistent, immediate, and accurate responses represent a meaningful enhancement to the customer relationship. Andrade and Tumelero (2022) further highlight that AI analytics enable organisations to predict customer intent progressively, deepening the personalisation and relevance of interactions over time.</w:t>
      </w:r>
    </w:p>
    <w:p w14:paraId="63662A62" w14:textId="77777777" w:rsidR="00B55F55" w:rsidRPr="00B76053" w:rsidRDefault="00B55F55" w:rsidP="00B55F55">
      <w:pPr>
        <w:rPr>
          <w:rFonts w:cs="Times New Roman"/>
        </w:rPr>
      </w:pPr>
      <w:r w:rsidRPr="00B76053">
        <w:rPr>
          <w:rFonts w:cs="Times New Roman"/>
        </w:rPr>
        <w:t>A distinctive characteristic of AI-based customer service, relative to human-staffed alternatives, is its inherent scalability. Unlike traditional call centre models, where capacity is constrained by headcount and fixed labour costs, AI systems can absorb substantial increases in demand without proportional increases in cost or infrastructure. Andrade and Tumelero (2022) demonstrate this empirically: the Brazilian bank was able to sustain service continuity and expand customer engagement during the COVID-19 pandemic — a period characterised by a dramatic surge in remote financial service interactions — demonstrating that AI capabilities provide technological resilience in the face of exogenous shocks that overwhelm institutions relying primarily on physical service channels. From an organisational design perspective, sustaining this scalability over time requires a dedicated governance function responsible for continuously expanding the system's knowledge base, managing vendor relationships, and overseeing learning mechanisms — a form of dynamic capability that compounds the system's value as integration deepens (Andrade &amp; Tumelero, 2022). From a business process management perspective, AI functions here as a mechanism for achieving higher organisational efficiency by optimising, standardising, and automating service routines, with the chatbot acting as a first service layer that filters and routes complex queries to specialised human agents — creating a hybrid service architecture that maximises the productivity of both technological and human resources.</w:t>
      </w:r>
    </w:p>
    <w:p w14:paraId="6174D52E" w14:textId="77777777" w:rsidR="006046D2" w:rsidRPr="00B76053" w:rsidRDefault="00B04762">
      <w:pPr>
        <w:pStyle w:val="Heading3"/>
        <w:spacing w:before="240" w:after="80"/>
        <w:rPr>
          <w:rFonts w:cs="Times New Roman"/>
        </w:rPr>
      </w:pPr>
      <w:bookmarkStart w:id="15" w:name="_Toc229599025"/>
      <w:r w:rsidRPr="00B76053">
        <w:rPr>
          <w:rFonts w:cs="Times New Roman"/>
        </w:rPr>
        <w:lastRenderedPageBreak/>
        <w:t xml:space="preserve">2.4.2 </w:t>
      </w:r>
      <w:r w:rsidR="00387F3D" w:rsidRPr="00B76053">
        <w:rPr>
          <w:rFonts w:cs="Times New Roman"/>
        </w:rPr>
        <w:t>Firm Value and Investor Perception</w:t>
      </w:r>
      <w:bookmarkEnd w:id="15"/>
    </w:p>
    <w:p w14:paraId="5A232EE9" w14:textId="77777777" w:rsidR="00387F3D" w:rsidRPr="00B76053" w:rsidRDefault="00387F3D" w:rsidP="00387F3D">
      <w:pPr>
        <w:rPr>
          <w:rFonts w:cs="Times New Roman"/>
        </w:rPr>
      </w:pPr>
      <w:r w:rsidRPr="00B76053">
        <w:rPr>
          <w:rFonts w:cs="Times New Roman"/>
        </w:rPr>
        <w:t>The business value of AI in customer service is not limited to operational metrics — it also manifests in capital market assessments of firm performance. Fotheringham and Wiles (2023) provide rigorous evidence of this relationship through an event study of 153 AI chatbot launch announcements by publicly traded firms in the United States. Their findings indicate that investors respond positively to chatbot implementation announcements, with statistically significant positive abnormal returns observed on the event day. This result suggests that financial markets perceive AI-enabled customer service not merely as a cost-saving measure, but as a strategic investment that strengthens firms' market-based relational assets — that is, the quality and depth of customer relationships that generate future revenue streams.</w:t>
      </w:r>
    </w:p>
    <w:p w14:paraId="12CB7B63" w14:textId="77777777" w:rsidR="00387F3D" w:rsidRPr="00B76053" w:rsidRDefault="00387F3D" w:rsidP="00387F3D">
      <w:pPr>
        <w:rPr>
          <w:rFonts w:cs="Times New Roman"/>
        </w:rPr>
      </w:pPr>
      <w:r w:rsidRPr="00B76053">
        <w:rPr>
          <w:rFonts w:cs="Times New Roman"/>
        </w:rPr>
        <w:t>Importantly, Fotheringham and Wiles (2023) find that this positive market response is significantly stronger for business-to-business (B2B) firms than for business-to-consumer (B2C) counterparts. The authors argue that B2B contexts — characterised by higher customer concentration, greater switching costs, and more complex service interactions — stand to gain disproportionately from AI implementations that deliver faster, more consistent, and more integrated service experiences. Given that financial services firms frequently operate in hybrid B2B and B2C environments, with mortgage lending involving elements of both contexts, this finding is of direct relevance to the present study.</w:t>
      </w:r>
    </w:p>
    <w:p w14:paraId="2349372B" w14:textId="77777777" w:rsidR="00387F3D" w:rsidRPr="00B76053" w:rsidRDefault="00387F3D" w:rsidP="00387F3D">
      <w:pPr>
        <w:rPr>
          <w:rFonts w:cs="Times New Roman"/>
          <w:b/>
          <w:bCs/>
        </w:rPr>
      </w:pPr>
      <w:r w:rsidRPr="00B76053">
        <w:rPr>
          <w:rFonts w:cs="Times New Roman"/>
        </w:rPr>
        <w:t>The study by Fotheringham and Wiles (2023) also surfaces important nuances regarding implementation strategy. Investors respond more favourably to phased AI rollouts — specifically, beta-testing approaches prior to full deployment — and to implementations that position AI as complementing rather than replacing human agents. Conversely, announcements that emphasise AI's capacity to handle complex tasks are associated with lower abnormal returns, suggesting that market participants remain cautious about overstated claims of AI sophistication. These findings imply that the business value of AI is not unconditional; it is moderated by implementation choices, communication strategy, and the organisational context in which AI is deployed.</w:t>
      </w:r>
    </w:p>
    <w:p w14:paraId="4AD63AEC" w14:textId="77777777" w:rsidR="006046D2" w:rsidRPr="00B76053" w:rsidRDefault="00B04762">
      <w:pPr>
        <w:pStyle w:val="Heading2"/>
        <w:rPr>
          <w:rFonts w:cs="Times New Roman"/>
        </w:rPr>
      </w:pPr>
      <w:bookmarkStart w:id="16" w:name="_Toc229599026"/>
      <w:r w:rsidRPr="00B76053">
        <w:rPr>
          <w:rFonts w:cs="Times New Roman"/>
        </w:rPr>
        <w:lastRenderedPageBreak/>
        <w:t>2.5 Consumer Behaviour and AI Interaction</w:t>
      </w:r>
      <w:bookmarkEnd w:id="16"/>
    </w:p>
    <w:p w14:paraId="179F4275" w14:textId="77777777" w:rsidR="00465BF1" w:rsidRPr="00B76053" w:rsidRDefault="00465BF1" w:rsidP="00465BF1">
      <w:pPr>
        <w:rPr>
          <w:rFonts w:cs="Times New Roman"/>
        </w:rPr>
      </w:pPr>
      <w:r w:rsidRPr="00B76053">
        <w:rPr>
          <w:rFonts w:cs="Times New Roman"/>
        </w:rPr>
        <w:t>The fifth strand of the literature relevant to this thesis examines how consumers perceive and respond to AI-mediated service interactions, with particular attention to voice-based agents. Three threads are pertinent to the present study. The first thread concerns anthropomorphism and voice naturalness. A recent review in Trends in Cognitive Sciences argues that perceived naturalness is a salient property of voice that shapes interaction with both human and artificial agents (Nussbaum et al., 2025), and a 2025 study in ACM Transactions on Human-Robot Interaction reports that more natural voices change perceptions of safety and compliance even where a direct effect on trust is not observed (Becker et al., 2025). For voice LLM agents in financial services, this implies that voice quality is a necessary-but-not-sufficient condition for credible interaction: cosmetic improvements in synthesis quality cannot compensate for back-end inadequacy, but a serviceable back-end paired with poor synthesis can undermine confidence even when the underlying answer is correct.</w:t>
      </w:r>
    </w:p>
    <w:p w14:paraId="53C54A5C" w14:textId="77777777" w:rsidR="00465BF1" w:rsidRPr="00B76053" w:rsidRDefault="00465BF1" w:rsidP="00465BF1">
      <w:pPr>
        <w:rPr>
          <w:rFonts w:cs="Times New Roman"/>
        </w:rPr>
      </w:pPr>
      <w:r w:rsidRPr="00B76053">
        <w:rPr>
          <w:rFonts w:cs="Times New Roman"/>
        </w:rPr>
        <w:t xml:space="preserve">The second thread concerns latency and conversational flow. Maslych et al. (2025) report that response latency above approximately four seconds significantly degrades both perceived response time and broader user-experience measures in LLM-powered intelligent virtual agents, and </w:t>
      </w:r>
      <w:r w:rsidR="00C17E30" w:rsidRPr="00B76053">
        <w:rPr>
          <w:rFonts w:cs="Times New Roman"/>
        </w:rPr>
        <w:t>those natural conversational fillers</w:t>
      </w:r>
      <w:r w:rsidRPr="00B76053">
        <w:rPr>
          <w:rFonts w:cs="Times New Roman"/>
        </w:rPr>
        <w:t xml:space="preserve"> can mitigate only part of that effect. Real-time voice interaction is therefore far less tolerant of delay than text-based interaction — a finding directly relevant to mortgage origination, where each borrower call may trigger multiple internal system lookups across pricing, application status, and documentation workflows.</w:t>
      </w:r>
    </w:p>
    <w:p w14:paraId="52C28CAE" w14:textId="77777777" w:rsidR="00465BF1" w:rsidRPr="00B76053" w:rsidRDefault="00465BF1" w:rsidP="00465BF1">
      <w:pPr>
        <w:rPr>
          <w:rFonts w:cs="Times New Roman"/>
        </w:rPr>
      </w:pPr>
      <w:r w:rsidRPr="00B76053">
        <w:rPr>
          <w:rFonts w:cs="Times New Roman"/>
        </w:rPr>
        <w:t>The third thread concerns consumer attribution of service experience to AI. Mogaji and Nguyen (2021) argue that AI in customer-facing financial services frequently operates as backend or infrastructure-level technology rather than as a branded chatbot, with the consequence that customers may not consciously perceive AI as a feature of their service journey. Aggarwal et al. (2025) make a parallel observation in their voice-AI value-creation framework, distinguishing B2B and B2C value creation surfaces and noting that AI-related productivity gains may emerge alongside ambiguous customer-perception effects when the AI system is not branded to the end user.</w:t>
      </w:r>
    </w:p>
    <w:p w14:paraId="0C9BC036" w14:textId="77777777" w:rsidR="00465BF1" w:rsidRPr="00B76053" w:rsidRDefault="00465BF1" w:rsidP="00465BF1">
      <w:pPr>
        <w:rPr>
          <w:rFonts w:cs="Times New Roman"/>
        </w:rPr>
      </w:pPr>
      <w:r w:rsidRPr="00B76053">
        <w:rPr>
          <w:rFonts w:cs="Times New Roman"/>
        </w:rPr>
        <w:lastRenderedPageBreak/>
        <w:t>Two further considerations bear directly on the interpretation of the Trustpilot evidence presented in Chapter 5. Self-selected review-platform users are typically more emotionally engaged than the average customer, and platform reviews therefore over-sample the tails of the customer-experience distribution (Filieri, 2015; Luca, 2016). When combined with the small post-period sample size that any single-event study generates, this self-selection means that public-discourse signals on voice AI deployment must be read alongside, rather than against, management-reported survey instruments such as Net Promoter Score. A complementary literature on algorithm aversion suggests that consumers may discount algorithmic outputs after observing errors, even when those outputs outperform human judgement on average (Dietvorst et al., 2015); this asymmetry is amplified in services where the stake of error is high, as it is in regulated financial transactions.</w:t>
      </w:r>
    </w:p>
    <w:p w14:paraId="4E2998A8" w14:textId="77777777" w:rsidR="00465BF1" w:rsidRPr="00B76053" w:rsidRDefault="00465BF1" w:rsidP="00465BF1">
      <w:pPr>
        <w:rPr>
          <w:rFonts w:cs="Times New Roman"/>
        </w:rPr>
      </w:pPr>
      <w:r w:rsidRPr="00B76053">
        <w:rPr>
          <w:rFonts w:cs="Times New Roman"/>
        </w:rPr>
        <w:t>Taken together, this strand of the literature implies three working propositions for the present thesis: (i) voice quality and latency function as service-design prerequisites for credible voice AI in financial services; (ii) when voice AI operates as backend infrastructure inside a regulated workflow, customer attribution of experience to AI is likely to be low, and the visibility of AI-related effects in review-platform discourse will be muted; (iii) public-discourse measurement of customer experience is informative but biased toward emotionally engaged subsets of customers, and must be triangulated with internal management measurement instruments rather than substituted for them. Table 2.1 synthesises the four value dimensions across the evidence reviewed in §2.4 and §2.5, and the Better.com case in Chapter 5 is evaluated against each dimension with these three propositions guiding the interpretation of the NLP and financial evidence.</w:t>
      </w:r>
    </w:p>
    <w:p w14:paraId="2CD231FC" w14:textId="77777777" w:rsidR="006046D2" w:rsidRPr="00B76053" w:rsidRDefault="00B04762">
      <w:pPr>
        <w:pStyle w:val="Heading2"/>
        <w:rPr>
          <w:rFonts w:cs="Times New Roman"/>
        </w:rPr>
      </w:pPr>
      <w:bookmarkStart w:id="17" w:name="_Toc229599027"/>
      <w:r w:rsidRPr="00B76053">
        <w:rPr>
          <w:rFonts w:cs="Times New Roman"/>
        </w:rPr>
        <w:t>2.6 Conceptual Framework: Three Complementary Lenses</w:t>
      </w:r>
      <w:bookmarkEnd w:id="17"/>
    </w:p>
    <w:p w14:paraId="16D458EE" w14:textId="77777777" w:rsidR="00465BF1" w:rsidRPr="00B76053" w:rsidRDefault="00465BF1" w:rsidP="00465BF1">
      <w:pPr>
        <w:rPr>
          <w:rFonts w:cs="Times New Roman"/>
        </w:rPr>
      </w:pPr>
      <w:r w:rsidRPr="00B76053">
        <w:rPr>
          <w:rFonts w:cs="Times New Roman"/>
        </w:rPr>
        <w:t xml:space="preserve">The empirical analysis in Chapter 5 is interpreted through three complementary theoretical lenses that together specify when a voice LLM agent is most likely to generate measurable business value in a regulated financial-services workflow. The first lens is the task–technology fit perspective (Goodhue &amp; Thompson, 1995), under which the operational meaningfulness of a conversational technology depends on whether the technology has access to the data and process state required to perform the task. This lens accounts for why a process-aware operating platform </w:t>
      </w:r>
      <w:r w:rsidRPr="00B76053">
        <w:rPr>
          <w:rFonts w:cs="Times New Roman"/>
        </w:rPr>
        <w:lastRenderedPageBreak/>
        <w:t>such as Tinman is treated in this thesis as the architectural prerequisite for a voice LLM agent: without exposed workflow state, even a state-of-the-art voice agent cannot plan, route, or coordinate.</w:t>
      </w:r>
    </w:p>
    <w:p w14:paraId="6B6467C4" w14:textId="77777777" w:rsidR="00465BF1" w:rsidRPr="00B76053" w:rsidRDefault="00465BF1" w:rsidP="00465BF1">
      <w:pPr>
        <w:rPr>
          <w:rFonts w:cs="Times New Roman"/>
        </w:rPr>
      </w:pPr>
      <w:r w:rsidRPr="00B76053">
        <w:rPr>
          <w:rFonts w:cs="Times New Roman"/>
        </w:rPr>
        <w:t>The second lens is the AI service hierarchy (Huang &amp; Rust, 2018), which distinguishes mechanical, analytical, intuitive, and empathetic dimensions of service work and predicts that automation will diffuse first through the mechanical and analytical layers and only later, and partially, through the intuitive and empathetic layers. This lens explains why a voice agent is most likely to generate productivity gains when scoped to high-volume, structured, communication-intensive coordination work (status updates, scheduling, document follow-up) and is more contested when extended to advisory or relational tasks. The third lens is the AI-enabled productivity tradition (Acemoglu &amp; Restrepo, 2019; Brynjolfsson et al., 2023; Aggarwal et al., 2025), under which AI-related productivity gains tend to materialise through task reallocation rather than full labour substitution and can emerge alongside ambiguous customer-perception effects when the AI system operates as backend infrastructure rather than as a branded customer-facing experience.</w:t>
      </w:r>
    </w:p>
    <w:p w14:paraId="05EDCB15" w14:textId="77777777" w:rsidR="00465BF1" w:rsidRPr="00B76053" w:rsidRDefault="00465BF1" w:rsidP="00465BF1">
      <w:pPr>
        <w:rPr>
          <w:rFonts w:cs="Times New Roman"/>
        </w:rPr>
      </w:pPr>
      <w:r w:rsidRPr="00B76053">
        <w:rPr>
          <w:rFonts w:cs="Times New Roman"/>
        </w:rPr>
        <w:t>Read together, the three lenses generate a single integrating proposition that this thesis evaluates empirically: the deployment of a voice LLM agent in a regulated financial-services workflow is most likely to produce measurable operational leverage, while remaining largely invisible to end customers, when (i) the agent is task-fitted to a process-aware operating platform that exposes structured workflow state; (ii) the agent is scoped to the mechanical and analytical layers of service work; and (iii) the agent is governed by an explicit human-AI collaboration model that reallocates rather than substitutes labour at the regulated boundary.</w:t>
      </w:r>
    </w:p>
    <w:p w14:paraId="0E94A84B" w14:textId="77777777" w:rsidR="00465BF1" w:rsidRPr="00B76053" w:rsidRDefault="00465BF1" w:rsidP="00C2388C">
      <w:pPr>
        <w:rPr>
          <w:rFonts w:cs="Times New Roman"/>
          <w:b/>
          <w:bCs/>
        </w:rPr>
      </w:pPr>
      <w:r w:rsidRPr="00B76053">
        <w:rPr>
          <w:rFonts w:cs="Times New Roman"/>
        </w:rPr>
        <w:t xml:space="preserve">The research gap that the thesis addresses follows directly from this proposition. The peer-reviewed literature on chatbot value creation in financial services concentrates on text-based agents (Adam et al., 2021; Abdulquadri et al., 2021; Andrade &amp; Tumelero, 2022), and the small but growing voice-AI literature is dominated by call-centre natural field experiments outside regulated mortgage origination (Wang et al., 2023). No published case study has yet linked SEC-filed financial trajectory, independent customer-discourse mining, and qualitative process tracing of integration architecture for a voice LLM agent in U.S. mortgage origination. This is the gap into which the Better.com case is positioned, and the methodology presented in Chapter 3 </w:t>
      </w:r>
      <w:r w:rsidRPr="00B76053">
        <w:rPr>
          <w:rFonts w:cs="Times New Roman"/>
        </w:rPr>
        <w:lastRenderedPageBreak/>
        <w:t>operationalises the three lenses through three complementary evidence streams (qualitative process tracing for task–technology fit, financial-ratio analysis for AI-enabled productivity, and NLP-based discourse analysis for customer-perception outcomes).</w:t>
      </w:r>
    </w:p>
    <w:p w14:paraId="7808F98B" w14:textId="77777777" w:rsidR="006046D2" w:rsidRPr="00B76053" w:rsidRDefault="00B04762" w:rsidP="00465BF1">
      <w:pPr>
        <w:pStyle w:val="Heading1"/>
        <w:pageBreakBefore/>
        <w:spacing w:before="360" w:after="120"/>
        <w:rPr>
          <w:rFonts w:cs="Times New Roman"/>
        </w:rPr>
      </w:pPr>
      <w:bookmarkStart w:id="18" w:name="_Toc229599028"/>
      <w:r w:rsidRPr="00B76053">
        <w:rPr>
          <w:rFonts w:cs="Times New Roman"/>
        </w:rPr>
        <w:lastRenderedPageBreak/>
        <w:t>3. Research Methodology</w:t>
      </w:r>
      <w:bookmarkEnd w:id="18"/>
    </w:p>
    <w:p w14:paraId="0B5A4176" w14:textId="77777777" w:rsidR="00204A2D" w:rsidRPr="00B76053" w:rsidRDefault="00204A2D" w:rsidP="00204A2D">
      <w:pPr>
        <w:rPr>
          <w:rFonts w:cs="Times New Roman"/>
        </w:rPr>
      </w:pPr>
      <w:r w:rsidRPr="00B76053">
        <w:rPr>
          <w:rFonts w:cs="Times New Roman"/>
        </w:rPr>
        <w:t>The methodological architecture of this thesis is designed to address the complexity of evaluating artificial intelligence within high-stakes corporate environments. Investigating the business value of generative voice AI in financial services requires moving beyond isolated technical benchmarks toward a holistic examination of how technological capabilities interact with organisational structures, financial performance, and customer perceptions. This chapter provides a transparent audit trail of the research process, beginning with the philosophical foundations, proceeding through the research design, data sources, and analytical strategies, and concluding with a discussion of rigor, limitations, and ethical considerations.</w:t>
      </w:r>
    </w:p>
    <w:p w14:paraId="208DF801" w14:textId="77777777" w:rsidR="006046D2" w:rsidRPr="00B76053" w:rsidRDefault="00B04762">
      <w:pPr>
        <w:pStyle w:val="Heading2"/>
        <w:spacing w:before="280"/>
        <w:rPr>
          <w:rFonts w:cs="Times New Roman"/>
        </w:rPr>
      </w:pPr>
      <w:bookmarkStart w:id="19" w:name="_Toc229599029"/>
      <w:r w:rsidRPr="00B76053">
        <w:rPr>
          <w:rFonts w:cs="Times New Roman"/>
        </w:rPr>
        <w:t>3.1 Research Philosophy</w:t>
      </w:r>
      <w:bookmarkEnd w:id="19"/>
    </w:p>
    <w:p w14:paraId="016FF152" w14:textId="77777777" w:rsidR="003A2EBE" w:rsidRPr="00B76053" w:rsidRDefault="003A2EBE" w:rsidP="003A2EBE">
      <w:pPr>
        <w:rPr>
          <w:rFonts w:cs="Times New Roman"/>
        </w:rPr>
      </w:pPr>
      <w:r w:rsidRPr="00B76053">
        <w:rPr>
          <w:rFonts w:cs="Times New Roman"/>
        </w:rPr>
        <w:t>This thesis formally adopts the philosophical paradigm of Pragmatism. In contemporary Information Systems (IS) research, investigators frequently oscillate between positivism — which assumes an objective reality measurable through quantitative methods — and interpretivism — which views reality as inherently subjective and socially constructed. Investigating the enterprise deployment of an LLM, however, exposes the limitations of both extremes. A purely positivist approach might rigorously measure financial efficiency gains via SEC filings but overlook the organisational context that made those gains possible. Conversely, a purely interpretivist approach might capture customer experience and managerial intent but fail to substantiate whether the technology genuinely improved corporate financial outcomes.</w:t>
      </w:r>
    </w:p>
    <w:p w14:paraId="3E8977AF" w14:textId="77777777" w:rsidR="003A2EBE" w:rsidRPr="00B76053" w:rsidRDefault="003A2EBE" w:rsidP="003A2EBE">
      <w:pPr>
        <w:rPr>
          <w:rFonts w:cs="Times New Roman"/>
        </w:rPr>
      </w:pPr>
      <w:r w:rsidRPr="00B76053">
        <w:rPr>
          <w:rFonts w:cs="Times New Roman"/>
        </w:rPr>
        <w:t>Pragmatism bypasses this dichotomy by prioritising the practical consequences and real-world applicability of research findings, asserting that the research question should dictate the method. Ontologically, pragmatism recognises that both objective realities (e.g., millions of dollars in operating expenses) and subjective realities (e.g., a customer's experience with an automated agent) exist simultaneously and interact continuously. By adopting pragmatism, this thesis is well-suited to employ a mixed-methods design, blending objective financial metrics with computational text analysis and qualitative case narrative to bridge technical LLM capabilities with their measurable organisational value.</w:t>
      </w:r>
    </w:p>
    <w:p w14:paraId="3AC14473" w14:textId="77777777" w:rsidR="003A2EBE" w:rsidRPr="00B76053" w:rsidRDefault="003A2EBE" w:rsidP="003A2EBE">
      <w:pPr>
        <w:rPr>
          <w:rFonts w:cs="Times New Roman"/>
        </w:rPr>
      </w:pPr>
      <w:r w:rsidRPr="00B76053">
        <w:rPr>
          <w:rFonts w:cs="Times New Roman"/>
        </w:rPr>
        <w:lastRenderedPageBreak/>
        <w:t>Within this pragmatist orientation, the inference logic is explicitly abductive rather than purely deductive or inductive. Abductive reasoning involves an iterative, dialectical movement between theoretical frameworks and empirical data: given the nascent state of generative voice AI in finance, pure deduction is constrained by the absence of mature domain-specific theories regarding LLM business value, while pure induction risks deteriorating into atheoretical data-mining. Abductive reasoning allows the thesis to begin with a theory-informed framework of business value encompassing operational efficiency, customer experience, and financial performance, and to continuously refine that framework as empirical evidence from Better.com emerges. Financial trajectory and customer-discourse signals are read as observations to be reconciled with the most plausible explanation given the case-study evidence on integration mechanism, rather than as deductive tests of a pre-specified causal hypothesis. This abductive stance is consistent with critical-case study research in information systems (Yin, 2018) and maps directly onto the convergent parallel mixed-methods design described in the following section.</w:t>
      </w:r>
    </w:p>
    <w:p w14:paraId="236BC6D9" w14:textId="77777777" w:rsidR="006046D2" w:rsidRPr="00B76053" w:rsidRDefault="00B04762">
      <w:pPr>
        <w:pStyle w:val="Heading2"/>
        <w:spacing w:before="280"/>
        <w:rPr>
          <w:rFonts w:cs="Times New Roman"/>
        </w:rPr>
      </w:pPr>
      <w:bookmarkStart w:id="20" w:name="_Toc229599030"/>
      <w:r w:rsidRPr="00B76053">
        <w:rPr>
          <w:rFonts w:cs="Times New Roman"/>
        </w:rPr>
        <w:t>3.2 Research Design: Convergent Parallel Mixed Methods</w:t>
      </w:r>
      <w:bookmarkEnd w:id="20"/>
    </w:p>
    <w:p w14:paraId="78B828DA" w14:textId="77777777" w:rsidR="00C22314" w:rsidRPr="00B76053" w:rsidRDefault="00C22314" w:rsidP="00C22314">
      <w:pPr>
        <w:rPr>
          <w:rFonts w:cs="Times New Roman"/>
        </w:rPr>
      </w:pPr>
      <w:r w:rsidRPr="00B76053">
        <w:rPr>
          <w:rFonts w:cs="Times New Roman"/>
        </w:rPr>
        <w:t>Operationalising this pragmatist, abductive orientation, the study employs a Convergent Parallel Mixed Methods Case Study design, guided by Yin (2018). In a convergent parallel design, quantitative and qualitative data streams are collected and analysed independently, and results are merged only during the final interpretation phase to cross-validate and triangulate findings. The design comprises three integrated strands:</w:t>
      </w:r>
    </w:p>
    <w:p w14:paraId="4C0431F9" w14:textId="77777777" w:rsidR="008C6F54" w:rsidRPr="00B76053" w:rsidRDefault="008C6F54" w:rsidP="001A228B">
      <w:pPr>
        <w:pStyle w:val="ListParagraph"/>
        <w:numPr>
          <w:ilvl w:val="0"/>
          <w:numId w:val="10"/>
        </w:numPr>
        <w:rPr>
          <w:rFonts w:cs="Times New Roman"/>
        </w:rPr>
      </w:pPr>
      <w:r w:rsidRPr="00B76053">
        <w:rPr>
          <w:rFonts w:cs="Times New Roman"/>
        </w:rPr>
        <w:t xml:space="preserve">A </w:t>
      </w:r>
      <w:r w:rsidRPr="00B76053">
        <w:rPr>
          <w:rFonts w:cs="Times New Roman"/>
          <w:b/>
          <w:bCs/>
        </w:rPr>
        <w:t>Qualitative Case Study</w:t>
      </w:r>
      <w:r w:rsidRPr="00B76053">
        <w:rPr>
          <w:rFonts w:cs="Times New Roman"/>
        </w:rPr>
        <w:t xml:space="preserve"> Strand that process-traces the historical, organisational, and technical integration of the Tinman platform and Betsy voice agent through corporate communications and technical documentation, primarily addressing RQ1.</w:t>
      </w:r>
    </w:p>
    <w:p w14:paraId="57FE042F" w14:textId="77777777" w:rsidR="008C6F54" w:rsidRPr="00B76053" w:rsidRDefault="008C6F54" w:rsidP="001A228B">
      <w:pPr>
        <w:pStyle w:val="ListParagraph"/>
        <w:numPr>
          <w:ilvl w:val="0"/>
          <w:numId w:val="10"/>
        </w:numPr>
        <w:rPr>
          <w:rFonts w:cs="Times New Roman"/>
        </w:rPr>
      </w:pPr>
      <w:r w:rsidRPr="00B76053">
        <w:rPr>
          <w:rFonts w:cs="Times New Roman"/>
        </w:rPr>
        <w:t xml:space="preserve">A </w:t>
      </w:r>
      <w:r w:rsidRPr="00B76053">
        <w:rPr>
          <w:rFonts w:cs="Times New Roman"/>
          <w:b/>
          <w:bCs/>
        </w:rPr>
        <w:t>Quantitative Financial Strand</w:t>
      </w:r>
      <w:r w:rsidRPr="00B76053">
        <w:rPr>
          <w:rFonts w:cs="Times New Roman"/>
        </w:rPr>
        <w:t xml:space="preserve"> that uses longitudinal SEC filings to examine evidence consistent with AI-enabled operational leverage, addressing RQ2.</w:t>
      </w:r>
    </w:p>
    <w:p w14:paraId="46F35A09" w14:textId="77777777" w:rsidR="008C6F54" w:rsidRPr="00B76053" w:rsidRDefault="008C6F54" w:rsidP="001A228B">
      <w:pPr>
        <w:pStyle w:val="ListParagraph"/>
        <w:numPr>
          <w:ilvl w:val="0"/>
          <w:numId w:val="10"/>
        </w:numPr>
        <w:rPr>
          <w:rFonts w:cs="Times New Roman"/>
        </w:rPr>
      </w:pPr>
      <w:r w:rsidRPr="00B76053">
        <w:rPr>
          <w:rFonts w:cs="Times New Roman"/>
        </w:rPr>
        <w:t xml:space="preserve">A </w:t>
      </w:r>
      <w:r w:rsidRPr="00B76053">
        <w:rPr>
          <w:rFonts w:cs="Times New Roman"/>
          <w:b/>
          <w:bCs/>
        </w:rPr>
        <w:t>Computational NLP Strand</w:t>
      </w:r>
      <w:r w:rsidRPr="00B76053">
        <w:rPr>
          <w:rFonts w:cs="Times New Roman"/>
        </w:rPr>
        <w:t xml:space="preserve"> that applies sentiment analysis, keyword prevalence, and BERTopic topic modelling to unsolicited Trustpilot reviews to capture the customer-experience dimension of RQ2.</w:t>
      </w:r>
    </w:p>
    <w:p w14:paraId="00D1F8BE" w14:textId="77777777" w:rsidR="00601939" w:rsidRPr="00B76053" w:rsidRDefault="00601939" w:rsidP="00601939">
      <w:pPr>
        <w:rPr>
          <w:rFonts w:cs="Times New Roman"/>
        </w:rPr>
      </w:pPr>
      <w:r w:rsidRPr="00B76053">
        <w:rPr>
          <w:rFonts w:cs="Times New Roman"/>
        </w:rPr>
        <w:lastRenderedPageBreak/>
        <w:t>Rocket Mortgage is used throughout as a directional industry benchmark rather than as a formal counterfactual. Each strand addresses a distinct facet of the research questions, and their integration at the triangulation stage (§3.8) allows divergent signals to be interpreted as analytically informative rather than treated as contradictions to be suppressed.</w:t>
      </w:r>
    </w:p>
    <w:p w14:paraId="124052F7" w14:textId="77777777" w:rsidR="006046D2" w:rsidRPr="00B76053" w:rsidRDefault="00B04762">
      <w:pPr>
        <w:pStyle w:val="Heading2"/>
        <w:spacing w:before="280"/>
        <w:rPr>
          <w:rFonts w:cs="Times New Roman"/>
        </w:rPr>
      </w:pPr>
      <w:bookmarkStart w:id="21" w:name="_Toc229599031"/>
      <w:r w:rsidRPr="00B76053">
        <w:rPr>
          <w:rFonts w:cs="Times New Roman"/>
        </w:rPr>
        <w:t>3.3 Case Selection</w:t>
      </w:r>
      <w:bookmarkEnd w:id="21"/>
    </w:p>
    <w:p w14:paraId="48BB7B37" w14:textId="77777777" w:rsidR="003B4F98" w:rsidRPr="00B76053" w:rsidRDefault="003B4F98" w:rsidP="003B4F98">
      <w:pPr>
        <w:rPr>
          <w:rFonts w:cs="Times New Roman"/>
        </w:rPr>
      </w:pPr>
      <w:r w:rsidRPr="00B76053">
        <w:rPr>
          <w:rFonts w:cs="Times New Roman"/>
        </w:rPr>
        <w:t>Better Home &amp; Finance Holding Company (Better.com), introduced in §1.7, was selected as the primary empirical case on methodological grounds — specifically as a critical, revelatory, and extreme case (Yin, 2018).</w:t>
      </w:r>
    </w:p>
    <w:p w14:paraId="5B72B5C6" w14:textId="77777777" w:rsidR="003B4F98" w:rsidRPr="00B76053" w:rsidRDefault="003B4F98" w:rsidP="003B4F98">
      <w:pPr>
        <w:rPr>
          <w:rFonts w:cs="Times New Roman"/>
        </w:rPr>
      </w:pPr>
      <w:r w:rsidRPr="00B76053">
        <w:rPr>
          <w:rFonts w:cs="Times New Roman"/>
        </w:rPr>
        <w:t xml:space="preserve">The case is </w:t>
      </w:r>
      <w:r w:rsidRPr="00B76053">
        <w:rPr>
          <w:rFonts w:cs="Times New Roman"/>
          <w:i/>
        </w:rPr>
        <w:t>extreme</w:t>
      </w:r>
      <w:r w:rsidRPr="00B76053">
        <w:rPr>
          <w:rFonts w:cs="Times New Roman"/>
        </w:rPr>
        <w:t xml:space="preserve"> because the macroeconomic context transformed AI from a peripheral efficiency tool into an existential strategic imperative. Following hyper-growth during the 2020–2021 pandemic refinancing boom, Better.com endured severe pressure from rapid Federal Reserve interest rate hikes, forcing a dramatic restructuring that reduced the workforce from a peak of approximately 10,400 employees in 2021 to fewer than 1,000 by 2023. In this context, the deployment of voice AI was not a discretionary upgrade but a structural response to an unsustainable cost base.</w:t>
      </w:r>
    </w:p>
    <w:p w14:paraId="5AB44558" w14:textId="77777777" w:rsidR="003B4F98" w:rsidRPr="00B76053" w:rsidRDefault="003B4F98" w:rsidP="003B4F98">
      <w:pPr>
        <w:rPr>
          <w:rFonts w:cs="Times New Roman"/>
        </w:rPr>
      </w:pPr>
      <w:r w:rsidRPr="00B76053">
        <w:rPr>
          <w:rFonts w:cs="Times New Roman"/>
        </w:rPr>
        <w:t xml:space="preserve">The case is </w:t>
      </w:r>
      <w:r w:rsidRPr="00B76053">
        <w:rPr>
          <w:rFonts w:cs="Times New Roman"/>
          <w:i/>
        </w:rPr>
        <w:t>revelatory</w:t>
      </w:r>
      <w:r w:rsidRPr="00B76053">
        <w:rPr>
          <w:rFonts w:cs="Times New Roman"/>
        </w:rPr>
        <w:t xml:space="preserve"> because Better's October 2024 launch of Betsy — a proprietary LLM-powered voice agent for mortgage origination — combined with the company's subsequent publicly disclosed partnership with ElevenLabs as voice-infrastructure provider, constitutes one of the earliest fully documented instances of frontier voice AI deployed inside the highly regulated U.S. mortgage industry. The availability of audited financial data spanning both pre- and post-deployment periods makes it possible to examine integration mechanism (RQ1) and measurable business value (RQ2) within a single, tractable empirical setting.</w:t>
      </w:r>
    </w:p>
    <w:p w14:paraId="50D527B2" w14:textId="77777777" w:rsidR="003B4F98" w:rsidRPr="00B76053" w:rsidRDefault="003B4F98" w:rsidP="003B4F98">
      <w:pPr>
        <w:rPr>
          <w:rFonts w:cs="Times New Roman"/>
        </w:rPr>
      </w:pPr>
      <w:r w:rsidRPr="00B76053">
        <w:rPr>
          <w:rFonts w:cs="Times New Roman"/>
        </w:rPr>
        <w:t>The temporal bounds of this case study span 2018 through April 2026, with a specific focus on the pre-deployment baseline (2021–2023), the transition year (2024), and the post-deployment period (2025–2026). Rocket Companies (Rocket Mortgage) is used strictly as a benchmark in §5.3.5, not as a counterfactual: Rocket is not directly comparable to Better in scale, capital structure, or AI-deployment trajectory, but provides industry-context anchoring for the financial ratios reported in Appendix A.</w:t>
      </w:r>
    </w:p>
    <w:p w14:paraId="1C60B2A1" w14:textId="77777777" w:rsidR="006046D2" w:rsidRPr="00B76053" w:rsidRDefault="00B04762">
      <w:pPr>
        <w:pStyle w:val="Heading2"/>
        <w:spacing w:before="280"/>
        <w:rPr>
          <w:rFonts w:cs="Times New Roman"/>
        </w:rPr>
      </w:pPr>
      <w:bookmarkStart w:id="22" w:name="_Toc229599032"/>
      <w:r w:rsidRPr="00B76053">
        <w:rPr>
          <w:rFonts w:cs="Times New Roman"/>
        </w:rPr>
        <w:lastRenderedPageBreak/>
        <w:t>3.4 Data Collection</w:t>
      </w:r>
      <w:bookmarkEnd w:id="22"/>
    </w:p>
    <w:p w14:paraId="44B19198" w14:textId="77777777" w:rsidR="00D763AB" w:rsidRPr="00B76053" w:rsidRDefault="00D763AB" w:rsidP="00D763AB">
      <w:pPr>
        <w:rPr>
          <w:rFonts w:cs="Times New Roman"/>
        </w:rPr>
      </w:pPr>
      <w:r w:rsidRPr="00B76053">
        <w:rPr>
          <w:rFonts w:cs="Times New Roman"/>
        </w:rPr>
        <w:t>To execute the convergent parallel design, a multi-modal portfolio of secondary data sources was systematically assembled. Exclusive reliance on publicly available secondary data enhances transparency and supports replicability. No proprietary or internal company data was accessed at any point.</w:t>
      </w:r>
    </w:p>
    <w:p w14:paraId="6B2B5C84" w14:textId="77777777" w:rsidR="006046D2" w:rsidRPr="00B76053" w:rsidRDefault="00B04762">
      <w:pPr>
        <w:pStyle w:val="Heading3"/>
        <w:spacing w:before="240" w:after="80"/>
        <w:rPr>
          <w:rFonts w:cs="Times New Roman"/>
        </w:rPr>
      </w:pPr>
      <w:bookmarkStart w:id="23" w:name="_Toc229599033"/>
      <w:r w:rsidRPr="00B76053">
        <w:rPr>
          <w:rFonts w:cs="Times New Roman"/>
        </w:rPr>
        <w:t>3.4.1 SEC Financial Filings</w:t>
      </w:r>
      <w:bookmarkEnd w:id="23"/>
    </w:p>
    <w:p w14:paraId="79892E28" w14:textId="77777777" w:rsidR="00C71E32" w:rsidRPr="00B76053" w:rsidRDefault="00C71E32" w:rsidP="00C71E32">
      <w:pPr>
        <w:rPr>
          <w:rFonts w:cs="Times New Roman"/>
        </w:rPr>
      </w:pPr>
      <w:r w:rsidRPr="00B76053">
        <w:rPr>
          <w:rFonts w:cs="Times New Roman"/>
        </w:rPr>
        <w:t>The financial dataset analysed in Chapter 5 contains thirteen audited annual observations: five for Better Home &amp; Finance Holding Company covering fiscal years 2021 through 2025, and eight for Rocket Companies, Inc. covering fiscal years 2018 through 2025. The Better 2021 figures are sourced from the company's S-1 registration statement, as the subsequently filed annual reports disclose only two years of audited income-statement data. The Rocket 2018 and 2019 figures are sourced from the audited comparative financial tables disclosed in Rocket's 2020 annual report, the earliest filing on record. All revenue, expense, and net income or loss values are reported in millions of US dollars.</w:t>
      </w:r>
    </w:p>
    <w:p w14:paraId="1EBCBEA0" w14:textId="77777777" w:rsidR="00C71E32" w:rsidRPr="00B76053" w:rsidRDefault="00C71E32" w:rsidP="00C71E32">
      <w:pPr>
        <w:rPr>
          <w:rFonts w:cs="Times New Roman"/>
        </w:rPr>
      </w:pPr>
      <w:r w:rsidRPr="00B76053">
        <w:rPr>
          <w:rFonts w:cs="Times New Roman"/>
        </w:rPr>
        <w:t>Financial data was extracted directly from the source PDF filings using document-processing software, with no reliance on automated table-recognition tools. Because automated extraction cannot reliably reconstruct the tabular structure of regulatory filings, all final financial values were manually identified and cross-verified against the original source documents. Derived indicators — including the Expense Ratio, Revenue per Employee, Profit Margin, and Revenue Growth — were calculated from these verified figures using deterministic arithmetic. The provenance of each figure, including the specific filing from which it was drawn, is documented in Appendix A.</w:t>
      </w:r>
    </w:p>
    <w:p w14:paraId="49E9D0F9" w14:textId="77777777" w:rsidR="006046D2" w:rsidRPr="00B76053" w:rsidRDefault="00B04762">
      <w:pPr>
        <w:pStyle w:val="Heading3"/>
        <w:spacing w:before="240" w:after="80"/>
        <w:rPr>
          <w:rFonts w:cs="Times New Roman"/>
        </w:rPr>
      </w:pPr>
      <w:bookmarkStart w:id="24" w:name="_Toc229599034"/>
      <w:r w:rsidRPr="00B76053">
        <w:rPr>
          <w:rFonts w:cs="Times New Roman"/>
        </w:rPr>
        <w:t>3.4.2 Trustpilot Customer Reviews</w:t>
      </w:r>
      <w:bookmarkEnd w:id="24"/>
    </w:p>
    <w:p w14:paraId="2A02B9EC" w14:textId="77777777" w:rsidR="001C3F18" w:rsidRPr="00B76053" w:rsidRDefault="001C3F18" w:rsidP="001C3F18">
      <w:pPr>
        <w:rPr>
          <w:rFonts w:cs="Times New Roman"/>
        </w:rPr>
      </w:pPr>
      <w:r w:rsidRPr="00B76053">
        <w:rPr>
          <w:rFonts w:cs="Times New Roman"/>
        </w:rPr>
        <w:t>To capture the customer perception dimension, an extensive corpus of unsolicited customer reviews was collected from Better.com's official Trustpilot profile. Trustpilot is widely used in academic IS research as a proxy for electronic word-of-mouth and service quality perception (Filieri, 2015; Luca, 2016), and was selected over alternative review platforms for three methodological reasons.</w:t>
      </w:r>
    </w:p>
    <w:p w14:paraId="45A367EE" w14:textId="77777777" w:rsidR="001C3F18" w:rsidRPr="00B76053" w:rsidRDefault="001C3F18" w:rsidP="001C3F18">
      <w:pPr>
        <w:rPr>
          <w:rFonts w:cs="Times New Roman"/>
        </w:rPr>
      </w:pPr>
      <w:r w:rsidRPr="00B76053">
        <w:rPr>
          <w:rFonts w:cs="Times New Roman"/>
        </w:rPr>
        <w:lastRenderedPageBreak/>
        <w:t>First, Trustpilot operates a verified-purchase model with domain-level authentication and an internal review-moderation system that materially reduces — though does not eliminate — the share of fraudulent or incentivised reviews relative to general-purpose platforms (Filieri, 2015; Luca, 2016). Second, Trustpilot is the platform on which Better.com has accumulated the largest publicly available review corpus across the 2020–2026 observation window, providing adequate pre-deployment density and a meaningful post-deployment sample for comparison. Third, the platform's review structure remained consistent across the full observation period, supporting reproducibility: the corpus was collected on a single date in April 2026, capturing all reviews posted up to 25 April 2026.</w:t>
      </w:r>
    </w:p>
    <w:p w14:paraId="28D6DD18" w14:textId="77777777" w:rsidR="001C3F18" w:rsidRPr="00B76053" w:rsidRDefault="001C3F18" w:rsidP="001C3F18">
      <w:pPr>
        <w:rPr>
          <w:rFonts w:cs="Times New Roman"/>
        </w:rPr>
      </w:pPr>
      <w:r w:rsidRPr="00B76053">
        <w:rPr>
          <w:rFonts w:cs="Times New Roman"/>
        </w:rPr>
        <w:t>The raw corpus comprised 1,934 reviews. These were subjected to a structured cleaning process to ensure data quality: reviews were filtered to remove entries with missing core fields, duplicate submissions, very short texts unlikely to contain meaningful content, and non-English entries. The resulting cleaned dataset of 1,915 reviews forms the basis for the sentiment and keyword analyses. For the topic-modelling analysis, a further 111 reviews associated with the 2021 CEO-linked mass-layoff controversy were excluded, as these reviews reflected reactions to a managerial event rather than to the mortgage product or service experience. The topic-modelling input therefore comprises 1,804 reviews. Pre-Betsy and post-Betsy periods are defined relative to the Betsy launch date of 17 October 2024, yielding 1,746 pre-launch and 169 post-launch reviews. Detailed filtering counts are reproduced in Appendix C.</w:t>
      </w:r>
    </w:p>
    <w:p w14:paraId="55ECAE12" w14:textId="77777777" w:rsidR="006046D2" w:rsidRPr="00B76053" w:rsidRDefault="00B04762">
      <w:pPr>
        <w:pStyle w:val="Heading3"/>
        <w:spacing w:before="240" w:after="80"/>
        <w:rPr>
          <w:rFonts w:cs="Times New Roman"/>
        </w:rPr>
      </w:pPr>
      <w:bookmarkStart w:id="25" w:name="_Toc229599035"/>
      <w:r w:rsidRPr="00B76053">
        <w:rPr>
          <w:rFonts w:cs="Times New Roman"/>
        </w:rPr>
        <w:t>3.4.3 Supplementary Qualitative Sources</w:t>
      </w:r>
      <w:bookmarkEnd w:id="25"/>
    </w:p>
    <w:p w14:paraId="73DEC5E6" w14:textId="77777777" w:rsidR="009C1CC2" w:rsidRPr="00B76053" w:rsidRDefault="009C1CC2" w:rsidP="009C1CC2">
      <w:pPr>
        <w:rPr>
          <w:rFonts w:cs="Times New Roman"/>
        </w:rPr>
      </w:pPr>
      <w:r w:rsidRPr="00B76053">
        <w:rPr>
          <w:rFonts w:cs="Times New Roman"/>
        </w:rPr>
        <w:t>To provide architectural and managerial context for the qualitative process-tracing strand, the study incorporated: verbatim earnings call transcripts (Q3 2023–Q4 2025) providing management disclosures on Net Promoter Scores, AI interaction volumes, and platform metrics not captured in audited financial tables; the official October 2024 press release announcing Betsy; a February 2026 technical case study published by ElevenLabs detailing the low-latency voice infrastructure; and Mortgage Bankers Association (MBA) Quarterly Performance Reports providing third-party Cost-to-Originate benchmarks. The reliability classification for each source type is presented in Table 3.2.</w:t>
      </w:r>
    </w:p>
    <w:p w14:paraId="445AEED5" w14:textId="77777777" w:rsidR="006046D2" w:rsidRPr="00B76053" w:rsidRDefault="00B04762">
      <w:pPr>
        <w:pStyle w:val="Heading2"/>
        <w:spacing w:before="280"/>
        <w:rPr>
          <w:rFonts w:cs="Times New Roman"/>
        </w:rPr>
      </w:pPr>
      <w:bookmarkStart w:id="26" w:name="_Toc229599036"/>
      <w:r w:rsidRPr="00B76053">
        <w:rPr>
          <w:rFonts w:cs="Times New Roman"/>
        </w:rPr>
        <w:lastRenderedPageBreak/>
        <w:t>3.5 Data Analysis</w:t>
      </w:r>
      <w:bookmarkEnd w:id="26"/>
    </w:p>
    <w:p w14:paraId="6F8938F8" w14:textId="77777777" w:rsidR="006046D2" w:rsidRPr="00B76053" w:rsidRDefault="00B04762">
      <w:pPr>
        <w:pStyle w:val="Heading3"/>
        <w:spacing w:before="240" w:after="80"/>
        <w:rPr>
          <w:rFonts w:cs="Times New Roman"/>
        </w:rPr>
      </w:pPr>
      <w:bookmarkStart w:id="27" w:name="_Toc229599037"/>
      <w:r w:rsidRPr="00B76053">
        <w:rPr>
          <w:rFonts w:cs="Times New Roman"/>
        </w:rPr>
        <w:t>3.5.1 Financial Ratio and Operational Leverage Analysis</w:t>
      </w:r>
      <w:bookmarkEnd w:id="27"/>
    </w:p>
    <w:p w14:paraId="7E5B68E4" w14:textId="77777777" w:rsidR="00565C40" w:rsidRPr="00B76053" w:rsidRDefault="00565C40" w:rsidP="00565C40">
      <w:pPr>
        <w:rPr>
          <w:rFonts w:cs="Times New Roman"/>
        </w:rPr>
      </w:pPr>
      <w:r w:rsidRPr="00B76053">
        <w:rPr>
          <w:rFonts w:cs="Times New Roman"/>
        </w:rPr>
        <w:t>The financial analysis examines evidence consistent with AI-enabled operational leverage: the proposition that AI deployment is associated with revenue growing faster than costs, without proportional expansion in headcount. The primary indicators are the Expense Ratio (total costs relative to total revenue, measuring cost intensity), Revenue per Employee (revenue relative to headcount, measuring labour productivity), and net loss trajectory (tracking overall financial recovery). These indicators were selected because they are calculable directly from audited regulatory filings, minimising the scope for interpretive bias.</w:t>
      </w:r>
    </w:p>
    <w:p w14:paraId="13D3FB20" w14:textId="77777777" w:rsidR="00565C40" w:rsidRPr="00B76053" w:rsidRDefault="00565C40" w:rsidP="00565C40">
      <w:pPr>
        <w:rPr>
          <w:rFonts w:cs="Times New Roman"/>
        </w:rPr>
      </w:pPr>
      <w:r w:rsidRPr="00B76053">
        <w:rPr>
          <w:rFonts w:cs="Times New Roman"/>
        </w:rPr>
        <w:t>To contextualise Better.com's performance against the broader mortgage market, the analysis includes a descriptive comparison against Rocket Companies (Rocket Mortgage). This comparison is explicitly descriptive: Better and Rocket differ substantially in scale, business model, and strategic context, so Rocket serves as a directional industry benchmark rather than a controlled counterfactual. Three alternative time windows are examined — the primary 2024–2025 post-transition period, a 2023–2025 recovery arc, and a comparison against the 2021–2023 pre-deployment average — to ensure that findings are not an artefact of selecting a single baseline year.</w:t>
      </w:r>
    </w:p>
    <w:p w14:paraId="4655BDB0" w14:textId="77777777" w:rsidR="006046D2" w:rsidRPr="00B76053" w:rsidRDefault="00B04762">
      <w:pPr>
        <w:pStyle w:val="Heading3"/>
        <w:spacing w:before="240" w:after="80"/>
        <w:rPr>
          <w:rFonts w:cs="Times New Roman"/>
        </w:rPr>
      </w:pPr>
      <w:bookmarkStart w:id="28" w:name="_Toc229599038"/>
      <w:r w:rsidRPr="00B76053">
        <w:rPr>
          <w:rFonts w:cs="Times New Roman"/>
        </w:rPr>
        <w:t>3.5.2 NLP Text Mining: Joint Topic-Sentiment Modelling</w:t>
      </w:r>
      <w:bookmarkEnd w:id="28"/>
    </w:p>
    <w:p w14:paraId="625AD237" w14:textId="77777777" w:rsidR="00565C40" w:rsidRPr="00B76053" w:rsidRDefault="00565C40" w:rsidP="00565C40">
      <w:pPr>
        <w:rPr>
          <w:rFonts w:cs="Times New Roman"/>
        </w:rPr>
      </w:pPr>
      <w:bookmarkStart w:id="29" w:name="_Hlk229485039"/>
      <w:r w:rsidRPr="00B76053">
        <w:rPr>
          <w:rFonts w:cs="Times New Roman"/>
        </w:rPr>
        <w:t>The customer perception analysis applies three complementary techniques to the 1,915 Trustpilot reviews, each designed to illuminate a different dimension of the customer experience. No single technique is treated as definitive; the value lies in their convergence.</w:t>
      </w:r>
    </w:p>
    <w:p w14:paraId="513F7A8C" w14:textId="77777777" w:rsidR="00565C40" w:rsidRPr="00B76053" w:rsidRDefault="00565C40" w:rsidP="00565C40">
      <w:pPr>
        <w:rPr>
          <w:rFonts w:cs="Times New Roman"/>
        </w:rPr>
      </w:pPr>
      <w:r w:rsidRPr="00B76053">
        <w:rPr>
          <w:rFonts w:cs="Times New Roman"/>
          <w:b/>
        </w:rPr>
        <w:t>Sentiment Analysis.</w:t>
      </w:r>
      <w:r w:rsidRPr="00B76053">
        <w:rPr>
          <w:rFonts w:cs="Times New Roman"/>
        </w:rPr>
        <w:t xml:space="preserve"> Every review was scored using VADER (Hutto &amp; Gilbert, 2014), a lexicon-based sentiment analysis tool specifically validated for short, informal texts such as online reviews. VADER assigns each review a continuous sentiment score ranging from highly negative to highly positive, based on a transparent dictionary of words and linguistic modifiers. This tool was selected over more complex machine-learning alternatives because its rule-based logic is fully auditable — any examiner can trace how a score was produced — and it is widely validated in academic research on consumer-generated text. Differences in average sentiment </w:t>
      </w:r>
      <w:r w:rsidRPr="00B76053">
        <w:rPr>
          <w:rFonts w:cs="Times New Roman"/>
        </w:rPr>
        <w:lastRenderedPageBreak/>
        <w:t>between the pre- and post-launch periods were evaluated using Welch's t-test, a statistical test appropriate for comparing two groups with different sample sizes.</w:t>
      </w:r>
    </w:p>
    <w:p w14:paraId="0B4D1C49" w14:textId="77777777" w:rsidR="00565C40" w:rsidRPr="00B76053" w:rsidRDefault="00565C40" w:rsidP="00565C40">
      <w:pPr>
        <w:rPr>
          <w:rFonts w:cs="Times New Roman"/>
        </w:rPr>
      </w:pPr>
      <w:r w:rsidRPr="00B76053">
        <w:rPr>
          <w:rFonts w:cs="Times New Roman"/>
          <w:b/>
        </w:rPr>
        <w:t>Topic Modelling.</w:t>
      </w:r>
      <w:r w:rsidRPr="00B76053">
        <w:rPr>
          <w:rFonts w:cs="Times New Roman"/>
        </w:rPr>
        <w:t xml:space="preserve"> To identify the recurring themes in customer reviews without imposing pre-determined categories, the study used BERTopic (Grootendorst, 2022), a topic modelling approach that combines state-of-the-art language understanding with statistical clustering. Rather than requiring the researcher to define topics in advance, BERTopic reads the full corpus and groups reviews that discuss similar ideas into coherent thematic clusters. Each cluster is summarised by its most representative terms, and the researcher then assigns a descriptive label to each cluster. The analysis identified 44 distinct topics from 1,804 reviews, of which 1,198 reviews were successfully assigned to a topic and 606 were classified as too dissimilar to fit any cluster. Because the post-launch sample assigned to topics is small (121 reviews), changes in topic prominence are reported as descriptive signals rather than statistically tested findings.</w:t>
      </w:r>
    </w:p>
    <w:p w14:paraId="2842E4AD" w14:textId="77777777" w:rsidR="00565C40" w:rsidRPr="00B76053" w:rsidRDefault="00565C40" w:rsidP="00565C40">
      <w:pPr>
        <w:rPr>
          <w:rFonts w:cs="Times New Roman"/>
        </w:rPr>
      </w:pPr>
      <w:r w:rsidRPr="00B76053">
        <w:rPr>
          <w:rFonts w:cs="Times New Roman"/>
          <w:b/>
        </w:rPr>
        <w:t>Keyword Prevalence.</w:t>
      </w:r>
      <w:r w:rsidRPr="00B76053">
        <w:rPr>
          <w:rFonts w:cs="Times New Roman"/>
        </w:rPr>
        <w:t xml:space="preserve"> To measure whether specific service-experience themes became more or less prominent after Betsy's launch, a structured keyword analysis examined the presence of terms belonging to seven predefined thematic groups: Explicit AI/Automation, Speed/Efficiency, Human Support, Communication, Delay/Friction, Cost/Rates, and Digital/Process. Each review was classified as either mentioning or not mentioning each theme, and Pearson's chi-squared test assessed whether the prevalence of each theme changed significantly between the pre- and post-launch periods. A Bonferroni correction was applied to account for the increased risk of false-positive findings when testing multiple themes simultaneously. Full results are reported in §5.4.</w:t>
      </w:r>
      <w:bookmarkEnd w:id="29"/>
    </w:p>
    <w:p w14:paraId="294B979E" w14:textId="77777777" w:rsidR="006046D2" w:rsidRPr="00B76053" w:rsidRDefault="00B04762">
      <w:pPr>
        <w:pStyle w:val="Heading3"/>
        <w:spacing w:before="240" w:after="80"/>
        <w:rPr>
          <w:rFonts w:cs="Times New Roman"/>
        </w:rPr>
      </w:pPr>
      <w:bookmarkStart w:id="30" w:name="_Toc229599039"/>
      <w:r w:rsidRPr="00B76053">
        <w:rPr>
          <w:rFonts w:cs="Times New Roman"/>
        </w:rPr>
        <w:t>3.5.3 Qualitative Process Tracing</w:t>
      </w:r>
      <w:bookmarkEnd w:id="30"/>
    </w:p>
    <w:p w14:paraId="540448E9" w14:textId="77777777" w:rsidR="00671F1E" w:rsidRPr="00B76053" w:rsidRDefault="00671F1E" w:rsidP="00671F1E">
      <w:pPr>
        <w:rPr>
          <w:rFonts w:cs="Times New Roman"/>
        </w:rPr>
      </w:pPr>
      <w:r w:rsidRPr="00B76053">
        <w:rPr>
          <w:rFonts w:cs="Times New Roman"/>
        </w:rPr>
        <w:t>The qualitative strand addressing RQ1 was synthesised using process-tracing methodology — the systematic, chronological reconstruction of how a series of decisions and events led to an observed outcome (Yin, 2018). By tracing the evolution of Better.com's Tinman mortgage platform alongside the progression of workforce restructuring and the eventual deployment of Betsy, the analysis establishes the organisational and technological prerequisites that enabled the voice AI launch. All interpretations are grounded directly in management's verbatim public disclosures and in the technical documentation published by ElevenLabs, ensuring that the qualitative narrative remains anchored to primary source evidence.</w:t>
      </w:r>
    </w:p>
    <w:p w14:paraId="436DFB8B" w14:textId="77777777" w:rsidR="006046D2" w:rsidRPr="00B76053" w:rsidRDefault="00B04762">
      <w:pPr>
        <w:pStyle w:val="Heading2"/>
        <w:spacing w:before="280"/>
        <w:rPr>
          <w:rFonts w:cs="Times New Roman"/>
        </w:rPr>
      </w:pPr>
      <w:bookmarkStart w:id="31" w:name="_Toc229599040"/>
      <w:r w:rsidRPr="00B76053">
        <w:rPr>
          <w:rFonts w:cs="Times New Roman"/>
        </w:rPr>
        <w:lastRenderedPageBreak/>
        <w:t>3.6 Operationalisation of Business Value</w:t>
      </w:r>
      <w:bookmarkEnd w:id="31"/>
    </w:p>
    <w:p w14:paraId="6D57E8B9" w14:textId="77777777" w:rsidR="0013444F" w:rsidRPr="00B76053" w:rsidRDefault="0013444F" w:rsidP="0013444F">
      <w:pPr>
        <w:rPr>
          <w:rFonts w:cs="Times New Roman"/>
        </w:rPr>
      </w:pPr>
      <w:r w:rsidRPr="00B76053">
        <w:rPr>
          <w:rFonts w:cs="Times New Roman"/>
        </w:rPr>
        <w:t>A central methodological step is the operationalisation of business value into measurable, contextually accurate indicators. Rather than treating value creation as an abstract construct, the research relies on indicators specific to digital mortgage lending and grounded in standardised SEC accounting definitions to minimise subjective researcher bias. The mapping between business-value dimensions and their corresponding indicators is summarised in Table 3.1.</w:t>
      </w:r>
    </w:p>
    <w:p w14:paraId="6087EA41" w14:textId="77777777" w:rsidR="0013444F" w:rsidRPr="00B76053" w:rsidRDefault="0013444F" w:rsidP="0013444F">
      <w:pPr>
        <w:rPr>
          <w:rFonts w:cs="Times New Roman"/>
        </w:rPr>
      </w:pPr>
      <w:r w:rsidRPr="00B76053">
        <w:rPr>
          <w:rFonts w:cs="Times New Roman"/>
        </w:rPr>
        <w:t>Operational efficiency is assessed through the Expense Ratio, the Cost-to-Originate estimate, and the trajectory of operating costs. Productivity and scalability are captured by Revenue per Employee and trends in headcount relative to revenue growth. Financial performance is tracked through revenue recovery, net loss reduction, and profit margin. Customer experience is measured through management-reported Net Promoter Score, independent Trustpilot star ratings, VADER sentiment scores, topic-share changes from BERTopic, and keyword prevalence. Integration mechanisms are examined qualitatively through the Tinman platform architecture, Betsy's functional role, the ElevenLabs partnership, and the human escalation model.</w:t>
      </w:r>
    </w:p>
    <w:p w14:paraId="5932B2ED" w14:textId="77777777" w:rsidR="0013444F" w:rsidRPr="00B76053" w:rsidRDefault="0013444F" w:rsidP="0013444F">
      <w:pPr>
        <w:rPr>
          <w:rFonts w:cs="Times New Roman"/>
        </w:rPr>
      </w:pPr>
      <w:r w:rsidRPr="00B76053">
        <w:rPr>
          <w:rFonts w:cs="Times New Roman"/>
        </w:rPr>
        <w:t>Two operationalisation choices warrant explicit disclosure. First, Cost-to-Originate is computed as total expenses divided by the number of funded loans — an author-constructed proxy, not an audited company disclosure — and is benchmarked against the Mortgage Bankers Association's industry-average figures. Second, the Operational Leverage Index reported in Appendix E is an author-constructed composite index combining revenue growth, labour productivity, and cost intensity into a single visualisation anchored to 2023 = 100. Because this composite is sensitive to the choice of baseline year and component weighting, it is treated as a supplementary visualisation rather than as primary evidence.</w:t>
      </w:r>
    </w:p>
    <w:p w14:paraId="09071CD8" w14:textId="6D7DFF57" w:rsidR="0013444F" w:rsidRDefault="0013444F" w:rsidP="00600730">
      <w:pPr>
        <w:rPr>
          <w:rFonts w:cs="Times New Roman"/>
        </w:rPr>
      </w:pPr>
      <w:r w:rsidRPr="00B76053">
        <w:rPr>
          <w:rFonts w:cs="Times New Roman"/>
        </w:rPr>
        <w:t>Management-reported Net Promoter Score is treated throughout as a medium-reliability indicator: it is internally administered and therefore cannot be independently verified, and it is interpreted alongside the independent Trustpilot evidence rather than as definitive proof of customer preference change.</w:t>
      </w:r>
    </w:p>
    <w:p w14:paraId="15B98B65" w14:textId="23BF031A" w:rsidR="00A312D3" w:rsidRDefault="00A312D3" w:rsidP="00600730">
      <w:pPr>
        <w:rPr>
          <w:rFonts w:cs="Times New Roman"/>
        </w:rPr>
      </w:pPr>
    </w:p>
    <w:p w14:paraId="71E6C652" w14:textId="77777777" w:rsidR="00A312D3" w:rsidRPr="00B76053" w:rsidRDefault="00A312D3" w:rsidP="00600730">
      <w:pPr>
        <w:rPr>
          <w:rFonts w:cs="Times New Roman"/>
        </w:rPr>
      </w:pPr>
    </w:p>
    <w:p w14:paraId="70EA4FC6" w14:textId="77777777" w:rsidR="00DD763B" w:rsidRPr="00B76053" w:rsidRDefault="00B04762" w:rsidP="00EC7105">
      <w:pPr>
        <w:pStyle w:val="Caption"/>
        <w:rPr>
          <w:rFonts w:cs="Times New Roman"/>
        </w:rPr>
      </w:pPr>
      <w:r w:rsidRPr="00B76053">
        <w:rPr>
          <w:rFonts w:cs="Times New Roman"/>
        </w:rPr>
        <w:lastRenderedPageBreak/>
        <w:t>Table 3.1. Operationalisation of Business Value Dimensions across Operational Efficiency, Productivity, Customer Experience, and Financial Performance.</w:t>
      </w:r>
    </w:p>
    <w:tbl>
      <w:tblPr>
        <w:tblStyle w:val="TableGrid"/>
        <w:tblW w:w="0" w:type="auto"/>
        <w:tblLook w:val="04A0" w:firstRow="1" w:lastRow="0" w:firstColumn="1" w:lastColumn="0" w:noHBand="0" w:noVBand="1"/>
      </w:tblPr>
      <w:tblGrid>
        <w:gridCol w:w="2041"/>
        <w:gridCol w:w="2891"/>
        <w:gridCol w:w="2748"/>
        <w:gridCol w:w="1896"/>
      </w:tblGrid>
      <w:tr w:rsidR="00DD763B" w:rsidRPr="00B76053" w14:paraId="474339C7" w14:textId="77777777" w:rsidTr="00DA0774">
        <w:tc>
          <w:tcPr>
            <w:tcW w:w="2154" w:type="dxa"/>
            <w:tcBorders>
              <w:top w:val="single" w:sz="4" w:space="0" w:color="FFFFFF"/>
              <w:left w:val="single" w:sz="4" w:space="0" w:color="FFFFFF"/>
              <w:bottom w:val="single" w:sz="4" w:space="0" w:color="FFFFFF"/>
              <w:right w:val="single" w:sz="4" w:space="0" w:color="FFFFFF"/>
            </w:tcBorders>
            <w:shd w:val="clear" w:color="auto" w:fill="2E4057"/>
          </w:tcPr>
          <w:p w14:paraId="68035FCE" w14:textId="77777777" w:rsidR="00DD763B" w:rsidRPr="00B76053" w:rsidRDefault="00DD763B" w:rsidP="00DA0774">
            <w:pPr>
              <w:spacing w:before="60" w:after="60"/>
              <w:jc w:val="center"/>
              <w:rPr>
                <w:rFonts w:cs="Times New Roman"/>
              </w:rPr>
            </w:pPr>
            <w:r w:rsidRPr="00B76053">
              <w:rPr>
                <w:rFonts w:cs="Times New Roman"/>
                <w:b/>
                <w:color w:val="FFFFFF"/>
                <w:sz w:val="18"/>
              </w:rPr>
              <w:t>Business Value Dimension</w:t>
            </w:r>
          </w:p>
        </w:tc>
        <w:tc>
          <w:tcPr>
            <w:tcW w:w="3118" w:type="dxa"/>
            <w:tcBorders>
              <w:top w:val="single" w:sz="4" w:space="0" w:color="FFFFFF"/>
              <w:left w:val="single" w:sz="4" w:space="0" w:color="FFFFFF"/>
              <w:bottom w:val="single" w:sz="4" w:space="0" w:color="FFFFFF"/>
              <w:right w:val="single" w:sz="4" w:space="0" w:color="FFFFFF"/>
            </w:tcBorders>
            <w:shd w:val="clear" w:color="auto" w:fill="2E4057"/>
          </w:tcPr>
          <w:p w14:paraId="647F4BDC" w14:textId="77777777" w:rsidR="00DD763B" w:rsidRPr="00B76053" w:rsidRDefault="00DD763B" w:rsidP="00DA0774">
            <w:pPr>
              <w:spacing w:before="60" w:after="60"/>
              <w:jc w:val="center"/>
              <w:rPr>
                <w:rFonts w:cs="Times New Roman"/>
              </w:rPr>
            </w:pPr>
            <w:r w:rsidRPr="00B76053">
              <w:rPr>
                <w:rFonts w:cs="Times New Roman"/>
                <w:b/>
                <w:color w:val="FFFFFF"/>
                <w:sz w:val="18"/>
              </w:rPr>
              <w:t>Indicators</w:t>
            </w:r>
          </w:p>
        </w:tc>
        <w:tc>
          <w:tcPr>
            <w:tcW w:w="2835" w:type="dxa"/>
            <w:tcBorders>
              <w:top w:val="single" w:sz="4" w:space="0" w:color="FFFFFF"/>
              <w:left w:val="single" w:sz="4" w:space="0" w:color="FFFFFF"/>
              <w:bottom w:val="single" w:sz="4" w:space="0" w:color="FFFFFF"/>
              <w:right w:val="single" w:sz="4" w:space="0" w:color="FFFFFF"/>
            </w:tcBorders>
            <w:shd w:val="clear" w:color="auto" w:fill="2E4057"/>
          </w:tcPr>
          <w:p w14:paraId="028E1197" w14:textId="77777777" w:rsidR="00DD763B" w:rsidRPr="00B76053" w:rsidRDefault="00DD763B" w:rsidP="00DA0774">
            <w:pPr>
              <w:spacing w:before="60" w:after="60"/>
              <w:jc w:val="center"/>
              <w:rPr>
                <w:rFonts w:cs="Times New Roman"/>
              </w:rPr>
            </w:pPr>
            <w:r w:rsidRPr="00B76053">
              <w:rPr>
                <w:rFonts w:cs="Times New Roman"/>
                <w:b/>
                <w:color w:val="FFFFFF"/>
                <w:sz w:val="18"/>
              </w:rPr>
              <w:t>Data Source</w:t>
            </w:r>
          </w:p>
        </w:tc>
        <w:tc>
          <w:tcPr>
            <w:tcW w:w="1984" w:type="dxa"/>
            <w:tcBorders>
              <w:top w:val="single" w:sz="4" w:space="0" w:color="FFFFFF"/>
              <w:left w:val="single" w:sz="4" w:space="0" w:color="FFFFFF"/>
              <w:bottom w:val="single" w:sz="4" w:space="0" w:color="FFFFFF"/>
              <w:right w:val="single" w:sz="4" w:space="0" w:color="FFFFFF"/>
            </w:tcBorders>
            <w:shd w:val="clear" w:color="auto" w:fill="2E4057"/>
          </w:tcPr>
          <w:p w14:paraId="1F457917" w14:textId="77777777" w:rsidR="00DD763B" w:rsidRPr="00B76053" w:rsidRDefault="00DD763B" w:rsidP="00DA0774">
            <w:pPr>
              <w:spacing w:before="60" w:after="60"/>
              <w:jc w:val="center"/>
              <w:rPr>
                <w:rFonts w:cs="Times New Roman"/>
              </w:rPr>
            </w:pPr>
            <w:r w:rsidRPr="00B76053">
              <w:rPr>
                <w:rFonts w:cs="Times New Roman"/>
                <w:b/>
                <w:color w:val="FFFFFF"/>
                <w:sz w:val="18"/>
              </w:rPr>
              <w:t>Reliability Tier</w:t>
            </w:r>
          </w:p>
        </w:tc>
      </w:tr>
      <w:tr w:rsidR="00DD763B" w:rsidRPr="00B76053" w14:paraId="1E1BB89A" w14:textId="77777777" w:rsidTr="00DA0774">
        <w:tc>
          <w:tcPr>
            <w:tcW w:w="2154" w:type="dxa"/>
            <w:tcBorders>
              <w:top w:val="single" w:sz="4" w:space="0" w:color="B0B8C1"/>
              <w:left w:val="single" w:sz="4" w:space="0" w:color="B0B8C1"/>
              <w:bottom w:val="single" w:sz="4" w:space="0" w:color="B0B8C1"/>
              <w:right w:val="single" w:sz="4" w:space="0" w:color="B0B8C1"/>
            </w:tcBorders>
            <w:shd w:val="clear" w:color="auto" w:fill="FFFFFF"/>
          </w:tcPr>
          <w:p w14:paraId="790C70A4" w14:textId="77777777" w:rsidR="00DD763B" w:rsidRPr="00B76053" w:rsidRDefault="00DD763B" w:rsidP="00DD763B">
            <w:pPr>
              <w:spacing w:before="60" w:after="60"/>
              <w:jc w:val="left"/>
              <w:rPr>
                <w:rFonts w:cs="Times New Roman"/>
              </w:rPr>
            </w:pPr>
            <w:r w:rsidRPr="00B76053">
              <w:rPr>
                <w:rFonts w:cs="Times New Roman"/>
                <w:b/>
                <w:sz w:val="18"/>
              </w:rPr>
              <w:t>Operational efficiency</w:t>
            </w:r>
          </w:p>
        </w:tc>
        <w:tc>
          <w:tcPr>
            <w:tcW w:w="3118" w:type="dxa"/>
            <w:tcBorders>
              <w:top w:val="single" w:sz="4" w:space="0" w:color="B0B8C1"/>
              <w:left w:val="single" w:sz="4" w:space="0" w:color="B0B8C1"/>
              <w:bottom w:val="single" w:sz="4" w:space="0" w:color="B0B8C1"/>
              <w:right w:val="single" w:sz="4" w:space="0" w:color="B0B8C1"/>
            </w:tcBorders>
            <w:shd w:val="clear" w:color="auto" w:fill="FFFFFF"/>
          </w:tcPr>
          <w:p w14:paraId="6D4A2C40" w14:textId="77777777" w:rsidR="00DD763B" w:rsidRPr="00B76053" w:rsidRDefault="00DD763B" w:rsidP="00DD763B">
            <w:pPr>
              <w:spacing w:before="60" w:after="60"/>
              <w:jc w:val="left"/>
              <w:rPr>
                <w:rFonts w:cs="Times New Roman"/>
              </w:rPr>
            </w:pPr>
            <w:r w:rsidRPr="00B76053">
              <w:rPr>
                <w:rFonts w:cs="Times New Roman"/>
                <w:sz w:val="18"/>
              </w:rPr>
              <w:t>Expense Ratio (total costs / total revenue); Cost-to-Originate (CTO) estimate; expense growth trajectory</w:t>
            </w:r>
          </w:p>
        </w:tc>
        <w:tc>
          <w:tcPr>
            <w:tcW w:w="2835" w:type="dxa"/>
            <w:tcBorders>
              <w:top w:val="single" w:sz="4" w:space="0" w:color="B0B8C1"/>
              <w:left w:val="single" w:sz="4" w:space="0" w:color="B0B8C1"/>
              <w:bottom w:val="single" w:sz="4" w:space="0" w:color="B0B8C1"/>
              <w:right w:val="single" w:sz="4" w:space="0" w:color="B0B8C1"/>
            </w:tcBorders>
            <w:shd w:val="clear" w:color="auto" w:fill="FFFFFF"/>
          </w:tcPr>
          <w:p w14:paraId="51908A03" w14:textId="77777777" w:rsidR="00DD763B" w:rsidRPr="00B76053" w:rsidRDefault="00DD763B" w:rsidP="00DD763B">
            <w:pPr>
              <w:spacing w:before="60" w:after="60"/>
              <w:jc w:val="left"/>
              <w:rPr>
                <w:rFonts w:cs="Times New Roman"/>
              </w:rPr>
            </w:pPr>
            <w:r w:rsidRPr="00B76053">
              <w:rPr>
                <w:rFonts w:cs="Times New Roman"/>
                <w:sz w:val="18"/>
              </w:rPr>
              <w:t>Better and Rocket 10-K filings; MBA Quarterly Performance Reports</w:t>
            </w:r>
          </w:p>
        </w:tc>
        <w:tc>
          <w:tcPr>
            <w:tcW w:w="1984" w:type="dxa"/>
            <w:tcBorders>
              <w:top w:val="single" w:sz="4" w:space="0" w:color="B0B8C1"/>
              <w:left w:val="single" w:sz="4" w:space="0" w:color="B0B8C1"/>
              <w:bottom w:val="single" w:sz="4" w:space="0" w:color="B0B8C1"/>
              <w:right w:val="single" w:sz="4" w:space="0" w:color="B0B8C1"/>
            </w:tcBorders>
            <w:shd w:val="clear" w:color="auto" w:fill="FFFFFF"/>
          </w:tcPr>
          <w:p w14:paraId="310B6B2F" w14:textId="77777777" w:rsidR="00DD763B" w:rsidRPr="00B76053" w:rsidRDefault="00DD763B" w:rsidP="00DD763B">
            <w:pPr>
              <w:spacing w:before="60" w:after="60"/>
              <w:jc w:val="left"/>
              <w:rPr>
                <w:rFonts w:cs="Times New Roman"/>
              </w:rPr>
            </w:pPr>
            <w:r w:rsidRPr="00B76053">
              <w:rPr>
                <w:rFonts w:cs="Times New Roman"/>
                <w:sz w:val="18"/>
              </w:rPr>
              <w:t>High (audited financials);</w:t>
            </w:r>
            <w:r w:rsidRPr="00B76053">
              <w:rPr>
                <w:rFonts w:cs="Times New Roman"/>
                <w:sz w:val="18"/>
              </w:rPr>
              <w:br/>
              <w:t>Medium (CTO proxy — author-constructed)</w:t>
            </w:r>
          </w:p>
        </w:tc>
      </w:tr>
      <w:tr w:rsidR="00DD763B" w:rsidRPr="00B76053" w14:paraId="7FAAB5C3" w14:textId="77777777" w:rsidTr="00DA0774">
        <w:tc>
          <w:tcPr>
            <w:tcW w:w="2154" w:type="dxa"/>
            <w:tcBorders>
              <w:top w:val="single" w:sz="4" w:space="0" w:color="B0B8C1"/>
              <w:left w:val="single" w:sz="4" w:space="0" w:color="B0B8C1"/>
              <w:bottom w:val="single" w:sz="4" w:space="0" w:color="B0B8C1"/>
              <w:right w:val="single" w:sz="4" w:space="0" w:color="B0B8C1"/>
            </w:tcBorders>
            <w:shd w:val="clear" w:color="auto" w:fill="F2F5F7"/>
          </w:tcPr>
          <w:p w14:paraId="2885AD36" w14:textId="77777777" w:rsidR="00DD763B" w:rsidRPr="00B76053" w:rsidRDefault="00DD763B" w:rsidP="00DD763B">
            <w:pPr>
              <w:spacing w:before="60" w:after="60"/>
              <w:jc w:val="left"/>
              <w:rPr>
                <w:rFonts w:cs="Times New Roman"/>
              </w:rPr>
            </w:pPr>
            <w:r w:rsidRPr="00B76053">
              <w:rPr>
                <w:rFonts w:cs="Times New Roman"/>
                <w:b/>
                <w:sz w:val="18"/>
              </w:rPr>
              <w:t>Productivity and scalability</w:t>
            </w:r>
          </w:p>
        </w:tc>
        <w:tc>
          <w:tcPr>
            <w:tcW w:w="3118" w:type="dxa"/>
            <w:tcBorders>
              <w:top w:val="single" w:sz="4" w:space="0" w:color="B0B8C1"/>
              <w:left w:val="single" w:sz="4" w:space="0" w:color="B0B8C1"/>
              <w:bottom w:val="single" w:sz="4" w:space="0" w:color="B0B8C1"/>
              <w:right w:val="single" w:sz="4" w:space="0" w:color="B0B8C1"/>
            </w:tcBorders>
            <w:shd w:val="clear" w:color="auto" w:fill="F2F5F7"/>
          </w:tcPr>
          <w:p w14:paraId="2B52AC1D" w14:textId="77777777" w:rsidR="00DD763B" w:rsidRPr="00B76053" w:rsidRDefault="00DD763B" w:rsidP="00DD763B">
            <w:pPr>
              <w:spacing w:before="60" w:after="60"/>
              <w:jc w:val="left"/>
              <w:rPr>
                <w:rFonts w:cs="Times New Roman"/>
              </w:rPr>
            </w:pPr>
            <w:r w:rsidRPr="00B76053">
              <w:rPr>
                <w:rFonts w:cs="Times New Roman"/>
                <w:sz w:val="18"/>
              </w:rPr>
              <w:t>Revenue per Employee (RPE); headcount vs. revenue trends; Betsy reported call volume</w:t>
            </w:r>
          </w:p>
        </w:tc>
        <w:tc>
          <w:tcPr>
            <w:tcW w:w="2835" w:type="dxa"/>
            <w:tcBorders>
              <w:top w:val="single" w:sz="4" w:space="0" w:color="B0B8C1"/>
              <w:left w:val="single" w:sz="4" w:space="0" w:color="B0B8C1"/>
              <w:bottom w:val="single" w:sz="4" w:space="0" w:color="B0B8C1"/>
              <w:right w:val="single" w:sz="4" w:space="0" w:color="B0B8C1"/>
            </w:tcBorders>
            <w:shd w:val="clear" w:color="auto" w:fill="F2F5F7"/>
          </w:tcPr>
          <w:p w14:paraId="1DA1908E" w14:textId="77777777" w:rsidR="00DD763B" w:rsidRPr="00B76053" w:rsidRDefault="00DD763B" w:rsidP="00DD763B">
            <w:pPr>
              <w:spacing w:before="60" w:after="60"/>
              <w:jc w:val="left"/>
              <w:rPr>
                <w:rFonts w:cs="Times New Roman"/>
              </w:rPr>
            </w:pPr>
            <w:r w:rsidRPr="00B76053">
              <w:rPr>
                <w:rFonts w:cs="Times New Roman"/>
                <w:sz w:val="18"/>
              </w:rPr>
              <w:t>Better 10-K and earnings call transcripts; ElevenLabs case study</w:t>
            </w:r>
          </w:p>
        </w:tc>
        <w:tc>
          <w:tcPr>
            <w:tcW w:w="1984" w:type="dxa"/>
            <w:tcBorders>
              <w:top w:val="single" w:sz="4" w:space="0" w:color="B0B8C1"/>
              <w:left w:val="single" w:sz="4" w:space="0" w:color="B0B8C1"/>
              <w:bottom w:val="single" w:sz="4" w:space="0" w:color="B0B8C1"/>
              <w:right w:val="single" w:sz="4" w:space="0" w:color="B0B8C1"/>
            </w:tcBorders>
            <w:shd w:val="clear" w:color="auto" w:fill="F2F5F7"/>
          </w:tcPr>
          <w:p w14:paraId="5A335E04" w14:textId="77777777" w:rsidR="00DD763B" w:rsidRPr="00B76053" w:rsidRDefault="00DD763B" w:rsidP="00DD763B">
            <w:pPr>
              <w:spacing w:before="60" w:after="60"/>
              <w:jc w:val="left"/>
              <w:rPr>
                <w:rFonts w:cs="Times New Roman"/>
              </w:rPr>
            </w:pPr>
            <w:r w:rsidRPr="00B76053">
              <w:rPr>
                <w:rFonts w:cs="Times New Roman"/>
                <w:sz w:val="18"/>
              </w:rPr>
              <w:t>High (audited RPE);</w:t>
            </w:r>
            <w:r w:rsidRPr="00B76053">
              <w:rPr>
                <w:rFonts w:cs="Times New Roman"/>
                <w:sz w:val="18"/>
              </w:rPr>
              <w:br/>
              <w:t>Medium (management-reported call volume)</w:t>
            </w:r>
          </w:p>
        </w:tc>
      </w:tr>
      <w:tr w:rsidR="00DD763B" w:rsidRPr="00B76053" w14:paraId="113CE44B" w14:textId="77777777" w:rsidTr="00DA0774">
        <w:tc>
          <w:tcPr>
            <w:tcW w:w="2154" w:type="dxa"/>
            <w:tcBorders>
              <w:top w:val="single" w:sz="4" w:space="0" w:color="B0B8C1"/>
              <w:left w:val="single" w:sz="4" w:space="0" w:color="B0B8C1"/>
              <w:bottom w:val="single" w:sz="4" w:space="0" w:color="B0B8C1"/>
              <w:right w:val="single" w:sz="4" w:space="0" w:color="B0B8C1"/>
            </w:tcBorders>
            <w:shd w:val="clear" w:color="auto" w:fill="FFFFFF"/>
          </w:tcPr>
          <w:p w14:paraId="530BF2C6" w14:textId="77777777" w:rsidR="00DD763B" w:rsidRPr="00B76053" w:rsidRDefault="00DD763B" w:rsidP="00DD763B">
            <w:pPr>
              <w:spacing w:before="60" w:after="60"/>
              <w:jc w:val="left"/>
              <w:rPr>
                <w:rFonts w:cs="Times New Roman"/>
              </w:rPr>
            </w:pPr>
            <w:r w:rsidRPr="00B76053">
              <w:rPr>
                <w:rFonts w:cs="Times New Roman"/>
                <w:b/>
                <w:sz w:val="18"/>
              </w:rPr>
              <w:t>Financial performance</w:t>
            </w:r>
          </w:p>
        </w:tc>
        <w:tc>
          <w:tcPr>
            <w:tcW w:w="3118" w:type="dxa"/>
            <w:tcBorders>
              <w:top w:val="single" w:sz="4" w:space="0" w:color="B0B8C1"/>
              <w:left w:val="single" w:sz="4" w:space="0" w:color="B0B8C1"/>
              <w:bottom w:val="single" w:sz="4" w:space="0" w:color="B0B8C1"/>
              <w:right w:val="single" w:sz="4" w:space="0" w:color="B0B8C1"/>
            </w:tcBorders>
            <w:shd w:val="clear" w:color="auto" w:fill="FFFFFF"/>
          </w:tcPr>
          <w:p w14:paraId="0C6D765E" w14:textId="77777777" w:rsidR="00DD763B" w:rsidRPr="00B76053" w:rsidRDefault="00DD763B" w:rsidP="00DD763B">
            <w:pPr>
              <w:spacing w:before="60" w:after="60"/>
              <w:jc w:val="left"/>
              <w:rPr>
                <w:rFonts w:cs="Times New Roman"/>
              </w:rPr>
            </w:pPr>
            <w:r w:rsidRPr="00B76053">
              <w:rPr>
                <w:rFonts w:cs="Times New Roman"/>
                <w:sz w:val="18"/>
              </w:rPr>
              <w:t>Total Net Revenue; Net Income / (Loss); Profit Margin</w:t>
            </w:r>
          </w:p>
        </w:tc>
        <w:tc>
          <w:tcPr>
            <w:tcW w:w="2835" w:type="dxa"/>
            <w:tcBorders>
              <w:top w:val="single" w:sz="4" w:space="0" w:color="B0B8C1"/>
              <w:left w:val="single" w:sz="4" w:space="0" w:color="B0B8C1"/>
              <w:bottom w:val="single" w:sz="4" w:space="0" w:color="B0B8C1"/>
              <w:right w:val="single" w:sz="4" w:space="0" w:color="B0B8C1"/>
            </w:tcBorders>
            <w:shd w:val="clear" w:color="auto" w:fill="FFFFFF"/>
          </w:tcPr>
          <w:p w14:paraId="5E629EDB" w14:textId="77777777" w:rsidR="00DD763B" w:rsidRPr="00B76053" w:rsidRDefault="00DD763B" w:rsidP="00DD763B">
            <w:pPr>
              <w:spacing w:before="60" w:after="60"/>
              <w:jc w:val="left"/>
              <w:rPr>
                <w:rFonts w:cs="Times New Roman"/>
              </w:rPr>
            </w:pPr>
            <w:r w:rsidRPr="00B76053">
              <w:rPr>
                <w:rFonts w:cs="Times New Roman"/>
                <w:sz w:val="18"/>
              </w:rPr>
              <w:t>Better and Rocket 10-K filings; Better S-1 (FY 2021 figures)</w:t>
            </w:r>
          </w:p>
        </w:tc>
        <w:tc>
          <w:tcPr>
            <w:tcW w:w="1984" w:type="dxa"/>
            <w:tcBorders>
              <w:top w:val="single" w:sz="4" w:space="0" w:color="B0B8C1"/>
              <w:left w:val="single" w:sz="4" w:space="0" w:color="B0B8C1"/>
              <w:bottom w:val="single" w:sz="4" w:space="0" w:color="B0B8C1"/>
              <w:right w:val="single" w:sz="4" w:space="0" w:color="B0B8C1"/>
            </w:tcBorders>
            <w:shd w:val="clear" w:color="auto" w:fill="FFFFFF"/>
          </w:tcPr>
          <w:p w14:paraId="087525EF" w14:textId="77777777" w:rsidR="00DD763B" w:rsidRPr="00B76053" w:rsidRDefault="00DD763B" w:rsidP="00DD763B">
            <w:pPr>
              <w:spacing w:before="60" w:after="60"/>
              <w:jc w:val="left"/>
              <w:rPr>
                <w:rFonts w:cs="Times New Roman"/>
              </w:rPr>
            </w:pPr>
            <w:r w:rsidRPr="00B76053">
              <w:rPr>
                <w:rFonts w:cs="Times New Roman"/>
                <w:sz w:val="18"/>
              </w:rPr>
              <w:t>High (audited financials)</w:t>
            </w:r>
          </w:p>
        </w:tc>
      </w:tr>
      <w:tr w:rsidR="00DD763B" w:rsidRPr="00B76053" w14:paraId="2B984588" w14:textId="77777777" w:rsidTr="00DA0774">
        <w:tc>
          <w:tcPr>
            <w:tcW w:w="2154" w:type="dxa"/>
            <w:tcBorders>
              <w:top w:val="single" w:sz="4" w:space="0" w:color="B0B8C1"/>
              <w:left w:val="single" w:sz="4" w:space="0" w:color="B0B8C1"/>
              <w:bottom w:val="single" w:sz="4" w:space="0" w:color="B0B8C1"/>
              <w:right w:val="single" w:sz="4" w:space="0" w:color="B0B8C1"/>
            </w:tcBorders>
            <w:shd w:val="clear" w:color="auto" w:fill="F2F5F7"/>
          </w:tcPr>
          <w:p w14:paraId="680EDA00" w14:textId="77777777" w:rsidR="00DD763B" w:rsidRPr="00B76053" w:rsidRDefault="00DD763B" w:rsidP="00DD763B">
            <w:pPr>
              <w:spacing w:before="60" w:after="60"/>
              <w:jc w:val="left"/>
              <w:rPr>
                <w:rFonts w:cs="Times New Roman"/>
              </w:rPr>
            </w:pPr>
            <w:r w:rsidRPr="00B76053">
              <w:rPr>
                <w:rFonts w:cs="Times New Roman"/>
                <w:b/>
                <w:sz w:val="18"/>
              </w:rPr>
              <w:t>Customer experience</w:t>
            </w:r>
          </w:p>
        </w:tc>
        <w:tc>
          <w:tcPr>
            <w:tcW w:w="3118" w:type="dxa"/>
            <w:tcBorders>
              <w:top w:val="single" w:sz="4" w:space="0" w:color="B0B8C1"/>
              <w:left w:val="single" w:sz="4" w:space="0" w:color="B0B8C1"/>
              <w:bottom w:val="single" w:sz="4" w:space="0" w:color="B0B8C1"/>
              <w:right w:val="single" w:sz="4" w:space="0" w:color="B0B8C1"/>
            </w:tcBorders>
            <w:shd w:val="clear" w:color="auto" w:fill="F2F5F7"/>
          </w:tcPr>
          <w:p w14:paraId="1CCE1A27" w14:textId="77777777" w:rsidR="00DD763B" w:rsidRPr="00B76053" w:rsidRDefault="00DD763B" w:rsidP="00DD763B">
            <w:pPr>
              <w:spacing w:before="60" w:after="60"/>
              <w:jc w:val="left"/>
              <w:rPr>
                <w:rFonts w:cs="Times New Roman"/>
              </w:rPr>
            </w:pPr>
            <w:r w:rsidRPr="00B76053">
              <w:rPr>
                <w:rFonts w:cs="Times New Roman"/>
                <w:sz w:val="18"/>
              </w:rPr>
              <w:t>Management-reported NPS; Trustpilot star ratings; VADER compound sentiment score; BERTopic topic shares; keyword prevalence</w:t>
            </w:r>
          </w:p>
        </w:tc>
        <w:tc>
          <w:tcPr>
            <w:tcW w:w="2835" w:type="dxa"/>
            <w:tcBorders>
              <w:top w:val="single" w:sz="4" w:space="0" w:color="B0B8C1"/>
              <w:left w:val="single" w:sz="4" w:space="0" w:color="B0B8C1"/>
              <w:bottom w:val="single" w:sz="4" w:space="0" w:color="B0B8C1"/>
              <w:right w:val="single" w:sz="4" w:space="0" w:color="B0B8C1"/>
            </w:tcBorders>
            <w:shd w:val="clear" w:color="auto" w:fill="F2F5F7"/>
          </w:tcPr>
          <w:p w14:paraId="29CE1014" w14:textId="77777777" w:rsidR="00DD763B" w:rsidRPr="00B76053" w:rsidRDefault="00DD763B" w:rsidP="00DD763B">
            <w:pPr>
              <w:spacing w:before="60" w:after="60"/>
              <w:jc w:val="left"/>
              <w:rPr>
                <w:rFonts w:cs="Times New Roman"/>
              </w:rPr>
            </w:pPr>
            <w:r w:rsidRPr="00B76053">
              <w:rPr>
                <w:rFonts w:cs="Times New Roman"/>
                <w:sz w:val="18"/>
              </w:rPr>
              <w:t>Earnings call transcripts (NPS); Trustpilot review corpus (NLP)</w:t>
            </w:r>
          </w:p>
        </w:tc>
        <w:tc>
          <w:tcPr>
            <w:tcW w:w="1984" w:type="dxa"/>
            <w:tcBorders>
              <w:top w:val="single" w:sz="4" w:space="0" w:color="B0B8C1"/>
              <w:left w:val="single" w:sz="4" w:space="0" w:color="B0B8C1"/>
              <w:bottom w:val="single" w:sz="4" w:space="0" w:color="B0B8C1"/>
              <w:right w:val="single" w:sz="4" w:space="0" w:color="B0B8C1"/>
            </w:tcBorders>
            <w:shd w:val="clear" w:color="auto" w:fill="F2F5F7"/>
          </w:tcPr>
          <w:p w14:paraId="614B94CC" w14:textId="77777777" w:rsidR="00DD763B" w:rsidRPr="00B76053" w:rsidRDefault="00DD763B" w:rsidP="00DD763B">
            <w:pPr>
              <w:spacing w:before="60" w:after="60"/>
              <w:jc w:val="left"/>
              <w:rPr>
                <w:rFonts w:cs="Times New Roman"/>
              </w:rPr>
            </w:pPr>
            <w:r w:rsidRPr="00B76053">
              <w:rPr>
                <w:rFonts w:cs="Times New Roman"/>
                <w:sz w:val="18"/>
              </w:rPr>
              <w:t>Medium (NPS — unaudited, internally administered);</w:t>
            </w:r>
            <w:r w:rsidRPr="00B76053">
              <w:rPr>
                <w:rFonts w:cs="Times New Roman"/>
                <w:sz w:val="18"/>
              </w:rPr>
              <w:br/>
              <w:t>High (independent NLP — but post-Betsy n is small)</w:t>
            </w:r>
          </w:p>
        </w:tc>
      </w:tr>
      <w:tr w:rsidR="00DD763B" w:rsidRPr="00B76053" w14:paraId="39AC2069" w14:textId="77777777" w:rsidTr="00DA0774">
        <w:tc>
          <w:tcPr>
            <w:tcW w:w="2154" w:type="dxa"/>
            <w:tcBorders>
              <w:top w:val="single" w:sz="4" w:space="0" w:color="B0B8C1"/>
              <w:left w:val="single" w:sz="4" w:space="0" w:color="B0B8C1"/>
              <w:bottom w:val="single" w:sz="4" w:space="0" w:color="B0B8C1"/>
              <w:right w:val="single" w:sz="4" w:space="0" w:color="B0B8C1"/>
            </w:tcBorders>
            <w:shd w:val="clear" w:color="auto" w:fill="FFFFFF"/>
          </w:tcPr>
          <w:p w14:paraId="0BB029B5" w14:textId="77777777" w:rsidR="00DD763B" w:rsidRPr="00B76053" w:rsidRDefault="00DD763B" w:rsidP="00DD763B">
            <w:pPr>
              <w:spacing w:before="60" w:after="60"/>
              <w:jc w:val="left"/>
              <w:rPr>
                <w:rFonts w:cs="Times New Roman"/>
              </w:rPr>
            </w:pPr>
            <w:r w:rsidRPr="00B76053">
              <w:rPr>
                <w:rFonts w:cs="Times New Roman"/>
                <w:b/>
                <w:sz w:val="18"/>
              </w:rPr>
              <w:t>Integration mechanisms (qualitative)</w:t>
            </w:r>
          </w:p>
        </w:tc>
        <w:tc>
          <w:tcPr>
            <w:tcW w:w="3118" w:type="dxa"/>
            <w:tcBorders>
              <w:top w:val="single" w:sz="4" w:space="0" w:color="B0B8C1"/>
              <w:left w:val="single" w:sz="4" w:space="0" w:color="B0B8C1"/>
              <w:bottom w:val="single" w:sz="4" w:space="0" w:color="B0B8C1"/>
              <w:right w:val="single" w:sz="4" w:space="0" w:color="B0B8C1"/>
            </w:tcBorders>
            <w:shd w:val="clear" w:color="auto" w:fill="FFFFFF"/>
          </w:tcPr>
          <w:p w14:paraId="003CBA2F" w14:textId="77777777" w:rsidR="00DD763B" w:rsidRPr="00B76053" w:rsidRDefault="00DD763B" w:rsidP="00DD763B">
            <w:pPr>
              <w:spacing w:before="60" w:after="60"/>
              <w:jc w:val="left"/>
              <w:rPr>
                <w:rFonts w:cs="Times New Roman"/>
              </w:rPr>
            </w:pPr>
            <w:r w:rsidRPr="00B76053">
              <w:rPr>
                <w:rFonts w:cs="Times New Roman"/>
                <w:sz w:val="18"/>
              </w:rPr>
              <w:t>Tinman platform architecture; Betsy as voice layer; ElevenLabs as voice infrastructure; human escalation model</w:t>
            </w:r>
          </w:p>
        </w:tc>
        <w:tc>
          <w:tcPr>
            <w:tcW w:w="2835" w:type="dxa"/>
            <w:tcBorders>
              <w:top w:val="single" w:sz="4" w:space="0" w:color="B0B8C1"/>
              <w:left w:val="single" w:sz="4" w:space="0" w:color="B0B8C1"/>
              <w:bottom w:val="single" w:sz="4" w:space="0" w:color="B0B8C1"/>
              <w:right w:val="single" w:sz="4" w:space="0" w:color="B0B8C1"/>
            </w:tcBorders>
            <w:shd w:val="clear" w:color="auto" w:fill="FFFFFF"/>
          </w:tcPr>
          <w:p w14:paraId="34BF3DBE" w14:textId="77777777" w:rsidR="00DD763B" w:rsidRPr="00B76053" w:rsidRDefault="00DD763B" w:rsidP="00DD763B">
            <w:pPr>
              <w:spacing w:before="60" w:after="60"/>
              <w:jc w:val="left"/>
              <w:rPr>
                <w:rFonts w:cs="Times New Roman"/>
              </w:rPr>
            </w:pPr>
            <w:r w:rsidRPr="00B76053">
              <w:rPr>
                <w:rFonts w:cs="Times New Roman"/>
                <w:sz w:val="18"/>
              </w:rPr>
              <w:t>Better 10-K; press releases; ElevenLabs/BusinessWire materials</w:t>
            </w:r>
          </w:p>
        </w:tc>
        <w:tc>
          <w:tcPr>
            <w:tcW w:w="1984" w:type="dxa"/>
            <w:tcBorders>
              <w:top w:val="single" w:sz="4" w:space="0" w:color="B0B8C1"/>
              <w:left w:val="single" w:sz="4" w:space="0" w:color="B0B8C1"/>
              <w:bottom w:val="single" w:sz="4" w:space="0" w:color="B0B8C1"/>
              <w:right w:val="single" w:sz="4" w:space="0" w:color="B0B8C1"/>
            </w:tcBorders>
            <w:shd w:val="clear" w:color="auto" w:fill="FFFFFF"/>
          </w:tcPr>
          <w:p w14:paraId="27B0835C" w14:textId="77777777" w:rsidR="00DD763B" w:rsidRPr="00B76053" w:rsidRDefault="00DD763B" w:rsidP="00DD763B">
            <w:pPr>
              <w:spacing w:before="60" w:after="60"/>
              <w:jc w:val="left"/>
              <w:rPr>
                <w:rFonts w:cs="Times New Roman"/>
              </w:rPr>
            </w:pPr>
            <w:r w:rsidRPr="00B76053">
              <w:rPr>
                <w:rFonts w:cs="Times New Roman"/>
                <w:sz w:val="18"/>
              </w:rPr>
              <w:t>High (Better regulatory disclosures);</w:t>
            </w:r>
            <w:r w:rsidRPr="00B76053">
              <w:rPr>
                <w:rFonts w:cs="Times New Roman"/>
                <w:sz w:val="18"/>
              </w:rPr>
              <w:br/>
              <w:t>Medium (vendor materials)</w:t>
            </w:r>
          </w:p>
        </w:tc>
      </w:tr>
    </w:tbl>
    <w:p w14:paraId="1B643AA2" w14:textId="77777777" w:rsidR="00DD763B" w:rsidRPr="00B76053" w:rsidRDefault="00DD763B" w:rsidP="00DD763B">
      <w:pPr>
        <w:rPr>
          <w:rFonts w:cs="Times New Roman"/>
        </w:rPr>
      </w:pPr>
    </w:p>
    <w:p w14:paraId="6F2A0E33" w14:textId="77777777" w:rsidR="006046D2" w:rsidRPr="00B76053" w:rsidRDefault="00B04762">
      <w:pPr>
        <w:pStyle w:val="Heading2"/>
        <w:rPr>
          <w:rFonts w:cs="Times New Roman"/>
        </w:rPr>
      </w:pPr>
      <w:bookmarkStart w:id="32" w:name="_Toc229599041"/>
      <w:r w:rsidRPr="00B76053">
        <w:rPr>
          <w:rFonts w:cs="Times New Roman"/>
        </w:rPr>
        <w:t>3.7 Source Reliability and Data Provenance</w:t>
      </w:r>
      <w:bookmarkEnd w:id="32"/>
    </w:p>
    <w:p w14:paraId="3B6FA0F4" w14:textId="77777777" w:rsidR="00F40E30" w:rsidRPr="00B76053" w:rsidRDefault="00F40E30" w:rsidP="00F40E30">
      <w:pPr>
        <w:rPr>
          <w:rFonts w:cs="Times New Roman"/>
        </w:rPr>
      </w:pPr>
      <w:r w:rsidRPr="00B76053">
        <w:rPr>
          <w:rFonts w:cs="Times New Roman"/>
        </w:rPr>
        <w:t>Because the empirical strategy of this thesis combines audited financial statements, management-reported operating metrics, vendor case-study materials, government and industry reports, self-selected customer reviews, and peer-reviewed academic literature, a single-tier treatment of evidence would obscure the significant asymmetry of reliability across these sources. To make this asymmetry explicit and consistent, the thesis adopts a four-tier source-reliability hierarchy that classifies every empirical claim used in Chapters 4 and 5 against a defined audit or verification basis.</w:t>
      </w:r>
    </w:p>
    <w:p w14:paraId="447E962B" w14:textId="77777777" w:rsidR="00F40E30" w:rsidRPr="00B76053" w:rsidRDefault="00F40E30" w:rsidP="00F40E30">
      <w:pPr>
        <w:rPr>
          <w:rFonts w:cs="Times New Roman"/>
        </w:rPr>
      </w:pPr>
      <w:r w:rsidRPr="00B76053">
        <w:rPr>
          <w:rFonts w:cs="Times New Roman"/>
        </w:rPr>
        <w:lastRenderedPageBreak/>
        <w:t>At the highest tier, audited annual and quarterly financial statements — and the financial ratios derived arithmetically from them — are treated as the baseline of reliable evidence. SEC-filed earnings releases and press releases occupy the same tier for factual disclosures (dates, headcount figures, capital structure), but management-forward-looking or performance-implying statements from these sources are flagged explicitly as management-reported rather than audited. At the second tier, independent industry reports from bodies such as the Mortgage Bankers Association, Freddie Mac, and the Federal Reserve Bank of New York provide medium-high reliability as third-party contextual evidence. At the third tier, vendor materials — including the ElevenLabs blog post and the joint Better–ElevenLabs press release — are treated as informative but inherently promotional, and are introduced with explicit attribution ("Vendor materials report…") whenever cited. At the fourth tier, Trustpilot reviews are treated as independent but self-selected user-generated content, always presented with the pre/post sample-size imbalance and the self-selection caveat acknowledged. Peer-reviewed academic literature is classified as high reliability for the theoretical constructs and propositions it supports.</w:t>
      </w:r>
    </w:p>
    <w:p w14:paraId="4753CE2E" w14:textId="77777777" w:rsidR="00F40E30" w:rsidRPr="00B76053" w:rsidRDefault="00F40E30" w:rsidP="00F40E30">
      <w:pPr>
        <w:rPr>
          <w:rFonts w:cs="Times New Roman"/>
        </w:rPr>
      </w:pPr>
      <w:r w:rsidRPr="00B76053">
        <w:rPr>
          <w:rFonts w:cs="Times New Roman"/>
        </w:rPr>
        <w:t>This hierarchy is operationalised in two concrete ways. First, every empirical claim in Chapters 4 and 5 is worded in accordance with the requirements of its evidence tier. Second, where sources at different tiers cover the same claim, the lower-tier source is used only to corroborate the direction and timing of a finding — never to establish or override a magnitude that a higher-tier source does not support. The per-source reliability classification is documented in Appendix F.</w:t>
      </w:r>
    </w:p>
    <w:p w14:paraId="75199D63" w14:textId="77777777" w:rsidR="006046D2" w:rsidRPr="00B76053" w:rsidRDefault="00B04762">
      <w:pPr>
        <w:pStyle w:val="Caption"/>
        <w:rPr>
          <w:rFonts w:cs="Times New Roman"/>
        </w:rPr>
      </w:pPr>
      <w:r w:rsidRPr="00B76053">
        <w:rPr>
          <w:rFonts w:cs="Times New Roman"/>
        </w:rPr>
        <w:t>Table 3.2. Source Reliability and Data Provenance Hierarchy used to evaluate empirical evidence in Chapters 4 and 5.</w:t>
      </w:r>
    </w:p>
    <w:tbl>
      <w:tblPr>
        <w:tblStyle w:val="TableGrid"/>
        <w:tblW w:w="0" w:type="auto"/>
        <w:jc w:val="center"/>
        <w:tblLook w:val="04A0" w:firstRow="1" w:lastRow="0" w:firstColumn="1" w:lastColumn="0" w:noHBand="0" w:noVBand="1"/>
      </w:tblPr>
      <w:tblGrid>
        <w:gridCol w:w="1110"/>
        <w:gridCol w:w="1746"/>
        <w:gridCol w:w="2251"/>
        <w:gridCol w:w="2145"/>
        <w:gridCol w:w="2324"/>
      </w:tblGrid>
      <w:tr w:rsidR="00F6453B" w:rsidRPr="00B76053" w14:paraId="2C22FC72" w14:textId="77777777" w:rsidTr="00DA0774">
        <w:trPr>
          <w:jc w:val="center"/>
        </w:trPr>
        <w:tc>
          <w:tcPr>
            <w:tcW w:w="1134" w:type="dxa"/>
            <w:tcBorders>
              <w:top w:val="single" w:sz="4" w:space="0" w:color="FFFFFF"/>
              <w:left w:val="single" w:sz="4" w:space="0" w:color="FFFFFF"/>
              <w:bottom w:val="single" w:sz="4" w:space="0" w:color="FFFFFF"/>
              <w:right w:val="single" w:sz="4" w:space="0" w:color="FFFFFF"/>
            </w:tcBorders>
            <w:shd w:val="clear" w:color="auto" w:fill="2E4057"/>
          </w:tcPr>
          <w:p w14:paraId="72B7E7A2" w14:textId="77777777" w:rsidR="00F6453B" w:rsidRPr="00B76053" w:rsidRDefault="00F6453B" w:rsidP="00DA0774">
            <w:pPr>
              <w:spacing w:before="60" w:after="60"/>
              <w:jc w:val="center"/>
              <w:rPr>
                <w:rFonts w:cs="Times New Roman"/>
              </w:rPr>
            </w:pPr>
            <w:r w:rsidRPr="00B76053">
              <w:rPr>
                <w:rFonts w:cs="Times New Roman"/>
                <w:b/>
                <w:color w:val="FFFFFF"/>
                <w:sz w:val="18"/>
              </w:rPr>
              <w:t>Tier</w:t>
            </w:r>
          </w:p>
        </w:tc>
        <w:tc>
          <w:tcPr>
            <w:tcW w:w="1814" w:type="dxa"/>
            <w:tcBorders>
              <w:top w:val="single" w:sz="4" w:space="0" w:color="FFFFFF"/>
              <w:left w:val="single" w:sz="4" w:space="0" w:color="FFFFFF"/>
              <w:bottom w:val="single" w:sz="4" w:space="0" w:color="FFFFFF"/>
              <w:right w:val="single" w:sz="4" w:space="0" w:color="FFFFFF"/>
            </w:tcBorders>
            <w:shd w:val="clear" w:color="auto" w:fill="2E4057"/>
          </w:tcPr>
          <w:p w14:paraId="143E17AF" w14:textId="77777777" w:rsidR="00F6453B" w:rsidRPr="00B76053" w:rsidRDefault="00F6453B" w:rsidP="00DA0774">
            <w:pPr>
              <w:spacing w:before="60" w:after="60"/>
              <w:jc w:val="center"/>
              <w:rPr>
                <w:rFonts w:cs="Times New Roman"/>
              </w:rPr>
            </w:pPr>
            <w:r w:rsidRPr="00B76053">
              <w:rPr>
                <w:rFonts w:cs="Times New Roman"/>
                <w:b/>
                <w:color w:val="FFFFFF"/>
                <w:sz w:val="18"/>
              </w:rPr>
              <w:t>Source Type</w:t>
            </w:r>
          </w:p>
        </w:tc>
        <w:tc>
          <w:tcPr>
            <w:tcW w:w="2381" w:type="dxa"/>
            <w:tcBorders>
              <w:top w:val="single" w:sz="4" w:space="0" w:color="FFFFFF"/>
              <w:left w:val="single" w:sz="4" w:space="0" w:color="FFFFFF"/>
              <w:bottom w:val="single" w:sz="4" w:space="0" w:color="FFFFFF"/>
              <w:right w:val="single" w:sz="4" w:space="0" w:color="FFFFFF"/>
            </w:tcBorders>
            <w:shd w:val="clear" w:color="auto" w:fill="2E4057"/>
          </w:tcPr>
          <w:p w14:paraId="2D1F425B" w14:textId="77777777" w:rsidR="00F6453B" w:rsidRPr="00B76053" w:rsidRDefault="00F6453B" w:rsidP="00DA0774">
            <w:pPr>
              <w:spacing w:before="60" w:after="60"/>
              <w:jc w:val="center"/>
              <w:rPr>
                <w:rFonts w:cs="Times New Roman"/>
              </w:rPr>
            </w:pPr>
            <w:r w:rsidRPr="00B76053">
              <w:rPr>
                <w:rFonts w:cs="Times New Roman"/>
                <w:b/>
                <w:color w:val="FFFFFF"/>
                <w:sz w:val="18"/>
              </w:rPr>
              <w:t>Examples in This Thesis</w:t>
            </w:r>
          </w:p>
        </w:tc>
        <w:tc>
          <w:tcPr>
            <w:tcW w:w="2268" w:type="dxa"/>
            <w:tcBorders>
              <w:top w:val="single" w:sz="4" w:space="0" w:color="FFFFFF"/>
              <w:left w:val="single" w:sz="4" w:space="0" w:color="FFFFFF"/>
              <w:bottom w:val="single" w:sz="4" w:space="0" w:color="FFFFFF"/>
              <w:right w:val="single" w:sz="4" w:space="0" w:color="FFFFFF"/>
            </w:tcBorders>
            <w:shd w:val="clear" w:color="auto" w:fill="2E4057"/>
          </w:tcPr>
          <w:p w14:paraId="2341763A" w14:textId="77777777" w:rsidR="00F6453B" w:rsidRPr="00B76053" w:rsidRDefault="00F6453B" w:rsidP="00DA0774">
            <w:pPr>
              <w:spacing w:before="60" w:after="60"/>
              <w:jc w:val="center"/>
              <w:rPr>
                <w:rFonts w:cs="Times New Roman"/>
              </w:rPr>
            </w:pPr>
            <w:r w:rsidRPr="00B76053">
              <w:rPr>
                <w:rFonts w:cs="Times New Roman"/>
                <w:b/>
                <w:color w:val="FFFFFF"/>
                <w:sz w:val="18"/>
              </w:rPr>
              <w:t>Audit / Verification Basis</w:t>
            </w:r>
          </w:p>
        </w:tc>
        <w:tc>
          <w:tcPr>
            <w:tcW w:w="2494" w:type="dxa"/>
            <w:tcBorders>
              <w:top w:val="single" w:sz="4" w:space="0" w:color="FFFFFF"/>
              <w:left w:val="single" w:sz="4" w:space="0" w:color="FFFFFF"/>
              <w:bottom w:val="single" w:sz="4" w:space="0" w:color="FFFFFF"/>
              <w:right w:val="single" w:sz="4" w:space="0" w:color="FFFFFF"/>
            </w:tcBorders>
            <w:shd w:val="clear" w:color="auto" w:fill="2E4057"/>
          </w:tcPr>
          <w:p w14:paraId="21614865" w14:textId="77777777" w:rsidR="00F6453B" w:rsidRPr="00B76053" w:rsidRDefault="00F6453B" w:rsidP="00DA0774">
            <w:pPr>
              <w:spacing w:before="60" w:after="60"/>
              <w:jc w:val="center"/>
              <w:rPr>
                <w:rFonts w:cs="Times New Roman"/>
              </w:rPr>
            </w:pPr>
            <w:r w:rsidRPr="00B76053">
              <w:rPr>
                <w:rFonts w:cs="Times New Roman"/>
                <w:b/>
                <w:color w:val="FFFFFF"/>
                <w:sz w:val="18"/>
              </w:rPr>
              <w:t>Required Wording in Body</w:t>
            </w:r>
          </w:p>
        </w:tc>
      </w:tr>
      <w:tr w:rsidR="00F6453B" w:rsidRPr="00B76053" w14:paraId="2B3A86E5"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FFFFF"/>
          </w:tcPr>
          <w:p w14:paraId="553B6C44" w14:textId="77777777" w:rsidR="00F6453B" w:rsidRPr="00B76053" w:rsidRDefault="00F6453B" w:rsidP="00DA0774">
            <w:pPr>
              <w:spacing w:before="60" w:after="60"/>
              <w:jc w:val="left"/>
              <w:rPr>
                <w:rFonts w:cs="Times New Roman"/>
              </w:rPr>
            </w:pPr>
            <w:r w:rsidRPr="00B76053">
              <w:rPr>
                <w:rFonts w:cs="Times New Roman"/>
                <w:b/>
                <w:sz w:val="18"/>
              </w:rPr>
              <w:t>High</w:t>
            </w:r>
          </w:p>
        </w:tc>
        <w:tc>
          <w:tcPr>
            <w:tcW w:w="1814" w:type="dxa"/>
            <w:tcBorders>
              <w:top w:val="single" w:sz="4" w:space="0" w:color="B0B8C1"/>
              <w:left w:val="single" w:sz="4" w:space="0" w:color="B0B8C1"/>
              <w:bottom w:val="single" w:sz="4" w:space="0" w:color="B0B8C1"/>
              <w:right w:val="single" w:sz="4" w:space="0" w:color="B0B8C1"/>
            </w:tcBorders>
            <w:shd w:val="clear" w:color="auto" w:fill="FFFFFF"/>
          </w:tcPr>
          <w:p w14:paraId="63B55826" w14:textId="77777777" w:rsidR="00F6453B" w:rsidRPr="00B76053" w:rsidRDefault="00F6453B" w:rsidP="00DA0774">
            <w:pPr>
              <w:spacing w:before="60" w:after="60"/>
              <w:jc w:val="left"/>
              <w:rPr>
                <w:rFonts w:cs="Times New Roman"/>
              </w:rPr>
            </w:pPr>
            <w:r w:rsidRPr="00B76053">
              <w:rPr>
                <w:rFonts w:cs="Times New Roman"/>
                <w:sz w:val="18"/>
              </w:rPr>
              <w:t>SEC 10-K, 10-Q, S-1</w:t>
            </w:r>
            <w:r w:rsidRPr="00B76053">
              <w:rPr>
                <w:rFonts w:cs="Times New Roman"/>
                <w:sz w:val="18"/>
              </w:rPr>
              <w:br/>
              <w:t>(audited financial statements)</w:t>
            </w:r>
          </w:p>
        </w:tc>
        <w:tc>
          <w:tcPr>
            <w:tcW w:w="2381" w:type="dxa"/>
            <w:tcBorders>
              <w:top w:val="single" w:sz="4" w:space="0" w:color="B0B8C1"/>
              <w:left w:val="single" w:sz="4" w:space="0" w:color="B0B8C1"/>
              <w:bottom w:val="single" w:sz="4" w:space="0" w:color="B0B8C1"/>
              <w:right w:val="single" w:sz="4" w:space="0" w:color="B0B8C1"/>
            </w:tcBorders>
            <w:shd w:val="clear" w:color="auto" w:fill="FFFFFF"/>
          </w:tcPr>
          <w:p w14:paraId="3F0395C7" w14:textId="77777777" w:rsidR="00F6453B" w:rsidRPr="00B76053" w:rsidRDefault="00F6453B" w:rsidP="00DA0774">
            <w:pPr>
              <w:spacing w:before="60" w:after="60"/>
              <w:jc w:val="left"/>
              <w:rPr>
                <w:rFonts w:cs="Times New Roman"/>
              </w:rPr>
            </w:pPr>
            <w:r w:rsidRPr="00B76053">
              <w:rPr>
                <w:rFonts w:cs="Times New Roman"/>
                <w:sz w:val="18"/>
              </w:rPr>
              <w:t>Better Home &amp; Finance Holding Company (2025a, 2026);</w:t>
            </w:r>
            <w:r w:rsidRPr="00B76053">
              <w:rPr>
                <w:rFonts w:cs="Times New Roman"/>
                <w:sz w:val="18"/>
              </w:rPr>
              <w:br/>
              <w:t>Rocket Companies (2024, 2025)</w:t>
            </w:r>
          </w:p>
        </w:tc>
        <w:tc>
          <w:tcPr>
            <w:tcW w:w="2268" w:type="dxa"/>
            <w:tcBorders>
              <w:top w:val="single" w:sz="4" w:space="0" w:color="B0B8C1"/>
              <w:left w:val="single" w:sz="4" w:space="0" w:color="B0B8C1"/>
              <w:bottom w:val="single" w:sz="4" w:space="0" w:color="B0B8C1"/>
              <w:right w:val="single" w:sz="4" w:space="0" w:color="B0B8C1"/>
            </w:tcBorders>
            <w:shd w:val="clear" w:color="auto" w:fill="FFFFFF"/>
          </w:tcPr>
          <w:p w14:paraId="0795C352" w14:textId="77777777" w:rsidR="00F6453B" w:rsidRPr="00B76053" w:rsidRDefault="00F6453B" w:rsidP="00DA0774">
            <w:pPr>
              <w:spacing w:before="60" w:after="60"/>
              <w:jc w:val="left"/>
              <w:rPr>
                <w:rFonts w:cs="Times New Roman"/>
              </w:rPr>
            </w:pPr>
            <w:r w:rsidRPr="00B76053">
              <w:rPr>
                <w:rFonts w:cs="Times New Roman"/>
                <w:sz w:val="18"/>
              </w:rPr>
              <w:t>Externally audited; deterministic ratio calculations derived from audited line items</w:t>
            </w:r>
          </w:p>
        </w:tc>
        <w:tc>
          <w:tcPr>
            <w:tcW w:w="2494" w:type="dxa"/>
            <w:tcBorders>
              <w:top w:val="single" w:sz="4" w:space="0" w:color="B0B8C1"/>
              <w:left w:val="single" w:sz="4" w:space="0" w:color="B0B8C1"/>
              <w:bottom w:val="single" w:sz="4" w:space="0" w:color="B0B8C1"/>
              <w:right w:val="single" w:sz="4" w:space="0" w:color="B0B8C1"/>
            </w:tcBorders>
            <w:shd w:val="clear" w:color="auto" w:fill="FFFFFF"/>
          </w:tcPr>
          <w:p w14:paraId="1772D3F8" w14:textId="77777777" w:rsidR="00F6453B" w:rsidRPr="00B76053" w:rsidRDefault="00F6453B" w:rsidP="00DA0774">
            <w:pPr>
              <w:spacing w:before="60" w:after="60"/>
              <w:jc w:val="left"/>
              <w:rPr>
                <w:rFonts w:cs="Times New Roman"/>
              </w:rPr>
            </w:pPr>
            <w:r w:rsidRPr="00B76053">
              <w:rPr>
                <w:rFonts w:cs="Times New Roman"/>
                <w:sz w:val="18"/>
              </w:rPr>
              <w:t>Default — cite without caveat</w:t>
            </w:r>
          </w:p>
        </w:tc>
      </w:tr>
      <w:tr w:rsidR="00F6453B" w:rsidRPr="00B76053" w14:paraId="0F9DDF4B"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2F5F7"/>
          </w:tcPr>
          <w:p w14:paraId="7F55C2B3" w14:textId="77777777" w:rsidR="00F6453B" w:rsidRPr="00B76053" w:rsidRDefault="00F6453B" w:rsidP="00DA0774">
            <w:pPr>
              <w:spacing w:before="60" w:after="60"/>
              <w:jc w:val="left"/>
              <w:rPr>
                <w:rFonts w:cs="Times New Roman"/>
              </w:rPr>
            </w:pPr>
            <w:r w:rsidRPr="00B76053">
              <w:rPr>
                <w:rFonts w:cs="Times New Roman"/>
                <w:b/>
                <w:sz w:val="18"/>
              </w:rPr>
              <w:t>High</w:t>
            </w:r>
          </w:p>
        </w:tc>
        <w:tc>
          <w:tcPr>
            <w:tcW w:w="1814" w:type="dxa"/>
            <w:tcBorders>
              <w:top w:val="single" w:sz="4" w:space="0" w:color="B0B8C1"/>
              <w:left w:val="single" w:sz="4" w:space="0" w:color="B0B8C1"/>
              <w:bottom w:val="single" w:sz="4" w:space="0" w:color="B0B8C1"/>
              <w:right w:val="single" w:sz="4" w:space="0" w:color="B0B8C1"/>
            </w:tcBorders>
            <w:shd w:val="clear" w:color="auto" w:fill="F2F5F7"/>
          </w:tcPr>
          <w:p w14:paraId="181B401F" w14:textId="77777777" w:rsidR="00F6453B" w:rsidRPr="00B76053" w:rsidRDefault="00F6453B" w:rsidP="00DA0774">
            <w:pPr>
              <w:spacing w:before="60" w:after="60"/>
              <w:jc w:val="left"/>
              <w:rPr>
                <w:rFonts w:cs="Times New Roman"/>
              </w:rPr>
            </w:pPr>
            <w:r w:rsidRPr="00B76053">
              <w:rPr>
                <w:rFonts w:cs="Times New Roman"/>
                <w:sz w:val="18"/>
              </w:rPr>
              <w:t>SEC 8-K / earnings release</w:t>
            </w:r>
            <w:r w:rsidRPr="00B76053">
              <w:rPr>
                <w:rFonts w:cs="Times New Roman"/>
                <w:sz w:val="18"/>
              </w:rPr>
              <w:br/>
              <w:t>(factual disclosures)</w:t>
            </w:r>
          </w:p>
        </w:tc>
        <w:tc>
          <w:tcPr>
            <w:tcW w:w="2381" w:type="dxa"/>
            <w:tcBorders>
              <w:top w:val="single" w:sz="4" w:space="0" w:color="B0B8C1"/>
              <w:left w:val="single" w:sz="4" w:space="0" w:color="B0B8C1"/>
              <w:bottom w:val="single" w:sz="4" w:space="0" w:color="B0B8C1"/>
              <w:right w:val="single" w:sz="4" w:space="0" w:color="B0B8C1"/>
            </w:tcBorders>
            <w:shd w:val="clear" w:color="auto" w:fill="F2F5F7"/>
          </w:tcPr>
          <w:p w14:paraId="687798BC" w14:textId="77777777" w:rsidR="00F6453B" w:rsidRPr="00B76053" w:rsidRDefault="00F6453B" w:rsidP="00DA0774">
            <w:pPr>
              <w:spacing w:before="60" w:after="60"/>
              <w:jc w:val="left"/>
              <w:rPr>
                <w:rFonts w:cs="Times New Roman"/>
              </w:rPr>
            </w:pPr>
            <w:r w:rsidRPr="00B76053">
              <w:rPr>
                <w:rFonts w:cs="Times New Roman"/>
                <w:sz w:val="18"/>
              </w:rPr>
              <w:t>Better (2024a Betsy launch press release; 2025b Q1 release; 2025c Q2 release)</w:t>
            </w:r>
          </w:p>
        </w:tc>
        <w:tc>
          <w:tcPr>
            <w:tcW w:w="2268" w:type="dxa"/>
            <w:tcBorders>
              <w:top w:val="single" w:sz="4" w:space="0" w:color="B0B8C1"/>
              <w:left w:val="single" w:sz="4" w:space="0" w:color="B0B8C1"/>
              <w:bottom w:val="single" w:sz="4" w:space="0" w:color="B0B8C1"/>
              <w:right w:val="single" w:sz="4" w:space="0" w:color="B0B8C1"/>
            </w:tcBorders>
            <w:shd w:val="clear" w:color="auto" w:fill="F2F5F7"/>
          </w:tcPr>
          <w:p w14:paraId="4F2B5C55" w14:textId="77777777" w:rsidR="00F6453B" w:rsidRPr="00B76053" w:rsidRDefault="00F6453B" w:rsidP="00DA0774">
            <w:pPr>
              <w:spacing w:before="60" w:after="60"/>
              <w:jc w:val="left"/>
              <w:rPr>
                <w:rFonts w:cs="Times New Roman"/>
              </w:rPr>
            </w:pPr>
            <w:r w:rsidRPr="00B76053">
              <w:rPr>
                <w:rFonts w:cs="Times New Roman"/>
                <w:sz w:val="18"/>
              </w:rPr>
              <w:t>SEC-filed; subject to materiality and disclosure obligations</w:t>
            </w:r>
          </w:p>
        </w:tc>
        <w:tc>
          <w:tcPr>
            <w:tcW w:w="2494" w:type="dxa"/>
            <w:tcBorders>
              <w:top w:val="single" w:sz="4" w:space="0" w:color="B0B8C1"/>
              <w:left w:val="single" w:sz="4" w:space="0" w:color="B0B8C1"/>
              <w:bottom w:val="single" w:sz="4" w:space="0" w:color="B0B8C1"/>
              <w:right w:val="single" w:sz="4" w:space="0" w:color="B0B8C1"/>
            </w:tcBorders>
            <w:shd w:val="clear" w:color="auto" w:fill="F2F5F7"/>
          </w:tcPr>
          <w:p w14:paraId="4D820245" w14:textId="77777777" w:rsidR="00F6453B" w:rsidRPr="00B76053" w:rsidRDefault="00F6453B" w:rsidP="00DA0774">
            <w:pPr>
              <w:spacing w:before="60" w:after="60"/>
              <w:jc w:val="left"/>
              <w:rPr>
                <w:rFonts w:cs="Times New Roman"/>
              </w:rPr>
            </w:pPr>
            <w:r w:rsidRPr="00B76053">
              <w:rPr>
                <w:rFonts w:cs="Times New Roman"/>
                <w:sz w:val="18"/>
              </w:rPr>
              <w:t>Default — cite without caveat</w:t>
            </w:r>
          </w:p>
        </w:tc>
      </w:tr>
      <w:tr w:rsidR="00F6453B" w:rsidRPr="00B76053" w14:paraId="661337F6"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FFFFF"/>
          </w:tcPr>
          <w:p w14:paraId="368C0C00" w14:textId="77777777" w:rsidR="00F6453B" w:rsidRPr="00B76053" w:rsidRDefault="00F6453B" w:rsidP="00DA0774">
            <w:pPr>
              <w:spacing w:before="60" w:after="60"/>
              <w:jc w:val="left"/>
              <w:rPr>
                <w:rFonts w:cs="Times New Roman"/>
              </w:rPr>
            </w:pPr>
            <w:r w:rsidRPr="00B76053">
              <w:rPr>
                <w:rFonts w:cs="Times New Roman"/>
                <w:b/>
                <w:sz w:val="18"/>
              </w:rPr>
              <w:t>High</w:t>
            </w:r>
          </w:p>
        </w:tc>
        <w:tc>
          <w:tcPr>
            <w:tcW w:w="1814" w:type="dxa"/>
            <w:tcBorders>
              <w:top w:val="single" w:sz="4" w:space="0" w:color="B0B8C1"/>
              <w:left w:val="single" w:sz="4" w:space="0" w:color="B0B8C1"/>
              <w:bottom w:val="single" w:sz="4" w:space="0" w:color="B0B8C1"/>
              <w:right w:val="single" w:sz="4" w:space="0" w:color="B0B8C1"/>
            </w:tcBorders>
            <w:shd w:val="clear" w:color="auto" w:fill="FFFFFF"/>
          </w:tcPr>
          <w:p w14:paraId="35B527FA" w14:textId="77777777" w:rsidR="00F6453B" w:rsidRPr="00B76053" w:rsidRDefault="00F6453B" w:rsidP="00DA0774">
            <w:pPr>
              <w:spacing w:before="60" w:after="60"/>
              <w:jc w:val="left"/>
              <w:rPr>
                <w:rFonts w:cs="Times New Roman"/>
              </w:rPr>
            </w:pPr>
            <w:r w:rsidRPr="00B76053">
              <w:rPr>
                <w:rFonts w:cs="Times New Roman"/>
                <w:sz w:val="18"/>
              </w:rPr>
              <w:t xml:space="preserve">Peer-reviewed </w:t>
            </w:r>
            <w:r w:rsidRPr="00B76053">
              <w:rPr>
                <w:rFonts w:cs="Times New Roman"/>
                <w:sz w:val="18"/>
              </w:rPr>
              <w:lastRenderedPageBreak/>
              <w:t>academic publication</w:t>
            </w:r>
          </w:p>
        </w:tc>
        <w:tc>
          <w:tcPr>
            <w:tcW w:w="2381" w:type="dxa"/>
            <w:tcBorders>
              <w:top w:val="single" w:sz="4" w:space="0" w:color="B0B8C1"/>
              <w:left w:val="single" w:sz="4" w:space="0" w:color="B0B8C1"/>
              <w:bottom w:val="single" w:sz="4" w:space="0" w:color="B0B8C1"/>
              <w:right w:val="single" w:sz="4" w:space="0" w:color="B0B8C1"/>
            </w:tcBorders>
            <w:shd w:val="clear" w:color="auto" w:fill="FFFFFF"/>
          </w:tcPr>
          <w:p w14:paraId="01CB82B5" w14:textId="77777777" w:rsidR="00F6453B" w:rsidRPr="00B76053" w:rsidRDefault="00F6453B" w:rsidP="00DA0774">
            <w:pPr>
              <w:spacing w:before="60" w:after="60"/>
              <w:jc w:val="left"/>
              <w:rPr>
                <w:rFonts w:cs="Times New Roman"/>
              </w:rPr>
            </w:pPr>
            <w:r w:rsidRPr="00B76053">
              <w:rPr>
                <w:rFonts w:cs="Times New Roman"/>
                <w:sz w:val="18"/>
              </w:rPr>
              <w:lastRenderedPageBreak/>
              <w:t xml:space="preserve">Adam et al. (2021); </w:t>
            </w:r>
            <w:r w:rsidRPr="00B76053">
              <w:rPr>
                <w:rFonts w:cs="Times New Roman"/>
                <w:sz w:val="18"/>
              </w:rPr>
              <w:lastRenderedPageBreak/>
              <w:t>Aggarwal et al. (2025); Andrade &amp; Tumelero (2022); Wang et al. (2023); et al.</w:t>
            </w:r>
          </w:p>
        </w:tc>
        <w:tc>
          <w:tcPr>
            <w:tcW w:w="2268" w:type="dxa"/>
            <w:tcBorders>
              <w:top w:val="single" w:sz="4" w:space="0" w:color="B0B8C1"/>
              <w:left w:val="single" w:sz="4" w:space="0" w:color="B0B8C1"/>
              <w:bottom w:val="single" w:sz="4" w:space="0" w:color="B0B8C1"/>
              <w:right w:val="single" w:sz="4" w:space="0" w:color="B0B8C1"/>
            </w:tcBorders>
            <w:shd w:val="clear" w:color="auto" w:fill="FFFFFF"/>
          </w:tcPr>
          <w:p w14:paraId="776207E8" w14:textId="77777777" w:rsidR="00F6453B" w:rsidRPr="00B76053" w:rsidRDefault="00F6453B" w:rsidP="00DA0774">
            <w:pPr>
              <w:spacing w:before="60" w:after="60"/>
              <w:jc w:val="left"/>
              <w:rPr>
                <w:rFonts w:cs="Times New Roman"/>
              </w:rPr>
            </w:pPr>
            <w:r w:rsidRPr="00B76053">
              <w:rPr>
                <w:rFonts w:cs="Times New Roman"/>
                <w:sz w:val="18"/>
              </w:rPr>
              <w:lastRenderedPageBreak/>
              <w:t>Peer review</w:t>
            </w:r>
          </w:p>
        </w:tc>
        <w:tc>
          <w:tcPr>
            <w:tcW w:w="2494" w:type="dxa"/>
            <w:tcBorders>
              <w:top w:val="single" w:sz="4" w:space="0" w:color="B0B8C1"/>
              <w:left w:val="single" w:sz="4" w:space="0" w:color="B0B8C1"/>
              <w:bottom w:val="single" w:sz="4" w:space="0" w:color="B0B8C1"/>
              <w:right w:val="single" w:sz="4" w:space="0" w:color="B0B8C1"/>
            </w:tcBorders>
            <w:shd w:val="clear" w:color="auto" w:fill="FFFFFF"/>
          </w:tcPr>
          <w:p w14:paraId="06D64B4B" w14:textId="77777777" w:rsidR="00F6453B" w:rsidRPr="00B76053" w:rsidRDefault="00F6453B" w:rsidP="00DA0774">
            <w:pPr>
              <w:spacing w:before="60" w:after="60"/>
              <w:jc w:val="left"/>
              <w:rPr>
                <w:rFonts w:cs="Times New Roman"/>
              </w:rPr>
            </w:pPr>
            <w:r w:rsidRPr="00B76053">
              <w:rPr>
                <w:rFonts w:cs="Times New Roman"/>
                <w:sz w:val="18"/>
              </w:rPr>
              <w:t xml:space="preserve">Default — cite without </w:t>
            </w:r>
            <w:r w:rsidRPr="00B76053">
              <w:rPr>
                <w:rFonts w:cs="Times New Roman"/>
                <w:sz w:val="18"/>
              </w:rPr>
              <w:lastRenderedPageBreak/>
              <w:t>caveat</w:t>
            </w:r>
          </w:p>
        </w:tc>
      </w:tr>
      <w:tr w:rsidR="00F6453B" w:rsidRPr="00B76053" w14:paraId="5480924D"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2F5F7"/>
          </w:tcPr>
          <w:p w14:paraId="0A56CFA8" w14:textId="77777777" w:rsidR="00F6453B" w:rsidRPr="00B76053" w:rsidRDefault="00F6453B" w:rsidP="00DA0774">
            <w:pPr>
              <w:spacing w:before="60" w:after="60"/>
              <w:jc w:val="left"/>
              <w:rPr>
                <w:rFonts w:cs="Times New Roman"/>
              </w:rPr>
            </w:pPr>
            <w:r w:rsidRPr="00B76053">
              <w:rPr>
                <w:rFonts w:cs="Times New Roman"/>
                <w:b/>
                <w:sz w:val="18"/>
              </w:rPr>
              <w:t>Medium-High</w:t>
            </w:r>
          </w:p>
        </w:tc>
        <w:tc>
          <w:tcPr>
            <w:tcW w:w="1814" w:type="dxa"/>
            <w:tcBorders>
              <w:top w:val="single" w:sz="4" w:space="0" w:color="B0B8C1"/>
              <w:left w:val="single" w:sz="4" w:space="0" w:color="B0B8C1"/>
              <w:bottom w:val="single" w:sz="4" w:space="0" w:color="B0B8C1"/>
              <w:right w:val="single" w:sz="4" w:space="0" w:color="B0B8C1"/>
            </w:tcBorders>
            <w:shd w:val="clear" w:color="auto" w:fill="F2F5F7"/>
          </w:tcPr>
          <w:p w14:paraId="3F691A1A" w14:textId="77777777" w:rsidR="00F6453B" w:rsidRPr="00B76053" w:rsidRDefault="00F6453B" w:rsidP="00DA0774">
            <w:pPr>
              <w:spacing w:before="60" w:after="60"/>
              <w:jc w:val="left"/>
              <w:rPr>
                <w:rFonts w:cs="Times New Roman"/>
              </w:rPr>
            </w:pPr>
            <w:r w:rsidRPr="00B76053">
              <w:rPr>
                <w:rFonts w:cs="Times New Roman"/>
                <w:sz w:val="18"/>
              </w:rPr>
              <w:t>Independent industry report</w:t>
            </w:r>
          </w:p>
        </w:tc>
        <w:tc>
          <w:tcPr>
            <w:tcW w:w="2381" w:type="dxa"/>
            <w:tcBorders>
              <w:top w:val="single" w:sz="4" w:space="0" w:color="B0B8C1"/>
              <w:left w:val="single" w:sz="4" w:space="0" w:color="B0B8C1"/>
              <w:bottom w:val="single" w:sz="4" w:space="0" w:color="B0B8C1"/>
              <w:right w:val="single" w:sz="4" w:space="0" w:color="B0B8C1"/>
            </w:tcBorders>
            <w:shd w:val="clear" w:color="auto" w:fill="F2F5F7"/>
          </w:tcPr>
          <w:p w14:paraId="3E1B2885" w14:textId="77777777" w:rsidR="00F6453B" w:rsidRPr="00B76053" w:rsidRDefault="00F6453B" w:rsidP="00DA0774">
            <w:pPr>
              <w:spacing w:before="60" w:after="60"/>
              <w:jc w:val="left"/>
              <w:rPr>
                <w:rFonts w:cs="Times New Roman"/>
              </w:rPr>
            </w:pPr>
            <w:r w:rsidRPr="00B76053">
              <w:rPr>
                <w:rFonts w:cs="Times New Roman"/>
                <w:sz w:val="18"/>
              </w:rPr>
              <w:t>Mortgage Bankers Association (2024a, 2024b); Freddie Mac PMMS; Federal Reserve Bank of New York</w:t>
            </w:r>
          </w:p>
        </w:tc>
        <w:tc>
          <w:tcPr>
            <w:tcW w:w="2268" w:type="dxa"/>
            <w:tcBorders>
              <w:top w:val="single" w:sz="4" w:space="0" w:color="B0B8C1"/>
              <w:left w:val="single" w:sz="4" w:space="0" w:color="B0B8C1"/>
              <w:bottom w:val="single" w:sz="4" w:space="0" w:color="B0B8C1"/>
              <w:right w:val="single" w:sz="4" w:space="0" w:color="B0B8C1"/>
            </w:tcBorders>
            <w:shd w:val="clear" w:color="auto" w:fill="F2F5F7"/>
          </w:tcPr>
          <w:p w14:paraId="32EE3E53" w14:textId="77777777" w:rsidR="00F6453B" w:rsidRPr="00B76053" w:rsidRDefault="00F6453B" w:rsidP="00DA0774">
            <w:pPr>
              <w:spacing w:before="60" w:after="60"/>
              <w:jc w:val="left"/>
              <w:rPr>
                <w:rFonts w:cs="Times New Roman"/>
              </w:rPr>
            </w:pPr>
            <w:r w:rsidRPr="00B76053">
              <w:rPr>
                <w:rFonts w:cs="Times New Roman"/>
                <w:sz w:val="18"/>
              </w:rPr>
              <w:t>Recognised industry reporting standards; cross-verifiable across editions</w:t>
            </w:r>
          </w:p>
        </w:tc>
        <w:tc>
          <w:tcPr>
            <w:tcW w:w="2494" w:type="dxa"/>
            <w:tcBorders>
              <w:top w:val="single" w:sz="4" w:space="0" w:color="B0B8C1"/>
              <w:left w:val="single" w:sz="4" w:space="0" w:color="B0B8C1"/>
              <w:bottom w:val="single" w:sz="4" w:space="0" w:color="B0B8C1"/>
              <w:right w:val="single" w:sz="4" w:space="0" w:color="B0B8C1"/>
            </w:tcBorders>
            <w:shd w:val="clear" w:color="auto" w:fill="F2F5F7"/>
          </w:tcPr>
          <w:p w14:paraId="78D9BEFB" w14:textId="77777777" w:rsidR="00F6453B" w:rsidRPr="00B76053" w:rsidRDefault="00F6453B" w:rsidP="00DA0774">
            <w:pPr>
              <w:spacing w:before="60" w:after="60"/>
              <w:jc w:val="left"/>
              <w:rPr>
                <w:rFonts w:cs="Times New Roman"/>
              </w:rPr>
            </w:pPr>
            <w:r w:rsidRPr="00B76053">
              <w:rPr>
                <w:rFonts w:cs="Times New Roman"/>
                <w:sz w:val="18"/>
              </w:rPr>
              <w:t>Treat as industry context</w:t>
            </w:r>
          </w:p>
        </w:tc>
      </w:tr>
      <w:tr w:rsidR="00F6453B" w:rsidRPr="00B76053" w14:paraId="617D8C9A"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FFFFF"/>
          </w:tcPr>
          <w:p w14:paraId="63797C32" w14:textId="77777777" w:rsidR="00F6453B" w:rsidRPr="00B76053" w:rsidRDefault="00F6453B" w:rsidP="00DA0774">
            <w:pPr>
              <w:spacing w:before="60" w:after="60"/>
              <w:jc w:val="left"/>
              <w:rPr>
                <w:rFonts w:cs="Times New Roman"/>
              </w:rPr>
            </w:pPr>
            <w:r w:rsidRPr="00B76053">
              <w:rPr>
                <w:rFonts w:cs="Times New Roman"/>
                <w:b/>
                <w:sz w:val="18"/>
              </w:rPr>
              <w:t>Medium-High</w:t>
            </w:r>
          </w:p>
        </w:tc>
        <w:tc>
          <w:tcPr>
            <w:tcW w:w="1814" w:type="dxa"/>
            <w:tcBorders>
              <w:top w:val="single" w:sz="4" w:space="0" w:color="B0B8C1"/>
              <w:left w:val="single" w:sz="4" w:space="0" w:color="B0B8C1"/>
              <w:bottom w:val="single" w:sz="4" w:space="0" w:color="B0B8C1"/>
              <w:right w:val="single" w:sz="4" w:space="0" w:color="B0B8C1"/>
            </w:tcBorders>
            <w:shd w:val="clear" w:color="auto" w:fill="FFFFFF"/>
          </w:tcPr>
          <w:p w14:paraId="469E7D67" w14:textId="77777777" w:rsidR="00F6453B" w:rsidRPr="00B76053" w:rsidRDefault="00F6453B" w:rsidP="00DA0774">
            <w:pPr>
              <w:spacing w:before="60" w:after="60"/>
              <w:jc w:val="left"/>
              <w:rPr>
                <w:rFonts w:cs="Times New Roman"/>
              </w:rPr>
            </w:pPr>
            <w:r w:rsidRPr="00B76053">
              <w:rPr>
                <w:rFonts w:cs="Times New Roman"/>
                <w:sz w:val="18"/>
              </w:rPr>
              <w:t>Government / regulatory page</w:t>
            </w:r>
          </w:p>
        </w:tc>
        <w:tc>
          <w:tcPr>
            <w:tcW w:w="2381" w:type="dxa"/>
            <w:tcBorders>
              <w:top w:val="single" w:sz="4" w:space="0" w:color="B0B8C1"/>
              <w:left w:val="single" w:sz="4" w:space="0" w:color="B0B8C1"/>
              <w:bottom w:val="single" w:sz="4" w:space="0" w:color="B0B8C1"/>
              <w:right w:val="single" w:sz="4" w:space="0" w:color="B0B8C1"/>
            </w:tcBorders>
            <w:shd w:val="clear" w:color="auto" w:fill="FFFFFF"/>
          </w:tcPr>
          <w:p w14:paraId="493DC032" w14:textId="77777777" w:rsidR="00F6453B" w:rsidRPr="00B76053" w:rsidRDefault="00F6453B" w:rsidP="00DA0774">
            <w:pPr>
              <w:spacing w:before="60" w:after="60"/>
              <w:jc w:val="left"/>
              <w:rPr>
                <w:rFonts w:cs="Times New Roman"/>
              </w:rPr>
            </w:pPr>
            <w:r w:rsidRPr="00B76053">
              <w:rPr>
                <w:rFonts w:cs="Times New Roman"/>
                <w:sz w:val="18"/>
              </w:rPr>
              <w:t>Consumer Financial Protection Bureau (n.d.); Fannie Mae Selling Guide</w:t>
            </w:r>
          </w:p>
        </w:tc>
        <w:tc>
          <w:tcPr>
            <w:tcW w:w="2268" w:type="dxa"/>
            <w:tcBorders>
              <w:top w:val="single" w:sz="4" w:space="0" w:color="B0B8C1"/>
              <w:left w:val="single" w:sz="4" w:space="0" w:color="B0B8C1"/>
              <w:bottom w:val="single" w:sz="4" w:space="0" w:color="B0B8C1"/>
              <w:right w:val="single" w:sz="4" w:space="0" w:color="B0B8C1"/>
            </w:tcBorders>
            <w:shd w:val="clear" w:color="auto" w:fill="FFFFFF"/>
          </w:tcPr>
          <w:p w14:paraId="61030798" w14:textId="77777777" w:rsidR="00F6453B" w:rsidRPr="00B76053" w:rsidRDefault="00F6453B" w:rsidP="00DA0774">
            <w:pPr>
              <w:spacing w:before="60" w:after="60"/>
              <w:jc w:val="left"/>
              <w:rPr>
                <w:rFonts w:cs="Times New Roman"/>
              </w:rPr>
            </w:pPr>
            <w:r w:rsidRPr="00B76053">
              <w:rPr>
                <w:rFonts w:cs="Times New Roman"/>
                <w:sz w:val="18"/>
              </w:rPr>
              <w:t>Government-published; updated periodically</w:t>
            </w:r>
          </w:p>
        </w:tc>
        <w:tc>
          <w:tcPr>
            <w:tcW w:w="2494" w:type="dxa"/>
            <w:tcBorders>
              <w:top w:val="single" w:sz="4" w:space="0" w:color="B0B8C1"/>
              <w:left w:val="single" w:sz="4" w:space="0" w:color="B0B8C1"/>
              <w:bottom w:val="single" w:sz="4" w:space="0" w:color="B0B8C1"/>
              <w:right w:val="single" w:sz="4" w:space="0" w:color="B0B8C1"/>
            </w:tcBorders>
            <w:shd w:val="clear" w:color="auto" w:fill="FFFFFF"/>
          </w:tcPr>
          <w:p w14:paraId="4C472C5B" w14:textId="77777777" w:rsidR="00F6453B" w:rsidRPr="00B76053" w:rsidRDefault="00F6453B" w:rsidP="00DA0774">
            <w:pPr>
              <w:spacing w:before="60" w:after="60"/>
              <w:jc w:val="left"/>
              <w:rPr>
                <w:rFonts w:cs="Times New Roman"/>
              </w:rPr>
            </w:pPr>
            <w:r w:rsidRPr="00B76053">
              <w:rPr>
                <w:rFonts w:cs="Times New Roman"/>
                <w:sz w:val="18"/>
              </w:rPr>
              <w:t>Default — cite without caveat</w:t>
            </w:r>
          </w:p>
        </w:tc>
      </w:tr>
      <w:tr w:rsidR="00F6453B" w:rsidRPr="00B76053" w14:paraId="1B648939"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2F5F7"/>
          </w:tcPr>
          <w:p w14:paraId="2887DF37" w14:textId="77777777" w:rsidR="00F6453B" w:rsidRPr="00B76053" w:rsidRDefault="00F6453B" w:rsidP="00DA0774">
            <w:pPr>
              <w:spacing w:before="60" w:after="60"/>
              <w:jc w:val="left"/>
              <w:rPr>
                <w:rFonts w:cs="Times New Roman"/>
              </w:rPr>
            </w:pPr>
            <w:r w:rsidRPr="00B76053">
              <w:rPr>
                <w:rFonts w:cs="Times New Roman"/>
                <w:b/>
                <w:sz w:val="18"/>
              </w:rPr>
              <w:t>Medium</w:t>
            </w:r>
          </w:p>
        </w:tc>
        <w:tc>
          <w:tcPr>
            <w:tcW w:w="1814" w:type="dxa"/>
            <w:tcBorders>
              <w:top w:val="single" w:sz="4" w:space="0" w:color="B0B8C1"/>
              <w:left w:val="single" w:sz="4" w:space="0" w:color="B0B8C1"/>
              <w:bottom w:val="single" w:sz="4" w:space="0" w:color="B0B8C1"/>
              <w:right w:val="single" w:sz="4" w:space="0" w:color="B0B8C1"/>
            </w:tcBorders>
            <w:shd w:val="clear" w:color="auto" w:fill="F2F5F7"/>
          </w:tcPr>
          <w:p w14:paraId="7F8B10B3" w14:textId="77777777" w:rsidR="00F6453B" w:rsidRPr="00B76053" w:rsidRDefault="00F6453B" w:rsidP="00DA0774">
            <w:pPr>
              <w:spacing w:before="60" w:after="60"/>
              <w:jc w:val="left"/>
              <w:rPr>
                <w:rFonts w:cs="Times New Roman"/>
              </w:rPr>
            </w:pPr>
            <w:r w:rsidRPr="00B76053">
              <w:rPr>
                <w:rFonts w:cs="Times New Roman"/>
                <w:sz w:val="18"/>
              </w:rPr>
              <w:t>Management-reported operating metric (unaudited)</w:t>
            </w:r>
          </w:p>
        </w:tc>
        <w:tc>
          <w:tcPr>
            <w:tcW w:w="2381" w:type="dxa"/>
            <w:tcBorders>
              <w:top w:val="single" w:sz="4" w:space="0" w:color="B0B8C1"/>
              <w:left w:val="single" w:sz="4" w:space="0" w:color="B0B8C1"/>
              <w:bottom w:val="single" w:sz="4" w:space="0" w:color="B0B8C1"/>
              <w:right w:val="single" w:sz="4" w:space="0" w:color="B0B8C1"/>
            </w:tcBorders>
            <w:shd w:val="clear" w:color="auto" w:fill="F2F5F7"/>
          </w:tcPr>
          <w:p w14:paraId="150CAD6C" w14:textId="77777777" w:rsidR="00F6453B" w:rsidRPr="00B76053" w:rsidRDefault="00F6453B" w:rsidP="00DA0774">
            <w:pPr>
              <w:spacing w:before="60" w:after="60"/>
              <w:jc w:val="left"/>
              <w:rPr>
                <w:rFonts w:cs="Times New Roman"/>
              </w:rPr>
            </w:pPr>
            <w:r w:rsidRPr="00B76053">
              <w:rPr>
                <w:rFonts w:cs="Times New Roman"/>
                <w:sz w:val="18"/>
              </w:rPr>
              <w:t>NPS 39 → 64; reported monthly call volumes</w:t>
            </w:r>
          </w:p>
        </w:tc>
        <w:tc>
          <w:tcPr>
            <w:tcW w:w="2268" w:type="dxa"/>
            <w:tcBorders>
              <w:top w:val="single" w:sz="4" w:space="0" w:color="B0B8C1"/>
              <w:left w:val="single" w:sz="4" w:space="0" w:color="B0B8C1"/>
              <w:bottom w:val="single" w:sz="4" w:space="0" w:color="B0B8C1"/>
              <w:right w:val="single" w:sz="4" w:space="0" w:color="B0B8C1"/>
            </w:tcBorders>
            <w:shd w:val="clear" w:color="auto" w:fill="F2F5F7"/>
          </w:tcPr>
          <w:p w14:paraId="2265CE98" w14:textId="77777777" w:rsidR="00F6453B" w:rsidRPr="00B76053" w:rsidRDefault="00F6453B" w:rsidP="00DA0774">
            <w:pPr>
              <w:spacing w:before="60" w:after="60"/>
              <w:jc w:val="left"/>
              <w:rPr>
                <w:rFonts w:cs="Times New Roman"/>
              </w:rPr>
            </w:pPr>
            <w:r w:rsidRPr="00B76053">
              <w:rPr>
                <w:rFonts w:cs="Times New Roman"/>
                <w:sz w:val="18"/>
              </w:rPr>
              <w:t>Management disclosure — not externally audited</w:t>
            </w:r>
          </w:p>
        </w:tc>
        <w:tc>
          <w:tcPr>
            <w:tcW w:w="2494" w:type="dxa"/>
            <w:tcBorders>
              <w:top w:val="single" w:sz="4" w:space="0" w:color="B0B8C1"/>
              <w:left w:val="single" w:sz="4" w:space="0" w:color="B0B8C1"/>
              <w:bottom w:val="single" w:sz="4" w:space="0" w:color="B0B8C1"/>
              <w:right w:val="single" w:sz="4" w:space="0" w:color="B0B8C1"/>
            </w:tcBorders>
            <w:shd w:val="clear" w:color="auto" w:fill="F2F5F7"/>
          </w:tcPr>
          <w:p w14:paraId="36B36633" w14:textId="77777777" w:rsidR="00F6453B" w:rsidRPr="00B76053" w:rsidRDefault="00F6453B" w:rsidP="00DA0774">
            <w:pPr>
              <w:spacing w:before="60" w:after="60"/>
              <w:jc w:val="left"/>
              <w:rPr>
                <w:rFonts w:cs="Times New Roman"/>
              </w:rPr>
            </w:pPr>
            <w:r w:rsidRPr="00B76053">
              <w:rPr>
                <w:rFonts w:cs="Times New Roman"/>
                <w:sz w:val="18"/>
              </w:rPr>
              <w:t>Always introduce with:</w:t>
            </w:r>
            <w:r w:rsidRPr="00B76053">
              <w:rPr>
                <w:rFonts w:cs="Times New Roman"/>
                <w:sz w:val="18"/>
              </w:rPr>
              <w:br/>
              <w:t>"Better has reported that …"</w:t>
            </w:r>
            <w:r w:rsidRPr="00B76053">
              <w:rPr>
                <w:rFonts w:cs="Times New Roman"/>
                <w:sz w:val="18"/>
              </w:rPr>
              <w:br/>
              <w:t>Never present as audited fact</w:t>
            </w:r>
          </w:p>
        </w:tc>
      </w:tr>
      <w:tr w:rsidR="00F6453B" w:rsidRPr="00B76053" w14:paraId="3171A6E2"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FFFFF"/>
          </w:tcPr>
          <w:p w14:paraId="7AF10940" w14:textId="77777777" w:rsidR="00F6453B" w:rsidRPr="00B76053" w:rsidRDefault="00F6453B" w:rsidP="00DA0774">
            <w:pPr>
              <w:spacing w:before="60" w:after="60"/>
              <w:jc w:val="left"/>
              <w:rPr>
                <w:rFonts w:cs="Times New Roman"/>
              </w:rPr>
            </w:pPr>
            <w:r w:rsidRPr="00B76053">
              <w:rPr>
                <w:rFonts w:cs="Times New Roman"/>
                <w:b/>
                <w:sz w:val="18"/>
              </w:rPr>
              <w:t>Medium</w:t>
            </w:r>
          </w:p>
        </w:tc>
        <w:tc>
          <w:tcPr>
            <w:tcW w:w="1814" w:type="dxa"/>
            <w:tcBorders>
              <w:top w:val="single" w:sz="4" w:space="0" w:color="B0B8C1"/>
              <w:left w:val="single" w:sz="4" w:space="0" w:color="B0B8C1"/>
              <w:bottom w:val="single" w:sz="4" w:space="0" w:color="B0B8C1"/>
              <w:right w:val="single" w:sz="4" w:space="0" w:color="B0B8C1"/>
            </w:tcBorders>
            <w:shd w:val="clear" w:color="auto" w:fill="FFFFFF"/>
          </w:tcPr>
          <w:p w14:paraId="0BFCC946" w14:textId="77777777" w:rsidR="00F6453B" w:rsidRPr="00B76053" w:rsidRDefault="00F6453B" w:rsidP="00DA0774">
            <w:pPr>
              <w:spacing w:before="60" w:after="60"/>
              <w:jc w:val="left"/>
              <w:rPr>
                <w:rFonts w:cs="Times New Roman"/>
              </w:rPr>
            </w:pPr>
            <w:r w:rsidRPr="00B76053">
              <w:rPr>
                <w:rFonts w:cs="Times New Roman"/>
                <w:sz w:val="18"/>
              </w:rPr>
              <w:t>Vendor / case-study material</w:t>
            </w:r>
          </w:p>
        </w:tc>
        <w:tc>
          <w:tcPr>
            <w:tcW w:w="2381" w:type="dxa"/>
            <w:tcBorders>
              <w:top w:val="single" w:sz="4" w:space="0" w:color="B0B8C1"/>
              <w:left w:val="single" w:sz="4" w:space="0" w:color="B0B8C1"/>
              <w:bottom w:val="single" w:sz="4" w:space="0" w:color="B0B8C1"/>
              <w:right w:val="single" w:sz="4" w:space="0" w:color="B0B8C1"/>
            </w:tcBorders>
            <w:shd w:val="clear" w:color="auto" w:fill="FFFFFF"/>
          </w:tcPr>
          <w:p w14:paraId="7BC240FE" w14:textId="77777777" w:rsidR="00F6453B" w:rsidRPr="00B76053" w:rsidRDefault="00F6453B" w:rsidP="00DA0774">
            <w:pPr>
              <w:spacing w:before="60" w:after="60"/>
              <w:jc w:val="left"/>
              <w:rPr>
                <w:rFonts w:cs="Times New Roman"/>
              </w:rPr>
            </w:pPr>
            <w:r w:rsidRPr="00B76053">
              <w:rPr>
                <w:rFonts w:cs="Times New Roman"/>
                <w:sz w:val="18"/>
              </w:rPr>
              <w:t>ElevenLabs blog; Better–ElevenLabs joint press release (2026)</w:t>
            </w:r>
          </w:p>
        </w:tc>
        <w:tc>
          <w:tcPr>
            <w:tcW w:w="2268" w:type="dxa"/>
            <w:tcBorders>
              <w:top w:val="single" w:sz="4" w:space="0" w:color="B0B8C1"/>
              <w:left w:val="single" w:sz="4" w:space="0" w:color="B0B8C1"/>
              <w:bottom w:val="single" w:sz="4" w:space="0" w:color="B0B8C1"/>
              <w:right w:val="single" w:sz="4" w:space="0" w:color="B0B8C1"/>
            </w:tcBorders>
            <w:shd w:val="clear" w:color="auto" w:fill="FFFFFF"/>
          </w:tcPr>
          <w:p w14:paraId="664443D0" w14:textId="77777777" w:rsidR="00F6453B" w:rsidRPr="00B76053" w:rsidRDefault="00F6453B" w:rsidP="00DA0774">
            <w:pPr>
              <w:spacing w:before="60" w:after="60"/>
              <w:jc w:val="left"/>
              <w:rPr>
                <w:rFonts w:cs="Times New Roman"/>
              </w:rPr>
            </w:pPr>
            <w:r w:rsidRPr="00B76053">
              <w:rPr>
                <w:rFonts w:cs="Times New Roman"/>
                <w:sz w:val="18"/>
              </w:rPr>
              <w:t>Vendor-published; commercial-marketing motivation</w:t>
            </w:r>
          </w:p>
        </w:tc>
        <w:tc>
          <w:tcPr>
            <w:tcW w:w="2494" w:type="dxa"/>
            <w:tcBorders>
              <w:top w:val="single" w:sz="4" w:space="0" w:color="B0B8C1"/>
              <w:left w:val="single" w:sz="4" w:space="0" w:color="B0B8C1"/>
              <w:bottom w:val="single" w:sz="4" w:space="0" w:color="B0B8C1"/>
              <w:right w:val="single" w:sz="4" w:space="0" w:color="B0B8C1"/>
            </w:tcBorders>
            <w:shd w:val="clear" w:color="auto" w:fill="FFFFFF"/>
          </w:tcPr>
          <w:p w14:paraId="63EA5FFF" w14:textId="77777777" w:rsidR="00F6453B" w:rsidRPr="00B76053" w:rsidRDefault="00F6453B" w:rsidP="00DA0774">
            <w:pPr>
              <w:spacing w:before="60" w:after="60"/>
              <w:jc w:val="left"/>
              <w:rPr>
                <w:rFonts w:cs="Times New Roman"/>
              </w:rPr>
            </w:pPr>
            <w:r w:rsidRPr="00B76053">
              <w:rPr>
                <w:rFonts w:cs="Times New Roman"/>
                <w:sz w:val="18"/>
              </w:rPr>
              <w:t>Always introduce with:</w:t>
            </w:r>
            <w:r w:rsidRPr="00B76053">
              <w:rPr>
                <w:rFonts w:cs="Times New Roman"/>
                <w:sz w:val="18"/>
              </w:rPr>
              <w:br/>
              <w:t>"Vendor materials report …"</w:t>
            </w:r>
            <w:r w:rsidRPr="00B76053">
              <w:rPr>
                <w:rFonts w:cs="Times New Roman"/>
                <w:sz w:val="18"/>
              </w:rPr>
              <w:br/>
              <w:t>Never use as primary magnitude evidence</w:t>
            </w:r>
          </w:p>
        </w:tc>
      </w:tr>
      <w:tr w:rsidR="00F6453B" w:rsidRPr="00B76053" w14:paraId="1264610F"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2F5F7"/>
          </w:tcPr>
          <w:p w14:paraId="701BFF7F" w14:textId="77777777" w:rsidR="00F6453B" w:rsidRPr="00B76053" w:rsidRDefault="00F6453B" w:rsidP="00DA0774">
            <w:pPr>
              <w:spacing w:before="60" w:after="60"/>
              <w:jc w:val="left"/>
              <w:rPr>
                <w:rFonts w:cs="Times New Roman"/>
              </w:rPr>
            </w:pPr>
            <w:r w:rsidRPr="00B76053">
              <w:rPr>
                <w:rFonts w:cs="Times New Roman"/>
                <w:b/>
                <w:sz w:val="18"/>
              </w:rPr>
              <w:t>Medium</w:t>
            </w:r>
          </w:p>
        </w:tc>
        <w:tc>
          <w:tcPr>
            <w:tcW w:w="1814" w:type="dxa"/>
            <w:tcBorders>
              <w:top w:val="single" w:sz="4" w:space="0" w:color="B0B8C1"/>
              <w:left w:val="single" w:sz="4" w:space="0" w:color="B0B8C1"/>
              <w:bottom w:val="single" w:sz="4" w:space="0" w:color="B0B8C1"/>
              <w:right w:val="single" w:sz="4" w:space="0" w:color="B0B8C1"/>
            </w:tcBorders>
            <w:shd w:val="clear" w:color="auto" w:fill="F2F5F7"/>
          </w:tcPr>
          <w:p w14:paraId="7D258B57" w14:textId="77777777" w:rsidR="00F6453B" w:rsidRPr="00B76053" w:rsidRDefault="00F6453B" w:rsidP="00DA0774">
            <w:pPr>
              <w:spacing w:before="60" w:after="60"/>
              <w:jc w:val="left"/>
              <w:rPr>
                <w:rFonts w:cs="Times New Roman"/>
              </w:rPr>
            </w:pPr>
            <w:r w:rsidRPr="00B76053">
              <w:rPr>
                <w:rFonts w:cs="Times New Roman"/>
                <w:sz w:val="18"/>
              </w:rPr>
              <w:t>Independent self-selected user-generated content</w:t>
            </w:r>
          </w:p>
        </w:tc>
        <w:tc>
          <w:tcPr>
            <w:tcW w:w="2381" w:type="dxa"/>
            <w:tcBorders>
              <w:top w:val="single" w:sz="4" w:space="0" w:color="B0B8C1"/>
              <w:left w:val="single" w:sz="4" w:space="0" w:color="B0B8C1"/>
              <w:bottom w:val="single" w:sz="4" w:space="0" w:color="B0B8C1"/>
              <w:right w:val="single" w:sz="4" w:space="0" w:color="B0B8C1"/>
            </w:tcBorders>
            <w:shd w:val="clear" w:color="auto" w:fill="F2F5F7"/>
          </w:tcPr>
          <w:p w14:paraId="245F9180" w14:textId="77777777" w:rsidR="00F6453B" w:rsidRPr="00B76053" w:rsidRDefault="00F6453B" w:rsidP="00DA0774">
            <w:pPr>
              <w:spacing w:before="60" w:after="60"/>
              <w:jc w:val="left"/>
              <w:rPr>
                <w:rFonts w:cs="Times New Roman"/>
              </w:rPr>
            </w:pPr>
            <w:r w:rsidRPr="00B76053">
              <w:rPr>
                <w:rFonts w:cs="Times New Roman"/>
                <w:sz w:val="18"/>
              </w:rPr>
              <w:t>Trustpilot reviews (1,915 cleaned)</w:t>
            </w:r>
          </w:p>
        </w:tc>
        <w:tc>
          <w:tcPr>
            <w:tcW w:w="2268" w:type="dxa"/>
            <w:tcBorders>
              <w:top w:val="single" w:sz="4" w:space="0" w:color="B0B8C1"/>
              <w:left w:val="single" w:sz="4" w:space="0" w:color="B0B8C1"/>
              <w:bottom w:val="single" w:sz="4" w:space="0" w:color="B0B8C1"/>
              <w:right w:val="single" w:sz="4" w:space="0" w:color="B0B8C1"/>
            </w:tcBorders>
            <w:shd w:val="clear" w:color="auto" w:fill="F2F5F7"/>
          </w:tcPr>
          <w:p w14:paraId="015DAFF3" w14:textId="77777777" w:rsidR="00F6453B" w:rsidRPr="00B76053" w:rsidRDefault="00F6453B" w:rsidP="00DA0774">
            <w:pPr>
              <w:spacing w:before="60" w:after="60"/>
              <w:jc w:val="left"/>
              <w:rPr>
                <w:rFonts w:cs="Times New Roman"/>
              </w:rPr>
            </w:pPr>
            <w:r w:rsidRPr="00B76053">
              <w:rPr>
                <w:rFonts w:cs="Times New Roman"/>
                <w:sz w:val="18"/>
              </w:rPr>
              <w:t>Verified-review platform; subject to self-selection and extreme-response bias</w:t>
            </w:r>
          </w:p>
        </w:tc>
        <w:tc>
          <w:tcPr>
            <w:tcW w:w="2494" w:type="dxa"/>
            <w:tcBorders>
              <w:top w:val="single" w:sz="4" w:space="0" w:color="B0B8C1"/>
              <w:left w:val="single" w:sz="4" w:space="0" w:color="B0B8C1"/>
              <w:bottom w:val="single" w:sz="4" w:space="0" w:color="B0B8C1"/>
              <w:right w:val="single" w:sz="4" w:space="0" w:color="B0B8C1"/>
            </w:tcBorders>
            <w:shd w:val="clear" w:color="auto" w:fill="F2F5F7"/>
          </w:tcPr>
          <w:p w14:paraId="0233A598" w14:textId="77777777" w:rsidR="00F6453B" w:rsidRPr="00B76053" w:rsidRDefault="00F6453B" w:rsidP="00DA0774">
            <w:pPr>
              <w:spacing w:before="60" w:after="60"/>
              <w:jc w:val="left"/>
              <w:rPr>
                <w:rFonts w:cs="Times New Roman"/>
              </w:rPr>
            </w:pPr>
            <w:r w:rsidRPr="00B76053">
              <w:rPr>
                <w:rFonts w:cs="Times New Roman"/>
                <w:sz w:val="18"/>
              </w:rPr>
              <w:t>Always present with pre/post sample sizes (n=1,746 / n=169) and self-selection caveat</w:t>
            </w:r>
          </w:p>
        </w:tc>
      </w:tr>
      <w:tr w:rsidR="00F6453B" w:rsidRPr="00B76053" w14:paraId="0B886E98"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FFFFF"/>
          </w:tcPr>
          <w:p w14:paraId="2FEC3B33" w14:textId="77777777" w:rsidR="00F6453B" w:rsidRPr="00B76053" w:rsidRDefault="00F6453B" w:rsidP="00DA0774">
            <w:pPr>
              <w:spacing w:before="60" w:after="60"/>
              <w:jc w:val="left"/>
              <w:rPr>
                <w:rFonts w:cs="Times New Roman"/>
              </w:rPr>
            </w:pPr>
            <w:r w:rsidRPr="00B76053">
              <w:rPr>
                <w:rFonts w:cs="Times New Roman"/>
                <w:b/>
                <w:sz w:val="18"/>
              </w:rPr>
              <w:t>Medium-Low</w:t>
            </w:r>
          </w:p>
        </w:tc>
        <w:tc>
          <w:tcPr>
            <w:tcW w:w="1814" w:type="dxa"/>
            <w:tcBorders>
              <w:top w:val="single" w:sz="4" w:space="0" w:color="B0B8C1"/>
              <w:left w:val="single" w:sz="4" w:space="0" w:color="B0B8C1"/>
              <w:bottom w:val="single" w:sz="4" w:space="0" w:color="B0B8C1"/>
              <w:right w:val="single" w:sz="4" w:space="0" w:color="B0B8C1"/>
            </w:tcBorders>
            <w:shd w:val="clear" w:color="auto" w:fill="FFFFFF"/>
          </w:tcPr>
          <w:p w14:paraId="14A7EE4E" w14:textId="77777777" w:rsidR="00F6453B" w:rsidRPr="00B76053" w:rsidRDefault="00F6453B" w:rsidP="00DA0774">
            <w:pPr>
              <w:spacing w:before="60" w:after="60"/>
              <w:jc w:val="left"/>
              <w:rPr>
                <w:rFonts w:cs="Times New Roman"/>
              </w:rPr>
            </w:pPr>
            <w:r w:rsidRPr="00B76053">
              <w:rPr>
                <w:rFonts w:cs="Times New Roman"/>
                <w:sz w:val="18"/>
              </w:rPr>
              <w:t>News media republishing press releases</w:t>
            </w:r>
          </w:p>
        </w:tc>
        <w:tc>
          <w:tcPr>
            <w:tcW w:w="2381" w:type="dxa"/>
            <w:tcBorders>
              <w:top w:val="single" w:sz="4" w:space="0" w:color="B0B8C1"/>
              <w:left w:val="single" w:sz="4" w:space="0" w:color="B0B8C1"/>
              <w:bottom w:val="single" w:sz="4" w:space="0" w:color="B0B8C1"/>
              <w:right w:val="single" w:sz="4" w:space="0" w:color="B0B8C1"/>
            </w:tcBorders>
            <w:shd w:val="clear" w:color="auto" w:fill="FFFFFF"/>
          </w:tcPr>
          <w:p w14:paraId="096DEF35" w14:textId="77777777" w:rsidR="00F6453B" w:rsidRPr="00B76053" w:rsidRDefault="00F6453B" w:rsidP="00DA0774">
            <w:pPr>
              <w:spacing w:before="60" w:after="60"/>
              <w:jc w:val="left"/>
              <w:rPr>
                <w:rFonts w:cs="Times New Roman"/>
              </w:rPr>
            </w:pPr>
            <w:r w:rsidRPr="00B76053">
              <w:rPr>
                <w:rFonts w:cs="Times New Roman"/>
                <w:sz w:val="18"/>
              </w:rPr>
              <w:t>HousingWire, Axios, BusinessWire</w:t>
            </w:r>
          </w:p>
        </w:tc>
        <w:tc>
          <w:tcPr>
            <w:tcW w:w="2268" w:type="dxa"/>
            <w:tcBorders>
              <w:top w:val="single" w:sz="4" w:space="0" w:color="B0B8C1"/>
              <w:left w:val="single" w:sz="4" w:space="0" w:color="B0B8C1"/>
              <w:bottom w:val="single" w:sz="4" w:space="0" w:color="B0B8C1"/>
              <w:right w:val="single" w:sz="4" w:space="0" w:color="B0B8C1"/>
            </w:tcBorders>
            <w:shd w:val="clear" w:color="auto" w:fill="FFFFFF"/>
          </w:tcPr>
          <w:p w14:paraId="597E7D50" w14:textId="77777777" w:rsidR="00F6453B" w:rsidRPr="00B76053" w:rsidRDefault="00F6453B" w:rsidP="00DA0774">
            <w:pPr>
              <w:spacing w:before="60" w:after="60"/>
              <w:jc w:val="left"/>
              <w:rPr>
                <w:rFonts w:cs="Times New Roman"/>
              </w:rPr>
            </w:pPr>
            <w:r w:rsidRPr="00B76053">
              <w:rPr>
                <w:rFonts w:cs="Times New Roman"/>
                <w:sz w:val="18"/>
              </w:rPr>
              <w:t>Editorial standards; not peer-reviewed</w:t>
            </w:r>
          </w:p>
        </w:tc>
        <w:tc>
          <w:tcPr>
            <w:tcW w:w="2494" w:type="dxa"/>
            <w:tcBorders>
              <w:top w:val="single" w:sz="4" w:space="0" w:color="B0B8C1"/>
              <w:left w:val="single" w:sz="4" w:space="0" w:color="B0B8C1"/>
              <w:bottom w:val="single" w:sz="4" w:space="0" w:color="B0B8C1"/>
              <w:right w:val="single" w:sz="4" w:space="0" w:color="B0B8C1"/>
            </w:tcBorders>
            <w:shd w:val="clear" w:color="auto" w:fill="FFFFFF"/>
          </w:tcPr>
          <w:p w14:paraId="649A38F8" w14:textId="77777777" w:rsidR="00F6453B" w:rsidRPr="00B76053" w:rsidRDefault="00F6453B" w:rsidP="00DA0774">
            <w:pPr>
              <w:spacing w:before="60" w:after="60"/>
              <w:jc w:val="left"/>
              <w:rPr>
                <w:rFonts w:cs="Times New Roman"/>
              </w:rPr>
            </w:pPr>
            <w:r w:rsidRPr="00B76053">
              <w:rPr>
                <w:rFonts w:cs="Times New Roman"/>
                <w:sz w:val="18"/>
              </w:rPr>
              <w:t>Use only to triangulate timing — never to establish magnitude</w:t>
            </w:r>
          </w:p>
        </w:tc>
      </w:tr>
      <w:tr w:rsidR="00F6453B" w:rsidRPr="00B76053" w14:paraId="0530190D"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2F5F7"/>
          </w:tcPr>
          <w:p w14:paraId="0C07714C" w14:textId="77777777" w:rsidR="00F6453B" w:rsidRPr="00B76053" w:rsidRDefault="00F6453B" w:rsidP="00DA0774">
            <w:pPr>
              <w:spacing w:before="60" w:after="60"/>
              <w:jc w:val="left"/>
              <w:rPr>
                <w:rFonts w:cs="Times New Roman"/>
              </w:rPr>
            </w:pPr>
            <w:r w:rsidRPr="00B76053">
              <w:rPr>
                <w:rFonts w:cs="Times New Roman"/>
                <w:b/>
                <w:sz w:val="18"/>
              </w:rPr>
              <w:t>Low</w:t>
            </w:r>
          </w:p>
        </w:tc>
        <w:tc>
          <w:tcPr>
            <w:tcW w:w="1814" w:type="dxa"/>
            <w:tcBorders>
              <w:top w:val="single" w:sz="4" w:space="0" w:color="B0B8C1"/>
              <w:left w:val="single" w:sz="4" w:space="0" w:color="B0B8C1"/>
              <w:bottom w:val="single" w:sz="4" w:space="0" w:color="B0B8C1"/>
              <w:right w:val="single" w:sz="4" w:space="0" w:color="B0B8C1"/>
            </w:tcBorders>
            <w:shd w:val="clear" w:color="auto" w:fill="F2F5F7"/>
          </w:tcPr>
          <w:p w14:paraId="14922D4E" w14:textId="77777777" w:rsidR="00F6453B" w:rsidRPr="00B76053" w:rsidRDefault="00F6453B" w:rsidP="00DA0774">
            <w:pPr>
              <w:spacing w:before="60" w:after="60"/>
              <w:jc w:val="left"/>
              <w:rPr>
                <w:rFonts w:cs="Times New Roman"/>
              </w:rPr>
            </w:pPr>
            <w:r w:rsidRPr="00B76053">
              <w:rPr>
                <w:rFonts w:cs="Times New Roman"/>
                <w:sz w:val="18"/>
              </w:rPr>
              <w:t>Trade-press / vendor blog</w:t>
            </w:r>
          </w:p>
        </w:tc>
        <w:tc>
          <w:tcPr>
            <w:tcW w:w="2381" w:type="dxa"/>
            <w:tcBorders>
              <w:top w:val="single" w:sz="4" w:space="0" w:color="B0B8C1"/>
              <w:left w:val="single" w:sz="4" w:space="0" w:color="B0B8C1"/>
              <w:bottom w:val="single" w:sz="4" w:space="0" w:color="B0B8C1"/>
              <w:right w:val="single" w:sz="4" w:space="0" w:color="B0B8C1"/>
            </w:tcBorders>
            <w:shd w:val="clear" w:color="auto" w:fill="F2F5F7"/>
          </w:tcPr>
          <w:p w14:paraId="46E0C1C2" w14:textId="77777777" w:rsidR="00F6453B" w:rsidRPr="00B76053" w:rsidRDefault="00F6453B" w:rsidP="00DA0774">
            <w:pPr>
              <w:spacing w:before="60" w:after="60"/>
              <w:jc w:val="left"/>
              <w:rPr>
                <w:rFonts w:cs="Times New Roman"/>
              </w:rPr>
            </w:pPr>
            <w:r w:rsidRPr="00B76053">
              <w:rPr>
                <w:rFonts w:cs="Times New Roman"/>
                <w:sz w:val="18"/>
              </w:rPr>
              <w:t>Generic AI-vendor blogs</w:t>
            </w:r>
          </w:p>
        </w:tc>
        <w:tc>
          <w:tcPr>
            <w:tcW w:w="2268" w:type="dxa"/>
            <w:tcBorders>
              <w:top w:val="single" w:sz="4" w:space="0" w:color="B0B8C1"/>
              <w:left w:val="single" w:sz="4" w:space="0" w:color="B0B8C1"/>
              <w:bottom w:val="single" w:sz="4" w:space="0" w:color="B0B8C1"/>
              <w:right w:val="single" w:sz="4" w:space="0" w:color="B0B8C1"/>
            </w:tcBorders>
            <w:shd w:val="clear" w:color="auto" w:fill="F2F5F7"/>
          </w:tcPr>
          <w:p w14:paraId="377600B3" w14:textId="77777777" w:rsidR="00F6453B" w:rsidRPr="00B76053" w:rsidRDefault="00F6453B" w:rsidP="00DA0774">
            <w:pPr>
              <w:spacing w:before="60" w:after="60"/>
              <w:jc w:val="left"/>
              <w:rPr>
                <w:rFonts w:cs="Times New Roman"/>
              </w:rPr>
            </w:pPr>
            <w:r w:rsidRPr="00B76053">
              <w:rPr>
                <w:rFonts w:cs="Times New Roman"/>
                <w:sz w:val="18"/>
              </w:rPr>
              <w:t>Promotional; no quality assurance</w:t>
            </w:r>
          </w:p>
        </w:tc>
        <w:tc>
          <w:tcPr>
            <w:tcW w:w="2494" w:type="dxa"/>
            <w:tcBorders>
              <w:top w:val="single" w:sz="4" w:space="0" w:color="B0B8C1"/>
              <w:left w:val="single" w:sz="4" w:space="0" w:color="B0B8C1"/>
              <w:bottom w:val="single" w:sz="4" w:space="0" w:color="B0B8C1"/>
              <w:right w:val="single" w:sz="4" w:space="0" w:color="B0B8C1"/>
            </w:tcBorders>
            <w:shd w:val="clear" w:color="auto" w:fill="F2F5F7"/>
          </w:tcPr>
          <w:p w14:paraId="4505A8F8" w14:textId="77777777" w:rsidR="00F6453B" w:rsidRPr="00B76053" w:rsidRDefault="00F6453B" w:rsidP="00DA0774">
            <w:pPr>
              <w:spacing w:before="60" w:after="60"/>
              <w:jc w:val="left"/>
              <w:rPr>
                <w:rFonts w:cs="Times New Roman"/>
              </w:rPr>
            </w:pPr>
            <w:r w:rsidRPr="00B76053">
              <w:rPr>
                <w:rFonts w:cs="Times New Roman"/>
                <w:sz w:val="18"/>
              </w:rPr>
              <w:t>Avoid; use only when no higher-tier source covers the same point</w:t>
            </w:r>
          </w:p>
        </w:tc>
      </w:tr>
    </w:tbl>
    <w:p w14:paraId="213DAADE" w14:textId="77777777" w:rsidR="006046D2" w:rsidRPr="00B76053" w:rsidRDefault="00B04762">
      <w:pPr>
        <w:pStyle w:val="Heading2"/>
        <w:spacing w:before="280"/>
        <w:rPr>
          <w:rFonts w:cs="Times New Roman"/>
        </w:rPr>
      </w:pPr>
      <w:bookmarkStart w:id="33" w:name="_Toc229599042"/>
      <w:r w:rsidRPr="00B76053">
        <w:rPr>
          <w:rFonts w:cs="Times New Roman"/>
        </w:rPr>
        <w:t>3.8 Triangulation Logic</w:t>
      </w:r>
      <w:bookmarkEnd w:id="33"/>
    </w:p>
    <w:p w14:paraId="55D0C164" w14:textId="77777777" w:rsidR="00003173" w:rsidRPr="00B76053" w:rsidRDefault="00003173" w:rsidP="00003173">
      <w:pPr>
        <w:rPr>
          <w:rFonts w:cs="Times New Roman"/>
        </w:rPr>
      </w:pPr>
      <w:r w:rsidRPr="00B76053">
        <w:rPr>
          <w:rFonts w:cs="Times New Roman"/>
        </w:rPr>
        <w:t xml:space="preserve">The ultimate strength of the methodology lies in triangulation — the cross-verification of findings across multiple independent data sources and analytical techniques. The Qualitative Case Study strand provides the architectural mechanism: how the Tinman platform digitised the mortgage workflow in a way that made it accessible to a voice AI agent. The Financial Quantitative strand provides the objective outcome: whether audited financial data shows </w:t>
      </w:r>
      <w:r w:rsidRPr="00B76053">
        <w:rPr>
          <w:rFonts w:cs="Times New Roman"/>
        </w:rPr>
        <w:lastRenderedPageBreak/>
        <w:t>movement in expense intensity and labour productivity consistent with operational leverage. The NLP Computational strand provides external perception evidence: how customers who interacted with Better.com's service described their experiences in unsolicited public reviews.</w:t>
      </w:r>
    </w:p>
    <w:p w14:paraId="449802C1" w14:textId="77777777" w:rsidR="00003173" w:rsidRPr="00B76053" w:rsidRDefault="00003173" w:rsidP="00003173">
      <w:pPr>
        <w:rPr>
          <w:rFonts w:cs="Times New Roman"/>
        </w:rPr>
      </w:pPr>
      <w:r w:rsidRPr="00B76053">
        <w:rPr>
          <w:rFonts w:cs="Times New Roman"/>
        </w:rPr>
        <w:t>Triangulation is designed to accommodate divergence rather than suppress it. This thesis exhibits a meaningful divergence across its measurement instruments. Management has reported an improvement in Net Promoter Score following Betsy's launch, and audited financial data shows material improvement in expense intensity and revenue recovery. In parallel, the independent NLP analysis reveals a statistically significant decline in Trustpilot star ratings and sentiment scores over the same period — full results are reported in §5.4. Rather than treating this as a contradiction, the mixed-methods architecture interprets it as an analytically valuable triangulation insight: management-reported NPS is an internally administered instrument with medium reliability, while Trustpilot reviews are independent but self-selected, capturing a different and potentially more emotionally engaged segment of the customer base. Divergence between these instruments is therefore consistent with two different measurement tools capturing different dimensions of the customer experience — not evidence of methodological error.</w:t>
      </w:r>
    </w:p>
    <w:p w14:paraId="16AE6F65" w14:textId="77777777" w:rsidR="00003173" w:rsidRPr="00B76053" w:rsidRDefault="00003173" w:rsidP="00003173">
      <w:pPr>
        <w:rPr>
          <w:rFonts w:cs="Times New Roman"/>
        </w:rPr>
      </w:pPr>
      <w:r w:rsidRPr="00B76053">
        <w:rPr>
          <w:rFonts w:cs="Times New Roman"/>
        </w:rPr>
        <w:t>This triangulation logic prevents both uncritical acceptance of corporate narratives and over-interpretation of any single data source. Topic-modelling patterns provide a further descriptive interpretive layer, presented as directional signals in §5.4.4 given the small post-launch clustered sample.</w:t>
      </w:r>
    </w:p>
    <w:p w14:paraId="3CF441E5" w14:textId="77777777" w:rsidR="006046D2" w:rsidRPr="00B76053" w:rsidRDefault="00B04762">
      <w:pPr>
        <w:pStyle w:val="Heading2"/>
        <w:spacing w:before="280"/>
        <w:rPr>
          <w:rFonts w:cs="Times New Roman"/>
        </w:rPr>
      </w:pPr>
      <w:bookmarkStart w:id="34" w:name="_Toc229599043"/>
      <w:r w:rsidRPr="00B76053">
        <w:rPr>
          <w:rFonts w:cs="Times New Roman"/>
        </w:rPr>
        <w:t>3.9 Methodological Limitations</w:t>
      </w:r>
      <w:bookmarkEnd w:id="34"/>
    </w:p>
    <w:p w14:paraId="0190BD9F" w14:textId="77777777" w:rsidR="00003173" w:rsidRPr="00B76053" w:rsidRDefault="00003173" w:rsidP="00003173">
      <w:pPr>
        <w:rPr>
          <w:rFonts w:cs="Times New Roman"/>
        </w:rPr>
      </w:pPr>
      <w:r w:rsidRPr="00B76053">
        <w:rPr>
          <w:rFonts w:cs="Times New Roman"/>
        </w:rPr>
        <w:t>Five principal limitations bound the interpretation of this thesis: (i) the absence of causal identification given the observational single-case design; (ii) the annual granularity of the audited financial data; (iii) reliance on public-data and single-vendor sources; (iv) self-selection and pre/post imbalance in the Trustpilot corpus; and (v) cross-company comparability constraints in the Rocket benchmark. Each limitation is recorded in Table 3.3 with its mitigation strategy and the Chapter 8 subsection in which it is examined in depth.</w:t>
      </w:r>
    </w:p>
    <w:p w14:paraId="28C71E8E" w14:textId="77777777" w:rsidR="00B8150A" w:rsidRPr="00B76053" w:rsidRDefault="00B8150A" w:rsidP="00B8150A">
      <w:pPr>
        <w:pStyle w:val="Caption"/>
        <w:spacing w:before="120" w:after="240"/>
        <w:rPr>
          <w:rFonts w:cs="Times New Roman"/>
        </w:rPr>
      </w:pPr>
      <w:r w:rsidRPr="00B76053">
        <w:rPr>
          <w:rFonts w:cs="Times New Roman"/>
        </w:rPr>
        <w:t>Table 3.3. Consolidated view of the five principal methodological limitations of this thesis, with mitigation actions and corresponding Chapter 8 subsections.</w:t>
      </w:r>
    </w:p>
    <w:tbl>
      <w:tblPr>
        <w:tblStyle w:val="TableGrid"/>
        <w:tblW w:w="9828" w:type="dxa"/>
        <w:tblLook w:val="04A0" w:firstRow="1" w:lastRow="0" w:firstColumn="1" w:lastColumn="0" w:noHBand="0" w:noVBand="1"/>
      </w:tblPr>
      <w:tblGrid>
        <w:gridCol w:w="454"/>
        <w:gridCol w:w="1634"/>
        <w:gridCol w:w="3240"/>
        <w:gridCol w:w="3060"/>
        <w:gridCol w:w="1440"/>
      </w:tblGrid>
      <w:tr w:rsidR="003A2D72" w:rsidRPr="00B76053" w14:paraId="5FB22F16" w14:textId="77777777" w:rsidTr="003A2D72">
        <w:tc>
          <w:tcPr>
            <w:tcW w:w="454" w:type="dxa"/>
            <w:tcBorders>
              <w:top w:val="single" w:sz="4" w:space="0" w:color="FFFFFF"/>
              <w:left w:val="single" w:sz="4" w:space="0" w:color="FFFFFF"/>
              <w:bottom w:val="single" w:sz="4" w:space="0" w:color="FFFFFF"/>
              <w:right w:val="single" w:sz="4" w:space="0" w:color="FFFFFF"/>
            </w:tcBorders>
            <w:shd w:val="clear" w:color="auto" w:fill="2E4057"/>
          </w:tcPr>
          <w:p w14:paraId="79EC045A" w14:textId="77777777" w:rsidR="003A2D72" w:rsidRPr="00B76053" w:rsidRDefault="003A2D72" w:rsidP="00DA0774">
            <w:pPr>
              <w:spacing w:before="60" w:after="60"/>
              <w:jc w:val="center"/>
              <w:rPr>
                <w:rFonts w:cs="Times New Roman"/>
              </w:rPr>
            </w:pPr>
            <w:r w:rsidRPr="00B76053">
              <w:rPr>
                <w:rFonts w:cs="Times New Roman"/>
                <w:b/>
                <w:color w:val="FFFFFF"/>
                <w:sz w:val="18"/>
              </w:rPr>
              <w:lastRenderedPageBreak/>
              <w:t>#</w:t>
            </w:r>
          </w:p>
        </w:tc>
        <w:tc>
          <w:tcPr>
            <w:tcW w:w="1634" w:type="dxa"/>
            <w:tcBorders>
              <w:top w:val="single" w:sz="4" w:space="0" w:color="FFFFFF"/>
              <w:left w:val="single" w:sz="4" w:space="0" w:color="FFFFFF"/>
              <w:bottom w:val="single" w:sz="4" w:space="0" w:color="FFFFFF"/>
              <w:right w:val="single" w:sz="4" w:space="0" w:color="FFFFFF"/>
            </w:tcBorders>
            <w:shd w:val="clear" w:color="auto" w:fill="2E4057"/>
          </w:tcPr>
          <w:p w14:paraId="6E6FE312" w14:textId="77777777" w:rsidR="003A2D72" w:rsidRPr="00B76053" w:rsidRDefault="003A2D72" w:rsidP="00DA0774">
            <w:pPr>
              <w:spacing w:before="60" w:after="60"/>
              <w:jc w:val="center"/>
              <w:rPr>
                <w:rFonts w:cs="Times New Roman"/>
              </w:rPr>
            </w:pPr>
            <w:r w:rsidRPr="00B76053">
              <w:rPr>
                <w:rFonts w:cs="Times New Roman"/>
                <w:b/>
                <w:color w:val="FFFFFF"/>
                <w:sz w:val="18"/>
              </w:rPr>
              <w:t>Limitation</w:t>
            </w:r>
          </w:p>
        </w:tc>
        <w:tc>
          <w:tcPr>
            <w:tcW w:w="3240" w:type="dxa"/>
            <w:tcBorders>
              <w:top w:val="single" w:sz="4" w:space="0" w:color="FFFFFF"/>
              <w:left w:val="single" w:sz="4" w:space="0" w:color="FFFFFF"/>
              <w:bottom w:val="single" w:sz="4" w:space="0" w:color="FFFFFF"/>
              <w:right w:val="single" w:sz="4" w:space="0" w:color="FFFFFF"/>
            </w:tcBorders>
            <w:shd w:val="clear" w:color="auto" w:fill="2E4057"/>
          </w:tcPr>
          <w:p w14:paraId="55672133" w14:textId="77777777" w:rsidR="003A2D72" w:rsidRPr="00B76053" w:rsidRDefault="003A2D72" w:rsidP="00DA0774">
            <w:pPr>
              <w:spacing w:before="60" w:after="60"/>
              <w:jc w:val="center"/>
              <w:rPr>
                <w:rFonts w:cs="Times New Roman"/>
              </w:rPr>
            </w:pPr>
            <w:r w:rsidRPr="00B76053">
              <w:rPr>
                <w:rFonts w:cs="Times New Roman"/>
                <w:b/>
                <w:color w:val="FFFFFF"/>
                <w:sz w:val="18"/>
              </w:rPr>
              <w:t>Nature of Risk</w:t>
            </w:r>
          </w:p>
        </w:tc>
        <w:tc>
          <w:tcPr>
            <w:tcW w:w="3060" w:type="dxa"/>
            <w:tcBorders>
              <w:top w:val="single" w:sz="4" w:space="0" w:color="FFFFFF"/>
              <w:left w:val="single" w:sz="4" w:space="0" w:color="FFFFFF"/>
              <w:bottom w:val="single" w:sz="4" w:space="0" w:color="FFFFFF"/>
              <w:right w:val="single" w:sz="4" w:space="0" w:color="FFFFFF"/>
            </w:tcBorders>
            <w:shd w:val="clear" w:color="auto" w:fill="2E4057"/>
          </w:tcPr>
          <w:p w14:paraId="70717E83" w14:textId="77777777" w:rsidR="003A2D72" w:rsidRPr="00B76053" w:rsidRDefault="003A2D72" w:rsidP="00DA0774">
            <w:pPr>
              <w:spacing w:before="60" w:after="60"/>
              <w:jc w:val="center"/>
              <w:rPr>
                <w:rFonts w:cs="Times New Roman"/>
              </w:rPr>
            </w:pPr>
            <w:r w:rsidRPr="00B76053">
              <w:rPr>
                <w:rFonts w:cs="Times New Roman"/>
                <w:b/>
                <w:color w:val="FFFFFF"/>
                <w:sz w:val="18"/>
              </w:rPr>
              <w:t>Mitigation Strategy</w:t>
            </w:r>
          </w:p>
        </w:tc>
        <w:tc>
          <w:tcPr>
            <w:tcW w:w="1440" w:type="dxa"/>
            <w:tcBorders>
              <w:top w:val="single" w:sz="4" w:space="0" w:color="FFFFFF"/>
              <w:left w:val="single" w:sz="4" w:space="0" w:color="FFFFFF"/>
              <w:bottom w:val="single" w:sz="4" w:space="0" w:color="FFFFFF"/>
              <w:right w:val="single" w:sz="4" w:space="0" w:color="FFFFFF"/>
            </w:tcBorders>
            <w:shd w:val="clear" w:color="auto" w:fill="2E4057"/>
          </w:tcPr>
          <w:p w14:paraId="4D0F5163" w14:textId="77777777" w:rsidR="003A2D72" w:rsidRPr="00B76053" w:rsidRDefault="003A2D72" w:rsidP="00DA0774">
            <w:pPr>
              <w:spacing w:before="60" w:after="60"/>
              <w:jc w:val="center"/>
              <w:rPr>
                <w:rFonts w:cs="Times New Roman"/>
              </w:rPr>
            </w:pPr>
            <w:r w:rsidRPr="00B76053">
              <w:rPr>
                <w:rFonts w:cs="Times New Roman"/>
                <w:b/>
                <w:color w:val="FFFFFF"/>
                <w:sz w:val="18"/>
              </w:rPr>
              <w:t>Ch. 8 Subsection</w:t>
            </w:r>
          </w:p>
        </w:tc>
      </w:tr>
      <w:tr w:rsidR="003A2D72" w:rsidRPr="00B76053" w14:paraId="2A6C5E0D" w14:textId="77777777" w:rsidTr="003A2D72">
        <w:tc>
          <w:tcPr>
            <w:tcW w:w="454" w:type="dxa"/>
            <w:tcBorders>
              <w:top w:val="single" w:sz="4" w:space="0" w:color="B0B8C1"/>
              <w:left w:val="single" w:sz="4" w:space="0" w:color="B0B8C1"/>
              <w:bottom w:val="single" w:sz="4" w:space="0" w:color="B0B8C1"/>
              <w:right w:val="single" w:sz="4" w:space="0" w:color="B0B8C1"/>
            </w:tcBorders>
            <w:shd w:val="clear" w:color="auto" w:fill="FFFFFF"/>
          </w:tcPr>
          <w:p w14:paraId="51C53CF4" w14:textId="77777777" w:rsidR="003A2D72" w:rsidRPr="00B76053" w:rsidRDefault="003A2D72" w:rsidP="003A2D72">
            <w:pPr>
              <w:spacing w:before="60" w:after="60"/>
              <w:jc w:val="left"/>
              <w:rPr>
                <w:rFonts w:cs="Times New Roman"/>
              </w:rPr>
            </w:pPr>
            <w:r w:rsidRPr="00B76053">
              <w:rPr>
                <w:rFonts w:cs="Times New Roman"/>
                <w:b/>
                <w:sz w:val="18"/>
              </w:rPr>
              <w:t>1</w:t>
            </w:r>
          </w:p>
        </w:tc>
        <w:tc>
          <w:tcPr>
            <w:tcW w:w="1634" w:type="dxa"/>
            <w:tcBorders>
              <w:top w:val="single" w:sz="4" w:space="0" w:color="B0B8C1"/>
              <w:left w:val="single" w:sz="4" w:space="0" w:color="B0B8C1"/>
              <w:bottom w:val="single" w:sz="4" w:space="0" w:color="B0B8C1"/>
              <w:right w:val="single" w:sz="4" w:space="0" w:color="B0B8C1"/>
            </w:tcBorders>
            <w:shd w:val="clear" w:color="auto" w:fill="FFFFFF"/>
          </w:tcPr>
          <w:p w14:paraId="16C02DF1" w14:textId="77777777" w:rsidR="003A2D72" w:rsidRPr="00B76053" w:rsidRDefault="003A2D72" w:rsidP="003A2D72">
            <w:pPr>
              <w:spacing w:before="60" w:after="60"/>
              <w:jc w:val="left"/>
              <w:rPr>
                <w:rFonts w:cs="Times New Roman"/>
              </w:rPr>
            </w:pPr>
            <w:r w:rsidRPr="00B76053">
              <w:rPr>
                <w:rFonts w:cs="Times New Roman"/>
                <w:sz w:val="18"/>
              </w:rPr>
              <w:t>Single-case generalisability</w:t>
            </w:r>
          </w:p>
        </w:tc>
        <w:tc>
          <w:tcPr>
            <w:tcW w:w="3240" w:type="dxa"/>
            <w:tcBorders>
              <w:top w:val="single" w:sz="4" w:space="0" w:color="B0B8C1"/>
              <w:left w:val="single" w:sz="4" w:space="0" w:color="B0B8C1"/>
              <w:bottom w:val="single" w:sz="4" w:space="0" w:color="B0B8C1"/>
              <w:right w:val="single" w:sz="4" w:space="0" w:color="B0B8C1"/>
            </w:tcBorders>
            <w:shd w:val="clear" w:color="auto" w:fill="FFFFFF"/>
          </w:tcPr>
          <w:p w14:paraId="65AF2D19" w14:textId="77777777" w:rsidR="003A2D72" w:rsidRPr="00B76053" w:rsidRDefault="003A2D72" w:rsidP="003A2D72">
            <w:pPr>
              <w:spacing w:before="60" w:after="60"/>
              <w:jc w:val="left"/>
              <w:rPr>
                <w:rFonts w:cs="Times New Roman"/>
              </w:rPr>
            </w:pPr>
            <w:r w:rsidRPr="00B76053">
              <w:rPr>
                <w:rFonts w:cs="Times New Roman"/>
                <w:sz w:val="18"/>
              </w:rPr>
              <w:t>Findings are specific to Better.com's digital-native, centralised-stack context; statistical generalisation to the population of mortgage lenders is not possible</w:t>
            </w:r>
          </w:p>
        </w:tc>
        <w:tc>
          <w:tcPr>
            <w:tcW w:w="3060" w:type="dxa"/>
            <w:tcBorders>
              <w:top w:val="single" w:sz="4" w:space="0" w:color="B0B8C1"/>
              <w:left w:val="single" w:sz="4" w:space="0" w:color="B0B8C1"/>
              <w:bottom w:val="single" w:sz="4" w:space="0" w:color="B0B8C1"/>
              <w:right w:val="single" w:sz="4" w:space="0" w:color="B0B8C1"/>
            </w:tcBorders>
            <w:shd w:val="clear" w:color="auto" w:fill="FFFFFF"/>
          </w:tcPr>
          <w:p w14:paraId="0C61FAEA" w14:textId="77777777" w:rsidR="003A2D72" w:rsidRPr="00B76053" w:rsidRDefault="003A2D72" w:rsidP="003A2D72">
            <w:pPr>
              <w:spacing w:before="60" w:after="60"/>
              <w:jc w:val="left"/>
              <w:rPr>
                <w:rFonts w:cs="Times New Roman"/>
              </w:rPr>
            </w:pPr>
            <w:r w:rsidRPr="00B76053">
              <w:rPr>
                <w:rFonts w:cs="Times New Roman"/>
                <w:sz w:val="18"/>
              </w:rPr>
              <w:t>Apply analytic generalisation (Yin, 2018): findings are generalised to theory, not to population. Explicitly scope transferability to similar digital-first configurations</w:t>
            </w:r>
          </w:p>
        </w:tc>
        <w:tc>
          <w:tcPr>
            <w:tcW w:w="1440" w:type="dxa"/>
            <w:tcBorders>
              <w:top w:val="single" w:sz="4" w:space="0" w:color="B0B8C1"/>
              <w:left w:val="single" w:sz="4" w:space="0" w:color="B0B8C1"/>
              <w:bottom w:val="single" w:sz="4" w:space="0" w:color="B0B8C1"/>
              <w:right w:val="single" w:sz="4" w:space="0" w:color="B0B8C1"/>
            </w:tcBorders>
            <w:shd w:val="clear" w:color="auto" w:fill="FFFFFF"/>
          </w:tcPr>
          <w:p w14:paraId="25E3ACE4" w14:textId="77777777" w:rsidR="003A2D72" w:rsidRPr="00B76053" w:rsidRDefault="003A2D72" w:rsidP="003A2D72">
            <w:pPr>
              <w:spacing w:before="60" w:after="60"/>
              <w:jc w:val="left"/>
              <w:rPr>
                <w:rFonts w:cs="Times New Roman"/>
              </w:rPr>
            </w:pPr>
            <w:r w:rsidRPr="00B76053">
              <w:rPr>
                <w:rFonts w:cs="Times New Roman"/>
                <w:sz w:val="18"/>
              </w:rPr>
              <w:t>§8.5</w:t>
            </w:r>
          </w:p>
        </w:tc>
      </w:tr>
      <w:tr w:rsidR="003A2D72" w:rsidRPr="00B76053" w14:paraId="765AC195" w14:textId="77777777" w:rsidTr="003A2D72">
        <w:tc>
          <w:tcPr>
            <w:tcW w:w="454" w:type="dxa"/>
            <w:tcBorders>
              <w:top w:val="single" w:sz="4" w:space="0" w:color="B0B8C1"/>
              <w:left w:val="single" w:sz="4" w:space="0" w:color="B0B8C1"/>
              <w:bottom w:val="single" w:sz="4" w:space="0" w:color="B0B8C1"/>
              <w:right w:val="single" w:sz="4" w:space="0" w:color="B0B8C1"/>
            </w:tcBorders>
            <w:shd w:val="clear" w:color="auto" w:fill="F2F5F7"/>
          </w:tcPr>
          <w:p w14:paraId="1A60ED8B" w14:textId="77777777" w:rsidR="003A2D72" w:rsidRPr="00B76053" w:rsidRDefault="003A2D72" w:rsidP="003A2D72">
            <w:pPr>
              <w:spacing w:before="60" w:after="60"/>
              <w:jc w:val="left"/>
              <w:rPr>
                <w:rFonts w:cs="Times New Roman"/>
              </w:rPr>
            </w:pPr>
            <w:r w:rsidRPr="00B76053">
              <w:rPr>
                <w:rFonts w:cs="Times New Roman"/>
                <w:b/>
                <w:sz w:val="18"/>
              </w:rPr>
              <w:t>2</w:t>
            </w:r>
          </w:p>
        </w:tc>
        <w:tc>
          <w:tcPr>
            <w:tcW w:w="1634" w:type="dxa"/>
            <w:tcBorders>
              <w:top w:val="single" w:sz="4" w:space="0" w:color="B0B8C1"/>
              <w:left w:val="single" w:sz="4" w:space="0" w:color="B0B8C1"/>
              <w:bottom w:val="single" w:sz="4" w:space="0" w:color="B0B8C1"/>
              <w:right w:val="single" w:sz="4" w:space="0" w:color="B0B8C1"/>
            </w:tcBorders>
            <w:shd w:val="clear" w:color="auto" w:fill="F2F5F7"/>
          </w:tcPr>
          <w:p w14:paraId="1385B8A7" w14:textId="77777777" w:rsidR="003A2D72" w:rsidRPr="00B76053" w:rsidRDefault="003A2D72" w:rsidP="003A2D72">
            <w:pPr>
              <w:spacing w:before="60" w:after="60"/>
              <w:jc w:val="left"/>
              <w:rPr>
                <w:rFonts w:cs="Times New Roman"/>
              </w:rPr>
            </w:pPr>
            <w:r w:rsidRPr="00B76053">
              <w:rPr>
                <w:rFonts w:cs="Times New Roman"/>
                <w:sz w:val="18"/>
              </w:rPr>
              <w:t>Absence of causal identification</w:t>
            </w:r>
          </w:p>
        </w:tc>
        <w:tc>
          <w:tcPr>
            <w:tcW w:w="3240" w:type="dxa"/>
            <w:tcBorders>
              <w:top w:val="single" w:sz="4" w:space="0" w:color="B0B8C1"/>
              <w:left w:val="single" w:sz="4" w:space="0" w:color="B0B8C1"/>
              <w:bottom w:val="single" w:sz="4" w:space="0" w:color="B0B8C1"/>
              <w:right w:val="single" w:sz="4" w:space="0" w:color="B0B8C1"/>
            </w:tcBorders>
            <w:shd w:val="clear" w:color="auto" w:fill="F2F5F7"/>
          </w:tcPr>
          <w:p w14:paraId="0C099944" w14:textId="77777777" w:rsidR="003A2D72" w:rsidRPr="00B76053" w:rsidRDefault="003A2D72" w:rsidP="003A2D72">
            <w:pPr>
              <w:spacing w:before="60" w:after="60"/>
              <w:jc w:val="left"/>
              <w:rPr>
                <w:rFonts w:cs="Times New Roman"/>
              </w:rPr>
            </w:pPr>
            <w:r w:rsidRPr="00B76053">
              <w:rPr>
                <w:rFonts w:cs="Times New Roman"/>
                <w:sz w:val="18"/>
              </w:rPr>
              <w:t>Multiple simultaneous events (restructuring, macro recovery, NEO channel launch, ElevenLabs partnership, Betsy deployment) prevent isolation of the AI effect on financial outcomes</w:t>
            </w:r>
          </w:p>
        </w:tc>
        <w:tc>
          <w:tcPr>
            <w:tcW w:w="3060" w:type="dxa"/>
            <w:tcBorders>
              <w:top w:val="single" w:sz="4" w:space="0" w:color="B0B8C1"/>
              <w:left w:val="single" w:sz="4" w:space="0" w:color="B0B8C1"/>
              <w:bottom w:val="single" w:sz="4" w:space="0" w:color="B0B8C1"/>
              <w:right w:val="single" w:sz="4" w:space="0" w:color="B0B8C1"/>
            </w:tcBorders>
            <w:shd w:val="clear" w:color="auto" w:fill="F2F5F7"/>
          </w:tcPr>
          <w:p w14:paraId="67497AD3" w14:textId="77777777" w:rsidR="003A2D72" w:rsidRPr="00B76053" w:rsidRDefault="003A2D72" w:rsidP="003A2D72">
            <w:pPr>
              <w:spacing w:before="60" w:after="60"/>
              <w:jc w:val="left"/>
              <w:rPr>
                <w:rFonts w:cs="Times New Roman"/>
              </w:rPr>
            </w:pPr>
            <w:r w:rsidRPr="00B76053">
              <w:rPr>
                <w:rFonts w:cs="Times New Roman"/>
                <w:sz w:val="18"/>
              </w:rPr>
              <w:t>Adopt "consistent with" / "associated with" language throughout; present financial improvements as convergent evidence rather than proof of causation</w:t>
            </w:r>
          </w:p>
        </w:tc>
        <w:tc>
          <w:tcPr>
            <w:tcW w:w="1440" w:type="dxa"/>
            <w:tcBorders>
              <w:top w:val="single" w:sz="4" w:space="0" w:color="B0B8C1"/>
              <w:left w:val="single" w:sz="4" w:space="0" w:color="B0B8C1"/>
              <w:bottom w:val="single" w:sz="4" w:space="0" w:color="B0B8C1"/>
              <w:right w:val="single" w:sz="4" w:space="0" w:color="B0B8C1"/>
            </w:tcBorders>
            <w:shd w:val="clear" w:color="auto" w:fill="F2F5F7"/>
          </w:tcPr>
          <w:p w14:paraId="08F9E88B" w14:textId="77777777" w:rsidR="003A2D72" w:rsidRPr="00B76053" w:rsidRDefault="003A2D72" w:rsidP="003A2D72">
            <w:pPr>
              <w:spacing w:before="60" w:after="60"/>
              <w:jc w:val="left"/>
              <w:rPr>
                <w:rFonts w:cs="Times New Roman"/>
              </w:rPr>
            </w:pPr>
            <w:r w:rsidRPr="00B76053">
              <w:rPr>
                <w:rFonts w:cs="Times New Roman"/>
                <w:sz w:val="18"/>
              </w:rPr>
              <w:t>§8.2</w:t>
            </w:r>
          </w:p>
        </w:tc>
      </w:tr>
      <w:tr w:rsidR="003A2D72" w:rsidRPr="00B76053" w14:paraId="39BA38A6" w14:textId="77777777" w:rsidTr="003A2D72">
        <w:tc>
          <w:tcPr>
            <w:tcW w:w="454" w:type="dxa"/>
            <w:tcBorders>
              <w:top w:val="single" w:sz="4" w:space="0" w:color="B0B8C1"/>
              <w:left w:val="single" w:sz="4" w:space="0" w:color="B0B8C1"/>
              <w:bottom w:val="single" w:sz="4" w:space="0" w:color="B0B8C1"/>
              <w:right w:val="single" w:sz="4" w:space="0" w:color="B0B8C1"/>
            </w:tcBorders>
            <w:shd w:val="clear" w:color="auto" w:fill="FFFFFF"/>
          </w:tcPr>
          <w:p w14:paraId="12C16DF6" w14:textId="77777777" w:rsidR="003A2D72" w:rsidRPr="00B76053" w:rsidRDefault="003A2D72" w:rsidP="003A2D72">
            <w:pPr>
              <w:spacing w:before="60" w:after="60"/>
              <w:jc w:val="left"/>
              <w:rPr>
                <w:rFonts w:cs="Times New Roman"/>
              </w:rPr>
            </w:pPr>
            <w:r w:rsidRPr="00B76053">
              <w:rPr>
                <w:rFonts w:cs="Times New Roman"/>
                <w:b/>
                <w:sz w:val="18"/>
              </w:rPr>
              <w:t>3</w:t>
            </w:r>
          </w:p>
        </w:tc>
        <w:tc>
          <w:tcPr>
            <w:tcW w:w="1634" w:type="dxa"/>
            <w:tcBorders>
              <w:top w:val="single" w:sz="4" w:space="0" w:color="B0B8C1"/>
              <w:left w:val="single" w:sz="4" w:space="0" w:color="B0B8C1"/>
              <w:bottom w:val="single" w:sz="4" w:space="0" w:color="B0B8C1"/>
              <w:right w:val="single" w:sz="4" w:space="0" w:color="B0B8C1"/>
            </w:tcBorders>
            <w:shd w:val="clear" w:color="auto" w:fill="FFFFFF"/>
          </w:tcPr>
          <w:p w14:paraId="21A44186" w14:textId="77777777" w:rsidR="003A2D72" w:rsidRPr="00B76053" w:rsidRDefault="003A2D72" w:rsidP="003A2D72">
            <w:pPr>
              <w:spacing w:before="60" w:after="60"/>
              <w:jc w:val="left"/>
              <w:rPr>
                <w:rFonts w:cs="Times New Roman"/>
              </w:rPr>
            </w:pPr>
            <w:r w:rsidRPr="00B76053">
              <w:rPr>
                <w:rFonts w:cs="Times New Roman"/>
                <w:sz w:val="18"/>
              </w:rPr>
              <w:t>Temporal granularity of financial data</w:t>
            </w:r>
          </w:p>
        </w:tc>
        <w:tc>
          <w:tcPr>
            <w:tcW w:w="3240" w:type="dxa"/>
            <w:tcBorders>
              <w:top w:val="single" w:sz="4" w:space="0" w:color="B0B8C1"/>
              <w:left w:val="single" w:sz="4" w:space="0" w:color="B0B8C1"/>
              <w:bottom w:val="single" w:sz="4" w:space="0" w:color="B0B8C1"/>
              <w:right w:val="single" w:sz="4" w:space="0" w:color="B0B8C1"/>
            </w:tcBorders>
            <w:shd w:val="clear" w:color="auto" w:fill="FFFFFF"/>
          </w:tcPr>
          <w:p w14:paraId="35726C46" w14:textId="77777777" w:rsidR="003A2D72" w:rsidRPr="00B76053" w:rsidRDefault="003A2D72" w:rsidP="003A2D72">
            <w:pPr>
              <w:spacing w:before="60" w:after="60"/>
              <w:jc w:val="left"/>
              <w:rPr>
                <w:rFonts w:cs="Times New Roman"/>
              </w:rPr>
            </w:pPr>
            <w:r w:rsidRPr="00B76053">
              <w:rPr>
                <w:rFonts w:cs="Times New Roman"/>
                <w:sz w:val="18"/>
              </w:rPr>
              <w:t>Betsy launched 17 October 2024; FY 2024 annual figures blend ~10 months pre-deployment with ~2 months post-deployment, reducing the precision of the post-Betsy baseline</w:t>
            </w:r>
          </w:p>
        </w:tc>
        <w:tc>
          <w:tcPr>
            <w:tcW w:w="3060" w:type="dxa"/>
            <w:tcBorders>
              <w:top w:val="single" w:sz="4" w:space="0" w:color="B0B8C1"/>
              <w:left w:val="single" w:sz="4" w:space="0" w:color="B0B8C1"/>
              <w:bottom w:val="single" w:sz="4" w:space="0" w:color="B0B8C1"/>
              <w:right w:val="single" w:sz="4" w:space="0" w:color="B0B8C1"/>
            </w:tcBorders>
            <w:shd w:val="clear" w:color="auto" w:fill="FFFFFF"/>
          </w:tcPr>
          <w:p w14:paraId="01B094EC" w14:textId="77777777" w:rsidR="003A2D72" w:rsidRPr="00B76053" w:rsidRDefault="003A2D72" w:rsidP="003A2D72">
            <w:pPr>
              <w:spacing w:before="60" w:after="60"/>
              <w:jc w:val="left"/>
              <w:rPr>
                <w:rFonts w:cs="Times New Roman"/>
              </w:rPr>
            </w:pPr>
            <w:r w:rsidRPr="00B76053">
              <w:rPr>
                <w:rFonts w:cs="Times New Roman"/>
                <w:sz w:val="18"/>
              </w:rPr>
              <w:t>Treat 2024 as a transition year; use 2024–2025 as the primary post-deployment comparison window; corroborate with earnings call disclosures for intra-year context</w:t>
            </w:r>
          </w:p>
        </w:tc>
        <w:tc>
          <w:tcPr>
            <w:tcW w:w="1440" w:type="dxa"/>
            <w:tcBorders>
              <w:top w:val="single" w:sz="4" w:space="0" w:color="B0B8C1"/>
              <w:left w:val="single" w:sz="4" w:space="0" w:color="B0B8C1"/>
              <w:bottom w:val="single" w:sz="4" w:space="0" w:color="B0B8C1"/>
              <w:right w:val="single" w:sz="4" w:space="0" w:color="B0B8C1"/>
            </w:tcBorders>
            <w:shd w:val="clear" w:color="auto" w:fill="FFFFFF"/>
          </w:tcPr>
          <w:p w14:paraId="6E4DCCE4" w14:textId="77777777" w:rsidR="003A2D72" w:rsidRPr="00B76053" w:rsidRDefault="003A2D72" w:rsidP="003A2D72">
            <w:pPr>
              <w:spacing w:before="60" w:after="60"/>
              <w:jc w:val="left"/>
              <w:rPr>
                <w:rFonts w:cs="Times New Roman"/>
              </w:rPr>
            </w:pPr>
            <w:r w:rsidRPr="00B76053">
              <w:rPr>
                <w:rFonts w:cs="Times New Roman"/>
                <w:sz w:val="18"/>
              </w:rPr>
              <w:t>§8.3</w:t>
            </w:r>
          </w:p>
        </w:tc>
      </w:tr>
      <w:tr w:rsidR="003A2D72" w:rsidRPr="00B76053" w14:paraId="72F496A5" w14:textId="77777777" w:rsidTr="003A2D72">
        <w:tc>
          <w:tcPr>
            <w:tcW w:w="454" w:type="dxa"/>
            <w:tcBorders>
              <w:top w:val="single" w:sz="4" w:space="0" w:color="B0B8C1"/>
              <w:left w:val="single" w:sz="4" w:space="0" w:color="B0B8C1"/>
              <w:bottom w:val="single" w:sz="4" w:space="0" w:color="B0B8C1"/>
              <w:right w:val="single" w:sz="4" w:space="0" w:color="B0B8C1"/>
            </w:tcBorders>
            <w:shd w:val="clear" w:color="auto" w:fill="F2F5F7"/>
          </w:tcPr>
          <w:p w14:paraId="381BFF6A" w14:textId="77777777" w:rsidR="003A2D72" w:rsidRPr="00B76053" w:rsidRDefault="003A2D72" w:rsidP="003A2D72">
            <w:pPr>
              <w:spacing w:before="60" w:after="60"/>
              <w:jc w:val="left"/>
              <w:rPr>
                <w:rFonts w:cs="Times New Roman"/>
              </w:rPr>
            </w:pPr>
            <w:r w:rsidRPr="00B76053">
              <w:rPr>
                <w:rFonts w:cs="Times New Roman"/>
                <w:b/>
                <w:sz w:val="18"/>
              </w:rPr>
              <w:t>4</w:t>
            </w:r>
          </w:p>
        </w:tc>
        <w:tc>
          <w:tcPr>
            <w:tcW w:w="1634" w:type="dxa"/>
            <w:tcBorders>
              <w:top w:val="single" w:sz="4" w:space="0" w:color="B0B8C1"/>
              <w:left w:val="single" w:sz="4" w:space="0" w:color="B0B8C1"/>
              <w:bottom w:val="single" w:sz="4" w:space="0" w:color="B0B8C1"/>
              <w:right w:val="single" w:sz="4" w:space="0" w:color="B0B8C1"/>
            </w:tcBorders>
            <w:shd w:val="clear" w:color="auto" w:fill="F2F5F7"/>
          </w:tcPr>
          <w:p w14:paraId="25224772" w14:textId="77777777" w:rsidR="003A2D72" w:rsidRPr="00B76053" w:rsidRDefault="003A2D72" w:rsidP="003A2D72">
            <w:pPr>
              <w:spacing w:before="60" w:after="60"/>
              <w:jc w:val="left"/>
              <w:rPr>
                <w:rFonts w:cs="Times New Roman"/>
              </w:rPr>
            </w:pPr>
            <w:r w:rsidRPr="00B76053">
              <w:rPr>
                <w:rFonts w:cs="Times New Roman"/>
                <w:sz w:val="18"/>
              </w:rPr>
              <w:t>NLP dataset imbalance and self-selection bias</w:t>
            </w:r>
          </w:p>
        </w:tc>
        <w:tc>
          <w:tcPr>
            <w:tcW w:w="3240" w:type="dxa"/>
            <w:tcBorders>
              <w:top w:val="single" w:sz="4" w:space="0" w:color="B0B8C1"/>
              <w:left w:val="single" w:sz="4" w:space="0" w:color="B0B8C1"/>
              <w:bottom w:val="single" w:sz="4" w:space="0" w:color="B0B8C1"/>
              <w:right w:val="single" w:sz="4" w:space="0" w:color="B0B8C1"/>
            </w:tcBorders>
            <w:shd w:val="clear" w:color="auto" w:fill="F2F5F7"/>
          </w:tcPr>
          <w:p w14:paraId="2F1BB443" w14:textId="77777777" w:rsidR="003A2D72" w:rsidRPr="00B76053" w:rsidRDefault="003A2D72" w:rsidP="003A2D72">
            <w:pPr>
              <w:spacing w:before="60" w:after="60"/>
              <w:jc w:val="left"/>
              <w:rPr>
                <w:rFonts w:cs="Times New Roman"/>
              </w:rPr>
            </w:pPr>
            <w:r w:rsidRPr="00B76053">
              <w:rPr>
                <w:rFonts w:cs="Times New Roman"/>
                <w:sz w:val="18"/>
              </w:rPr>
              <w:t>Pre/post sample ratio of 10.3:1 (n=1,746 pre; n=169 post) widens post-period confidence intervals; Trustpilot self-selection over-represents emotionally engaged customers</w:t>
            </w:r>
          </w:p>
        </w:tc>
        <w:tc>
          <w:tcPr>
            <w:tcW w:w="3060" w:type="dxa"/>
            <w:tcBorders>
              <w:top w:val="single" w:sz="4" w:space="0" w:color="B0B8C1"/>
              <w:left w:val="single" w:sz="4" w:space="0" w:color="B0B8C1"/>
              <w:bottom w:val="single" w:sz="4" w:space="0" w:color="B0B8C1"/>
              <w:right w:val="single" w:sz="4" w:space="0" w:color="B0B8C1"/>
            </w:tcBorders>
            <w:shd w:val="clear" w:color="auto" w:fill="F2F5F7"/>
          </w:tcPr>
          <w:p w14:paraId="54DF2BA1" w14:textId="77777777" w:rsidR="003A2D72" w:rsidRPr="00B76053" w:rsidRDefault="003A2D72" w:rsidP="003A2D72">
            <w:pPr>
              <w:spacing w:before="60" w:after="60"/>
              <w:jc w:val="left"/>
              <w:rPr>
                <w:rFonts w:cs="Times New Roman"/>
              </w:rPr>
            </w:pPr>
            <w:r w:rsidRPr="00B76053">
              <w:rPr>
                <w:rFonts w:cs="Times New Roman"/>
                <w:sz w:val="18"/>
              </w:rPr>
              <w:t>Use Welch's t-test to accommodate unequal variance; interpret BERTopic topic-share changes as descriptive signals only; triangulate NLP evidence with management-reported NPS</w:t>
            </w:r>
          </w:p>
        </w:tc>
        <w:tc>
          <w:tcPr>
            <w:tcW w:w="1440" w:type="dxa"/>
            <w:tcBorders>
              <w:top w:val="single" w:sz="4" w:space="0" w:color="B0B8C1"/>
              <w:left w:val="single" w:sz="4" w:space="0" w:color="B0B8C1"/>
              <w:bottom w:val="single" w:sz="4" w:space="0" w:color="B0B8C1"/>
              <w:right w:val="single" w:sz="4" w:space="0" w:color="B0B8C1"/>
            </w:tcBorders>
            <w:shd w:val="clear" w:color="auto" w:fill="F2F5F7"/>
          </w:tcPr>
          <w:p w14:paraId="1099AFA9" w14:textId="77777777" w:rsidR="003A2D72" w:rsidRPr="00B76053" w:rsidRDefault="003A2D72" w:rsidP="003A2D72">
            <w:pPr>
              <w:spacing w:before="60" w:after="60"/>
              <w:jc w:val="left"/>
              <w:rPr>
                <w:rFonts w:cs="Times New Roman"/>
              </w:rPr>
            </w:pPr>
            <w:r w:rsidRPr="00B76053">
              <w:rPr>
                <w:rFonts w:cs="Times New Roman"/>
                <w:sz w:val="18"/>
              </w:rPr>
              <w:t>§8.6</w:t>
            </w:r>
          </w:p>
        </w:tc>
      </w:tr>
      <w:tr w:rsidR="003A2D72" w:rsidRPr="00B76053" w14:paraId="21BACFC1" w14:textId="77777777" w:rsidTr="003A2D72">
        <w:tc>
          <w:tcPr>
            <w:tcW w:w="454" w:type="dxa"/>
            <w:tcBorders>
              <w:top w:val="single" w:sz="4" w:space="0" w:color="B0B8C1"/>
              <w:left w:val="single" w:sz="4" w:space="0" w:color="B0B8C1"/>
              <w:bottom w:val="single" w:sz="4" w:space="0" w:color="B0B8C1"/>
              <w:right w:val="single" w:sz="4" w:space="0" w:color="B0B8C1"/>
            </w:tcBorders>
            <w:shd w:val="clear" w:color="auto" w:fill="FFFFFF"/>
          </w:tcPr>
          <w:p w14:paraId="2C44373F" w14:textId="77777777" w:rsidR="003A2D72" w:rsidRPr="00B76053" w:rsidRDefault="003A2D72" w:rsidP="003A2D72">
            <w:pPr>
              <w:spacing w:before="60" w:after="60"/>
              <w:jc w:val="left"/>
              <w:rPr>
                <w:rFonts w:cs="Times New Roman"/>
              </w:rPr>
            </w:pPr>
            <w:r w:rsidRPr="00B76053">
              <w:rPr>
                <w:rFonts w:cs="Times New Roman"/>
                <w:b/>
                <w:sz w:val="18"/>
              </w:rPr>
              <w:t>5</w:t>
            </w:r>
          </w:p>
        </w:tc>
        <w:tc>
          <w:tcPr>
            <w:tcW w:w="1634" w:type="dxa"/>
            <w:tcBorders>
              <w:top w:val="single" w:sz="4" w:space="0" w:color="B0B8C1"/>
              <w:left w:val="single" w:sz="4" w:space="0" w:color="B0B8C1"/>
              <w:bottom w:val="single" w:sz="4" w:space="0" w:color="B0B8C1"/>
              <w:right w:val="single" w:sz="4" w:space="0" w:color="B0B8C1"/>
            </w:tcBorders>
            <w:shd w:val="clear" w:color="auto" w:fill="FFFFFF"/>
          </w:tcPr>
          <w:p w14:paraId="500836BD" w14:textId="77777777" w:rsidR="003A2D72" w:rsidRPr="00B76053" w:rsidRDefault="003A2D72" w:rsidP="003A2D72">
            <w:pPr>
              <w:spacing w:before="60" w:after="60"/>
              <w:jc w:val="left"/>
              <w:rPr>
                <w:rFonts w:cs="Times New Roman"/>
              </w:rPr>
            </w:pPr>
            <w:r w:rsidRPr="00B76053">
              <w:rPr>
                <w:rFonts w:cs="Times New Roman"/>
                <w:sz w:val="18"/>
              </w:rPr>
              <w:t>Financial dataset size and cross-company comparability</w:t>
            </w:r>
          </w:p>
        </w:tc>
        <w:tc>
          <w:tcPr>
            <w:tcW w:w="3240" w:type="dxa"/>
            <w:tcBorders>
              <w:top w:val="single" w:sz="4" w:space="0" w:color="B0B8C1"/>
              <w:left w:val="single" w:sz="4" w:space="0" w:color="B0B8C1"/>
              <w:bottom w:val="single" w:sz="4" w:space="0" w:color="B0B8C1"/>
              <w:right w:val="single" w:sz="4" w:space="0" w:color="B0B8C1"/>
            </w:tcBorders>
            <w:shd w:val="clear" w:color="auto" w:fill="FFFFFF"/>
          </w:tcPr>
          <w:p w14:paraId="6628DC1B" w14:textId="77777777" w:rsidR="003A2D72" w:rsidRPr="00B76053" w:rsidRDefault="003A2D72" w:rsidP="003A2D72">
            <w:pPr>
              <w:spacing w:before="60" w:after="60"/>
              <w:jc w:val="left"/>
              <w:rPr>
                <w:rFonts w:cs="Times New Roman"/>
              </w:rPr>
            </w:pPr>
            <w:r w:rsidRPr="00B76053">
              <w:rPr>
                <w:rFonts w:cs="Times New Roman"/>
                <w:sz w:val="18"/>
              </w:rPr>
              <w:t>Five observations for Better and eight for Rocket are insufficient for formal statistical modelling; accounting presentation differences limit like-for-like ratio comparison</w:t>
            </w:r>
          </w:p>
        </w:tc>
        <w:tc>
          <w:tcPr>
            <w:tcW w:w="3060" w:type="dxa"/>
            <w:tcBorders>
              <w:top w:val="single" w:sz="4" w:space="0" w:color="B0B8C1"/>
              <w:left w:val="single" w:sz="4" w:space="0" w:color="B0B8C1"/>
              <w:bottom w:val="single" w:sz="4" w:space="0" w:color="B0B8C1"/>
              <w:right w:val="single" w:sz="4" w:space="0" w:color="B0B8C1"/>
            </w:tcBorders>
            <w:shd w:val="clear" w:color="auto" w:fill="FFFFFF"/>
          </w:tcPr>
          <w:p w14:paraId="4890E3C8" w14:textId="77777777" w:rsidR="003A2D72" w:rsidRPr="00B76053" w:rsidRDefault="003A2D72" w:rsidP="003A2D72">
            <w:pPr>
              <w:spacing w:before="60" w:after="60"/>
              <w:jc w:val="left"/>
              <w:rPr>
                <w:rFonts w:cs="Times New Roman"/>
              </w:rPr>
            </w:pPr>
            <w:r w:rsidRPr="00B76053">
              <w:rPr>
                <w:rFonts w:cs="Times New Roman"/>
                <w:sz w:val="18"/>
              </w:rPr>
              <w:t>Restrict all financial comparisons to descriptive analysis; treat Rocket as a directional benchmark only; flag accounting presentation differences explicitly in §5.3.5</w:t>
            </w:r>
          </w:p>
        </w:tc>
        <w:tc>
          <w:tcPr>
            <w:tcW w:w="1440" w:type="dxa"/>
            <w:tcBorders>
              <w:top w:val="single" w:sz="4" w:space="0" w:color="B0B8C1"/>
              <w:left w:val="single" w:sz="4" w:space="0" w:color="B0B8C1"/>
              <w:bottom w:val="single" w:sz="4" w:space="0" w:color="B0B8C1"/>
              <w:right w:val="single" w:sz="4" w:space="0" w:color="B0B8C1"/>
            </w:tcBorders>
            <w:shd w:val="clear" w:color="auto" w:fill="FFFFFF"/>
          </w:tcPr>
          <w:p w14:paraId="797F3FAD" w14:textId="77777777" w:rsidR="003A2D72" w:rsidRPr="00B76053" w:rsidRDefault="003A2D72" w:rsidP="003A2D72">
            <w:pPr>
              <w:spacing w:before="60" w:after="60"/>
              <w:jc w:val="left"/>
              <w:rPr>
                <w:rFonts w:cs="Times New Roman"/>
              </w:rPr>
            </w:pPr>
            <w:r w:rsidRPr="00B76053">
              <w:rPr>
                <w:rFonts w:cs="Times New Roman"/>
                <w:sz w:val="18"/>
              </w:rPr>
              <w:t>§8.8</w:t>
            </w:r>
          </w:p>
        </w:tc>
      </w:tr>
    </w:tbl>
    <w:p w14:paraId="16C0D4FD" w14:textId="77777777" w:rsidR="003A2D72" w:rsidRPr="00B76053" w:rsidRDefault="003A2D72" w:rsidP="00662280">
      <w:pPr>
        <w:rPr>
          <w:rFonts w:cs="Times New Roman"/>
        </w:rPr>
      </w:pPr>
    </w:p>
    <w:p w14:paraId="7EB7B863" w14:textId="77777777" w:rsidR="006046D2" w:rsidRPr="00B76053" w:rsidRDefault="00B04762">
      <w:pPr>
        <w:pStyle w:val="Heading2"/>
        <w:rPr>
          <w:rFonts w:cs="Times New Roman"/>
        </w:rPr>
      </w:pPr>
      <w:bookmarkStart w:id="35" w:name="_Toc229599044"/>
      <w:r w:rsidRPr="00B76053">
        <w:rPr>
          <w:rFonts w:cs="Times New Roman"/>
        </w:rPr>
        <w:t xml:space="preserve">3.10 </w:t>
      </w:r>
      <w:r w:rsidR="00551D86" w:rsidRPr="00B76053">
        <w:rPr>
          <w:rFonts w:cs="Times New Roman"/>
        </w:rPr>
        <w:t>Research Rigor and Reproducibility</w:t>
      </w:r>
      <w:bookmarkEnd w:id="35"/>
    </w:p>
    <w:p w14:paraId="69299CEE" w14:textId="77777777" w:rsidR="00574C0E" w:rsidRPr="00B76053" w:rsidRDefault="00574C0E" w:rsidP="00574C0E">
      <w:pPr>
        <w:rPr>
          <w:rFonts w:cs="Times New Roman"/>
        </w:rPr>
      </w:pPr>
      <w:r w:rsidRPr="00B76053">
        <w:rPr>
          <w:rFonts w:cs="Times New Roman"/>
        </w:rPr>
        <w:t>The credibility of this research rests on three pillars: construct validity, analytical transparency, and reproducibility.</w:t>
      </w:r>
    </w:p>
    <w:p w14:paraId="7C76571C" w14:textId="77777777" w:rsidR="00574C0E" w:rsidRPr="00B76053" w:rsidRDefault="00574C0E" w:rsidP="00574C0E">
      <w:pPr>
        <w:rPr>
          <w:rFonts w:cs="Times New Roman"/>
        </w:rPr>
      </w:pPr>
      <w:r w:rsidRPr="00B76053">
        <w:rPr>
          <w:rFonts w:cs="Times New Roman"/>
        </w:rPr>
        <w:t xml:space="preserve">Construct validity is ensured by grounding all financial indicators in standardised SEC accounting definitions rather than in researcher-constructed proxies, and by using established, peer-reviewed tools for the sentiment and topic analyses. The two author-constructed proxies — </w:t>
      </w:r>
      <w:r w:rsidRPr="00B76053">
        <w:rPr>
          <w:rFonts w:cs="Times New Roman"/>
        </w:rPr>
        <w:lastRenderedPageBreak/>
        <w:t>Cost-to-Originate and the Operational Leverage Index — are disclosed explicitly in §3.6 and confined to a supporting rather than primary evidential role.</w:t>
      </w:r>
    </w:p>
    <w:p w14:paraId="62F8C8A7" w14:textId="77777777" w:rsidR="00574C0E" w:rsidRPr="00B76053" w:rsidRDefault="00574C0E" w:rsidP="00574C0E">
      <w:pPr>
        <w:rPr>
          <w:rFonts w:cs="Times New Roman"/>
        </w:rPr>
      </w:pPr>
      <w:r w:rsidRPr="00B76053">
        <w:rPr>
          <w:rFonts w:cs="Times New Roman"/>
        </w:rPr>
        <w:t>Analytical transparency is ensured by the four-tier source-reliability hierarchy (§3.7), which requires every empirical claim to be introduced with language that signals its evidentiary weight. No vendor-reported metric is permitted to override an audited financial figure, and no management-reported satisfaction score is interpreted without being placed alongside the independent Trustpilot evidence.</w:t>
      </w:r>
    </w:p>
    <w:p w14:paraId="7D3695B1" w14:textId="77777777" w:rsidR="00574C0E" w:rsidRPr="00B76053" w:rsidRDefault="00574C0E" w:rsidP="00551D86">
      <w:pPr>
        <w:rPr>
          <w:rFonts w:cs="Times New Roman"/>
        </w:rPr>
      </w:pPr>
      <w:r w:rsidRPr="00B76053">
        <w:rPr>
          <w:rFonts w:cs="Times New Roman"/>
        </w:rPr>
        <w:t>Reproducibility is ensured by the exclusive reliance on publicly available data sources: all regulatory filings are accessible via the SEC's EDGAR database, and all customer reviews are drawn from Better.com's public Trustpilot profile. Any subsequent researcher with access to these public sources and to standard data analysis tools can replicate the financial calculations and the NLP analyses. The complete analytical pipeline, including all configuration parameters for the sentiment and topic-modelling tools, is documented in Appendices B and C for this purpose.</w:t>
      </w:r>
    </w:p>
    <w:p w14:paraId="32199E23" w14:textId="77777777" w:rsidR="006046D2" w:rsidRPr="00B76053" w:rsidRDefault="00B04762">
      <w:pPr>
        <w:pStyle w:val="Heading2"/>
        <w:spacing w:before="280"/>
        <w:rPr>
          <w:rFonts w:cs="Times New Roman"/>
        </w:rPr>
      </w:pPr>
      <w:bookmarkStart w:id="36" w:name="_Toc229599045"/>
      <w:r w:rsidRPr="00B76053">
        <w:rPr>
          <w:rFonts w:cs="Times New Roman"/>
        </w:rPr>
        <w:t xml:space="preserve">3.11 </w:t>
      </w:r>
      <w:r w:rsidR="001522C8" w:rsidRPr="00B76053">
        <w:rPr>
          <w:rFonts w:cs="Times New Roman"/>
        </w:rPr>
        <w:t>Ethical Considerations</w:t>
      </w:r>
      <w:bookmarkEnd w:id="36"/>
    </w:p>
    <w:p w14:paraId="1BD481DA" w14:textId="77777777" w:rsidR="001522C8" w:rsidRPr="00B76053" w:rsidRDefault="001522C8" w:rsidP="001522C8">
      <w:pPr>
        <w:rPr>
          <w:rFonts w:cs="Times New Roman"/>
        </w:rPr>
      </w:pPr>
      <w:r w:rsidRPr="00B76053">
        <w:rPr>
          <w:rFonts w:cs="Times New Roman"/>
        </w:rPr>
        <w:t>This research was conducted in strict adherence to academic ethical standards regarding data privacy, computational transparency, and intellectual integrity. The study relies exclusively on publicly available, legally accessible secondary data sources. Corporate financial data was extracted from mandatory regulatory disclosures via the SEC's public EDGAR database. Customer reviews were collected from Better.com's publicly accessible Trustpilot profile using automated web collection tools operating within standard rate and access limits, ensuring no disruption to the platform.</w:t>
      </w:r>
    </w:p>
    <w:p w14:paraId="42865991" w14:textId="77777777" w:rsidR="001522C8" w:rsidRPr="00B76053" w:rsidRDefault="001522C8" w:rsidP="00193E32">
      <w:pPr>
        <w:rPr>
          <w:rFonts w:cs="Times New Roman"/>
        </w:rPr>
      </w:pPr>
      <w:r w:rsidRPr="00B76053">
        <w:rPr>
          <w:rFonts w:cs="Times New Roman"/>
        </w:rPr>
        <w:t>The study involved no human subjects research of any kind. No proprietary internal corporate data, confidential system information, or personally identifiable information relating to Better.com's customers or employees was accessed, stored, or analysed at any point. All text analysis was performed on publicly visible, anonymised review content. No personal data was collected, linked to identifiable individuals, or retained beyond what is necessary for the purposes of this academic research.</w:t>
      </w:r>
    </w:p>
    <w:p w14:paraId="3726F38E" w14:textId="77777777" w:rsidR="006046D2" w:rsidRPr="00B76053" w:rsidRDefault="00B04762">
      <w:pPr>
        <w:pStyle w:val="Heading1"/>
        <w:pageBreakBefore/>
        <w:spacing w:before="360" w:after="120"/>
        <w:rPr>
          <w:rFonts w:cs="Times New Roman"/>
        </w:rPr>
      </w:pPr>
      <w:bookmarkStart w:id="37" w:name="_Toc229599046"/>
      <w:r w:rsidRPr="00B76053">
        <w:rPr>
          <w:rFonts w:cs="Times New Roman"/>
        </w:rPr>
        <w:lastRenderedPageBreak/>
        <w:t>4. Case Study Description: Better.com and the Deployment of Voice AI in Mortgage Origination</w:t>
      </w:r>
      <w:bookmarkEnd w:id="37"/>
    </w:p>
    <w:p w14:paraId="6C5A6D4B" w14:textId="77777777" w:rsidR="006046D2" w:rsidRPr="00B76053" w:rsidRDefault="00B04762">
      <w:pPr>
        <w:pStyle w:val="Heading2"/>
        <w:spacing w:before="280"/>
        <w:rPr>
          <w:rFonts w:cs="Times New Roman"/>
        </w:rPr>
      </w:pPr>
      <w:bookmarkStart w:id="38" w:name="_Toc229599047"/>
      <w:r w:rsidRPr="00B76053">
        <w:rPr>
          <w:rFonts w:cs="Times New Roman"/>
        </w:rPr>
        <w:t>4.1 Introduction</w:t>
      </w:r>
      <w:bookmarkEnd w:id="38"/>
    </w:p>
    <w:p w14:paraId="641FC6DD" w14:textId="77777777" w:rsidR="001A126F" w:rsidRPr="00B76053" w:rsidRDefault="001A126F" w:rsidP="001A126F">
      <w:pPr>
        <w:rPr>
          <w:rFonts w:cs="Times New Roman"/>
        </w:rPr>
      </w:pPr>
      <w:r w:rsidRPr="00B76053">
        <w:rPr>
          <w:rFonts w:cs="Times New Roman"/>
        </w:rPr>
        <w:t>This chapter presents the empirical case examined in this thesis: the deployment of a voice-based Large Language Model agent within the mortgage origination operations of Better Home &amp; Finance Holding Company, commonly known as Better.com. The chapter provides the organisational, technological, and strategic context required to understand how Betsy — Better.com's voice AI loan assistant — was integrated into a digital mortgage workflow. Rather than treating Betsy as an isolated customer-service application, the case is situated within Better.com's broader technology architecture, particularly its proprietary Tinman platform. This framing is important because Better.com describes itself as a technology-first mortgage company whose founding logic was to digitise and automate home finance, reduce friction, and make the mortgage process faster and more efficient (Better.com, n.d.).</w:t>
      </w:r>
    </w:p>
    <w:p w14:paraId="321CE66D" w14:textId="77777777" w:rsidR="001A126F" w:rsidRPr="00B76053" w:rsidRDefault="001A126F" w:rsidP="001A126F">
      <w:pPr>
        <w:rPr>
          <w:rFonts w:cs="Times New Roman"/>
        </w:rPr>
      </w:pPr>
      <w:r w:rsidRPr="00B76053">
        <w:rPr>
          <w:rFonts w:cs="Times New Roman"/>
        </w:rPr>
        <w:t>The chapter proceeds through four main steps. First, it introduces Better.com as a digital-first mortgage lender and explains the market and organisational conditions that made automation strategically relevant. Second, it describes mortgage origination as the operational context in which voice AI must function, emphasising why borrower communication, process visibility, and system integration matter. Third, it examines Tinman as the technological foundation for Betsy, and explains Better.com's implementation of Betsy and the role of ElevenLabs as voice infrastructure provider. Fourth, it traces the implementation timeline from the pre-deployment baseline through the transition and scaling periods. Together, these steps establish the empirical foundation for the financial, sentiment, and topic-modelling analysis in Chapter 5.</w:t>
      </w:r>
    </w:p>
    <w:p w14:paraId="19C0AAC8" w14:textId="77777777" w:rsidR="006046D2" w:rsidRPr="00B76053" w:rsidRDefault="00B04762">
      <w:pPr>
        <w:pStyle w:val="Heading2"/>
        <w:spacing w:before="280"/>
        <w:rPr>
          <w:rFonts w:cs="Times New Roman"/>
        </w:rPr>
      </w:pPr>
      <w:bookmarkStart w:id="39" w:name="_Toc229599048"/>
      <w:r w:rsidRPr="00B76053">
        <w:rPr>
          <w:rFonts w:cs="Times New Roman"/>
        </w:rPr>
        <w:t xml:space="preserve">4.2 </w:t>
      </w:r>
      <w:r w:rsidR="001A126F" w:rsidRPr="00B76053">
        <w:rPr>
          <w:rFonts w:cs="Times New Roman"/>
        </w:rPr>
        <w:t>Better.com: Company Profile and Strategic Context</w:t>
      </w:r>
      <w:bookmarkEnd w:id="39"/>
    </w:p>
    <w:p w14:paraId="0F648391" w14:textId="77777777" w:rsidR="006046D2" w:rsidRPr="00B76053" w:rsidRDefault="00B04762">
      <w:pPr>
        <w:pStyle w:val="Heading3"/>
        <w:spacing w:before="240" w:after="80"/>
        <w:rPr>
          <w:rFonts w:cs="Times New Roman"/>
        </w:rPr>
      </w:pPr>
      <w:bookmarkStart w:id="40" w:name="_Toc229599049"/>
      <w:r w:rsidRPr="00B76053">
        <w:rPr>
          <w:rFonts w:cs="Times New Roman"/>
        </w:rPr>
        <w:t xml:space="preserve">4.2.1 </w:t>
      </w:r>
      <w:r w:rsidR="001A126F" w:rsidRPr="00B76053">
        <w:rPr>
          <w:rFonts w:cs="Times New Roman"/>
        </w:rPr>
        <w:t>Founding Logic and Digital-First Model</w:t>
      </w:r>
      <w:bookmarkEnd w:id="40"/>
    </w:p>
    <w:p w14:paraId="1E17FB0A" w14:textId="77777777" w:rsidR="001A126F" w:rsidRPr="00B76053" w:rsidRDefault="001A126F" w:rsidP="001A126F">
      <w:pPr>
        <w:rPr>
          <w:rFonts w:cs="Times New Roman"/>
        </w:rPr>
      </w:pPr>
      <w:r w:rsidRPr="00B76053">
        <w:rPr>
          <w:rFonts w:cs="Times New Roman"/>
        </w:rPr>
        <w:t xml:space="preserve">Better Home &amp; Finance Holding Company, commonly known as Better.com, is a digital homeownership and mortgage finance company headquartered in New York. The company operates in the U.S. mortgage market through a technology-first model that seeks to simplify the </w:t>
      </w:r>
      <w:r w:rsidRPr="00B76053">
        <w:rPr>
          <w:rFonts w:cs="Times New Roman"/>
        </w:rPr>
        <w:lastRenderedPageBreak/>
        <w:t>process of obtaining a home loan. Unlike traditional mortgage lenders that historically relied on branch networks, manual document handling, call centres, and loan-officer-heavy processes, Better.com positioned itself from the outset as a digital mortgage platform. According to the company's own history, Better.com was founded in 2014 after founder Vishal Garg experienced the complexity and inefficiency of the mortgage process, motivating the creation of a "technology-first company led by engineers and data experts" focused on digitising and automating home finance (Better.com, n.d.).</w:t>
      </w:r>
    </w:p>
    <w:p w14:paraId="19066C4D" w14:textId="77777777" w:rsidR="001A126F" w:rsidRPr="00B76053" w:rsidRDefault="001A126F" w:rsidP="001A126F">
      <w:pPr>
        <w:rPr>
          <w:rFonts w:cs="Times New Roman"/>
        </w:rPr>
      </w:pPr>
      <w:r w:rsidRPr="00B76053">
        <w:rPr>
          <w:rFonts w:cs="Times New Roman"/>
        </w:rPr>
        <w:t>This founding logic is important for the present thesis because Better.com is not simply a conventional mortgage lender that later adopted AI as an add-on tool. Rather, the company's business model has been built around the assumption that mortgage origination can be fundamentally redesigned through digital infrastructure. Better's investor materials characterise the company as an "AI native mortgage lender" and state that its Tinman platform allows customers to view rate options in seconds, obtain pre-approval in minutes, lock rates, and close loans in as little as three weeks (Better Home &amp; Finance Holding Company, n.d.). From a business informatics perspective, Better.com is therefore a relevant case because its value proposition depends on the integration of technology, data, workflow automation, and customer interaction — precisely the conditions that enable voice LLM agents to operate meaningfully within a mortgage process.</w:t>
      </w:r>
    </w:p>
    <w:p w14:paraId="26758C42" w14:textId="77777777" w:rsidR="006046D2" w:rsidRPr="00B76053" w:rsidRDefault="00B04762" w:rsidP="001A126F">
      <w:pPr>
        <w:pStyle w:val="Heading3"/>
        <w:spacing w:after="120"/>
        <w:rPr>
          <w:rFonts w:cs="Times New Roman"/>
        </w:rPr>
      </w:pPr>
      <w:bookmarkStart w:id="41" w:name="_Toc229599050"/>
      <w:r w:rsidRPr="00B76053">
        <w:rPr>
          <w:rFonts w:cs="Times New Roman"/>
        </w:rPr>
        <w:t xml:space="preserve">4.2.2 </w:t>
      </w:r>
      <w:r w:rsidR="001A126F" w:rsidRPr="00B76053">
        <w:rPr>
          <w:rFonts w:cs="Times New Roman"/>
        </w:rPr>
        <w:t>Growth, Contraction, and the Strategic Case for Automation</w:t>
      </w:r>
      <w:bookmarkEnd w:id="41"/>
    </w:p>
    <w:p w14:paraId="069281FE" w14:textId="77777777" w:rsidR="001A126F" w:rsidRPr="00B76053" w:rsidRDefault="001A126F" w:rsidP="001A126F">
      <w:pPr>
        <w:rPr>
          <w:rFonts w:cs="Times New Roman"/>
        </w:rPr>
      </w:pPr>
      <w:r w:rsidRPr="00B76053">
        <w:rPr>
          <w:rFonts w:cs="Times New Roman"/>
        </w:rPr>
        <w:t xml:space="preserve">Better.com's corporate trajectory must be understood through the lens of the exceptional mortgage market conditions of 2020 and 2021. During this period, historically low interest rates generated a large refinancing boom across the U.S. mortgage industry. Freddie Mac reported that U.S. refinance originations reached approximately $2.6 trillion in 2020, more than double the prior year's volume, while the Federal Reserve Bank of New York later described the 2020–2021 period as the "Great Pandemic Mortgage Refinance Boom" (Freddie Mac, 2021; Federal Reserve Bank of New York, 2023). Better.com's public registration materials state that the company experienced rapid growth during this period, including a 393% increase in funded loan volume in 2020, reaching $58.0 billion in funded loan volume in 2021 (Better HoldCo, Inc., 2021, 2023). More recent investor materials indicate that Better has since funded more than $100 billion in </w:t>
      </w:r>
      <w:r w:rsidRPr="00B76053">
        <w:rPr>
          <w:rFonts w:cs="Times New Roman"/>
        </w:rPr>
        <w:lastRenderedPageBreak/>
        <w:t>total loan volume, reflecting the company's sustained scale despite the subsequent market downturn (Better Home &amp; Finance Holding Company, n.d.).</w:t>
      </w:r>
    </w:p>
    <w:p w14:paraId="3D91A1B9" w14:textId="77777777" w:rsidR="001A126F" w:rsidRPr="00B76053" w:rsidRDefault="001A126F" w:rsidP="001A126F">
      <w:pPr>
        <w:rPr>
          <w:rFonts w:cs="Times New Roman"/>
        </w:rPr>
      </w:pPr>
      <w:r w:rsidRPr="00B76053">
        <w:rPr>
          <w:rFonts w:cs="Times New Roman"/>
        </w:rPr>
        <w:t>After the refinancing boom, Better.com faced a much more difficult operating environment. Rising interest rates substantially reduced refinancing demand, placing pressure on origination volumes across the industry. For a company that had expanded rapidly during the boom, this created an acute strategic problem: how to preserve responsiveness, customer engagement, and origination capacity while reducing the cost base associated with a larger human workforce. The scale of this adjustment is visible in Better's workforce disclosures. At its peak in the fourth quarter of 2021, Better reported approximately 10,400 team members globally, including approximately 6,500 in production roles and approximately 700 in technology and product development. By 31 December 2023, the company reported approximately 820 team members — a reduction of approximately 92% over roughly twenty-four months (Better Home &amp; Finance Holding Company, 2024a; Better HoldCo, Inc., 2023). These reductions were widely reported in financial media at the time (Primack, 2021), and are confirmed by Better's own SEC-filed registration materials (Better HoldCo, Inc., 2023).</w:t>
      </w:r>
    </w:p>
    <w:p w14:paraId="16F615BE" w14:textId="77777777" w:rsidR="001A126F" w:rsidRPr="00B76053" w:rsidRDefault="001A126F" w:rsidP="001A126F">
      <w:pPr>
        <w:rPr>
          <w:rFonts w:cs="Times New Roman"/>
        </w:rPr>
      </w:pPr>
      <w:r w:rsidRPr="00B76053">
        <w:rPr>
          <w:rFonts w:cs="Times New Roman"/>
        </w:rPr>
        <w:t>Better's 2023 results explicitly describe that year as one of the most challenging mortgage macro environments in recent history, with average 30-year fixed mortgage rates around 7%. In the same release, Better reported 2023 revenue of approximately $76.8 million, funded loan volume of $3.0 billion, and an adjusted EBITDA loss of $163 million, while noting that it had reduced total expenses by 71% year over year and by more than $1.1 billion compared with 2021 (Better Home &amp; Finance Holding Company, 2024b). This context makes the company a strong empirical case for this thesis. Betsy should not be understood merely as a novel customer-service experiment, but as part of a broader attempt to redesign mortgage origination around automation, digital workflows, and AI-enabled productivity. The pre-Betsy period is therefore relevant not as evidence of AI impact — since the agent had not yet been deployed — but as the organisational background against which Better.com's later automation strategy must be understood.</w:t>
      </w:r>
    </w:p>
    <w:p w14:paraId="79ACE433" w14:textId="77777777" w:rsidR="006046D2" w:rsidRPr="00B76053" w:rsidRDefault="00B04762">
      <w:pPr>
        <w:pStyle w:val="Heading2"/>
        <w:spacing w:before="280"/>
        <w:rPr>
          <w:rFonts w:cs="Times New Roman"/>
        </w:rPr>
      </w:pPr>
      <w:bookmarkStart w:id="42" w:name="_Toc229599051"/>
      <w:r w:rsidRPr="00B76053">
        <w:rPr>
          <w:rFonts w:cs="Times New Roman"/>
        </w:rPr>
        <w:t>4.3 The Mortgage Origination Process as the Operational Context</w:t>
      </w:r>
      <w:bookmarkEnd w:id="42"/>
    </w:p>
    <w:p w14:paraId="78BB71FC" w14:textId="77777777" w:rsidR="001A126F" w:rsidRPr="00B76053" w:rsidRDefault="001A126F" w:rsidP="001A126F">
      <w:pPr>
        <w:rPr>
          <w:rFonts w:cs="Times New Roman"/>
        </w:rPr>
      </w:pPr>
      <w:r w:rsidRPr="00B76053">
        <w:rPr>
          <w:rFonts w:cs="Times New Roman"/>
        </w:rPr>
        <w:t xml:space="preserve">Mortgage origination refers to the sequence of activities through which a borrower applies for a mortgage loan, provides financial and property-related information, receives pricing and </w:t>
      </w:r>
      <w:r w:rsidRPr="00B76053">
        <w:rPr>
          <w:rFonts w:cs="Times New Roman"/>
        </w:rPr>
        <w:lastRenderedPageBreak/>
        <w:t>eligibility assessment, moves through underwriting, satisfies loan conditions, and ultimately proceeds to closing. This process is not only financial and administrative; it is also highly communicative. At the beginning of the process, lenders must respond to borrower inquiries, capture lead information, explain available products, and determine whether the customer is likely to qualify for financing. This is followed by pre-approval, where borrowers often need clarification about credit requirements, income documentation, down payment assumptions, and estimated affordability. These early interactions are commercially important because responsiveness can influence whether a prospective borrower continues with the lender or abandons the application.</w:t>
      </w:r>
    </w:p>
    <w:p w14:paraId="4A10BB52" w14:textId="77777777" w:rsidR="001A126F" w:rsidRPr="00B76053" w:rsidRDefault="001A126F" w:rsidP="001A126F">
      <w:pPr>
        <w:rPr>
          <w:rFonts w:cs="Times New Roman"/>
        </w:rPr>
      </w:pPr>
      <w:r w:rsidRPr="00B76053">
        <w:rPr>
          <w:rFonts w:cs="Times New Roman"/>
        </w:rPr>
        <w:t>The communication burden increases throughout the process. Fannie Mae's Selling Guide organises conventional mortgage origination around several interrelated components — loan application, borrower eligibility, underwriting, property assessment, insurance, and closing — illustrating that origination is not a single transaction but a multi-stage workflow in which information must be collected, validated, updated, and explained to the borrower (Fannie Mae, n.d.). The Consumer Financial Protection Bureau similarly emphasises that borrowers must submit documents required for underwriting before closing, and review multiple legally required disclosures before finalising the mortgage loan (Consumer Financial Protection Bureau, 2024, 2025). Underwriting frequently generates additional conditions — missing pay slips, bank statements, explanations of credit activity — that create uncertainty for customers whose timelines are tied to rate-lock deadlines, purchase contracts, and closing dates.</w:t>
      </w:r>
    </w:p>
    <w:p w14:paraId="7EEF0C7B" w14:textId="77777777" w:rsidR="001A126F" w:rsidRPr="00B76053" w:rsidRDefault="001A126F" w:rsidP="001A126F">
      <w:pPr>
        <w:rPr>
          <w:rFonts w:cs="Times New Roman"/>
        </w:rPr>
      </w:pPr>
      <w:r w:rsidRPr="00B76053">
        <w:rPr>
          <w:rFonts w:cs="Times New Roman"/>
        </w:rPr>
        <w:t xml:space="preserve">These structural characteristics create several pain points for lenders. Operational latency arises because sequential handoffs between sales, processing, underwriting, and closing teams introduce delay, duplication, and inconsistent communication at each stage. Fragmentation of information across systems makes it difficult for any agent — human or automated — to provide immediate and accurate responses about the current state of a borrower's file. Most consequentially, mortgage origination remains labour-intensive and expensive. The Mortgage Bankers Association reported that total loan production expenses averaged $10,716 per loan in the third quarter of 2024, compared with a long-run average of $7,573 per loan since 2008 (Mortgage Bankers Association, 2024a). Freddie Mac's 2024 Cost to Originate Study reinforces this point: lenders with higher adoption of digital tools had approximately $1,500 lower </w:t>
      </w:r>
      <w:r w:rsidRPr="00B76053">
        <w:rPr>
          <w:rFonts w:cs="Times New Roman"/>
        </w:rPr>
        <w:lastRenderedPageBreak/>
        <w:t>origination costs per loan and five-day shorter production cycle times than those with lower technology utilisation (Freddie Mac, 2024). During demand spikes, these cost pressures intensify as call volumes and application follow-ups rise faster than lenders can hire and train staff; during contractions, lenders are left with excess staffing costs. Traditional human-heavy operating models struggle with this scalability tension.</w:t>
      </w:r>
    </w:p>
    <w:p w14:paraId="33BEC6C4" w14:textId="77777777" w:rsidR="001A126F" w:rsidRPr="00B76053" w:rsidRDefault="001A126F" w:rsidP="00273C88">
      <w:pPr>
        <w:rPr>
          <w:rFonts w:cs="Times New Roman"/>
        </w:rPr>
      </w:pPr>
      <w:r w:rsidRPr="00B76053">
        <w:rPr>
          <w:rFonts w:cs="Times New Roman"/>
        </w:rPr>
        <w:t>Voice AI is relevant precisely because it targets this tension between responsiveness and labour intensity. Many mortgage interactions are repetitive but time-sensitive: answering eligibility questions, explaining rate options, following up on incomplete applications, reminding borrowers about documents, and guiding customers toward closing. A voice-based AI agent can potentially absorb part of this communication load while preserving the immediacy of spoken interaction. However, for voice AI to function effectively in this context, it must be connected not only to a speech interface, but also to a reliable operational system capable of retrieving, interpreting, and acting on mortgage-specific information. This requirement leads directly to the importance of Tinman.</w:t>
      </w:r>
    </w:p>
    <w:p w14:paraId="38DC1F40" w14:textId="77777777" w:rsidR="006046D2" w:rsidRPr="00B76053" w:rsidRDefault="00B04762">
      <w:pPr>
        <w:pStyle w:val="Heading2"/>
        <w:spacing w:before="280"/>
        <w:rPr>
          <w:rFonts w:cs="Times New Roman"/>
        </w:rPr>
      </w:pPr>
      <w:bookmarkStart w:id="43" w:name="_Toc229599052"/>
      <w:r w:rsidRPr="00B76053">
        <w:rPr>
          <w:rFonts w:cs="Times New Roman"/>
        </w:rPr>
        <w:t xml:space="preserve">4.4 </w:t>
      </w:r>
      <w:r w:rsidR="00130EA5" w:rsidRPr="00B76053">
        <w:rPr>
          <w:rFonts w:cs="Times New Roman"/>
        </w:rPr>
        <w:t>The Tinman Platform: Technological Foundation for Voice AI</w:t>
      </w:r>
      <w:bookmarkEnd w:id="43"/>
    </w:p>
    <w:p w14:paraId="6FA7B01E" w14:textId="77777777" w:rsidR="00130EA5" w:rsidRPr="00B76053" w:rsidRDefault="00130EA5" w:rsidP="00130EA5">
      <w:pPr>
        <w:rPr>
          <w:rFonts w:cs="Times New Roman"/>
        </w:rPr>
      </w:pPr>
      <w:r w:rsidRPr="00B76053">
        <w:rPr>
          <w:rFonts w:cs="Times New Roman"/>
        </w:rPr>
        <w:t>Tinman is central to the Better.com case because it represents the technological layer that makes voice AI operationally meaningful. A voice agent that can only answer generic questions would have limited value in mortgage origination. To support real borrower interactions, the agent must be able to access information about pricing, eligibility, application status, missing documents, underwriting conditions, and next steps. Better's 2025 annual report describes Tinman as the company's proprietary digital loan origination and workflow platform that serves as the system of record, aggregates customer and property data through APIs, applies automated decisioning and rules-based logic, and orchestrates workflows across underwriting, processing, and closing. The same filing states that Tinman supports technology-enabled underwriting, loan processing, compliance support, capital markets connectivity, and related back-office functionality — and that it can be integrated into partner-facing applications and workflows (Better Home &amp; Finance Holding Company, 2026).</w:t>
      </w:r>
    </w:p>
    <w:p w14:paraId="0F1C4EE3" w14:textId="77777777" w:rsidR="00130EA5" w:rsidRPr="00B76053" w:rsidRDefault="00130EA5" w:rsidP="00130EA5">
      <w:pPr>
        <w:rPr>
          <w:rFonts w:cs="Times New Roman"/>
        </w:rPr>
      </w:pPr>
      <w:r w:rsidRPr="00B76053">
        <w:rPr>
          <w:rFonts w:cs="Times New Roman"/>
        </w:rPr>
        <w:t xml:space="preserve">This platform logic differs fundamentally from traditional fragmented mortgage operations. In many conventional lending environments, borrower information, pricing data, underwriting </w:t>
      </w:r>
      <w:r w:rsidRPr="00B76053">
        <w:rPr>
          <w:rFonts w:cs="Times New Roman"/>
        </w:rPr>
        <w:lastRenderedPageBreak/>
        <w:t>conditions, and communication histories are distributed across multiple systems and teams, making it difficult for any agent to provide fast and consistent responses. By contrast, an integrated operating system creates the conditions for process visibility: if the relevant data and workflow states are structured and accessible, a conversational agent can retrieve information, communicate next steps, and trigger appropriate actions without manual handoffs. Tinman is therefore the architectural prerequisite for Betsy. Public materials about Betsy state explicitly that the agent was built through Tinman — Better's proprietary platform where loan-application information is stored — communicating with prospective and current customers by answering mortgage-application questions, verifying outstanding application data, and connecting with Tinman in real time (Nunes, 2024). The Better–ElevenLabs case release confirms this architecture: Betsy is layered on top of Tinman, which computes pricing, eligibility, and approvals, while ElevenLabs Agents provide the controlled voice interface that communicates Tinman's outputs to borrowers (Better Home &amp; Finance Holding Company &amp; ElevenLabs, 2026).</w:t>
      </w:r>
    </w:p>
    <w:p w14:paraId="4C0B01CD" w14:textId="77777777" w:rsidR="00130EA5" w:rsidRPr="00B76053" w:rsidRDefault="00130EA5" w:rsidP="00130EA5">
      <w:pPr>
        <w:rPr>
          <w:rFonts w:cs="Times New Roman"/>
        </w:rPr>
      </w:pPr>
      <w:r w:rsidRPr="00B76053">
        <w:rPr>
          <w:rFonts w:cs="Times New Roman"/>
        </w:rPr>
        <w:t>This relationship clarifies where voice AI creates value in the Better.com case. A voice agent may improve the naturalness and immediacy of borrower communication, but the underlying mortgage workflow determines whether the agent can do anything operationally valuable. Without centralised and structured operational data, a voice agent cannot safely answer case-specific questions about pricing, application progress, or documentation requirements. Without workflow interoperability across the process, it cannot move beyond generic answers. An integrated platform can also support task routing and escalation: mortgage origination includes tasks that vary in complexity and regulatory sensitivity, and a well-architected system can separate what the AI handles autonomously from what requires human review. Better's disclosures indicate that Tinman standardises and automates portions of the loan production process while routing other tasks to team members for review or completion (Better Home &amp; Finance Holding Company, 2026). The central prerequisite for voice LLM integration in regulated financial services is therefore not only a capable language model, but the prior existence of a controlled process environment in which data access, workflow routing, compliance safeguards, and human escalation are already defined.</w:t>
      </w:r>
    </w:p>
    <w:p w14:paraId="5D50FD2C" w14:textId="77777777" w:rsidR="006046D2" w:rsidRPr="00B76053" w:rsidRDefault="00B04762">
      <w:pPr>
        <w:pStyle w:val="Heading2"/>
        <w:spacing w:before="280"/>
        <w:rPr>
          <w:rFonts w:cs="Times New Roman"/>
        </w:rPr>
      </w:pPr>
      <w:bookmarkStart w:id="44" w:name="_Toc229599053"/>
      <w:r w:rsidRPr="00B76053">
        <w:rPr>
          <w:rFonts w:cs="Times New Roman"/>
        </w:rPr>
        <w:lastRenderedPageBreak/>
        <w:t>4.5 Betsy: Better.com’s Voice AI Loan Assistant</w:t>
      </w:r>
      <w:bookmarkEnd w:id="44"/>
    </w:p>
    <w:p w14:paraId="070D69D0" w14:textId="77777777" w:rsidR="006046D2" w:rsidRPr="00B76053" w:rsidRDefault="00B04762">
      <w:pPr>
        <w:pStyle w:val="Heading3"/>
        <w:spacing w:before="240" w:after="80"/>
        <w:rPr>
          <w:rFonts w:cs="Times New Roman"/>
        </w:rPr>
      </w:pPr>
      <w:bookmarkStart w:id="45" w:name="_Toc229599054"/>
      <w:r w:rsidRPr="00B76053">
        <w:rPr>
          <w:rFonts w:cs="Times New Roman"/>
        </w:rPr>
        <w:t xml:space="preserve">4.5.1 </w:t>
      </w:r>
      <w:r w:rsidR="00121BFF" w:rsidRPr="00B76053">
        <w:rPr>
          <w:rFonts w:cs="Times New Roman"/>
        </w:rPr>
        <w:t>Launch, Purpose, and Functional Role</w:t>
      </w:r>
      <w:bookmarkEnd w:id="45"/>
    </w:p>
    <w:p w14:paraId="28A10876" w14:textId="77777777" w:rsidR="00C94A0C" w:rsidRPr="00B76053" w:rsidRDefault="00C94A0C" w:rsidP="00C94A0C">
      <w:pPr>
        <w:rPr>
          <w:rFonts w:cs="Times New Roman"/>
        </w:rPr>
      </w:pPr>
      <w:r w:rsidRPr="00B76053">
        <w:rPr>
          <w:rFonts w:cs="Times New Roman"/>
        </w:rPr>
        <w:t>Betsy was formally launched on 17 October 2024 as Better.com's voice-based AI loan assistant for the U.S. mortgage industry. In the launch announcement, Better described Betsy as the latest innovation built through Tinman, designed to communicate with both prospective and existing customers, answer mortgage application inquiries, collect and verify outstanding application data, and interface with Tinman in real time. Better framed the launch in explicitly strategic terms, linking Betsy to three objectives: demonstrating customer experience, increasing the efficiency of loan teams, and further accelerating Tinman as Better's end-to-end technology platform (Better Home &amp; Finance Holding Company, 2024a).</w:t>
      </w:r>
    </w:p>
    <w:p w14:paraId="44CE5DAD" w14:textId="77777777" w:rsidR="00C94A0C" w:rsidRPr="00B76053" w:rsidRDefault="00C94A0C" w:rsidP="00C94A0C">
      <w:pPr>
        <w:rPr>
          <w:rFonts w:cs="Times New Roman"/>
        </w:rPr>
      </w:pPr>
      <w:r w:rsidRPr="00B76053">
        <w:rPr>
          <w:rFonts w:cs="Times New Roman"/>
        </w:rPr>
        <w:t>Better's subsequent disclosures make it possible to reconstruct Betsy's evolving functional role across the mortgage workflow. At the lead-engagement and initial-qualification stage, Betsy functions as an always-on conversational point of entry for borrowers. By March 2025, Better was describing Betsy as capable of taking customers through pre-approval, rate quote, and rate lock autonomously — reducing response delay at the moment when customer intent is still fragile and conversion risk is high (Better Home &amp; Finance Holding Company, 2025a). In mid-funnel follow-up, Better's 2025 Form 10-K states that Betsy assists customers with mortgage application inquiries and the collection of required application information as part of the loan origination process, while quarterly disclosures describe Betsy delivering timely status updates and helping move applications forward on a 24/7 basis (Better Home &amp; Finance Holding Company, 2025a, 2026). Better's first-quarter 2025 results stated that Betsy had been expanded into processing and underwriting workflows, though it would be too strong to conclude that Betsy independently performs underwriting: a more accurate interpretation is that it serves as the conversational interface through which workflow-relevant information is surfaced, missing inputs are gathered, and borrowers are guided through stages that remain governed by Tinman's rules and, where necessary, human review (Better Home &amp; Finance Holding Company, 2025b, 2026).</w:t>
      </w:r>
    </w:p>
    <w:p w14:paraId="3BEC8246" w14:textId="77777777" w:rsidR="00C94A0C" w:rsidRPr="00B76053" w:rsidRDefault="00C94A0C" w:rsidP="00C94A0C">
      <w:pPr>
        <w:rPr>
          <w:rFonts w:cs="Times New Roman"/>
        </w:rPr>
      </w:pPr>
      <w:r w:rsidRPr="00B76053">
        <w:rPr>
          <w:rFonts w:cs="Times New Roman"/>
        </w:rPr>
        <w:t xml:space="preserve">Betsy also appears to play both inbound and outbound communication roles. Better and vendor materials report that by early 2026, Betsy was handling approximately 100,000 mortgage-related </w:t>
      </w:r>
      <w:r w:rsidRPr="00B76053">
        <w:rPr>
          <w:rFonts w:cs="Times New Roman"/>
        </w:rPr>
        <w:lastRenderedPageBreak/>
        <w:t>phone calls per month and had conducted 1.89 million inbound and outbound calls during 2025 (Better Home &amp; Finance Holding Company &amp; ElevenLabs, 2026). These are management-reported and vendor-reported figures rather than audited disclosures, and should be interpreted accordingly. The same materials indicate that outbound engagement operates inside a controlled compliance framework: regulated actions — including credit pulls, authentication, rate locks, and transfers to human consultants — require explicit consent and adherence to state licensing requirements (Better Home &amp; Finance Holding Company &amp; ElevenLabs, 2026). Within the mortgage workflow, Betsy is therefore best understood as a scalable conversational coordination layer: its value lies in absorbing repetitive, time-sensitive communication tasks across lead intake, initial qualification, pre-approval, rate discussion, application follow-up, and routine next-step reminders, while the underlying Tinman platform provides the process intelligence and human staff remain embedded at regulated and judgement-intensive control points.</w:t>
      </w:r>
    </w:p>
    <w:p w14:paraId="7B4E9BC1" w14:textId="77777777" w:rsidR="006046D2" w:rsidRPr="00B76053" w:rsidRDefault="00B04762">
      <w:pPr>
        <w:pStyle w:val="Heading3"/>
        <w:spacing w:before="240" w:after="80"/>
        <w:rPr>
          <w:rFonts w:cs="Times New Roman"/>
        </w:rPr>
      </w:pPr>
      <w:bookmarkStart w:id="46" w:name="_Toc229599055"/>
      <w:r w:rsidRPr="00B76053">
        <w:rPr>
          <w:rFonts w:cs="Times New Roman"/>
        </w:rPr>
        <w:t xml:space="preserve">4.5.2 </w:t>
      </w:r>
      <w:r w:rsidR="00E50BE2" w:rsidRPr="00B76053">
        <w:rPr>
          <w:rFonts w:cs="Times New Roman"/>
        </w:rPr>
        <w:t>Human-AI Collaboration Model</w:t>
      </w:r>
      <w:bookmarkEnd w:id="46"/>
    </w:p>
    <w:p w14:paraId="11BA43A3" w14:textId="77777777" w:rsidR="00E50BE2" w:rsidRPr="00B76053" w:rsidRDefault="00E50BE2" w:rsidP="00E50BE2">
      <w:pPr>
        <w:rPr>
          <w:rFonts w:cs="Times New Roman"/>
        </w:rPr>
      </w:pPr>
      <w:r w:rsidRPr="00B76053">
        <w:rPr>
          <w:rFonts w:cs="Times New Roman"/>
        </w:rPr>
        <w:t>Betsy's implementation is best interpreted as a human-AI collaboration model rather than as a labour-replacement initiative. Better's 2025 annual report states that Tinman standardises and automates portions of the loan production process while maintaining appropriate human review, and explicitly acknowledges that portions of the loan production process still require human involvement (Better Home &amp; Finance Holding Company, 2026). In this collaborative model, AI is used primarily for repetitive, structured, and high-frequency interactions: answering mortgage application inquiries, collecting required information, verbally guiding customers through pre-approval, rate quote, and rate lock, and providing application-status updates continuously. These are precisely the tasks that consume operational time at scale but do not require individualised expert judgement at every step.</w:t>
      </w:r>
    </w:p>
    <w:p w14:paraId="31C175E5" w14:textId="77777777" w:rsidR="00E50BE2" w:rsidRPr="00B76053" w:rsidRDefault="00E50BE2" w:rsidP="00E50BE2">
      <w:pPr>
        <w:rPr>
          <w:rFonts w:cs="Times New Roman"/>
        </w:rPr>
      </w:pPr>
      <w:r w:rsidRPr="00B76053">
        <w:rPr>
          <w:rFonts w:cs="Times New Roman"/>
        </w:rPr>
        <w:t xml:space="preserve">Human loan officers, processors, and licensed consultants remain central where the interaction involves complexity, regulatory sensitivity, or relational trust. The Better–ElevenLabs release states explicitly that shifting routine conversations out of manual workflows allowed licensed consultants to spend less time on repetitive follow-up and more time helping borrowers navigate complex scenarios and make meaningful financial decisions (Better Home &amp; Finance Holding Company &amp; ElevenLabs, 2026). In academic terms, this reflects task reallocation rather than elimination: the AI system expands availability, triage capacity, and communication throughput, </w:t>
      </w:r>
      <w:r w:rsidRPr="00B76053">
        <w:rPr>
          <w:rFonts w:cs="Times New Roman"/>
        </w:rPr>
        <w:lastRenderedPageBreak/>
        <w:t>while human specialists preserve accountability, judgement, and trust at the most consequential moments of the mortgage journey. The Better.com case is therefore best framed as human-AI process redesign: AI expands responsiveness and reduces operational friction, while human employees remain indispensable wherever the mortgage process requires interpretation, reassurance, or regulated decision-related oversight (Better Home &amp; Finance Holding Company, 2026; Better Home &amp; Finance Holding Company &amp; ElevenLabs, 2026).</w:t>
      </w:r>
    </w:p>
    <w:p w14:paraId="65D49613" w14:textId="77777777" w:rsidR="006046D2" w:rsidRPr="00B76053" w:rsidRDefault="00B04762">
      <w:pPr>
        <w:pStyle w:val="Heading2"/>
        <w:spacing w:before="280"/>
        <w:rPr>
          <w:rFonts w:cs="Times New Roman"/>
        </w:rPr>
      </w:pPr>
      <w:bookmarkStart w:id="47" w:name="_Toc229599056"/>
      <w:r w:rsidRPr="00B76053">
        <w:rPr>
          <w:rFonts w:cs="Times New Roman"/>
        </w:rPr>
        <w:t>4.6 ElevenLabs as Voice Infrastructure Provider</w:t>
      </w:r>
      <w:bookmarkEnd w:id="47"/>
    </w:p>
    <w:p w14:paraId="278E4679" w14:textId="77777777" w:rsidR="00E67FC9" w:rsidRPr="00B76053" w:rsidRDefault="00E67FC9" w:rsidP="00E67FC9">
      <w:pPr>
        <w:rPr>
          <w:rFonts w:cs="Times New Roman"/>
        </w:rPr>
      </w:pPr>
      <w:r w:rsidRPr="00B76053">
        <w:rPr>
          <w:rFonts w:cs="Times New Roman"/>
        </w:rPr>
        <w:t>ElevenLabs enters the Better.com case as the voice infrastructure provider for Betsy, not as the owner of the broader mortgage AI strategy. Better's 2025 Form 10-K presents Betsy and Tinman as parts of the company's own technology stack: Tinman is the digital loan origination and workflow platform, while Betsy is the voice-based AI assistant helping customers with mortgage application inquiries and the collection of required application information. The February 2026 Better–ElevenLabs release specifies ElevenLabs' role more narrowly: ElevenLabs Agents serve as the voice interface for Betsy, while Tinman remains the underlying system that computes pricing, eligibility, approvals, and workflow actions. This distinction is analytically important because it shows that ElevenLabs contributes the speech layer, whereas the core mortgage logic, data environment, and process orchestration remain inside Better's own platform architecture (Better Home &amp; Finance Holding Company, 2026; Better Home &amp; Finance Holding Company &amp; ElevenLabs, 2026).</w:t>
      </w:r>
    </w:p>
    <w:p w14:paraId="18325532" w14:textId="77777777" w:rsidR="00E67FC9" w:rsidRPr="00B76053" w:rsidRDefault="00E67FC9" w:rsidP="00E67FC9">
      <w:pPr>
        <w:rPr>
          <w:rFonts w:cs="Times New Roman"/>
        </w:rPr>
      </w:pPr>
      <w:r w:rsidRPr="00B76053">
        <w:rPr>
          <w:rFonts w:cs="Times New Roman"/>
        </w:rPr>
        <w:t xml:space="preserve">Public materials indicate that ElevenLabs' technical contribution is significant even if it does not constitute the full AI stack. Better initially launched its voice experience using a speech-to-speech model but later shifted to a modular pipeline combining speech-to-text, a large language model, and text-to-speech in order to achieve lower latency, greater control, and higher reliability. The case materials further state that calls terminate at a single ElevenLabs Agent endpoint, while orchestration, tool execution, and final determinations remain within Better's own environment, connected to Tinman (Better Home &amp; Finance Holding Company &amp; ElevenLabs, 2026; ElevenLabs, 2026). The importance of this voice layer should not be understated in a customer-facing financial service context. Research on voice-AI interaction indicates that perceived naturalness affects user engagement and perceptions of safety (Nussbaum et al., 2025; Becker et al., 2025), while response latency above approximately four </w:t>
      </w:r>
      <w:r w:rsidRPr="00B76053">
        <w:rPr>
          <w:rFonts w:cs="Times New Roman"/>
        </w:rPr>
        <w:lastRenderedPageBreak/>
        <w:t>seconds significantly degrades user-experience measures in LLM-powered voice interactions (Maslych et al., 2025) — the theoretical underpinning of these effects is examined in Chapter 2. In mortgage origination specifically, poor synthesis quality or extended response delays could undermine borrower confidence even when the underlying answer is operationally correct. Better's joint release with ElevenLabs explicitly frames lower latency and platform stability as key selection criteria, noting that a single borrower conversation may trigger dozens of Tinman tool calls across multiple systems and regulatory checkpoints — making reliability operationally material rather than merely a technical preference (Better Home &amp; Finance Holding Company &amp; ElevenLabs, 2026).</w:t>
      </w:r>
    </w:p>
    <w:p w14:paraId="5DFB0C58" w14:textId="77777777" w:rsidR="00E67FC9" w:rsidRPr="00B76053" w:rsidRDefault="00E67FC9" w:rsidP="00E67FC9">
      <w:pPr>
        <w:rPr>
          <w:rFonts w:cs="Times New Roman"/>
        </w:rPr>
      </w:pPr>
      <w:r w:rsidRPr="00B76053">
        <w:rPr>
          <w:rFonts w:cs="Times New Roman"/>
        </w:rPr>
        <w:t>The ElevenLabs case materials require careful handling as evidence. The February 2026 release presents quantitative outcomes explicitly as results "according to the case study," and the ElevenLabs blog is published as an "ElevenAgents story" with an explicit disclaimer stating that results are based on internal analyses and may vary by borrower profile, market conditions, and loan characteristics (Better Home &amp; Finance Holding Company &amp; ElevenLabs, 2026; ElevenLabs, 2026). As with most vendor case studies, the materials are designed to highlight successful implementation and may understate implementation friction, unresolved edge cases, or the degree to which outcomes depend on Better's broader Tinman-based transformation rather than on the voice provider alone. For this reason, ElevenLabs materials are used in this thesis primarily to document mechanism, architecture, and operational role, while claims about business value — such as the reported 41% reduction in cost to originate or specific conversion uplifts — are treated as part of the broader Betsy/Tinman operating model narrative rather than as independently verified outcome evidence. These business-value claims are triangulated with Better's SEC filings, quarterly disclosures, and external customer-review evidence in Chapter 5.</w:t>
      </w:r>
    </w:p>
    <w:p w14:paraId="03157A1E" w14:textId="77777777" w:rsidR="006046D2" w:rsidRPr="00B76053" w:rsidRDefault="00B04762">
      <w:pPr>
        <w:pStyle w:val="Heading2"/>
        <w:spacing w:before="280"/>
        <w:rPr>
          <w:rFonts w:cs="Times New Roman"/>
        </w:rPr>
      </w:pPr>
      <w:bookmarkStart w:id="48" w:name="_Toc229599057"/>
      <w:r w:rsidRPr="00B76053">
        <w:rPr>
          <w:rFonts w:cs="Times New Roman"/>
        </w:rPr>
        <w:t>4.7 Implementation Timeline</w:t>
      </w:r>
      <w:bookmarkEnd w:id="48"/>
    </w:p>
    <w:p w14:paraId="69FA84D2" w14:textId="77777777" w:rsidR="006D212F" w:rsidRPr="00B76053" w:rsidRDefault="006D212F" w:rsidP="006D212F">
      <w:pPr>
        <w:rPr>
          <w:rFonts w:cs="Times New Roman"/>
        </w:rPr>
      </w:pPr>
      <w:r w:rsidRPr="00B76053">
        <w:rPr>
          <w:rFonts w:cs="Times New Roman"/>
          <w:b/>
        </w:rPr>
        <w:t>Pre-deployment baseline (2021–2023).</w:t>
      </w:r>
      <w:r w:rsidRPr="00B76053">
        <w:rPr>
          <w:rFonts w:cs="Times New Roman"/>
        </w:rPr>
        <w:t xml:space="preserve"> The period from 2021 to 2023 establishes the baseline against which Better.com's AI strategy must be assessed. Public registration materials filed during the company's SPAC process show that Better's funded loan volume rose from $24.2 billion in 2020 to $58.0 billion in 2021, representing year-over-year growth of approximately 139%, before the company's financial performance deteriorated significantly in the second half of 2021 and into 2022 as the interest-rate environment shifted (Better HoldCo, Inc., 2023). The </w:t>
      </w:r>
      <w:r w:rsidRPr="00B76053">
        <w:rPr>
          <w:rFonts w:cs="Times New Roman"/>
        </w:rPr>
        <w:lastRenderedPageBreak/>
        <w:t>broader mortgage market changed materially during this period: the Federal Reserve's rapid rate increases reduced refinancing demand and made origination volumes difficult to sustain. Better's 2023 results reported revenue of approximately $76.8 million, funded loan volume of $3.0 billion, and an adjusted EBITDA loss of $163 million, while emphasising that total expenses had been reduced by 71% year over year and by more than $1.1 billion compared with 2021 (Better Home &amp; Finance Holding Company, 2024b). This period therefore captures the strategic crisis that made scalable automation attractive: during the boom, capacity could be expanded through hiring; after the contraction, Better faced the challenge of rebuilding operating leverage without proportional headcount growth.</w:t>
      </w:r>
    </w:p>
    <w:p w14:paraId="4AC667C6" w14:textId="77777777" w:rsidR="006D212F" w:rsidRPr="00B76053" w:rsidRDefault="006D212F" w:rsidP="006D212F">
      <w:pPr>
        <w:rPr>
          <w:rFonts w:cs="Times New Roman"/>
        </w:rPr>
      </w:pPr>
      <w:r w:rsidRPr="00B76053">
        <w:rPr>
          <w:rFonts w:cs="Times New Roman"/>
          <w:b/>
        </w:rPr>
        <w:t>Transition year (2024).</w:t>
      </w:r>
      <w:r w:rsidRPr="00B76053">
        <w:rPr>
          <w:rFonts w:cs="Times New Roman"/>
        </w:rPr>
        <w:t xml:space="preserve"> The year 2024 should be interpreted as a transition period rather than a full post-deployment year. Betsy was formally launched on 17 October 2024, meaning that annual 2024 results necessarily combine approximately ten months of pre-deployment operations with only a short initial post-launch window. The launch announcement described Betsy as designed to communicate with prospective and existing customers, answer mortgage application inquiries, collect and verify outstanding application data, and interface with Tinman in real time (Better Home &amp; Finance Holding Company, 2024a). On a standardised analytical basis, full-year 2024 revenue was approximately $108.5 million (up from $76.8 million in 2023) and the net loss narrowed to approximately $206.3 million (from approximately $536.4 million in 2023), while funded loan volume increased to approximately $3.6 billion from $3.0 billion (Better Home &amp; Finance Holding Company, 2025a). These improvements reflect Better's broader recovery trajectory — driven by expense management, restructuring, and early AI integration — rather than isolating Betsy's specific contribution. The 2024 data should therefore support a transition narrative, not a clean pre/post comparison.</w:t>
      </w:r>
    </w:p>
    <w:p w14:paraId="3887EE99" w14:textId="77777777" w:rsidR="006D212F" w:rsidRPr="00B76053" w:rsidRDefault="006D212F" w:rsidP="006D212F">
      <w:pPr>
        <w:rPr>
          <w:rFonts w:cs="Times New Roman"/>
        </w:rPr>
      </w:pPr>
      <w:r w:rsidRPr="00B76053">
        <w:rPr>
          <w:rFonts w:cs="Times New Roman"/>
          <w:b/>
        </w:rPr>
        <w:t>Scaling period (2025–2026).</w:t>
      </w:r>
      <w:r w:rsidRPr="00B76053">
        <w:rPr>
          <w:rFonts w:cs="Times New Roman"/>
        </w:rPr>
        <w:t xml:space="preserve"> By 2025, Betsy was part of Better's broader AI-enabled operating model. In its fourth-quarter and full-year 2024 results release, Better reported that Betsy was conducting more than 115,000 customer interactions per month and that approximately 40% of loan files were receiving Tinman AI underwriting review — management-reported indicators suggesting a shift from experimentation to sustained operational use (Better Home &amp; Finance Holding Company, 2025a). This customer-interaction figure reflects a broader reporting base than the approximately 100,000 mortgage-related phone calls per month referenced in the </w:t>
      </w:r>
      <w:r w:rsidRPr="00B76053">
        <w:rPr>
          <w:rFonts w:cs="Times New Roman"/>
        </w:rPr>
        <w:lastRenderedPageBreak/>
        <w:t>subsequent Better–ElevenLabs joint materials (Better Home &amp; Finance Holding Company &amp; ElevenLabs, 2026); the two metrics differ in scope and should not be treated as numerically contradictory. Better's Q1 2025 release stated that Betsy had been further expanded into processing and underwriting workflows, while the Q2 2025 release confirmed that Betsy had been extended to autonomously enable consumers to lock their rate and move their loan toward closing (Better Home &amp; Finance Holding Company, 2025b, 2025c). According to ElevenLabs case material, Better adopted ElevenAgents in June 2025 to extend Tinman's digital mortgage workflows through Betsy's voice interface; the partnership was publicly described in the joint Better–ElevenLabs materials released in 2026 (Better Home &amp; Finance Holding Company &amp; ElevenLabs, 2026; ElevenLabs, 2026). The scaling period must be interpreted with caution: the available data captures Better.com's overall post-Betsy trajectory but does not isolate Betsy's effect from the concurrent maturation of Tinman, the NEO channel launch, product mix shifts, and broader market conditions. The thesis therefore treats 2025–2026 as evidence of the broader Betsy/Tinman AI operating model rather than a causal test of a single voice agent.</w:t>
      </w:r>
    </w:p>
    <w:p w14:paraId="51D92AFD" w14:textId="77777777" w:rsidR="006046D2" w:rsidRPr="00B76053" w:rsidRDefault="00B04762">
      <w:pPr>
        <w:pStyle w:val="Heading2"/>
        <w:spacing w:before="280"/>
        <w:rPr>
          <w:rFonts w:cs="Times New Roman"/>
        </w:rPr>
      </w:pPr>
      <w:bookmarkStart w:id="49" w:name="_Toc229599058"/>
      <w:r w:rsidRPr="00B76053">
        <w:rPr>
          <w:rFonts w:cs="Times New Roman"/>
        </w:rPr>
        <w:t xml:space="preserve">4.8 </w:t>
      </w:r>
      <w:r w:rsidR="008C3CDC" w:rsidRPr="00B76053">
        <w:rPr>
          <w:rFonts w:cs="Times New Roman"/>
        </w:rPr>
        <w:t>Chapter Summary</w:t>
      </w:r>
      <w:bookmarkEnd w:id="49"/>
    </w:p>
    <w:p w14:paraId="135309B9" w14:textId="77777777" w:rsidR="008C3CDC" w:rsidRPr="00B76053" w:rsidRDefault="008C3CDC" w:rsidP="00112B90">
      <w:pPr>
        <w:rPr>
          <w:rFonts w:cs="Times New Roman"/>
        </w:rPr>
      </w:pPr>
      <w:r w:rsidRPr="00B76053">
        <w:rPr>
          <w:rFonts w:cs="Times New Roman"/>
        </w:rPr>
        <w:t>This chapter has established the empirical foundation for the analysis in Chapter 5 by presenting Better.com as a digital-first mortgage lender whose AI deployment is inseparable from the organisational and technological context that preceded it. The Tinman platform provides the integrated process architecture — aggregating borrower data, supporting automated decisioning, and orchestrating mortgage workflows — that allows Betsy to function as a conversational coordination layer rather than a generic chatbot. ElevenLabs supplies the voice-infrastructure layer, enabling low-latency, natural-speech interaction with borrowers while operational control remains within Better's own environment. Betsy's deployment on 17 October 2024, following three years of severe market contraction and workforce restructuring, reflects a broader attempt to rebuild operational scale through AI-enabled productivity rather than proportional headcount growth. Chapter 5 builds on this case description by examining the evidence across the three empirical strands of the thesis: the qualitative integration analysis of RQ1, the financial performance analysis, and the NLP-based customer perception analysis, both addressing RQ2.</w:t>
      </w:r>
    </w:p>
    <w:p w14:paraId="73A8C191" w14:textId="77777777" w:rsidR="001A7B0D" w:rsidRPr="00B76053" w:rsidRDefault="001A7B0D" w:rsidP="001A7B0D">
      <w:pPr>
        <w:pStyle w:val="Heading1"/>
        <w:pageBreakBefore/>
        <w:spacing w:after="120"/>
        <w:rPr>
          <w:rFonts w:cs="Times New Roman"/>
        </w:rPr>
      </w:pPr>
      <w:bookmarkStart w:id="50" w:name="_Toc229599059"/>
      <w:r w:rsidRPr="00B76053">
        <w:rPr>
          <w:rFonts w:cs="Times New Roman"/>
        </w:rPr>
        <w:lastRenderedPageBreak/>
        <w:t>5. Empirical Findings: Triangulated Evidence on the Business Value of Voice AI at Better.com</w:t>
      </w:r>
      <w:bookmarkEnd w:id="50"/>
    </w:p>
    <w:p w14:paraId="2C16BCD5" w14:textId="77777777" w:rsidR="001A7B0D" w:rsidRPr="00B76053" w:rsidRDefault="001A7B0D" w:rsidP="001A7B0D">
      <w:pPr>
        <w:pStyle w:val="Heading2"/>
        <w:rPr>
          <w:rFonts w:cs="Times New Roman"/>
        </w:rPr>
      </w:pPr>
      <w:bookmarkStart w:id="51" w:name="_Toc229599060"/>
      <w:r w:rsidRPr="00B76053">
        <w:rPr>
          <w:rFonts w:cs="Times New Roman"/>
        </w:rPr>
        <w:t>5.1 Introduction to Empirical Findings</w:t>
      </w:r>
      <w:bookmarkEnd w:id="51"/>
    </w:p>
    <w:p w14:paraId="7F56F33E" w14:textId="77777777" w:rsidR="001A7B0D" w:rsidRPr="00B76053" w:rsidRDefault="001A7B0D" w:rsidP="001A7B0D">
      <w:pPr>
        <w:ind w:left="283"/>
        <w:rPr>
          <w:rFonts w:cs="Times New Roman"/>
        </w:rPr>
      </w:pPr>
      <w:r w:rsidRPr="00B76053">
        <w:rPr>
          <w:rFonts w:cs="Times New Roman"/>
          <w:i/>
          <w:sz w:val="20"/>
        </w:rPr>
        <w:t>Terminology note: Throughout this chapter, "the broader Betsy/Tinman AI operating model" refers to the joint configuration of the Tinman platform, the Betsy voice agent, the ElevenLabs voice infrastructure, the human-in-the-loop escalation structure, and the surrounding organisational practices. Where the chapter refers to Betsy as a discrete component, this is made explicit.</w:t>
      </w:r>
    </w:p>
    <w:p w14:paraId="45BE96BF" w14:textId="77777777" w:rsidR="001A7B0D" w:rsidRPr="00B76053" w:rsidRDefault="001A7B0D" w:rsidP="001A7B0D">
      <w:pPr>
        <w:rPr>
          <w:rFonts w:cs="Times New Roman"/>
        </w:rPr>
      </w:pPr>
      <w:r w:rsidRPr="00B76053">
        <w:rPr>
          <w:rFonts w:cs="Times New Roman"/>
        </w:rPr>
        <w:t>This chapter presents the empirical findings of the thesis by integrating three evidence streams: qualitative case-study evidence on the integration of Betsy into Better.com's Tinman-based mortgage origination workflow; longitudinal financial evidence drawn from SEC filings and a descriptive benchmark comparison against Rocket Mortgage; and customer-perception evidence derived from an NLP analysis of Trustpilot reviews. The chapter is organised around the two research questions of the thesis. RQ1 asks how voice LLM agents have been integrated into Better.com's mortgage origination process and what architectural, workflow, and human-AI collaboration prerequisites this integration implies. RQ2 asks what measurable business value can be associated with Better.com's voice AI deployment across operational efficiency, productivity, customer experience, and financial performance.</w:t>
      </w:r>
    </w:p>
    <w:p w14:paraId="3BA9F5BA" w14:textId="77777777" w:rsidR="001A7B0D" w:rsidRPr="00B76053" w:rsidRDefault="001A7B0D" w:rsidP="001A7B0D">
      <w:pPr>
        <w:rPr>
          <w:rFonts w:cs="Times New Roman"/>
        </w:rPr>
      </w:pPr>
      <w:r w:rsidRPr="00B76053">
        <w:rPr>
          <w:rFonts w:cs="Times New Roman"/>
        </w:rPr>
        <w:t>RQ1 is answered primarily through the qualitative case-study evidence established in Chapter 4, supplemented by company disclosures and vendor materials (Better Home &amp; Finance Holding Company, 2024a, 2026; ElevenLabs, 2026). RQ2 is answered through two largely independent quantitative streams: the longitudinal financial analysis of Better's 2021–2025 SEC filings, contextualised against Rocket Mortgage as a directional industry benchmark; and the NLP analysis of 1,915 cleaned Trustpilot reviews segmented around Betsy's 17 October 2024 launch (Better Home &amp; Finance Holding Company, 2024a). Following the convergent parallel mixed-methods design described in Chapter 3, the three streams are interpreted together, with explicit attention to convergence and divergence. Two interpretive constraints frame the chapter. First, the thesis relies on observational, public, secondary data; consequently, the chapter does not claim causal identification of Betsy's independent contribution — it evaluates whether the post-</w:t>
      </w:r>
      <w:r w:rsidRPr="00B76053">
        <w:rPr>
          <w:rFonts w:cs="Times New Roman"/>
        </w:rPr>
        <w:lastRenderedPageBreak/>
        <w:t>deployment evidence is consistent with AI-enabled operational leverage in the sense theorised by Brynjolfsson et al. (2023) and Aggarwal et al. (2025). Second, the chapter foregrounds an analytically significant divergence: financial and operational metrics improve materially across 2024–2025, while independent Trustpilot ratings and VADER sentiment decline significantly over the same period and explicit AI mentions remain near-zero. Rather than treating this as a contradiction, the chapter treats it as a triangulation insight.</w:t>
      </w:r>
    </w:p>
    <w:p w14:paraId="0244C055" w14:textId="77777777" w:rsidR="001A7B0D" w:rsidRPr="00B76053" w:rsidRDefault="001A7B0D" w:rsidP="001A7B0D">
      <w:pPr>
        <w:rPr>
          <w:rFonts w:cs="Times New Roman"/>
        </w:rPr>
      </w:pPr>
      <w:r w:rsidRPr="00B76053">
        <w:rPr>
          <w:rFonts w:cs="Times New Roman"/>
        </w:rPr>
        <w:t>The chapter proceeds in six analytical sections. Section 5.2 addresses RQ1 by analysing how Tinman, Betsy, ElevenLabs, and human escalation form an integration mechanism. Sections 5.3 and 5.4 address the operational/financial and customer-experience dimensions of RQ2. Section 5.5 synthesises the three streams. Section 5.6 records boundary conditions, and Section 5.7 presents direct, evidence-bounded answers to RQ1 and RQ2.</w:t>
      </w:r>
    </w:p>
    <w:p w14:paraId="2293359A" w14:textId="77777777" w:rsidR="001A7B0D" w:rsidRPr="00B76053" w:rsidRDefault="001A7B0D" w:rsidP="001A7B0D">
      <w:pPr>
        <w:pStyle w:val="Heading2"/>
        <w:rPr>
          <w:rFonts w:cs="Times New Roman"/>
        </w:rPr>
      </w:pPr>
      <w:bookmarkStart w:id="52" w:name="_Toc229599061"/>
      <w:r w:rsidRPr="00B76053">
        <w:rPr>
          <w:rFonts w:cs="Times New Roman"/>
        </w:rPr>
        <w:t>5.2 RQ1: Integration of Voice LLM Agents into Mortgage Origination</w:t>
      </w:r>
      <w:bookmarkEnd w:id="52"/>
    </w:p>
    <w:p w14:paraId="047C1BAF" w14:textId="77777777" w:rsidR="001A7B0D" w:rsidRPr="00B76053" w:rsidRDefault="001A7B0D" w:rsidP="001A7B0D">
      <w:pPr>
        <w:rPr>
          <w:rFonts w:cs="Times New Roman"/>
        </w:rPr>
      </w:pPr>
      <w:r w:rsidRPr="00B76053">
        <w:rPr>
          <w:rFonts w:cs="Times New Roman"/>
        </w:rPr>
        <w:t>RQ1 asks how voice LLM agents have been integrated into Better.com's mortgage origination process and under what prerequisites this integration becomes operationally meaningful. The case evidence developed in Chapter 4 supports four interlocking observations: Tinman is the architectural prerequisite that makes a conversational layer operationally useful; Betsy is best understood as a coordination layer rather than a stand-alone underwriter; ElevenLabs supplies the voice infrastructure but does not own Better's mortgage logic; and the deployment is structured as task reallocation between AI and licensed human specialists, not as full labour substitution. Together, these observations indicate that voice LLM integration in financial services is best interpreted as a workflow-integration problem rather than a front-end chatbot problem.</w:t>
      </w:r>
    </w:p>
    <w:p w14:paraId="283EBEAD" w14:textId="77777777" w:rsidR="001A7B0D" w:rsidRPr="00B76053" w:rsidRDefault="001A7B0D" w:rsidP="001A7B0D">
      <w:pPr>
        <w:pStyle w:val="Heading3"/>
        <w:spacing w:after="120"/>
        <w:rPr>
          <w:rFonts w:cs="Times New Roman"/>
        </w:rPr>
      </w:pPr>
      <w:bookmarkStart w:id="53" w:name="_Toc229599062"/>
      <w:r w:rsidRPr="00B76053">
        <w:rPr>
          <w:rFonts w:cs="Times New Roman"/>
        </w:rPr>
        <w:t>5.2.1 Tinman as the Architectural Prerequisite</w:t>
      </w:r>
      <w:bookmarkEnd w:id="53"/>
    </w:p>
    <w:p w14:paraId="0A25ABDF" w14:textId="77777777" w:rsidR="001A7B0D" w:rsidRPr="00B76053" w:rsidRDefault="001A7B0D" w:rsidP="001A7B0D">
      <w:pPr>
        <w:rPr>
          <w:rFonts w:cs="Times New Roman"/>
        </w:rPr>
      </w:pPr>
      <w:r w:rsidRPr="00B76053">
        <w:rPr>
          <w:rFonts w:cs="Times New Roman"/>
        </w:rPr>
        <w:t xml:space="preserve">Better.com's ability to deploy a voice AI loan assistant rests on the fact that its mortgage process is already encoded in Tinman, the company's proprietary, integrated mortgage operating platform. Tinman functions as the system of record for borrower data, pricing, documentation, eligibility checks, workflow routing, and audit trails (Better Home &amp; Finance Holding Company, 2026). This matters because, in the task-technology fit tradition of Goodhue and Thompson (1995), the fit between a conversational technology and the work it is asked to perform depends </w:t>
      </w:r>
      <w:r w:rsidRPr="00B76053">
        <w:rPr>
          <w:rFonts w:cs="Times New Roman"/>
        </w:rPr>
        <w:lastRenderedPageBreak/>
        <w:t>on whether the technology has access to the data and process state needed for the task. A voice LLM agent operating without access to a structured mortgage system would be limited to generic informational dialogue. Operating on top of Tinman, the agent is positioned to reference an applicant's loan stage, request missing documentation, or surface status information derived from the system of record. The case evidence therefore suggests that the operational meaningfulness of Betsy is not a property of the voice agent in isolation; it is a joint property of Betsy and the Tinman-mediated workflow into which it is embedded.</w:t>
      </w:r>
    </w:p>
    <w:p w14:paraId="623F4641" w14:textId="77777777" w:rsidR="001A7B0D" w:rsidRPr="00B76053" w:rsidRDefault="001A7B0D" w:rsidP="001A7B0D">
      <w:pPr>
        <w:rPr>
          <w:rFonts w:cs="Times New Roman"/>
        </w:rPr>
      </w:pPr>
      <w:r w:rsidRPr="00B76053">
        <w:rPr>
          <w:rFonts w:cs="Times New Roman"/>
        </w:rPr>
        <w:t>This interpretation is consistent with the broader literature on AI in customer-facing financial services. Hentzen et al. (2022) emphasise that AI systems in mortgage and banking contexts are most effective when embedded in compliant, auditable workflows; Mogaji and Nguyen (2021) note that consequential AI applications often operate as backend or infrastructure-level components rather than as branded customer-facing chatbots. Better.com's public materials position Tinman as such an architectural foundation: the company describes itself as a technology-first mortgage lender whose digital infrastructure was designed to digitise the end-to-end home-finance process before voice AI was layered on top (Better.com, n.d.; Better Home &amp; Finance Holding Company, 2026). The case therefore supports the argument that the preconditions for a meaningful voice LLM deployment include not only model quality but also a process-aware operating platform that exposes structured workflow state to the conversational layer.</w:t>
      </w:r>
    </w:p>
    <w:p w14:paraId="307706F4" w14:textId="77777777" w:rsidR="001A7B0D" w:rsidRPr="00B76053" w:rsidRDefault="001A7B0D" w:rsidP="001A7B0D">
      <w:pPr>
        <w:pStyle w:val="Heading3"/>
        <w:spacing w:after="120"/>
        <w:rPr>
          <w:rFonts w:cs="Times New Roman"/>
        </w:rPr>
      </w:pPr>
      <w:bookmarkStart w:id="54" w:name="_Toc229599063"/>
      <w:r w:rsidRPr="00B76053">
        <w:rPr>
          <w:rFonts w:cs="Times New Roman"/>
        </w:rPr>
        <w:t>5.2.2 Betsy as a Conversational Coordination Layer</w:t>
      </w:r>
      <w:bookmarkEnd w:id="54"/>
    </w:p>
    <w:p w14:paraId="61528239" w14:textId="77777777" w:rsidR="001A7B0D" w:rsidRPr="00B76053" w:rsidRDefault="001A7B0D" w:rsidP="001A7B0D">
      <w:pPr>
        <w:rPr>
          <w:rFonts w:cs="Times New Roman"/>
        </w:rPr>
      </w:pPr>
      <w:r w:rsidRPr="00B76053">
        <w:rPr>
          <w:rFonts w:cs="Times New Roman"/>
        </w:rPr>
        <w:t>Betsy is described in Better.com's investor and press materials as a voice-based AI loan assistant rather than as an underwriting engine (Better Home &amp; Finance Holding Company, 2024a; ElevenLabs, 2026). The publicly disclosed scope of Betsy's tasks centres on borrower communication: handling inbound and outbound calls, answering routine questions about rates and processes, collecting and chasing missing documentation, providing application-status updates, and triaging borrower inquiries. Betsy is therefore best interpreted as a conversational coordination layer over the mortgage workflow — automating the high-volume, repetitive communicative work that historically consumed loan-officer time, while leaving credit decisions, complex problem solving, and final closing steps to licensed human specialists.</w:t>
      </w:r>
    </w:p>
    <w:p w14:paraId="355ABEC4" w14:textId="77777777" w:rsidR="001A7B0D" w:rsidRPr="00B76053" w:rsidRDefault="001A7B0D" w:rsidP="001A7B0D">
      <w:pPr>
        <w:rPr>
          <w:rFonts w:cs="Times New Roman"/>
        </w:rPr>
      </w:pPr>
      <w:r w:rsidRPr="00B76053">
        <w:rPr>
          <w:rFonts w:cs="Times New Roman"/>
        </w:rPr>
        <w:lastRenderedPageBreak/>
        <w:t>This division of labour is consistent with Huang and Rust's (2018) service-AI hierarchy, which distinguishes mechanical, analytical, intuitive, and empathetic dimensions of service work. Betsy operates primarily within the mechanical and analytical dimensions — retrieving structured information, executing predictable conversational scripts, and handling routine status communication — while higher-stakes interactions involving borrower-specific judgement, regulatory advice, or escalation are routed to humans. It is also broadly consistent with the field-experimental evidence from Wang et al. (2023) on voice-based AI in call-centre settings, where voice AI agents complement rather than replace human workers, and from Zhang et al. (2023) on the operational performance effects of AI-based conversational agents in call centres. Crucially, however, the case-study evidence does not allow attribution of any specific operational outcome at Better.com to Betsy in isolation; it shows that Betsy is positioned as a coordination layer within the broader Betsy/Tinman operating model.</w:t>
      </w:r>
    </w:p>
    <w:p w14:paraId="75553AEB" w14:textId="77777777" w:rsidR="001A7B0D" w:rsidRPr="00B76053" w:rsidRDefault="001A7B0D" w:rsidP="001A7B0D">
      <w:pPr>
        <w:pStyle w:val="Heading3"/>
        <w:spacing w:after="120"/>
        <w:rPr>
          <w:rFonts w:cs="Times New Roman"/>
        </w:rPr>
      </w:pPr>
      <w:bookmarkStart w:id="55" w:name="_Toc229599064"/>
      <w:r w:rsidRPr="00B76053">
        <w:rPr>
          <w:rFonts w:cs="Times New Roman"/>
        </w:rPr>
        <w:t>5.2.3 ElevenLabs as Voice Infrastructure</w:t>
      </w:r>
      <w:bookmarkEnd w:id="55"/>
    </w:p>
    <w:p w14:paraId="61C241C7" w14:textId="77777777" w:rsidR="001A7B0D" w:rsidRPr="00B76053" w:rsidRDefault="001A7B0D" w:rsidP="001A7B0D">
      <w:pPr>
        <w:rPr>
          <w:rFonts w:cs="Times New Roman"/>
        </w:rPr>
      </w:pPr>
      <w:r w:rsidRPr="00B76053">
        <w:rPr>
          <w:rFonts w:cs="Times New Roman"/>
        </w:rPr>
        <w:t>ElevenLabs functions as the underlying voice-agent infrastructure for Betsy. According to the joint Better.com–ElevenLabs materials, ElevenLabs provides the conversational AI agents, low-latency speech synthesis, and the agentic conversational runtime that lets Betsy speak naturally with borrowers (ElevenLabs, 2026; Better Home &amp; Finance Holding Company &amp; ElevenLabs, 2026). This vendor relationship is analytically important for two reasons. First, it clarifies that the voice layer is delivered through a third-party platform rather than constructed in-house, which aligns with broader industry patterns in which financial-services firms compose AI-supported workflows from specialised infrastructure components (Liu et al., 2024). Second, it bounds the analytical claims that can be made: ElevenLabs supplies the voice-agent capabilities, but it does not own the mortgage logic, the customer relationship, or the regulated decision-making — Better.com retains those through Tinman and its licensed loan officers.</w:t>
      </w:r>
    </w:p>
    <w:p w14:paraId="74626B99" w14:textId="77777777" w:rsidR="001A7B0D" w:rsidRPr="00B76053" w:rsidRDefault="001A7B0D" w:rsidP="001A7B0D">
      <w:pPr>
        <w:rPr>
          <w:rFonts w:cs="Times New Roman"/>
        </w:rPr>
      </w:pPr>
      <w:r w:rsidRPr="00B76053">
        <w:rPr>
          <w:rFonts w:cs="Times New Roman"/>
        </w:rPr>
        <w:t xml:space="preserve">The vendor evidence must be treated cautiously. ElevenLabs and Better.com both have incentives to present the deployment favourably in joint case-study materials, and figures cited in vendor communications are not independently audited. Following Mogaji and Nguyen's (2021) caution about treating AI vendor claims as independent evidence of business value, this thesis uses the Better.com–ElevenLabs materials to characterise the integration mechanism rather than to substantiate magnitude claims about cost savings or revenue uplift. Where vendor materials </w:t>
      </w:r>
      <w:r w:rsidRPr="00B76053">
        <w:rPr>
          <w:rFonts w:cs="Times New Roman"/>
        </w:rPr>
        <w:lastRenderedPageBreak/>
        <w:t>and Better's own SEC disclosures align, the alignment is reported; where vendor materials extend beyond what Better's SEC filings disclose, the claim is treated as moderate-strength descriptive evidence only.</w:t>
      </w:r>
    </w:p>
    <w:p w14:paraId="7EC6B388" w14:textId="77777777" w:rsidR="001A7B0D" w:rsidRPr="00B76053" w:rsidRDefault="001A7B0D" w:rsidP="001A7B0D">
      <w:pPr>
        <w:pStyle w:val="Heading3"/>
        <w:spacing w:after="120"/>
        <w:rPr>
          <w:rFonts w:cs="Times New Roman"/>
        </w:rPr>
      </w:pPr>
      <w:bookmarkStart w:id="56" w:name="_Toc229599065"/>
      <w:r w:rsidRPr="00B76053">
        <w:rPr>
          <w:rFonts w:cs="Times New Roman"/>
        </w:rPr>
        <w:t>5.2.4 Human-AI Collaboration and Regulated Task Boundaries</w:t>
      </w:r>
      <w:bookmarkEnd w:id="56"/>
    </w:p>
    <w:p w14:paraId="27E2586D" w14:textId="77777777" w:rsidR="001A7B0D" w:rsidRPr="00B76053" w:rsidRDefault="001A7B0D" w:rsidP="001A7B0D">
      <w:pPr>
        <w:rPr>
          <w:rFonts w:cs="Times New Roman"/>
        </w:rPr>
      </w:pPr>
      <w:r w:rsidRPr="00B76053">
        <w:rPr>
          <w:rFonts w:cs="Times New Roman"/>
        </w:rPr>
        <w:t>A consistent feature of the public materials is that Betsy's operating model preserves human escalation. Better Home &amp; Finance Holding Company (2024a) describes Betsy as an assistant that handles routine borrower communication and surfaces escalations to licensed loan officers, and the joint Better–ElevenLabs materials emphasise compliance-oriented controls around the conversational layer (ElevenLabs, 2026; Better Home &amp; Finance Holding Company &amp; ElevenLabs, 2026). The case evidence therefore supports an interpretation of the deployment as task reallocation rather than full labour substitution: high-volume informational and procedural communication is reallocated to a voice AI agent, while consequential, regulated, or borrower-specific judgements remain with human specialists. This pattern is consistent with Acemoglu and Restrepo's (2019) framework, in which automation simultaneously displaces labour on some tasks and reinstates labour on adjacent tasks that the technology cannot perform as effectively.</w:t>
      </w:r>
    </w:p>
    <w:p w14:paraId="3167165B" w14:textId="77777777" w:rsidR="001A7B0D" w:rsidRPr="00B76053" w:rsidRDefault="001A7B0D" w:rsidP="001A7B0D">
      <w:pPr>
        <w:rPr>
          <w:rFonts w:cs="Times New Roman"/>
        </w:rPr>
      </w:pPr>
      <w:r w:rsidRPr="00B76053">
        <w:rPr>
          <w:rFonts w:cs="Times New Roman"/>
        </w:rPr>
        <w:t>From a regulatory perspective, mortgage origination in the United States is governed by federal and state-level disclosure, fair-lending, and consumer-protection rules administered through agencies such as the Consumer Financial Protection Bureau (Consumer Financial Protection Bureau, 2024, 2025). Many of these rules require licensed personnel to validate or sign off on consequential decisions and disclosures. A voice LLM agent integrated into a regulated origination workflow must therefore be embedded in an architecture that maintains auditable handoffs, documented decision trails, and visible human-in-the-loop checkpoints. The Better.com case is consistent with this configuration: Tinman maintains the workflow and audit trails, Betsy mediates routine communication, and licensed loan officers retain authority over consequential decisions. Together, these four observations supply the answer to RQ1, stated formally in Section 5.7.</w:t>
      </w:r>
    </w:p>
    <w:p w14:paraId="5AD162D8" w14:textId="77777777" w:rsidR="001A7B0D" w:rsidRPr="00B76053" w:rsidRDefault="001A7B0D" w:rsidP="001A7B0D">
      <w:pPr>
        <w:pStyle w:val="Heading2"/>
        <w:rPr>
          <w:rFonts w:cs="Times New Roman"/>
        </w:rPr>
      </w:pPr>
      <w:bookmarkStart w:id="57" w:name="_Toc229599066"/>
      <w:r w:rsidRPr="00B76053">
        <w:rPr>
          <w:rFonts w:cs="Times New Roman"/>
        </w:rPr>
        <w:t>5.3 RQ2: Operational and Financial Business Value</w:t>
      </w:r>
      <w:bookmarkEnd w:id="57"/>
    </w:p>
    <w:p w14:paraId="2DC9E4BE" w14:textId="77777777" w:rsidR="001A7B0D" w:rsidRPr="00B76053" w:rsidRDefault="001A7B0D" w:rsidP="001A7B0D">
      <w:pPr>
        <w:rPr>
          <w:rFonts w:cs="Times New Roman"/>
        </w:rPr>
      </w:pPr>
      <w:r w:rsidRPr="00B76053">
        <w:rPr>
          <w:rFonts w:cs="Times New Roman"/>
        </w:rPr>
        <w:t>This section addresses the operational and financial dimensions of RQ2. The analytical strategy is descriptive and longitudinal. The 2024-to-2025 comparison is treated as the primary post-</w:t>
      </w:r>
      <w:r w:rsidRPr="00B76053">
        <w:rPr>
          <w:rFonts w:cs="Times New Roman"/>
        </w:rPr>
        <w:lastRenderedPageBreak/>
        <w:t>transition window, because Betsy launched on 17 October 2024 and 2025 is therefore the first full post-launch fiscal year (Better Home &amp; Finance Holding Company, 2024a). The 2023-to-2025 comparison is reported as supporting evidence of recovery from the 2023 trough rather than as a Betsy-specific causal comparison. The pre-period 2021–2023 average is used as a robustness check to show that 2025 figures, while materially higher than the 2024 transition year, have not fully returned to pandemic-era levels. Throughout, Rocket Companies is used as a directional industry benchmark; differences in scale, business model, and the 2025 Mr. Cooper acquisition mean that Rocket cannot serve as a formal counterfactual.</w:t>
      </w:r>
    </w:p>
    <w:p w14:paraId="3559128F" w14:textId="77777777" w:rsidR="001A7B0D" w:rsidRPr="00B76053" w:rsidRDefault="001A7B0D" w:rsidP="001A7B0D">
      <w:pPr>
        <w:spacing w:before="240" w:after="80"/>
        <w:jc w:val="center"/>
        <w:rPr>
          <w:rFonts w:cs="Times New Roman"/>
        </w:rPr>
      </w:pPr>
      <w:r w:rsidRPr="00B76053">
        <w:rPr>
          <w:rFonts w:cs="Times New Roman"/>
          <w:noProof/>
        </w:rPr>
        <w:drawing>
          <wp:inline distT="0" distB="0" distL="0" distR="0" wp14:anchorId="3B4A1FA7" wp14:editId="25AD0BAF">
            <wp:extent cx="5029200" cy="5845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4beh_bpy.png"/>
                    <pic:cNvPicPr/>
                  </pic:nvPicPr>
                  <pic:blipFill>
                    <a:blip r:embed="rId8"/>
                    <a:stretch>
                      <a:fillRect/>
                    </a:stretch>
                  </pic:blipFill>
                  <pic:spPr>
                    <a:xfrm>
                      <a:off x="0" y="0"/>
                      <a:ext cx="5029200" cy="5845753"/>
                    </a:xfrm>
                    <a:prstGeom prst="rect">
                      <a:avLst/>
                    </a:prstGeom>
                  </pic:spPr>
                </pic:pic>
              </a:graphicData>
            </a:graphic>
          </wp:inline>
        </w:drawing>
      </w:r>
    </w:p>
    <w:p w14:paraId="3529C101" w14:textId="77777777" w:rsidR="001A7B0D" w:rsidRPr="00B76053" w:rsidRDefault="001A7B0D" w:rsidP="001A7B0D">
      <w:pPr>
        <w:spacing w:before="80"/>
        <w:rPr>
          <w:rFonts w:cs="Times New Roman"/>
        </w:rPr>
      </w:pPr>
      <w:r w:rsidRPr="00B76053">
        <w:rPr>
          <w:rFonts w:cs="Times New Roman"/>
          <w:i/>
          <w:sz w:val="20"/>
        </w:rPr>
        <w:lastRenderedPageBreak/>
        <w:t>Figure 5.1. Better.com revenue, standardised total expense base, and net income/loss, 2021–2025. Shaded regions mark the pre-Betsy baseline (2021–2023), the 2024 transition year, and the 2025 post-Betsy fiscal year. Source: Better Home &amp; Finance Holding Company SEC filings (S-1; 10-K 2023, 2024, 2025).</w:t>
      </w:r>
    </w:p>
    <w:p w14:paraId="1DDE2107" w14:textId="77777777" w:rsidR="001A7B0D" w:rsidRPr="00B76053" w:rsidRDefault="001A7B0D" w:rsidP="001A7B0D">
      <w:pPr>
        <w:pStyle w:val="Heading3"/>
        <w:spacing w:after="120"/>
        <w:rPr>
          <w:rFonts w:cs="Times New Roman"/>
        </w:rPr>
      </w:pPr>
      <w:bookmarkStart w:id="58" w:name="_Toc229599067"/>
      <w:r w:rsidRPr="00B76053">
        <w:rPr>
          <w:rFonts w:cs="Times New Roman"/>
        </w:rPr>
        <w:t>5.3.1 Revenue Recovery and Post-Transition Growth</w:t>
      </w:r>
      <w:bookmarkEnd w:id="58"/>
    </w:p>
    <w:p w14:paraId="6DA5BEF7" w14:textId="77777777" w:rsidR="001A7B0D" w:rsidRPr="00B76053" w:rsidRDefault="001A7B0D" w:rsidP="001A7B0D">
      <w:pPr>
        <w:rPr>
          <w:rFonts w:cs="Times New Roman"/>
        </w:rPr>
      </w:pPr>
      <w:r w:rsidRPr="00B76053">
        <w:rPr>
          <w:rFonts w:cs="Times New Roman"/>
        </w:rPr>
        <w:t>Better.com's revenue trajectory across 2023–2025 displays a clear recovery pattern. Reported total net revenue rose from approximately $76.8 million in 2023 to approximately $108.5 million in 2024 and approximately $164.9 million in 2025 (Better Home &amp; Finance Holding Company, 2024b, 2025a, 2026). The primary post-transition comparison is an increase of approximately 52.0 per cent from 2024 to 2025. Across the longer 2023-to-2025 window, revenue grew by approximately 114.6 per cent, but this larger figure incorporates the trough-year baseline of 2023, when the U.S. mortgage market was constrained by elevated interest rates and depressed origination volumes (Mortgage Bankers Association, 2024a). Funded loan volume moved in the same direction, rising from approximately $3.0 billion in 2023 to approximately $3.6 billion in 2024 (Better Home &amp; Finance Holding Company, 2024b, 2025a). Figure 5.1 visualises this trajectory alongside the standardised total expense base and the net loss line.</w:t>
      </w:r>
    </w:p>
    <w:p w14:paraId="0A9BF721" w14:textId="77777777" w:rsidR="001A7B0D" w:rsidRPr="00B76053" w:rsidRDefault="001A7B0D" w:rsidP="001A7B0D">
      <w:pPr>
        <w:rPr>
          <w:rFonts w:cs="Times New Roman"/>
        </w:rPr>
      </w:pPr>
      <w:r w:rsidRPr="00B76053">
        <w:rPr>
          <w:rFonts w:cs="Times New Roman"/>
        </w:rPr>
        <w:t>Two contextual observations help calibrate this revenue recovery. First, it is partial rather than complete: even at the 2025 level of approximately $164.9 million, revenue remains materially below Better's 2021 pandemic-era peak. The 2025 figure is therefore best read as a meaningful recovery from the 2023 trough, not a return to pre-restructuring scale. Second, the recovery is occurring in a U.S. mortgage market that is itself only partially recovering. Mortgage Bankers Association (2024a) data indicate that independent mortgage banker production margins improved from late-2023 lows but remained below long-run averages through 2024, with origination volumes still constrained by elevated rates. The descriptive benchmark comparison with Rocket Mortgage in Section 5.3.5 helps separate firm-specific from sector-wide effects, although it cannot do so with causal precision. The most defensible framing is that the post-transition revenue recovery is consistent with AI-enabled operational leverage, while leaving the specific contribution of Betsy unresolved.</w:t>
      </w:r>
    </w:p>
    <w:p w14:paraId="1C6467F6" w14:textId="77777777" w:rsidR="001A7B0D" w:rsidRPr="00B76053" w:rsidRDefault="001A7B0D" w:rsidP="001A7B0D">
      <w:pPr>
        <w:pStyle w:val="Heading3"/>
        <w:spacing w:after="120"/>
        <w:rPr>
          <w:rFonts w:cs="Times New Roman"/>
        </w:rPr>
      </w:pPr>
      <w:bookmarkStart w:id="59" w:name="_Toc229599068"/>
      <w:r w:rsidRPr="00B76053">
        <w:rPr>
          <w:rFonts w:cs="Times New Roman"/>
        </w:rPr>
        <w:t>5.3.2 Expense Intensity and Operational Efficiency</w:t>
      </w:r>
      <w:bookmarkEnd w:id="59"/>
    </w:p>
    <w:p w14:paraId="52F4F9F8" w14:textId="77777777" w:rsidR="001A7B0D" w:rsidRPr="00B76053" w:rsidRDefault="001A7B0D" w:rsidP="001A7B0D">
      <w:pPr>
        <w:rPr>
          <w:rFonts w:cs="Times New Roman"/>
        </w:rPr>
      </w:pPr>
      <w:r w:rsidRPr="00B76053">
        <w:rPr>
          <w:rFonts w:cs="Times New Roman"/>
        </w:rPr>
        <w:t xml:space="preserve">The strongest descriptive evidence for operational efficiency at Better.com is the trajectory of the expense ratio, defined as the standardised total expense base divided by total net revenue. This </w:t>
      </w:r>
      <w:r w:rsidRPr="00B76053">
        <w:rPr>
          <w:rFonts w:cs="Times New Roman"/>
        </w:rPr>
        <w:lastRenderedPageBreak/>
        <w:t>ratio improved from 4.79 in 2023 to 2.89 in 2024 and 2.01 in 2025. Between 2024 and 2025, revenue grew by approximately 52.0 per cent while the standardised expense base grew by only approximately 5.3 per cent (2024: $313.9 million → 2025: $330.7 million), compared with the 2023 expense level of $368.1 million, which had already fallen substantially through restructuring. This pattern — substantial revenue growth with only marginal cost growth — is consistent with AI-enabled operational leverage: a process-aware operating platform absorbing additional volume without proportional cost expansion.</w:t>
      </w:r>
    </w:p>
    <w:p w14:paraId="1B268260" w14:textId="77777777" w:rsidR="001A7B0D" w:rsidRPr="00B76053" w:rsidRDefault="001A7B0D" w:rsidP="001A7B0D">
      <w:pPr>
        <w:rPr>
          <w:rFonts w:cs="Times New Roman"/>
        </w:rPr>
      </w:pPr>
      <w:r w:rsidRPr="00B76053">
        <w:rPr>
          <w:rFonts w:cs="Times New Roman"/>
        </w:rPr>
        <w:t>The decomposition of the expense ratio is informative. The 2024-to-2025 improvement of approximately 30.7 per cent is driven primarily by revenue growth (the denominator effect), with only modest expense growth (the numerator effect). In a pure cost-cutting story, one would expect the numerator to fall sharply; in a pure demand-recovery story, one would expect the numerator to rise proportionally. The Better.com evidence fits neither pure pattern, which is what an operational-leverage trajectory should look like. This descriptive pattern is most consistent with the central hypothesis of the thesis, with the caution that it reflects the broader Betsy/Tinman operating model rather than Betsy alone.</w:t>
      </w:r>
    </w:p>
    <w:p w14:paraId="2F646A34" w14:textId="77777777" w:rsidR="001A7B0D" w:rsidRPr="00B76053" w:rsidRDefault="001A7B0D" w:rsidP="001A7B0D">
      <w:pPr>
        <w:spacing w:before="240" w:after="80"/>
        <w:jc w:val="center"/>
        <w:rPr>
          <w:rFonts w:cs="Times New Roman"/>
        </w:rPr>
      </w:pPr>
      <w:r w:rsidRPr="00B76053">
        <w:rPr>
          <w:rFonts w:cs="Times New Roman"/>
          <w:noProof/>
        </w:rPr>
        <w:lastRenderedPageBreak/>
        <w:drawing>
          <wp:inline distT="0" distB="0" distL="0" distR="0" wp14:anchorId="7AA5ED05" wp14:editId="4A82DEB7">
            <wp:extent cx="5029200" cy="5234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i8tr0ddg.png"/>
                    <pic:cNvPicPr/>
                  </pic:nvPicPr>
                  <pic:blipFill>
                    <a:blip r:embed="rId9"/>
                    <a:stretch>
                      <a:fillRect/>
                    </a:stretch>
                  </pic:blipFill>
                  <pic:spPr>
                    <a:xfrm>
                      <a:off x="0" y="0"/>
                      <a:ext cx="5029200" cy="5234048"/>
                    </a:xfrm>
                    <a:prstGeom prst="rect">
                      <a:avLst/>
                    </a:prstGeom>
                  </pic:spPr>
                </pic:pic>
              </a:graphicData>
            </a:graphic>
          </wp:inline>
        </w:drawing>
      </w:r>
    </w:p>
    <w:p w14:paraId="3A4B11C0" w14:textId="77777777" w:rsidR="001A7B0D" w:rsidRPr="00B76053" w:rsidRDefault="001A7B0D" w:rsidP="001A7B0D">
      <w:pPr>
        <w:spacing w:before="80"/>
        <w:rPr>
          <w:rFonts w:cs="Times New Roman"/>
        </w:rPr>
      </w:pPr>
      <w:r w:rsidRPr="00B76053">
        <w:rPr>
          <w:rFonts w:cs="Times New Roman"/>
          <w:i/>
          <w:sz w:val="20"/>
        </w:rPr>
        <w:t>Figure 5.2. Better.com expense ratio (standardised total expense base / total net revenue) and operating cash flow margin (operating cash flow / revenue), 2021–2025. Source: Better Home &amp; Finance Holding Company SEC filings (S-1; 10-K 2023, 2024, 2025).</w:t>
      </w:r>
    </w:p>
    <w:p w14:paraId="6CF4C9D0" w14:textId="77777777" w:rsidR="001A7B0D" w:rsidRPr="00B76053" w:rsidRDefault="001A7B0D" w:rsidP="001A7B0D">
      <w:pPr>
        <w:rPr>
          <w:rFonts w:cs="Times New Roman"/>
        </w:rPr>
      </w:pPr>
      <w:r w:rsidRPr="00B76053">
        <w:rPr>
          <w:rFonts w:cs="Times New Roman"/>
        </w:rPr>
        <w:t>Two interpretive caveats apply. First, Better and Rocket use different accounting presentations, so cross-company expense-ratio comparisons should be interpreted directionally, not as precise like-for-like measurements (Rocket Companies, 2024, 2025). Second, Panel B of Figure 5.2 shows that the operating cash flow margin remained volatile and deeply negative throughout the period (reaching −350.2% in 2024 before recovering to −101.0% in 2025), confirming that the expense-ratio improvement reflects intensifying revenue leverage rather than self-funding operations.</w:t>
      </w:r>
    </w:p>
    <w:p w14:paraId="05EF3351" w14:textId="77777777" w:rsidR="001A7B0D" w:rsidRPr="00B76053" w:rsidRDefault="001A7B0D" w:rsidP="001A7B0D">
      <w:pPr>
        <w:pStyle w:val="Heading3"/>
        <w:spacing w:after="120"/>
        <w:rPr>
          <w:rFonts w:cs="Times New Roman"/>
        </w:rPr>
      </w:pPr>
      <w:bookmarkStart w:id="60" w:name="_Toc229599069"/>
      <w:r w:rsidRPr="00B76053">
        <w:rPr>
          <w:rFonts w:cs="Times New Roman"/>
        </w:rPr>
        <w:lastRenderedPageBreak/>
        <w:t>5.3.3 Net Loss Reduction and Profitability Trajectory</w:t>
      </w:r>
      <w:bookmarkEnd w:id="60"/>
    </w:p>
    <w:p w14:paraId="44905C8E" w14:textId="77777777" w:rsidR="001A7B0D" w:rsidRPr="00B76053" w:rsidRDefault="001A7B0D" w:rsidP="001A7B0D">
      <w:pPr>
        <w:rPr>
          <w:rFonts w:cs="Times New Roman"/>
        </w:rPr>
      </w:pPr>
      <w:r w:rsidRPr="00B76053">
        <w:rPr>
          <w:rFonts w:cs="Times New Roman"/>
        </w:rPr>
        <w:t>Better.com's net loss narrowed from approximately $536.4 million in 2023 to approximately $206.3 million in 2024 and approximately $165.9 million in 2025 (Better Home &amp; Finance Holding Company, 2024b, 2025a, 2026). On a year-over-year basis, the 2024-to-2025 improvement is approximately 19.6 per cent — directionally favourable and substantial in absolute terms, though the company has not achieved profitability. These figures do not establish that Better's business model is profitable at current scale, that loss-narrowing will continue at the same rate, or that the path to profitability is uniquely AI-driven; Better's own disclosures explicitly cite multiple concurrent levers, including capital structure changes, channel diversification, and cost discipline (Better Home &amp; Finance Holding Company, 2026). The most defensible reading is that the loss-narrowing trajectory is consistent with the operational-leverage interpretation, but does not yet support a stronger claim of financial turnaround.</w:t>
      </w:r>
    </w:p>
    <w:p w14:paraId="713B7AEA" w14:textId="77777777" w:rsidR="001A7B0D" w:rsidRPr="00B76053" w:rsidRDefault="001A7B0D" w:rsidP="001A7B0D">
      <w:pPr>
        <w:rPr>
          <w:rFonts w:cs="Times New Roman"/>
        </w:rPr>
      </w:pPr>
      <w:r w:rsidRPr="00B76053">
        <w:rPr>
          <w:rFonts w:cs="Times New Roman"/>
        </w:rPr>
        <w:t>The trajectory is consistent with the operational-leverage interpretation that revenue is growing faster than the cost base, while also indicating that the cost base remains structurally large relative to revenue. The comparison with Rocket Companies in Section 5.3.5 helps contextualise this trajectory against broad market recovery effects without replacing the central case-level interpretation.</w:t>
      </w:r>
    </w:p>
    <w:p w14:paraId="11E76037" w14:textId="77777777" w:rsidR="001A7B0D" w:rsidRPr="00B76053" w:rsidRDefault="001A7B0D" w:rsidP="001A7B0D">
      <w:pPr>
        <w:pStyle w:val="Heading3"/>
        <w:spacing w:after="120"/>
        <w:rPr>
          <w:rFonts w:cs="Times New Roman"/>
        </w:rPr>
      </w:pPr>
      <w:bookmarkStart w:id="61" w:name="_Toc229599070"/>
      <w:r w:rsidRPr="00B76053">
        <w:rPr>
          <w:rFonts w:cs="Times New Roman"/>
        </w:rPr>
        <w:t>5.3.4 Labour Productivity and Scalability</w:t>
      </w:r>
      <w:bookmarkEnd w:id="61"/>
    </w:p>
    <w:p w14:paraId="7462E589" w14:textId="77777777" w:rsidR="001A7B0D" w:rsidRPr="00B76053" w:rsidRDefault="001A7B0D" w:rsidP="001A7B0D">
      <w:pPr>
        <w:rPr>
          <w:rFonts w:cs="Times New Roman"/>
        </w:rPr>
      </w:pPr>
      <w:r w:rsidRPr="00B76053">
        <w:rPr>
          <w:rFonts w:cs="Times New Roman"/>
        </w:rPr>
        <w:t>Revenue per employee (RPE), defined as total net revenue divided by year-end headcount, is the primary proxy for labour productivity and scalability. RPE moved from approximately $0.094 million in 2023 to approximately $0.087 million in 2024 and approximately $0.124 million in 2025 — a 2024-to-2025 improvement of approximately 42.9 per cent, indicating a substantial step up in revenue per worker during the first full post-Betsy fiscal year. Across the 2023-to-2025 window, the RPE improvement is approximately 32.3 per cent. Headcount contracted sharply from the pandemic-era peak of approximately 10,400 in 2021 to a 2023 trough of approximately 820, before rising modestly to approximately 1,250 in 2024 and 1,329 in 2025 (Better Home &amp; Finance Holding Company, 2024b, 2025a, 2026). The post-transition RPE improvement is therefore not driven primarily by further headcount contraction but by faster revenue growth on an essentially flat headcount base.</w:t>
      </w:r>
    </w:p>
    <w:p w14:paraId="110CA485" w14:textId="77777777" w:rsidR="001A7B0D" w:rsidRPr="00B76053" w:rsidRDefault="001A7B0D" w:rsidP="001A7B0D">
      <w:pPr>
        <w:spacing w:before="240" w:after="80"/>
        <w:jc w:val="center"/>
        <w:rPr>
          <w:rFonts w:cs="Times New Roman"/>
        </w:rPr>
      </w:pPr>
      <w:r w:rsidRPr="00B76053">
        <w:rPr>
          <w:rFonts w:cs="Times New Roman"/>
          <w:noProof/>
        </w:rPr>
        <w:lastRenderedPageBreak/>
        <w:drawing>
          <wp:inline distT="0" distB="0" distL="0" distR="0" wp14:anchorId="19A6DCBD" wp14:editId="316EF25D">
            <wp:extent cx="5029200" cy="50303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en_fvber.png"/>
                    <pic:cNvPicPr/>
                  </pic:nvPicPr>
                  <pic:blipFill>
                    <a:blip r:embed="rId10"/>
                    <a:stretch>
                      <a:fillRect/>
                    </a:stretch>
                  </pic:blipFill>
                  <pic:spPr>
                    <a:xfrm>
                      <a:off x="0" y="0"/>
                      <a:ext cx="5029200" cy="5030379"/>
                    </a:xfrm>
                    <a:prstGeom prst="rect">
                      <a:avLst/>
                    </a:prstGeom>
                  </pic:spPr>
                </pic:pic>
              </a:graphicData>
            </a:graphic>
          </wp:inline>
        </w:drawing>
      </w:r>
    </w:p>
    <w:p w14:paraId="2D103D96" w14:textId="77777777" w:rsidR="001A7B0D" w:rsidRPr="00B76053" w:rsidRDefault="001A7B0D" w:rsidP="001A7B0D">
      <w:pPr>
        <w:spacing w:before="80"/>
        <w:rPr>
          <w:rFonts w:cs="Times New Roman"/>
        </w:rPr>
      </w:pPr>
      <w:r w:rsidRPr="00B76053">
        <w:rPr>
          <w:rFonts w:cs="Times New Roman"/>
          <w:i/>
          <w:sz w:val="20"/>
        </w:rPr>
        <w:t>Figure 5.3. Better.com year-end headcount and revenue per employee (RPE), 2021–2025. Source: Better Home &amp; Finance Holding Company SEC filings (S-1; 10-K 2023, 2024, 2025).</w:t>
      </w:r>
    </w:p>
    <w:p w14:paraId="631770F7" w14:textId="77777777" w:rsidR="001A7B0D" w:rsidRPr="00B76053" w:rsidRDefault="001A7B0D" w:rsidP="001A7B0D">
      <w:pPr>
        <w:rPr>
          <w:rFonts w:cs="Times New Roman"/>
        </w:rPr>
      </w:pPr>
      <w:r w:rsidRPr="00B76053">
        <w:rPr>
          <w:rFonts w:cs="Times New Roman"/>
        </w:rPr>
        <w:t>The productivity evidence is moderately strong but should be qualified. Although 2025 RPE is materially higher than 2024 RPE, it remains below the 2021–2023 pre-period average of approximately $0.130 million. The post-Betsy productivity recovery is therefore best characterised as a partial recovery toward, rather than past, pre-restructuring productivity levels. As a supplementary composite indicator, the author-constructed Operational Leverage Index (OLI) reaches 195.3 in 2025 with 2023 set to 100 (see Appendix E.1). The OLI is equally weighted across Revenue Growth, Revenue per Employee, and Inverse Expense Ratio indices, and is sensitive to the choice of baseline year and weighting scheme; it is retained as a compact visualisation of multiple normalised trends rather than as primary evidence.</w:t>
      </w:r>
    </w:p>
    <w:p w14:paraId="1555ACE4" w14:textId="77777777" w:rsidR="001A7B0D" w:rsidRPr="00B76053" w:rsidRDefault="001A7B0D" w:rsidP="001A7B0D">
      <w:pPr>
        <w:pStyle w:val="Heading3"/>
        <w:spacing w:after="120"/>
        <w:rPr>
          <w:rFonts w:cs="Times New Roman"/>
        </w:rPr>
      </w:pPr>
      <w:bookmarkStart w:id="62" w:name="_Toc229599071"/>
      <w:r w:rsidRPr="00B76053">
        <w:rPr>
          <w:rFonts w:cs="Times New Roman"/>
        </w:rPr>
        <w:lastRenderedPageBreak/>
        <w:t>5.3.5 Benchmark Context with Rocket Mortgage</w:t>
      </w:r>
      <w:bookmarkEnd w:id="62"/>
    </w:p>
    <w:p w14:paraId="12D675A8" w14:textId="77777777" w:rsidR="001A7B0D" w:rsidRPr="00B76053" w:rsidRDefault="001A7B0D" w:rsidP="001A7B0D">
      <w:pPr>
        <w:rPr>
          <w:rFonts w:cs="Times New Roman"/>
        </w:rPr>
      </w:pPr>
      <w:r w:rsidRPr="00B76053">
        <w:rPr>
          <w:rFonts w:cs="Times New Roman"/>
        </w:rPr>
        <w:t>Rocket Companies is included in this analysis as a directional industry benchmark, not as a control group. The two firms differ substantially in scale (Rocket's 2024 revenue exceeded $5 billion, compared with Better's approximately $108.5 million), in business mix, and in their 2025 strategic context: Rocket's 2025 financial results reflect the Mr. Cooper acquisition, which materially distorts per-employee comparisons (Rocket Companies, 2024, 2025). With those caveats, the benchmark exercise indicates that across 2023–2025 both originators experienced cyclical pressure followed by partial recovery. Better's relative improvement in expense ratio (4.79 → 2.01) is more pronounced than Rocket's (1.106 → 1.032), and Better's relative movement in profit margin and revenue per employee is also more favourable. These descriptive differences are consistent with the interpretation that Better's post-transition trajectory is not explained solely by macroeconomic recovery, since Rocket experienced the same macroeconomic environment yet displayed a smaller relative improvement.</w:t>
      </w:r>
    </w:p>
    <w:p w14:paraId="486C64CE" w14:textId="77777777" w:rsidR="001A7B0D" w:rsidRPr="00B76053" w:rsidRDefault="001A7B0D" w:rsidP="001A7B0D">
      <w:pPr>
        <w:rPr>
          <w:rFonts w:cs="Times New Roman"/>
        </w:rPr>
      </w:pPr>
      <w:r w:rsidRPr="00B76053">
        <w:rPr>
          <w:rFonts w:cs="Times New Roman"/>
        </w:rPr>
        <w:t>The benchmark exercise also produces honest counter-evidence. Rocket remains far larger and more diversified than Better, and reports positive net income in most years across the benchmark window, whereas Better reports net losses throughout 2021–2025. Better is therefore operating from a much smaller and more constrained base, and even an operational-leverage trajectory does not yet bring it to profitability. The benchmark contextualises Better's trajectory against broad market recovery effects without replacing the central case-level interpretation.</w:t>
      </w:r>
    </w:p>
    <w:p w14:paraId="01640436" w14:textId="77777777" w:rsidR="001A7B0D" w:rsidRPr="00B76053" w:rsidRDefault="001A7B0D" w:rsidP="001A7B0D">
      <w:pPr>
        <w:pStyle w:val="Heading3"/>
        <w:spacing w:after="120"/>
        <w:rPr>
          <w:rFonts w:cs="Times New Roman"/>
        </w:rPr>
      </w:pPr>
      <w:bookmarkStart w:id="63" w:name="_Toc229599072"/>
      <w:r w:rsidRPr="00B76053">
        <w:rPr>
          <w:rFonts w:cs="Times New Roman"/>
        </w:rPr>
        <w:t>5.3.6 Financial Interpretation Boundaries</w:t>
      </w:r>
      <w:bookmarkEnd w:id="63"/>
    </w:p>
    <w:p w14:paraId="75024921" w14:textId="77777777" w:rsidR="001A7B0D" w:rsidRPr="00B76053" w:rsidRDefault="001A7B0D" w:rsidP="001A7B0D">
      <w:pPr>
        <w:rPr>
          <w:rFonts w:cs="Times New Roman"/>
        </w:rPr>
      </w:pPr>
      <w:r w:rsidRPr="00B76053">
        <w:rPr>
          <w:rFonts w:cs="Times New Roman"/>
        </w:rPr>
        <w:t xml:space="preserve">Three boundary conditions limit the strength of the financial evidence in §5.3.1–§5.3.5. First, the analysis rests on annual 10-K data, so FY 2024 blends roughly nine and a half months of pre-deployment performance with two and a half months of post-deployment performance; the 2024-to-2025 window is therefore used as the primary post-transition comparison. Second, multiple non-AI factors operated alongside Betsy's deployment — Tinman's continued maturation, the early-2025 NEO channel launch, post-IPO cost restructuring, and the partial U.S. mortgage-market recovery (Better Home &amp; Finance Holding Company, 2025a, 2026; Mortgage Bankers Association, 2024a). Third, the Operational Leverage Index is author-constructed and supplementary. The financial findings are therefore consistent with AI-enabled operational </w:t>
      </w:r>
      <w:r w:rsidRPr="00B76053">
        <w:rPr>
          <w:rFonts w:cs="Times New Roman"/>
        </w:rPr>
        <w:lastRenderedPageBreak/>
        <w:t>leverage but cannot isolate Betsy's specific contribution from the broader Betsy/Tinman operating model; the full treatment is in Chapter 8.</w:t>
      </w:r>
    </w:p>
    <w:p w14:paraId="73BC7C0F" w14:textId="77777777" w:rsidR="001A7B0D" w:rsidRPr="00B76053" w:rsidRDefault="001A7B0D" w:rsidP="001A7B0D">
      <w:pPr>
        <w:pStyle w:val="Heading2"/>
        <w:rPr>
          <w:rFonts w:cs="Times New Roman"/>
        </w:rPr>
      </w:pPr>
      <w:bookmarkStart w:id="64" w:name="_Toc229599073"/>
      <w:r w:rsidRPr="00B76053">
        <w:rPr>
          <w:rFonts w:cs="Times New Roman"/>
        </w:rPr>
        <w:t>5.4 RQ2: Customer Experience and NLP Evidence</w:t>
      </w:r>
      <w:bookmarkEnd w:id="64"/>
    </w:p>
    <w:p w14:paraId="20F0479C" w14:textId="77777777" w:rsidR="001A7B0D" w:rsidRPr="00B76053" w:rsidRDefault="001A7B0D" w:rsidP="001A7B0D">
      <w:pPr>
        <w:rPr>
          <w:rFonts w:cs="Times New Roman"/>
        </w:rPr>
      </w:pPr>
      <w:r w:rsidRPr="00B76053">
        <w:rPr>
          <w:rFonts w:cs="Times New Roman"/>
        </w:rPr>
        <w:t>This section addresses the customer-experience dimension of RQ2 by integrating two complementary signals: management-reported Net Promoter Scores (NPS) and the independent NLP analysis of Trustpilot reviews. The argument developed across the four subsections is not that the NLP evidence establishes a deterioration in customer experience post-Betsy, but that customer-experience evidence is mixed and methodologically valuable because it complicates the management-reported NPS narrative. The pre-Betsy and post-Betsy windows are defined relative to Betsy's 17 October 2024 launch date (Better Home &amp; Finance Holding Company, 2024a), with 1,746 reviews falling into the pre-period and 169 into the post-period.</w:t>
      </w:r>
    </w:p>
    <w:p w14:paraId="3CF7DE66" w14:textId="77777777" w:rsidR="001A7B0D" w:rsidRPr="00B76053" w:rsidRDefault="001A7B0D" w:rsidP="001A7B0D">
      <w:pPr>
        <w:pStyle w:val="Heading3"/>
        <w:spacing w:after="120"/>
        <w:rPr>
          <w:rFonts w:cs="Times New Roman"/>
        </w:rPr>
      </w:pPr>
      <w:bookmarkStart w:id="65" w:name="_Toc229599074"/>
      <w:r w:rsidRPr="00B76053">
        <w:rPr>
          <w:rFonts w:cs="Times New Roman"/>
        </w:rPr>
        <w:t>5.4.1 Management-Reported NPS as Medium-Reliability Evidence</w:t>
      </w:r>
      <w:bookmarkEnd w:id="65"/>
    </w:p>
    <w:p w14:paraId="0C1BC7C6" w14:textId="77777777" w:rsidR="001A7B0D" w:rsidRPr="00B76053" w:rsidRDefault="001A7B0D" w:rsidP="001A7B0D">
      <w:pPr>
        <w:rPr>
          <w:rFonts w:cs="Times New Roman"/>
        </w:rPr>
      </w:pPr>
      <w:r w:rsidRPr="00B76053">
        <w:rPr>
          <w:rFonts w:cs="Times New Roman"/>
        </w:rPr>
        <w:t>Better.com's public materials report that NPS improved from approximately 39 to approximately 64 over the relevant post-deployment period (Better Home &amp; Finance Holding Company, 2025b, 2026). At face value, this is a substantial improvement in an industry-standard customer-experience indicator and would be consistent with an interpretation that Betsy supports a faster, more responsive customer experience. NPS is therefore included as an evidentiary input. However, the NPS figure is management-reported and unaudited, and the underlying sampling, weighting, and survey-instrument details are not fully disclosed. Following the evidence-hierarchy logic established in Chapter 3, NPS is treated as medium-reliability evidence: it is a meaningful internal customer-experience signal, but it should not dominate the customer-experience interpretation when an independent customer-discourse stream is available.</w:t>
      </w:r>
    </w:p>
    <w:p w14:paraId="20CBACCE" w14:textId="77777777" w:rsidR="001A7B0D" w:rsidRPr="00B76053" w:rsidRDefault="001A7B0D" w:rsidP="001A7B0D">
      <w:pPr>
        <w:pStyle w:val="Heading3"/>
        <w:spacing w:after="120"/>
        <w:rPr>
          <w:rFonts w:cs="Times New Roman"/>
        </w:rPr>
      </w:pPr>
      <w:bookmarkStart w:id="66" w:name="_Toc229599075"/>
      <w:r w:rsidRPr="00B76053">
        <w:rPr>
          <w:rFonts w:cs="Times New Roman"/>
        </w:rPr>
        <w:t>5.4.2 Trustpilot Ratings and VADER Sentiment as Independent Customer Discourse</w:t>
      </w:r>
      <w:bookmarkEnd w:id="66"/>
    </w:p>
    <w:p w14:paraId="40B12551" w14:textId="77777777" w:rsidR="001A7B0D" w:rsidRPr="00B76053" w:rsidRDefault="001A7B0D" w:rsidP="001A7B0D">
      <w:pPr>
        <w:rPr>
          <w:rFonts w:cs="Times New Roman"/>
        </w:rPr>
      </w:pPr>
      <w:r w:rsidRPr="00B76053">
        <w:rPr>
          <w:rFonts w:cs="Times New Roman"/>
        </w:rPr>
        <w:t xml:space="preserve">The independent customer-discourse stream is a corpus of 1,915 cleaned Trustpilot reviews of Better.com (1,746 pre-Betsy; 169 post-Betsy). Two complementary signals are computed on the full clean dataset: the average star rating and the lexicon-based VADER compound sentiment score (Hutto &amp; Gilbert, 2014). On both signals, the post-Betsy period is associated with statistically significant declines. Mean star ratings fall from approximately 4.2806 to 3.8580, a </w:t>
      </w:r>
      <w:r w:rsidRPr="00B76053">
        <w:rPr>
          <w:rFonts w:cs="Times New Roman"/>
        </w:rPr>
        <w:lastRenderedPageBreak/>
        <w:t>decline of approximately 0.4226 points, with Welch's t-test p = 0.0019 and Cohen's d = 0.2899 (small-to-medium effect). VADER sentiment falls from approximately 0.6416 to 0.5151, a decline of approximately 0.1265, with p = 0.0057 and d = 0.2505.</w:t>
      </w:r>
    </w:p>
    <w:p w14:paraId="66F15D07" w14:textId="77777777" w:rsidR="001A7B0D" w:rsidRPr="00B76053" w:rsidRDefault="001A7B0D" w:rsidP="001A7B0D">
      <w:pPr>
        <w:spacing w:before="240" w:after="80"/>
        <w:jc w:val="center"/>
        <w:rPr>
          <w:rFonts w:cs="Times New Roman"/>
        </w:rPr>
      </w:pPr>
      <w:r w:rsidRPr="00B76053">
        <w:rPr>
          <w:rFonts w:cs="Times New Roman"/>
          <w:noProof/>
        </w:rPr>
        <w:drawing>
          <wp:inline distT="0" distB="0" distL="0" distR="0" wp14:anchorId="08549A01" wp14:editId="30A4BF07">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2e0ulj0l.png"/>
                    <pic:cNvPicPr/>
                  </pic:nvPicPr>
                  <pic:blipFill>
                    <a:blip r:embed="rId11"/>
                    <a:stretch>
                      <a:fillRect/>
                    </a:stretch>
                  </pic:blipFill>
                  <pic:spPr>
                    <a:xfrm>
                      <a:off x="0" y="0"/>
                      <a:ext cx="5029200" cy="2514600"/>
                    </a:xfrm>
                    <a:prstGeom prst="rect">
                      <a:avLst/>
                    </a:prstGeom>
                  </pic:spPr>
                </pic:pic>
              </a:graphicData>
            </a:graphic>
          </wp:inline>
        </w:drawing>
      </w:r>
    </w:p>
    <w:p w14:paraId="548AD61E" w14:textId="77777777" w:rsidR="001A7B0D" w:rsidRPr="00B76053" w:rsidRDefault="001A7B0D" w:rsidP="001A7B0D">
      <w:pPr>
        <w:spacing w:before="80"/>
        <w:rPr>
          <w:rFonts w:cs="Times New Roman"/>
        </w:rPr>
      </w:pPr>
      <w:r w:rsidRPr="00B76053">
        <w:rPr>
          <w:rFonts w:cs="Times New Roman"/>
          <w:i/>
          <w:sz w:val="20"/>
        </w:rPr>
        <w:t>Figure 5.4. Distribution of Trustpilot VADER compound sentiment scores for Better.com, pre-Betsy (n = 1,746) and post-Betsy (n = 169). Welch's t-test p = 0.0057; Cohen's d = 0.2505. Source: Author's analysis of 1,915 cleaned Trustpilot reviews (Better.com public Trustpilot profile, Apify scrape).</w:t>
      </w:r>
    </w:p>
    <w:p w14:paraId="6D453169" w14:textId="77777777" w:rsidR="001A7B0D" w:rsidRPr="00B76053" w:rsidRDefault="001A7B0D" w:rsidP="001A7B0D">
      <w:pPr>
        <w:rPr>
          <w:rFonts w:cs="Times New Roman"/>
        </w:rPr>
      </w:pPr>
      <w:r w:rsidRPr="00B76053">
        <w:rPr>
          <w:rFonts w:cs="Times New Roman"/>
        </w:rPr>
        <w:t>NPS and Trustpilot VADER sentiment are not directly comparable for at least three structural reasons: NPS samples from Better's own customer-contact channels while Trustpilot reviews are self-selected and publicly posted; NPS asks a single recommendation-likelihood question while Trustpilot reviews are open-ended; and the two channels reach different stages of the customer journey with different levels of emotional engagement and self-selection bias (Filieri, 2015; Luca, 2016). The chapter therefore reports both metrics in parallel without attempting to reconcile them quantitatively, and treats the divergence as a triangulation insight.</w:t>
      </w:r>
    </w:p>
    <w:p w14:paraId="1285744C" w14:textId="77777777" w:rsidR="001A7B0D" w:rsidRPr="00B76053" w:rsidRDefault="001A7B0D" w:rsidP="001A7B0D">
      <w:pPr>
        <w:rPr>
          <w:rFonts w:cs="Times New Roman"/>
        </w:rPr>
      </w:pPr>
      <w:r w:rsidRPr="00B76053">
        <w:rPr>
          <w:rFonts w:cs="Times New Roman"/>
        </w:rPr>
        <w:t xml:space="preserve">Three interpretive moves are required to read the Trustpilot evidence responsibly. First, the post-Betsy sample is approximately ten times smaller than the pre-Betsy sample (169 vs. 1,746), making the post-period estimate more sensitive to a small number of unusually negative reviews. Second, Trustpilot reviewers are self-selected and prone to extreme-response bias (Filieri, 2015; Luca, 2016), and the platform is therefore not representative of the full Better.com customer base. Third, the evidence is associative rather than causal: many factors changed concurrently with Betsy's launch, and the keyword analysis cannot determine whether individual reviewers </w:t>
      </w:r>
      <w:r w:rsidRPr="00B76053">
        <w:rPr>
          <w:rFonts w:cs="Times New Roman"/>
        </w:rPr>
        <w:lastRenderedPageBreak/>
        <w:t>interacted with Betsy. The most defensible interpretation is that independent customer discourse on Trustpilot does not mirror the management-reported NPS improvement and instead displays a small-to-medium statistically significant decline in both ratings and sentiment. Cohen's d values of approximately 0.29 (ratings) and 0.25 (sentiment) are not negligible but correspond to a moderate distributional shift rather than a collapse of customer discourse.</w:t>
      </w:r>
    </w:p>
    <w:p w14:paraId="24CB317F" w14:textId="77777777" w:rsidR="001A7B0D" w:rsidRPr="00B76053" w:rsidRDefault="001A7B0D" w:rsidP="001A7B0D">
      <w:pPr>
        <w:pStyle w:val="Heading3"/>
        <w:spacing w:after="120"/>
        <w:rPr>
          <w:rFonts w:cs="Times New Roman"/>
        </w:rPr>
      </w:pPr>
      <w:bookmarkStart w:id="67" w:name="_Toc229599076"/>
      <w:r w:rsidRPr="00B76053">
        <w:rPr>
          <w:rFonts w:cs="Times New Roman"/>
        </w:rPr>
        <w:t>5.4.3 Keyword Prevalence and the AI-Invisibility Finding</w:t>
      </w:r>
      <w:bookmarkEnd w:id="67"/>
    </w:p>
    <w:p w14:paraId="22369D38" w14:textId="77777777" w:rsidR="001A7B0D" w:rsidRPr="00B76053" w:rsidRDefault="001A7B0D" w:rsidP="001A7B0D">
      <w:pPr>
        <w:rPr>
          <w:rFonts w:cs="Times New Roman"/>
        </w:rPr>
      </w:pPr>
      <w:r w:rsidRPr="00B76053">
        <w:rPr>
          <w:rFonts w:cs="Times New Roman"/>
        </w:rPr>
        <w:t>A targeted keyword-prevalence analysis was conducted across seven thematic groups on the full 1,915-review clean dataset. Reviews were binary-coded using strict word-boundary regular expressions. Depending on cell counts, Pearson's chi-squared tests or Fisher's exact tests were used to evaluate whether prevalence shifted between the pre- and post-Betsy periods, with Bonferroni correction applied across the seven comparisons. The Cost/Rates group declined from 28.92 per cent to 16.57 per cent (−12.36 pp; raw Fisher's exact p ≈ 0.0009; Bonferroni-adjusted p ≈ 0.006), surviving strict correction. The Digital/Process group declined from 32.65 per cent to 23.67 per cent (−8.98 pp; p = 0.0211), significant under the unadjusted alpha but not after Bonferroni. Speed/Efficiency declined from 52.00 per cent to 44.38 per cent (p = 0.0698), suggestive but not statistically significant. Human Support, Communication, and Delay/Friction did not change significantly.</w:t>
      </w:r>
    </w:p>
    <w:p w14:paraId="243A3D25" w14:textId="77777777" w:rsidR="001A7B0D" w:rsidRPr="00B76053" w:rsidRDefault="001A7B0D" w:rsidP="001A7B0D">
      <w:pPr>
        <w:spacing w:before="240" w:after="80"/>
        <w:jc w:val="center"/>
        <w:rPr>
          <w:rFonts w:cs="Times New Roman"/>
        </w:rPr>
      </w:pPr>
      <w:r w:rsidRPr="00B76053">
        <w:rPr>
          <w:rFonts w:cs="Times New Roman"/>
          <w:noProof/>
        </w:rPr>
        <w:drawing>
          <wp:inline distT="0" distB="0" distL="0" distR="0" wp14:anchorId="3B413EE5" wp14:editId="51169861">
            <wp:extent cx="5029200" cy="251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g9sxi13m.png"/>
                    <pic:cNvPicPr/>
                  </pic:nvPicPr>
                  <pic:blipFill>
                    <a:blip r:embed="rId12"/>
                    <a:stretch>
                      <a:fillRect/>
                    </a:stretch>
                  </pic:blipFill>
                  <pic:spPr>
                    <a:xfrm>
                      <a:off x="0" y="0"/>
                      <a:ext cx="5029200" cy="2514600"/>
                    </a:xfrm>
                    <a:prstGeom prst="rect">
                      <a:avLst/>
                    </a:prstGeom>
                  </pic:spPr>
                </pic:pic>
              </a:graphicData>
            </a:graphic>
          </wp:inline>
        </w:drawing>
      </w:r>
    </w:p>
    <w:p w14:paraId="69487913" w14:textId="77777777" w:rsidR="001A7B0D" w:rsidRPr="00B76053" w:rsidRDefault="001A7B0D" w:rsidP="001A7B0D">
      <w:pPr>
        <w:spacing w:before="80"/>
        <w:rPr>
          <w:rFonts w:cs="Times New Roman"/>
        </w:rPr>
      </w:pPr>
      <w:r w:rsidRPr="00B76053">
        <w:rPr>
          <w:rFonts w:cs="Times New Roman"/>
          <w:i/>
          <w:sz w:val="20"/>
        </w:rPr>
        <w:t xml:space="preserve">Figure 5.5. Keyword-group prevalence across seven thematic categories, pre-Betsy (n = 1,746) and post-Betsy (n = 169) Trustpilot reviews. Cost/Rates is the only group surviving Bonferroni correction (raw Fisher's exact p ≈ </w:t>
      </w:r>
      <w:r w:rsidRPr="00B76053">
        <w:rPr>
          <w:rFonts w:cs="Times New Roman"/>
          <w:i/>
          <w:sz w:val="20"/>
        </w:rPr>
        <w:lastRenderedPageBreak/>
        <w:t>0.0009; adjusted p ≈ 0.006). Source: Author's analysis of 1,915 cleaned Trustpilot reviews; chi-squared or Fisher's exact tests with Bonferroni correction.</w:t>
      </w:r>
    </w:p>
    <w:p w14:paraId="1C59B66E" w14:textId="77777777" w:rsidR="001A7B0D" w:rsidRPr="00B76053" w:rsidRDefault="001A7B0D" w:rsidP="001A7B0D">
      <w:pPr>
        <w:rPr>
          <w:rFonts w:cs="Times New Roman"/>
        </w:rPr>
      </w:pPr>
      <w:r w:rsidRPr="00B76053">
        <w:rPr>
          <w:rFonts w:cs="Times New Roman"/>
        </w:rPr>
        <w:t>The most thesis-relevant keyword result is the Explicit AI/Automation group. The prevalence of explicit AI mentions is essentially unchanged across the two periods (1.15 per cent pre-Betsy versus 1.18 per cent post-Betsy; Fisher exact p = 1.0000). This near-zero difference is interpreted as the AI-invisibility finding: customers do not frame their mortgage experience in AI-specific terms, which supports the interpretation of voice AI as invisible infrastructure (Mogaji &amp; Nguyen, 2021). The finding is a discourse observation about what customers write about, rather than a behavioural claim about who interacted with the AI agent.</w:t>
      </w:r>
    </w:p>
    <w:p w14:paraId="38B85C59" w14:textId="77777777" w:rsidR="001A7B0D" w:rsidRPr="00B76053" w:rsidRDefault="001A7B0D" w:rsidP="001A7B0D">
      <w:pPr>
        <w:rPr>
          <w:rFonts w:cs="Times New Roman"/>
        </w:rPr>
      </w:pPr>
      <w:r w:rsidRPr="00B76053">
        <w:rPr>
          <w:rFonts w:cs="Times New Roman"/>
        </w:rPr>
        <w:t>The Cost/Rates result deserves a complementary note. A decline in cost-and-rate-related keywords does not necessarily indicate that Better's pricing improved. It indicates that the salience of this language in the Trustpilot corpus declined — most plausibly due to the broader interest-rate environment and a partial product-mix shift rather than to a direct voice-AI effect. The non-significant keyword groups are themselves analytically useful: the Human Support group (43.81 per cent pre versus 40.83 per cent post) shows that customer attention to human-mediated service did not collapse after Betsy's deployment, which is consistent with the task-reallocation interpretation. The Delay/Friction group declines modestly (13.52 to 10.06 per cent) but not significantly. None of these groups individually justifies a strong interpretive claim, but together they suggest that the post-Betsy customer-discourse environment did not undergo a wholesale compositional shift.</w:t>
      </w:r>
    </w:p>
    <w:p w14:paraId="13BB99A0" w14:textId="77777777" w:rsidR="001A7B0D" w:rsidRPr="00B76053" w:rsidRDefault="001A7B0D" w:rsidP="001A7B0D">
      <w:pPr>
        <w:pStyle w:val="Heading3"/>
        <w:spacing w:after="120"/>
        <w:rPr>
          <w:rFonts w:cs="Times New Roman"/>
        </w:rPr>
      </w:pPr>
      <w:bookmarkStart w:id="68" w:name="_Toc229599077"/>
      <w:r w:rsidRPr="00B76053">
        <w:rPr>
          <w:rFonts w:cs="Times New Roman"/>
        </w:rPr>
        <w:t>5.4.4 Topic Modelling and Product-Mix Interpretation</w:t>
      </w:r>
      <w:bookmarkEnd w:id="68"/>
    </w:p>
    <w:p w14:paraId="1F015A0E" w14:textId="77777777" w:rsidR="001A7B0D" w:rsidRPr="00B76053" w:rsidRDefault="001A7B0D" w:rsidP="001A7B0D">
      <w:pPr>
        <w:rPr>
          <w:rFonts w:cs="Times New Roman"/>
        </w:rPr>
      </w:pPr>
      <w:r w:rsidRPr="00B76053">
        <w:rPr>
          <w:rFonts w:cs="Times New Roman"/>
        </w:rPr>
        <w:t>BERTopic neural topic modelling (Grootendorst, 2022) was applied to a 1,804-document subset of the cleaned Trustpilot corpus, after filtering CEO- and 2021-controversy-related reviews. The pipeline produced 44 topics; 1,198 documents were successfully clustered and 606 were assigned to the HDBSCAN noise class. The clustered non-outlier subsample used for the topic-share comparison consists of 1,077 pre-Betsy and 121 post-Betsy reviews. Because the post-Betsy clustered non-outlier sample is small, topic-share differences are interpreted as descriptive signals rather than as statistically tested population-level changes.</w:t>
      </w:r>
    </w:p>
    <w:p w14:paraId="11E89724" w14:textId="77777777" w:rsidR="001A7B0D" w:rsidRPr="00B76053" w:rsidRDefault="001A7B0D" w:rsidP="001A7B0D">
      <w:pPr>
        <w:spacing w:before="240" w:after="80"/>
        <w:jc w:val="center"/>
        <w:rPr>
          <w:rFonts w:cs="Times New Roman"/>
        </w:rPr>
      </w:pPr>
      <w:r w:rsidRPr="00B76053">
        <w:rPr>
          <w:rFonts w:cs="Times New Roman"/>
          <w:noProof/>
        </w:rPr>
        <w:lastRenderedPageBreak/>
        <w:drawing>
          <wp:inline distT="0" distB="0" distL="0" distR="0" wp14:anchorId="6AE09C20" wp14:editId="45D25E20">
            <wp:extent cx="5029200" cy="2514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3n2ztnqi.png"/>
                    <pic:cNvPicPr/>
                  </pic:nvPicPr>
                  <pic:blipFill>
                    <a:blip r:embed="rId13"/>
                    <a:stretch>
                      <a:fillRect/>
                    </a:stretch>
                  </pic:blipFill>
                  <pic:spPr>
                    <a:xfrm>
                      <a:off x="0" y="0"/>
                      <a:ext cx="5029200" cy="2514600"/>
                    </a:xfrm>
                    <a:prstGeom prst="rect">
                      <a:avLst/>
                    </a:prstGeom>
                  </pic:spPr>
                </pic:pic>
              </a:graphicData>
            </a:graphic>
          </wp:inline>
        </w:drawing>
      </w:r>
    </w:p>
    <w:p w14:paraId="22FB0191" w14:textId="77777777" w:rsidR="001A7B0D" w:rsidRPr="00B76053" w:rsidRDefault="001A7B0D" w:rsidP="001A7B0D">
      <w:pPr>
        <w:spacing w:before="80"/>
        <w:rPr>
          <w:rFonts w:cs="Times New Roman"/>
        </w:rPr>
      </w:pPr>
      <w:r w:rsidRPr="00B76053">
        <w:rPr>
          <w:rFonts w:cs="Times New Roman"/>
          <w:i/>
          <w:sz w:val="20"/>
        </w:rPr>
        <w:t>Figure 5.6. Topic-share comparison for the top 12 BERTopic topics by pre-Betsy share; pre-Betsy (n = 1,077) and post-Betsy (n = 121) clustered non-outlier reviews. Descriptive only — no statistical test applied. Source: Author's BERTopic analysis (all-MiniLM-L6-v2 embeddings, UMAP, HDBSCAN).</w:t>
      </w:r>
    </w:p>
    <w:p w14:paraId="1277E814" w14:textId="77777777" w:rsidR="001A7B0D" w:rsidRPr="00B76053" w:rsidRDefault="001A7B0D" w:rsidP="001A7B0D">
      <w:pPr>
        <w:rPr>
          <w:rFonts w:cs="Times New Roman"/>
        </w:rPr>
      </w:pPr>
      <w:r w:rsidRPr="00B76053">
        <w:rPr>
          <w:rFonts w:cs="Times New Roman"/>
        </w:rPr>
        <w:t xml:space="preserve">Read descriptively, the figure shows the top twelve topics by pre-Betsy share and how their shares shift in the post-Betsy period. The two largest pre-Betsy topics — First-Time Home Purchase (~7.6%) and Online Refinance — Positive (~7.1%) — decline substantially in the post-Betsy window, by approximately 3.5 and 5.4 percentage points respectively. Efficient Refinance &amp; Advocacy, Competitive Rates &amp; Fees, and Quick Refi — Short Praise also decline, consistent with reduced refinancing activity in the broader U.S. mortgage market following rate increases (Mortgage Bankers Association, 2024a). In contrast, Closing Timeline &amp; Process rises markedly (from ~3.1% to ~6.6%, approximately +3.5 pp) and Document Upload &amp; Paperwork rises modestly (from ~3.1% to ~4.1%). The Responsive Q&amp;A Support topic increases marginally. These shifts are most plausibly read as a product-mix and macro-environment signal: declining refinance activity reduces the share of refinance-oriented reviews, while purchase-mortgage and documentation-related topics become more prominent. The increase in Closing Timeline &amp; Process share is directionally consistent with the operational-efficiency interpretation but cannot be attributed solely to Betsy given the small post-period sample, the absence of controls, and concurrent product-mix changes. Topic-share estimates for the post-period are particularly sensitive to a small number of reviews and should be interpreted as approximate compositional signals rather than as fixed population parameters (Grootendorst, 2022). Appendix figures </w:t>
      </w:r>
      <w:r w:rsidRPr="00B76053">
        <w:rPr>
          <w:rFonts w:cs="Times New Roman"/>
        </w:rPr>
        <w:lastRenderedPageBreak/>
        <w:t>(intertopic distance map, topic-word importance heatmap) are provided for transparency but are not used to substantiate any claim in the main chapter.</w:t>
      </w:r>
    </w:p>
    <w:p w14:paraId="1D0EF6EC" w14:textId="77777777" w:rsidR="001A7B0D" w:rsidRPr="00B76053" w:rsidRDefault="001A7B0D" w:rsidP="001A7B0D">
      <w:pPr>
        <w:pStyle w:val="Heading3"/>
        <w:spacing w:after="120"/>
        <w:rPr>
          <w:rFonts w:cs="Times New Roman"/>
        </w:rPr>
      </w:pPr>
      <w:bookmarkStart w:id="69" w:name="_Toc229599078"/>
      <w:r w:rsidRPr="00B76053">
        <w:rPr>
          <w:rFonts w:cs="Times New Roman"/>
        </w:rPr>
        <w:t>5.4.5 Customer-Experience Boundaries: Synthesis for the NLP Stream</w:t>
      </w:r>
      <w:bookmarkEnd w:id="69"/>
    </w:p>
    <w:p w14:paraId="6223834A" w14:textId="77777777" w:rsidR="001A7B0D" w:rsidRPr="00B76053" w:rsidRDefault="001A7B0D" w:rsidP="001A7B0D">
      <w:pPr>
        <w:rPr>
          <w:rFonts w:cs="Times New Roman"/>
        </w:rPr>
      </w:pPr>
      <w:r w:rsidRPr="00B76053">
        <w:rPr>
          <w:rFonts w:cs="Times New Roman"/>
        </w:rPr>
        <w:t>The NLP stream answers RQ2's customer-experience dimension as follows. Independent Trustpilot discourse shows a small-to-medium, statistically significant decline in star ratings and VADER sentiment in the post-Betsy window, while management-reported NPS rises substantially. Customers rarely frame their experience in explicit AI terms — consistent with the AI-invisibility interpretation — and topic shifts are best read as reflecting product-mix and macro-environment effects rather than direct Betsy effects. The customer-experience evidence therefore complicates rather than confirms the financial-operational interpretation, and that complication is itself analytically valuable.</w:t>
      </w:r>
    </w:p>
    <w:p w14:paraId="077099A2" w14:textId="77777777" w:rsidR="001A7B0D" w:rsidRPr="00B76053" w:rsidRDefault="001A7B0D" w:rsidP="001A7B0D">
      <w:pPr>
        <w:pStyle w:val="Heading2"/>
        <w:rPr>
          <w:rFonts w:cs="Times New Roman"/>
        </w:rPr>
      </w:pPr>
      <w:bookmarkStart w:id="70" w:name="_Toc229599079"/>
      <w:r w:rsidRPr="00B76053">
        <w:rPr>
          <w:rFonts w:cs="Times New Roman"/>
        </w:rPr>
        <w:t>5.5 Triangulated Interpretation</w:t>
      </w:r>
      <w:bookmarkEnd w:id="70"/>
    </w:p>
    <w:p w14:paraId="05C296F9" w14:textId="77777777" w:rsidR="001A7B0D" w:rsidRPr="00B76053" w:rsidRDefault="001A7B0D" w:rsidP="001A7B0D">
      <w:pPr>
        <w:rPr>
          <w:rFonts w:cs="Times New Roman"/>
        </w:rPr>
      </w:pPr>
      <w:r w:rsidRPr="00B76053">
        <w:rPr>
          <w:rFonts w:cs="Times New Roman"/>
        </w:rPr>
        <w:t>The three evidence streams, examined independently in Sections 5.2–5.4, converge on a multidimensional interpretation: the post-transition period is associated with measurable financial-operational improvement consistent with AI-enabled operational leverage, while customer-discourse evidence is mixed and explicit AI attribution remains near-absent. The divergence between the financial signature and the Trustpilot signals is itself a triangulation finding — different measurement instruments capture different facets of business value. The most defensible synthesis is that voice AI in the Better.com case is associated with measurable improvements in operational efficiency and financial trajectory, while its effects on customer experience are uneven, mediated, and possibly under-detected by any single instrument. This is consistent with Aggarwal et al.'s (2025) argument that voice AI value creation occurs across both B2B and B2C surfaces in ways not captured by a single metric, and with the broader literature on AI in customer-facing financial services (Hentzen et al., 2022; Mogaji &amp; Nguyen, 2021).</w:t>
      </w:r>
    </w:p>
    <w:p w14:paraId="15268E00" w14:textId="77777777" w:rsidR="001A7B0D" w:rsidRPr="00B76053" w:rsidRDefault="001A7B0D" w:rsidP="001A7B0D">
      <w:pPr>
        <w:rPr>
          <w:rFonts w:cs="Times New Roman"/>
        </w:rPr>
      </w:pPr>
      <w:r w:rsidRPr="00B76053">
        <w:rPr>
          <w:rFonts w:cs="Times New Roman"/>
        </w:rPr>
        <w:t xml:space="preserve">From a theoretical perspective, the triangulated pattern is most naturally read through three complementary lenses. First, in the task-technology fit tradition (Goodhue &amp; Thompson, 1995), the financial-operational improvement is consistent with a high fit between Betsy's task scope (high-volume, structured, communication-intensive coordination work) and Tinman's structured workflow environment, while the customer-experience divergence is consistent with a more </w:t>
      </w:r>
      <w:r w:rsidRPr="00B76053">
        <w:rPr>
          <w:rFonts w:cs="Times New Roman"/>
        </w:rPr>
        <w:lastRenderedPageBreak/>
        <w:t>uneven fit between AI-mediated voice interaction and the more relational, emotionally laden moments of the borrower journey (Blümel et al., 2024). Second, in the AI service hierarchy of Huang and Rust (2018), Betsy is positioned in the mechanical and analytical layers, where productivity gains are most likely to materialise, while the customer-experience layer engages intuitive and empathetic dimensions where AI substitution is more contested. Third, in the AI-enabled productivity tradition revisited by Brynjolfsson et al. (2023) and Aggarwal et al. (2025), AI-related productivity gains tend to emerge alongside ambiguous customer-perception effects when the AI system operates as backend infrastructure rather than as a branded front-of-house experience. The Better.com pattern is consistent with all three lenses simultaneously, which strengthens the descriptive interpretation without resolving the causal question.</w:t>
      </w:r>
    </w:p>
    <w:p w14:paraId="03224AAE" w14:textId="77777777" w:rsidR="001A7B0D" w:rsidRPr="00B76053" w:rsidRDefault="001A7B0D" w:rsidP="001A7B0D">
      <w:pPr>
        <w:rPr>
          <w:rFonts w:cs="Times New Roman"/>
        </w:rPr>
      </w:pPr>
      <w:r w:rsidRPr="00B76053">
        <w:rPr>
          <w:rFonts w:cs="Times New Roman"/>
        </w:rPr>
        <w:t>The triangulated interpretation also has implications for the design-pattern argument that Chapter 6 develops. The Better.com case suggests that voice AI in financial services is most likely to generate measurable business value when integrated with a process-aware operating platform, when task scope is bounded to communication coordination rather than regulated decision-making, when voice infrastructure supports natural conversation at low latency, and when human escalation is preserved and auditable. These integration prerequisites are summarised as a design pattern in Chapter 6, with acknowledgement that the pattern is derived from a single revelatory case and is proposed for analytic generalisation rather than statistical generalisation.</w:t>
      </w:r>
    </w:p>
    <w:p w14:paraId="55979CEC" w14:textId="77777777" w:rsidR="00A222D3" w:rsidRPr="00B76053" w:rsidRDefault="006A2132">
      <w:pPr>
        <w:pStyle w:val="Heading2"/>
        <w:rPr>
          <w:rFonts w:cs="Times New Roman"/>
        </w:rPr>
      </w:pPr>
      <w:bookmarkStart w:id="71" w:name="_Toc229599080"/>
      <w:r w:rsidRPr="00B76053">
        <w:rPr>
          <w:rFonts w:cs="Times New Roman"/>
        </w:rPr>
        <w:t>5.6 Boundary Conditions</w:t>
      </w:r>
      <w:bookmarkEnd w:id="71"/>
    </w:p>
    <w:p w14:paraId="346BEDEB" w14:textId="77777777" w:rsidR="001A7B0D" w:rsidRPr="00B76053" w:rsidRDefault="001A7B0D" w:rsidP="001A7B0D">
      <w:pPr>
        <w:rPr>
          <w:rFonts w:cs="Times New Roman"/>
        </w:rPr>
      </w:pPr>
      <w:r w:rsidRPr="00B76053">
        <w:rPr>
          <w:rFonts w:cs="Times New Roman"/>
        </w:rPr>
        <w:t xml:space="preserve">Five boundary conditions frame the empirical findings of this chapter; the full treatment is in Chapter 8. The analysis is a single-case observational study using public secondary data, and annual financial reporting means FY 2024 blends roughly nine and a half months of pre-deployment performance with two and a half months of post-launch performance. The Trustpilot corpus is self-selected and substantially pre-period weighted (1,746 pre vs. 169 post-Betsy reviews). Rocket Companies serves as a directional benchmark only, not a counterfactual. Vendor and management-reported materials — including the joint Better–ElevenLabs press release's reported scale of approximately 100,000 mortgage-related calls per month and approximately 1.89 million inbound and outbound calls in 2025 — are used to characterise the </w:t>
      </w:r>
      <w:r w:rsidRPr="00B76053">
        <w:rPr>
          <w:rFonts w:cs="Times New Roman"/>
        </w:rPr>
        <w:lastRenderedPageBreak/>
        <w:t>integration mechanism and call-volume scale, and are not treated as independent evidence of business-value magnitudes.</w:t>
      </w:r>
    </w:p>
    <w:p w14:paraId="2B93153B" w14:textId="77777777" w:rsidR="001A7B0D" w:rsidRPr="00B76053" w:rsidRDefault="001A7B0D" w:rsidP="001A7B0D">
      <w:pPr>
        <w:pStyle w:val="Heading2"/>
        <w:rPr>
          <w:rFonts w:cs="Times New Roman"/>
        </w:rPr>
      </w:pPr>
      <w:bookmarkStart w:id="72" w:name="_Toc229599081"/>
      <w:r w:rsidRPr="00B76053">
        <w:rPr>
          <w:rFonts w:cs="Times New Roman"/>
        </w:rPr>
        <w:t>5.7 Summary of Empirical Findings</w:t>
      </w:r>
      <w:bookmarkEnd w:id="72"/>
    </w:p>
    <w:p w14:paraId="44A24F80" w14:textId="77777777" w:rsidR="001A7B0D" w:rsidRPr="00B76053" w:rsidRDefault="001A7B0D" w:rsidP="001A7B0D">
      <w:pPr>
        <w:rPr>
          <w:rFonts w:cs="Times New Roman"/>
        </w:rPr>
      </w:pPr>
      <w:r w:rsidRPr="00B76053">
        <w:rPr>
          <w:rFonts w:cs="Times New Roman"/>
        </w:rPr>
        <w:t>Chapter 5 has integrated qualitative case-study evidence, longitudinal financial evidence, and customer-discourse evidence into a single empirical argument addressing the two research questions.</w:t>
      </w:r>
    </w:p>
    <w:p w14:paraId="21D0BDE4" w14:textId="77777777" w:rsidR="001A7B0D" w:rsidRPr="00B76053" w:rsidRDefault="001A7B0D" w:rsidP="001A7B0D">
      <w:pPr>
        <w:rPr>
          <w:rFonts w:cs="Times New Roman"/>
        </w:rPr>
      </w:pPr>
      <w:r w:rsidRPr="00B76053">
        <w:rPr>
          <w:rFonts w:cs="Times New Roman"/>
          <w:b/>
        </w:rPr>
        <w:t>RQ1 (integration).</w:t>
      </w:r>
      <w:r w:rsidRPr="00B76053">
        <w:rPr>
          <w:rFonts w:cs="Times New Roman"/>
        </w:rPr>
        <w:t xml:space="preserve"> Voice LLM agents become operationally meaningful in mortgage origination when they are embedded in a process-aware operating platform that exposes structured workflow state, scoped to a communication-coordination role rather than a regulated decision-making role, supported by low-latency voice infrastructure, and governed by an explicit human-AI collaboration model with auditable escalation. In the Better.com case, Tinman supplies the architectural prerequisite, Betsy operationalises the conversational coordination layer, ElevenLabs supplies the voice infrastructure, and the regulated task structure of mortgage origination supplies the human-in-the-loop boundary.</w:t>
      </w:r>
    </w:p>
    <w:p w14:paraId="601185E1" w14:textId="77777777" w:rsidR="001A7B0D" w:rsidRPr="00B76053" w:rsidRDefault="001A7B0D" w:rsidP="001A7B0D">
      <w:pPr>
        <w:rPr>
          <w:rFonts w:cs="Times New Roman"/>
        </w:rPr>
      </w:pPr>
      <w:r w:rsidRPr="00B76053">
        <w:rPr>
          <w:rFonts w:cs="Times New Roman"/>
          <w:b/>
        </w:rPr>
        <w:t>RQ2 (business value).</w:t>
      </w:r>
      <w:r w:rsidRPr="00B76053">
        <w:rPr>
          <w:rFonts w:cs="Times New Roman"/>
        </w:rPr>
        <w:t xml:space="preserve"> The financial evidence is consistent with AI-enabled operational leverage: revenue grew approximately 52 per cent (2024→2025) while expenses grew only approximately 5.3 per cent, the expense ratio declined from 2.89 to 2.01, net losses narrowed materially (though the company remained unprofitable in 2025), and revenue per employee improved approximately 42.9 per cent — though still below the 2021–2023 pre-period average of $0.130 million. Customer-experience evidence is mixed: management-reported NPS rose from approximately 39 to approximately 64, while independent Trustpilot star ratings declined from 4.2806 to 3.8580 (p = 0.0019; d = 0.2899) and VADER sentiment declined from 0.6416 to 0.5151 (p = 0.0057; d = 0.2505). Explicit AI mentions remained near 1 per cent throughout, consistent with voice AI operating as invisible infrastructure.</w:t>
      </w:r>
    </w:p>
    <w:p w14:paraId="1B49EF78" w14:textId="77777777" w:rsidR="001A7B0D" w:rsidRPr="00B76053" w:rsidRDefault="001A7B0D" w:rsidP="001A7B0D">
      <w:pPr>
        <w:rPr>
          <w:rFonts w:cs="Times New Roman"/>
        </w:rPr>
      </w:pPr>
      <w:r w:rsidRPr="00B76053">
        <w:rPr>
          <w:rFonts w:cs="Times New Roman"/>
        </w:rPr>
        <w:t xml:space="preserve">Synthesised across the three streams, the central empirical finding is that voice AI in financial services creates multidimensional, mediated business value rather than uniformly directional improvement. The financial signature is consistent with AI-enabled operational leverage but cannot isolate Betsy's specific contribution from the broader Betsy/Tinman AI operating model; </w:t>
      </w:r>
      <w:r w:rsidRPr="00B76053">
        <w:rPr>
          <w:rFonts w:cs="Times New Roman"/>
        </w:rPr>
        <w:lastRenderedPageBreak/>
        <w:t>customer discourse is mixed in ways that complicate, but do not invalidate, the management-reported NPS narrative; and the case-study evidence supplies the workflow-integration mechanism through which the financial signature becomes plausible. Chapter 6 develops the managerial and theoretical implications of these findings, including the design pattern the Better.com case suggests for voice LLM integration in regulated, communication-intensive financial-services workflows.</w:t>
      </w:r>
    </w:p>
    <w:p w14:paraId="7E748331" w14:textId="77777777" w:rsidR="006046D2" w:rsidRPr="00B76053" w:rsidRDefault="00B04762" w:rsidP="00B74A74">
      <w:pPr>
        <w:pStyle w:val="Heading1"/>
        <w:rPr>
          <w:rFonts w:cs="Times New Roman"/>
        </w:rPr>
      </w:pPr>
      <w:bookmarkStart w:id="73" w:name="_Toc229599082"/>
      <w:r w:rsidRPr="00B76053">
        <w:rPr>
          <w:rFonts w:cs="Times New Roman"/>
        </w:rPr>
        <w:t>6. A Voice-AI-in-Regulated-Workflow Design Pattern</w:t>
      </w:r>
      <w:bookmarkEnd w:id="73"/>
    </w:p>
    <w:p w14:paraId="56D9DC45" w14:textId="77777777" w:rsidR="006046D2" w:rsidRPr="00B76053" w:rsidRDefault="00B04762">
      <w:pPr>
        <w:pStyle w:val="Heading2"/>
        <w:rPr>
          <w:rFonts w:cs="Times New Roman"/>
        </w:rPr>
      </w:pPr>
      <w:bookmarkStart w:id="74" w:name="_Toc229599083"/>
      <w:r w:rsidRPr="00B76053">
        <w:rPr>
          <w:rFonts w:cs="Times New Roman"/>
        </w:rPr>
        <w:t>6.1 Introduction and Design-Science Framing</w:t>
      </w:r>
      <w:bookmarkEnd w:id="74"/>
    </w:p>
    <w:p w14:paraId="7EE42B70" w14:textId="77777777" w:rsidR="006046D2" w:rsidRPr="00B76053" w:rsidRDefault="00B04762">
      <w:pPr>
        <w:rPr>
          <w:rFonts w:cs="Times New Roman"/>
        </w:rPr>
      </w:pPr>
      <w:r w:rsidRPr="00B76053">
        <w:rPr>
          <w:rFonts w:cs="Times New Roman"/>
        </w:rPr>
        <w:t>Chapter 5 established that Better.com's post-deployment trajectory is consistent with AI-enabled operational leverage on the financial-operational dimension and divergent across measurement instruments on the customer-experience dimension. The case evidence further suggests four architectural and organisational prerequisites: a process-aware operating platform, a coordination-layer scoping of the voice agent, low-latency voice infrastructure, and an auditable human-AI collaboration model with licensed-consultant escalation at the regulated boundary. This chapter formalises those four prerequisites as a design pattern in the design-science sense (Hevner, March, Park, &amp; Ram, 2004): a reusable configuration of components and rules for a recurring class of problems.</w:t>
      </w:r>
    </w:p>
    <w:p w14:paraId="126368DE" w14:textId="77777777" w:rsidR="006046D2" w:rsidRPr="00B76053" w:rsidRDefault="00B04762">
      <w:pPr>
        <w:rPr>
          <w:rFonts w:cs="Times New Roman"/>
        </w:rPr>
      </w:pPr>
      <w:r w:rsidRPr="00B76053">
        <w:rPr>
          <w:rFonts w:cs="Times New Roman"/>
        </w:rPr>
        <w:t>Two distinctions frame the chapter. First, the pattern is not a causal model: in the Better.com case the four prerequisites are jointly observed with operational leverage and with low customer-side AI attribution, but the single-case revelatory design (Yin, 2018) supports only analytic generalisation to similar configurations, not statistical generalisation to a population of firms. Second, the pattern is not a deployment recipe: it specifies neither model size, vendor selection, dialogue-system architecture, nor compliance-document templates. It identifies the structural conditions under which a voice LLM agent in a regulated financial-services workflow is most likely to generate measurable business value.</w:t>
      </w:r>
    </w:p>
    <w:p w14:paraId="0ABAC5D3" w14:textId="77777777" w:rsidR="006046D2" w:rsidRPr="00B76053" w:rsidRDefault="00B04762">
      <w:pPr>
        <w:rPr>
          <w:rFonts w:cs="Times New Roman"/>
        </w:rPr>
      </w:pPr>
      <w:r w:rsidRPr="00B76053">
        <w:rPr>
          <w:rFonts w:cs="Times New Roman"/>
        </w:rPr>
        <w:t xml:space="preserve">Section 6.2 states the preconditions for value capture. Section 6.3 specifies the four-prerequisite voice-AI architecture and is illustrated in Figure 6.1. Section 6.4 describes the implementation </w:t>
      </w:r>
      <w:r w:rsidRPr="00B76053">
        <w:rPr>
          <w:rFonts w:cs="Times New Roman"/>
        </w:rPr>
        <w:lastRenderedPageBreak/>
        <w:t>stages observed in the case. Section 6.5 maps each prerequisite to the business-value mechanisms identified in Chapter 5. Section 6.6 states the pattern's boundary conditions, Section 6.7 outlines transferability to adjacent regulated settings, and Section 6.8 summarises the pattern.</w:t>
      </w:r>
    </w:p>
    <w:p w14:paraId="3A43D378" w14:textId="77777777" w:rsidR="006046D2" w:rsidRPr="00B76053" w:rsidRDefault="00B04762">
      <w:pPr>
        <w:pStyle w:val="Heading2"/>
        <w:rPr>
          <w:rFonts w:cs="Times New Roman"/>
        </w:rPr>
      </w:pPr>
      <w:bookmarkStart w:id="75" w:name="_Toc229599084"/>
      <w:r w:rsidRPr="00B76053">
        <w:rPr>
          <w:rFonts w:cs="Times New Roman"/>
        </w:rPr>
        <w:t>6.2 Preconditions for Value Capture</w:t>
      </w:r>
      <w:bookmarkEnd w:id="75"/>
    </w:p>
    <w:p w14:paraId="571475B0" w14:textId="77777777" w:rsidR="006046D2" w:rsidRPr="00B76053" w:rsidRDefault="00B04762">
      <w:pPr>
        <w:rPr>
          <w:rFonts w:cs="Times New Roman"/>
        </w:rPr>
      </w:pPr>
      <w:r w:rsidRPr="00B76053">
        <w:rPr>
          <w:rFonts w:cs="Times New Roman"/>
        </w:rPr>
        <w:t>Four organisational and regulatory preconditions distinguish settings in which the design pattern is plausible from settings in which deployment is likely to produce theatre rather than operational leverage. The first is process maturity: the receiving workflow must already be digitised and process-aware, with events represented as discrete states and machine-readable transitions. In the Better.com case this precondition is discharged by the Tinman platform (Better Home &amp; Finance Holding Company, 2025a). The second is data accessibility: workflow, document, eligibility, and timeline state must be exposed to the agent through stable, permissioned interfaces. The third is organisational readiness: roles must be defined for routine, regulated, and exception communication; performance measurement must distinguish agent-handled from human-handled interactions; and human-staff licensing must already align with the regulated boundary at which escalation will occur. The fourth is regulatory clarity: the legal boundary between routine communication (generally permissible to an unlicensed automated agent) and regulated communication (requiring a licensed mortgage loan originator under the SAFE Act, with consumer-protection oversight under the CFPB's UDAAP framework) must be explicit and operationalised before deployment (Consumer Financial Protection Bureau, n.d.).</w:t>
      </w:r>
    </w:p>
    <w:p w14:paraId="46F3CBA3" w14:textId="77777777" w:rsidR="006046D2" w:rsidRPr="00B76053" w:rsidRDefault="00B04762">
      <w:pPr>
        <w:pStyle w:val="Heading2"/>
        <w:rPr>
          <w:rFonts w:cs="Times New Roman"/>
        </w:rPr>
      </w:pPr>
      <w:bookmarkStart w:id="76" w:name="_Toc229599085"/>
      <w:r w:rsidRPr="00B76053">
        <w:rPr>
          <w:rFonts w:cs="Times New Roman"/>
        </w:rPr>
        <w:t>6.3 Voice-AI Architecture: Four Prerequisites</w:t>
      </w:r>
      <w:bookmarkEnd w:id="76"/>
    </w:p>
    <w:p w14:paraId="11D7F8DF" w14:textId="77777777" w:rsidR="006046D2" w:rsidRPr="00B76053" w:rsidRDefault="00B04762">
      <w:pPr>
        <w:rPr>
          <w:rFonts w:cs="Times New Roman"/>
        </w:rPr>
      </w:pPr>
      <w:r w:rsidRPr="00B76053">
        <w:rPr>
          <w:rFonts w:cs="Times New Roman"/>
        </w:rPr>
        <w:t>Figure 6.1 presents the four-prerequisite architecture observed in the case. The design pattern consists of four components linked by dataflow and escalation paths, supported by a governance and measurement layer.</w:t>
      </w:r>
    </w:p>
    <w:p w14:paraId="25732F85" w14:textId="77777777" w:rsidR="006046D2" w:rsidRPr="00B76053" w:rsidRDefault="00B04762">
      <w:pPr>
        <w:jc w:val="center"/>
        <w:rPr>
          <w:rFonts w:cs="Times New Roman"/>
        </w:rPr>
      </w:pPr>
      <w:r w:rsidRPr="00B76053">
        <w:rPr>
          <w:rFonts w:cs="Times New Roman"/>
          <w:noProof/>
        </w:rPr>
        <w:lastRenderedPageBreak/>
        <w:drawing>
          <wp:inline distT="0" distB="0" distL="0" distR="0" wp14:anchorId="3271DE0C" wp14:editId="42C951E0">
            <wp:extent cx="5943600" cy="38891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design_pattern.png"/>
                    <pic:cNvPicPr/>
                  </pic:nvPicPr>
                  <pic:blipFill>
                    <a:blip r:embed="rId14"/>
                    <a:stretch>
                      <a:fillRect/>
                    </a:stretch>
                  </pic:blipFill>
                  <pic:spPr>
                    <a:xfrm>
                      <a:off x="0" y="0"/>
                      <a:ext cx="5943600" cy="3889127"/>
                    </a:xfrm>
                    <a:prstGeom prst="rect">
                      <a:avLst/>
                    </a:prstGeom>
                  </pic:spPr>
                </pic:pic>
              </a:graphicData>
            </a:graphic>
          </wp:inline>
        </w:drawing>
      </w:r>
    </w:p>
    <w:p w14:paraId="4EF2D71C" w14:textId="633E91F9" w:rsidR="006046D2" w:rsidRPr="00B76053" w:rsidRDefault="000B3B4A">
      <w:pPr>
        <w:pStyle w:val="Caption"/>
        <w:rPr>
          <w:rFonts w:cs="Times New Roman"/>
        </w:rPr>
      </w:pPr>
      <w:r w:rsidRPr="00B76053">
        <w:rPr>
          <w:rFonts w:cs="Times New Roman"/>
        </w:rPr>
        <w:t>GAI-assisted visual content</w:t>
      </w:r>
      <w:r w:rsidRPr="00B76053">
        <w:rPr>
          <w:rFonts w:cs="Times New Roman"/>
        </w:rPr>
        <w:t xml:space="preserve"> (Claude Sonnet 4.6)</w:t>
      </w:r>
      <w:r w:rsidRPr="00B76053">
        <w:rPr>
          <w:rFonts w:cs="Times New Roman"/>
        </w:rPr>
        <w:t>:</w:t>
      </w:r>
      <w:r w:rsidRPr="00B76053">
        <w:rPr>
          <w:rFonts w:cs="Times New Roman"/>
        </w:rPr>
        <w:t xml:space="preserve"> </w:t>
      </w:r>
      <w:r w:rsidR="00B04762" w:rsidRPr="00B76053">
        <w:rPr>
          <w:rFonts w:cs="Times New Roman"/>
        </w:rPr>
        <w:t>Figure 6.1. Voice-AI-in-Regulated-Workflow Design Pattern. The four prerequisites observed in the Better.com / Tinman / Betsy / ElevenLabs case are connected by the dataflow paths and the regulated-step escalation path identified in Chapter 5. The bottom panel summarises the multidimensional measurement scheme used to evaluate value capture.</w:t>
      </w:r>
    </w:p>
    <w:p w14:paraId="55332630" w14:textId="77777777" w:rsidR="006046D2" w:rsidRPr="00B76053" w:rsidRDefault="00B04762">
      <w:pPr>
        <w:pStyle w:val="Heading3"/>
        <w:rPr>
          <w:rFonts w:cs="Times New Roman"/>
        </w:rPr>
      </w:pPr>
      <w:bookmarkStart w:id="77" w:name="_Toc229599086"/>
      <w:r w:rsidRPr="00B76053">
        <w:rPr>
          <w:rFonts w:cs="Times New Roman"/>
        </w:rPr>
        <w:t>6.3.1 Process-aware operating platform</w:t>
      </w:r>
      <w:bookmarkEnd w:id="77"/>
    </w:p>
    <w:p w14:paraId="264CD130" w14:textId="77777777" w:rsidR="006046D2" w:rsidRPr="00B76053" w:rsidRDefault="00B04762">
      <w:pPr>
        <w:rPr>
          <w:rFonts w:cs="Times New Roman"/>
        </w:rPr>
      </w:pPr>
      <w:r w:rsidRPr="00B76053">
        <w:rPr>
          <w:rFonts w:cs="Times New Roman"/>
        </w:rPr>
        <w:t>The process-aware operating platform is the foundation of the design pattern. It exposes structured workflow state, document state, eligibility state, and timeline events through APIs that the voice agent can read and update under permissioning. In the Better.com case, this platform is Tinman, which is described in the company’s 10-K as the proprietary technology that handles a substantial share of the loan-origination workflow and supports the integration of automated agents on top of it (Better Home &amp; Finance Holding Company, 2025a). Without such a platform, an LLM voice agent reduces to a front-end conversational interface that can summarise but not advance the loan.</w:t>
      </w:r>
    </w:p>
    <w:p w14:paraId="6C01D86E" w14:textId="77777777" w:rsidR="006046D2" w:rsidRPr="00B76053" w:rsidRDefault="00B04762">
      <w:pPr>
        <w:pStyle w:val="Heading3"/>
        <w:rPr>
          <w:rFonts w:cs="Times New Roman"/>
        </w:rPr>
      </w:pPr>
      <w:bookmarkStart w:id="78" w:name="_Toc229599087"/>
      <w:r w:rsidRPr="00B76053">
        <w:rPr>
          <w:rFonts w:cs="Times New Roman"/>
        </w:rPr>
        <w:t>6.3.2 Coordination-layer agent scope</w:t>
      </w:r>
      <w:bookmarkEnd w:id="78"/>
    </w:p>
    <w:p w14:paraId="1DD8E46E" w14:textId="77777777" w:rsidR="006046D2" w:rsidRPr="00B76053" w:rsidRDefault="00B04762">
      <w:pPr>
        <w:rPr>
          <w:rFonts w:cs="Times New Roman"/>
        </w:rPr>
      </w:pPr>
      <w:r w:rsidRPr="00B76053">
        <w:rPr>
          <w:rFonts w:cs="Times New Roman"/>
        </w:rPr>
        <w:t xml:space="preserve">The voice agent’s task scope is bounded to the coordination layer: lead engagement, status updates, document collection, scheduling, and post-decision communication. It is not scoped to </w:t>
      </w:r>
      <w:r w:rsidRPr="00B76053">
        <w:rPr>
          <w:rFonts w:cs="Times New Roman"/>
        </w:rPr>
        <w:lastRenderedPageBreak/>
        <w:t>underwriting, credit decisioning, or the disclosure of material loan terms; those remain inside the regulated perimeter. Anchoring to the AI service hierarchy (Huang &amp; Rust, 2018), the agent’s scope sits in the mechanical and analytical layers of service work — high-volume, structured, communication-intensive activity — where AI is most consistently observed to substitute or augment human capacity. The case anchor is Betsy, described in the Betsy launch announcement and the Better–ElevenLabs joint release as a 24/7 AI loan assistant supporting the loan-officer team rather than replacing it (Better Home &amp; Finance Holding Company, 2024a; Better Home &amp; Finance Holding Company &amp; ElevenLabs, 2026).</w:t>
      </w:r>
    </w:p>
    <w:p w14:paraId="24C01C2A" w14:textId="77777777" w:rsidR="006046D2" w:rsidRPr="00B76053" w:rsidRDefault="00B04762">
      <w:pPr>
        <w:pStyle w:val="Heading3"/>
        <w:rPr>
          <w:rFonts w:cs="Times New Roman"/>
        </w:rPr>
      </w:pPr>
      <w:bookmarkStart w:id="79" w:name="_Toc229599088"/>
      <w:r w:rsidRPr="00B76053">
        <w:rPr>
          <w:rFonts w:cs="Times New Roman"/>
        </w:rPr>
        <w:t>6.3.3 Low-latency voice infrastructure</w:t>
      </w:r>
      <w:bookmarkEnd w:id="79"/>
    </w:p>
    <w:p w14:paraId="790546AE" w14:textId="77777777" w:rsidR="006046D2" w:rsidRPr="00B76053" w:rsidRDefault="00B04762">
      <w:pPr>
        <w:rPr>
          <w:rFonts w:cs="Times New Roman"/>
        </w:rPr>
      </w:pPr>
      <w:r w:rsidRPr="00B76053">
        <w:rPr>
          <w:rFonts w:cs="Times New Roman"/>
        </w:rPr>
        <w:t>The voice infrastructure layer is responsible for speech-to-text, low-latency LLM response generation, and text-to-speech, returned to the borrower as a fluent voice. In the Better.com case, this layer is provided by ElevenLabs Agents (Better Home &amp; Finance Holding Company &amp; ElevenLabs, 2026). Two latency thresholds are operational. First, the per-turn end-to-end latency must remain below approximately four seconds; experimental evidence in human-computer interaction research shows that latency above this threshold materially degrades perceived response time and broader user-experience measures, with natural conversational fillers offsetting only part of the effect (Maslych et al., 2025). Second, voice naturalness shapes user perceptions of safety and compliance (Becker et al., 2025; Nussbaum et al., 2025). For these reasons, the voice infrastructure is not a cosmetic surface treatment but a service-design prerequisite: poor synthesis or high latency can undermine confidence in the agent even when the underlying answer is correct.</w:t>
      </w:r>
    </w:p>
    <w:p w14:paraId="5A756FBB" w14:textId="77777777" w:rsidR="006046D2" w:rsidRPr="00B76053" w:rsidRDefault="00B04762">
      <w:pPr>
        <w:pStyle w:val="Heading3"/>
        <w:rPr>
          <w:rFonts w:cs="Times New Roman"/>
        </w:rPr>
      </w:pPr>
      <w:bookmarkStart w:id="80" w:name="_Toc229599089"/>
      <w:r w:rsidRPr="00B76053">
        <w:rPr>
          <w:rFonts w:cs="Times New Roman"/>
        </w:rPr>
        <w:t>6.3.4 Auditable human escalation</w:t>
      </w:r>
      <w:bookmarkEnd w:id="80"/>
    </w:p>
    <w:p w14:paraId="664C2FC6" w14:textId="77777777" w:rsidR="006046D2" w:rsidRPr="00B76053" w:rsidRDefault="00B04762">
      <w:pPr>
        <w:rPr>
          <w:rFonts w:cs="Times New Roman"/>
        </w:rPr>
      </w:pPr>
      <w:r w:rsidRPr="00B76053">
        <w:rPr>
          <w:rFonts w:cs="Times New Roman"/>
        </w:rPr>
        <w:t xml:space="preserve">The fourth prerequisite is an auditable human-AI collaboration model. Routine communication is handled by the agent; regulated-step communication — disclosures under the Truth in Lending and Real Estate Settlement Procedures Acts, advice on terms requiring a licensed mortgage loan originator under the SAFE Act, and any interaction whose substance or framing is governed by the CFPB’s UDAAP framework — is routed to a licensed loan consultant. The handoff is observable, logged, and auditable: each transition between the agent and the human is timestamped, attributed to an identifiable human staff member, and stored in the platform’s case </w:t>
      </w:r>
      <w:r w:rsidRPr="00B76053">
        <w:rPr>
          <w:rFonts w:cs="Times New Roman"/>
        </w:rPr>
        <w:lastRenderedPageBreak/>
        <w:t>file. This design element discharges the regulatory clarity precondition by making the regulated boundary the natural human–AI hand-off point rather than a contested edge.</w:t>
      </w:r>
    </w:p>
    <w:p w14:paraId="13D1ACC7" w14:textId="77777777" w:rsidR="006046D2" w:rsidRPr="00B76053" w:rsidRDefault="00B04762">
      <w:pPr>
        <w:pStyle w:val="Heading2"/>
        <w:rPr>
          <w:rFonts w:cs="Times New Roman"/>
        </w:rPr>
      </w:pPr>
      <w:bookmarkStart w:id="81" w:name="_Toc229599090"/>
      <w:r w:rsidRPr="00B76053">
        <w:rPr>
          <w:rFonts w:cs="Times New Roman"/>
        </w:rPr>
        <w:t>6.4 Implementation Stages</w:t>
      </w:r>
      <w:bookmarkEnd w:id="81"/>
    </w:p>
    <w:p w14:paraId="6DDE0CB5" w14:textId="77777777" w:rsidR="006046D2" w:rsidRPr="00B76053" w:rsidRDefault="00B04762">
      <w:pPr>
        <w:rPr>
          <w:rFonts w:cs="Times New Roman"/>
        </w:rPr>
      </w:pPr>
      <w:r w:rsidRPr="00B76053">
        <w:rPr>
          <w:rFonts w:cs="Times New Roman"/>
        </w:rPr>
        <w:t>The Better.com timeline supports a four-stage implementation sequence. Stage 1 is pilot deployment: the agent is introduced into a narrow, low-risk slice of the workflow. In the case, this slice was the post-decision update window beginning around the October 17, 2024 launch (Better Home &amp; Finance Holding Company, 2024a). Stage 2 is coordination expansion: scheduling, mid-funnel status updates, and document follow-up are added as the agent’s scope. Stage 3 is scaling and monitoring: call volume rises non-linearly while the human team reallocates capacity to complex and regulated cases. The Better–ElevenLabs joint release reports approximately 100,000 Betsy-handled mortgage-related phone calls per month and approximately 1.89 million inbound and outbound calls in 2025; these figures are vendor- and management-reported and are recorded as such in the source-reliability classification (§3.7) (Better Home &amp; Finance Holding Company &amp; ElevenLabs, 2026). Stage 4 is performance measurement: the agent’s contribution is evaluated through the multidimensional measurement scheme described in §6.5 and summarised in the bottom panel of Figure 6.1. The transition between stages is governed by the same human-escalation model that operates within each stage — expanding the agent’s task scope is itself a regulated-step decision.</w:t>
      </w:r>
    </w:p>
    <w:p w14:paraId="7A9A615A" w14:textId="77777777" w:rsidR="006046D2" w:rsidRPr="00B76053" w:rsidRDefault="00B04762">
      <w:pPr>
        <w:pStyle w:val="Heading2"/>
        <w:rPr>
          <w:rFonts w:cs="Times New Roman"/>
        </w:rPr>
      </w:pPr>
      <w:bookmarkStart w:id="82" w:name="_Toc229599091"/>
      <w:r w:rsidRPr="00B76053">
        <w:rPr>
          <w:rFonts w:cs="Times New Roman"/>
        </w:rPr>
        <w:t>6.5 Business-Value Mechanisms by Prerequisite</w:t>
      </w:r>
      <w:bookmarkEnd w:id="82"/>
    </w:p>
    <w:p w14:paraId="0F95C597" w14:textId="77777777" w:rsidR="006046D2" w:rsidRPr="00B76053" w:rsidRDefault="00B04762">
      <w:pPr>
        <w:rPr>
          <w:rFonts w:cs="Times New Roman"/>
        </w:rPr>
      </w:pPr>
      <w:r w:rsidRPr="00B76053">
        <w:rPr>
          <w:rFonts w:cs="Times New Roman"/>
        </w:rPr>
        <w:t xml:space="preserve">The four prerequisites generate value through different mechanisms. The process-aware operating platform creates value primarily through cost efficiency and labour productivity: structured workflow state permits automation of routine coordination, reduces exception-handling overhead, and shifts human capacity toward complex cases. In the Better.com case, this mechanism is consistent with the observed expense-ratio trajectory (4.79 → 2.89 → 2.01 between 2023 and 2025) and the revenue-per-employee trajectory ($0.094M → $0.087M → $0.124M), although both trajectories remain incomplete relative to the 2021–2023 pre-period RPE average of $0.130M (Chapter 5, §5.3.2 and §5.3.4). The coordination-layer agent generates value through labour productivity and — ambiguously — through customer experience: routine coordination is handled at higher volume without proportional headcount, while customer-side </w:t>
      </w:r>
      <w:r w:rsidRPr="00B76053">
        <w:rPr>
          <w:rFonts w:cs="Times New Roman"/>
        </w:rPr>
        <w:lastRenderedPageBreak/>
        <w:t>perceptions of the resulting service are mediated by latency, voice naturalness, and the visibility of the agent.</w:t>
      </w:r>
    </w:p>
    <w:p w14:paraId="7FC9EA20" w14:textId="77777777" w:rsidR="006046D2" w:rsidRPr="00B76053" w:rsidRDefault="00B04762">
      <w:pPr>
        <w:rPr>
          <w:rFonts w:cs="Times New Roman"/>
        </w:rPr>
      </w:pPr>
      <w:r w:rsidRPr="00B76053">
        <w:rPr>
          <w:rFonts w:cs="Times New Roman"/>
        </w:rPr>
        <w:t>The voice-infrastructure layer affects customer experience directly. Speech-to-text, response-generation, and text-to-speech latency shape the per-turn experience; voice naturalness shapes perceptions of safety and compliance (Becker et al., 2025; Maslych et al., 2025). The Better.com NLP evidence in Chapter 5 is consistent with the proposition that, when the AI system operates as backend infrastructure rather than as a branded experience, customer-side AI attribution is low: explicit AI mentions in Trustpilot reviews remained at approximately 1.15 percent (pre) and 1.18 percent (post), and Cost/Rates discourse — the only keyword group whose prevalence shift survives the Bonferroni correction — shifted by −12.36 percentage points (Chapter 5, §5.4.3). The auditable human-escalation prerequisite generates value through a different channel: it permits revenue conversion at the regulated boundary (where the agent legally cannot close) and trust at the customer boundary (where the borrower can request a human). It also produces regulatory-compliance value that is directly visible in the absence of UDAAP-level enforcement events but indirectly visible in Better’s ongoing public-company status.</w:t>
      </w:r>
    </w:p>
    <w:p w14:paraId="0027B747" w14:textId="77777777" w:rsidR="006046D2" w:rsidRPr="00B76053" w:rsidRDefault="00B04762">
      <w:pPr>
        <w:pStyle w:val="Heading2"/>
        <w:rPr>
          <w:rFonts w:cs="Times New Roman"/>
        </w:rPr>
      </w:pPr>
      <w:bookmarkStart w:id="83" w:name="_Toc229599092"/>
      <w:r w:rsidRPr="00B76053">
        <w:rPr>
          <w:rFonts w:cs="Times New Roman"/>
        </w:rPr>
        <w:t>6.6 Boundary Conditions</w:t>
      </w:r>
      <w:bookmarkEnd w:id="83"/>
    </w:p>
    <w:p w14:paraId="0EAED6C5" w14:textId="77777777" w:rsidR="006046D2" w:rsidRPr="00B76053" w:rsidRDefault="00B04762">
      <w:pPr>
        <w:rPr>
          <w:rFonts w:cs="Times New Roman"/>
        </w:rPr>
      </w:pPr>
      <w:r w:rsidRPr="00B76053">
        <w:rPr>
          <w:rFonts w:cs="Times New Roman"/>
        </w:rPr>
        <w:t xml:space="preserve">Four boundary conditions bound the design pattern. First, regulated domain: the pattern is derived from U.S. mortgage origination and is most plausibly applicable to other regulated, communication-intensive, high-volume workflows; in weakly regulated domains the auditable-escalation prerequisite loses much of its value, and in heavily regulated domains without a clear routine/regulated boundary the coordination-layer scope cannot be defined. Second, data quality and process standardisation: the value of a process-aware platform depends on the structure and accuracy of the workflow data it exposes; where data is fragmented across legacy systems, or where the process state cannot be enumerated, the platform precondition is not satisfied without prior digital-transformation investment whose costs and timelines may exceed those of the agent itself. Third, trust and transparency: the customer must be able to escalate to a human, and the platform must make the human–AI boundary recognisable rather than opaque. Fourth, single-case derivation: the pattern is induced from one revelatory case, and its full interpretive limits — </w:t>
      </w:r>
      <w:r w:rsidRPr="00B76053">
        <w:rPr>
          <w:rFonts w:cs="Times New Roman"/>
        </w:rPr>
        <w:lastRenderedPageBreak/>
        <w:t>including the inseparability of the operational-leverage signal from concurrent macroeconomic recovery and post-IPO restructuring at Better — are treated in Chapter 8.</w:t>
      </w:r>
    </w:p>
    <w:p w14:paraId="6471EAFA" w14:textId="77777777" w:rsidR="006046D2" w:rsidRPr="00B76053" w:rsidRDefault="00B04762">
      <w:pPr>
        <w:pStyle w:val="Heading2"/>
        <w:rPr>
          <w:rFonts w:cs="Times New Roman"/>
        </w:rPr>
      </w:pPr>
      <w:bookmarkStart w:id="84" w:name="_Toc229599093"/>
      <w:r w:rsidRPr="00B76053">
        <w:rPr>
          <w:rFonts w:cs="Times New Roman"/>
        </w:rPr>
        <w:t>6.7 Transferability to Adjacent Regulated Settings</w:t>
      </w:r>
      <w:bookmarkEnd w:id="84"/>
    </w:p>
    <w:p w14:paraId="015075DC" w14:textId="77777777" w:rsidR="006046D2" w:rsidRPr="00B76053" w:rsidRDefault="00B04762">
      <w:pPr>
        <w:rPr>
          <w:rFonts w:cs="Times New Roman"/>
        </w:rPr>
      </w:pPr>
      <w:r w:rsidRPr="00B76053">
        <w:rPr>
          <w:rFonts w:cs="Times New Roman"/>
        </w:rPr>
        <w:t>Two adjacent regulated settings illustrate the pattern’s transferability without overreaching. The first is retail-banking servicing: high-volume coordination tasks (status updates, dispute initiation, document submission, scheduling) proceed inside a process-aware core-banking platform, with regulated steps (Reg E investigations, Reg Z disclosures, fraud-stop confirmations) routed to licensed staff. The voice agent’s task scope, the latency constraint, and the auditable-escalation prerequisite carry across with minor adaptation; the data-accessibility precondition is the principal binding constraint, because core-banking systems are often less process-aware than Tinman. The second is insurance servicing: claim status, premium queries, and coverage updates can proceed inside a process-aware policy-administration platform, with claim-decisioning and material-misrepresentation steps routed to licensed adjusters or underwriters. Here the regulatory-clarity precondition is the principal constraint, because the legal definition of “advice” in insurance servicing varies more across jurisdictions than under the U.S. SAFE Act.</w:t>
      </w:r>
    </w:p>
    <w:p w14:paraId="06C63A57" w14:textId="77777777" w:rsidR="006046D2" w:rsidRPr="00B76053" w:rsidRDefault="00B04762">
      <w:pPr>
        <w:rPr>
          <w:rFonts w:cs="Times New Roman"/>
        </w:rPr>
      </w:pPr>
      <w:r w:rsidRPr="00B76053">
        <w:rPr>
          <w:rFonts w:cs="Times New Roman"/>
        </w:rPr>
        <w:t>Beyond these two settings, the pattern’s claim is bounded by the four conditions in §6.6 and by the limitations articulated in Chapter 8. Transferability claims are therefore stated as working hypotheses for future research, not as established findings. In particular, the pattern’s transferability to lower digital-maturity lenders — those without an analogue of Tinman — is explicitly weaker than its transferability across high-digital-maturity regulated workflows.</w:t>
      </w:r>
    </w:p>
    <w:p w14:paraId="7DB8BEAB" w14:textId="77777777" w:rsidR="006046D2" w:rsidRPr="00B76053" w:rsidRDefault="00B04762">
      <w:pPr>
        <w:pStyle w:val="Heading2"/>
        <w:rPr>
          <w:rFonts w:cs="Times New Roman"/>
        </w:rPr>
      </w:pPr>
      <w:bookmarkStart w:id="85" w:name="_Toc229599094"/>
      <w:r w:rsidRPr="00B76053">
        <w:rPr>
          <w:rFonts w:cs="Times New Roman"/>
        </w:rPr>
        <w:t>6.8 Chapter Summary</w:t>
      </w:r>
      <w:bookmarkEnd w:id="85"/>
    </w:p>
    <w:p w14:paraId="3377B220" w14:textId="77777777" w:rsidR="006046D2" w:rsidRPr="00B76053" w:rsidRDefault="00B04762">
      <w:pPr>
        <w:rPr>
          <w:rFonts w:cs="Times New Roman"/>
        </w:rPr>
      </w:pPr>
      <w:r w:rsidRPr="00B76053">
        <w:rPr>
          <w:rFonts w:cs="Times New Roman"/>
        </w:rPr>
        <w:t xml:space="preserve">Chapter 6 has formalised the four prerequisites identified in Chapter 5 as a transferable design pattern: a process-aware operating platform, a coordination-layer agent scope, low-latency voice infrastructure, and an auditable human-AI collaboration model with licensed-consultant escalation at the regulated boundary. The pattern is offered in the design-science sense (Hevner et al., 2004) and bounded for analytic generalisation (Yin, 2018) to other regulated, communication-intensive, high-volume financial workflows with mature digital operating </w:t>
      </w:r>
      <w:r w:rsidRPr="00B76053">
        <w:rPr>
          <w:rFonts w:cs="Times New Roman"/>
        </w:rPr>
        <w:lastRenderedPageBreak/>
        <w:t>platforms. It is explicitly not a causal model and not a deployment recipe. Chapter 7 places the findings and the pattern within the literature reviewed in Chapter 2.</w:t>
      </w:r>
    </w:p>
    <w:p w14:paraId="11F94B92" w14:textId="77777777" w:rsidR="006046D2" w:rsidRPr="00B76053" w:rsidRDefault="00B04762" w:rsidP="000D44C8">
      <w:pPr>
        <w:pStyle w:val="Heading1"/>
        <w:rPr>
          <w:rFonts w:cs="Times New Roman"/>
        </w:rPr>
      </w:pPr>
      <w:bookmarkStart w:id="86" w:name="_Toc229599095"/>
      <w:r w:rsidRPr="00B76053">
        <w:rPr>
          <w:rFonts w:cs="Times New Roman"/>
        </w:rPr>
        <w:t>7. Discussion</w:t>
      </w:r>
      <w:bookmarkEnd w:id="86"/>
    </w:p>
    <w:p w14:paraId="23D4E0A1" w14:textId="77777777" w:rsidR="006046D2" w:rsidRPr="00B76053" w:rsidRDefault="00B04762">
      <w:pPr>
        <w:pStyle w:val="Heading2"/>
        <w:rPr>
          <w:rFonts w:cs="Times New Roman"/>
        </w:rPr>
      </w:pPr>
      <w:bookmarkStart w:id="87" w:name="_Toc229599096"/>
      <w:r w:rsidRPr="00B76053">
        <w:rPr>
          <w:rFonts w:cs="Times New Roman"/>
        </w:rPr>
        <w:t>7.1 Introduction</w:t>
      </w:r>
      <w:bookmarkEnd w:id="87"/>
    </w:p>
    <w:p w14:paraId="38BA49FE" w14:textId="77777777" w:rsidR="006046D2" w:rsidRPr="00B76053" w:rsidRDefault="00B04762">
      <w:pPr>
        <w:rPr>
          <w:rFonts w:cs="Times New Roman"/>
        </w:rPr>
      </w:pPr>
      <w:r w:rsidRPr="00B76053">
        <w:rPr>
          <w:rFonts w:cs="Times New Roman"/>
        </w:rPr>
        <w:t>This chapter integrates the empirical findings of Chapter 5 and the design pattern of Chapter 6 with the literature reviewed in Chapter 2 under three constraints: the discussion stays within what a single observational case supports; it takes alternative explanations seriously; and it separates contributions that hold under alternative explanations from those that depend on Betsy's specific role. The chapter is organised around five questions: how to read the financial trajectory (§7.2), how to read the NPS–Trustpilot divergence (§7.3), what the case contributes theoretically (§7.4), what competing explanations imply (§7.5), and what the practical implications are (§7.6). Section 7.7 summarises the discussion.</w:t>
      </w:r>
    </w:p>
    <w:p w14:paraId="5DB57661" w14:textId="77777777" w:rsidR="006046D2" w:rsidRPr="00B76053" w:rsidRDefault="00B04762">
      <w:pPr>
        <w:pStyle w:val="Heading2"/>
        <w:rPr>
          <w:rFonts w:cs="Times New Roman"/>
        </w:rPr>
      </w:pPr>
      <w:bookmarkStart w:id="88" w:name="_Toc229599097"/>
      <w:r w:rsidRPr="00B76053">
        <w:rPr>
          <w:rFonts w:cs="Times New Roman"/>
        </w:rPr>
        <w:t>7.2 Interpreting the Financial Trajectory</w:t>
      </w:r>
      <w:bookmarkEnd w:id="88"/>
    </w:p>
    <w:p w14:paraId="158B50AA" w14:textId="77777777" w:rsidR="006046D2" w:rsidRPr="00B76053" w:rsidRDefault="00B04762">
      <w:pPr>
        <w:rPr>
          <w:rFonts w:cs="Times New Roman"/>
        </w:rPr>
      </w:pPr>
      <w:r w:rsidRPr="00B76053">
        <w:rPr>
          <w:rFonts w:cs="Times New Roman"/>
        </w:rPr>
        <w:t>The three financial signals reported in §5.3 — the expense-ratio trajectory of 4.79 → 2.89 → 2.01 between 2023 and 2025, the revenue-per-employee trajectory of $0.094M → $0.087M → $0.124M, and the net-loss narrowing from −$536.4M in 2023 to −$165.9M in 2025 — are jointly consistent with AI-enabled operational leverage but do not isolate Betsy's contribution. The expense-ratio improvement is fastest in 2024, the year of Betsy's October launch, but it is not discontinuous at the launch date: the ratio had already begun improving as Better's post-IPO restructuring took effect (Better Home &amp; Finance Holding Company, 2024b, 2025a). Revenue-per-employee in 2025 remains below the 2021–2023 pre-period average of $0.130M; the trajectory is therefore better read as a recovery toward the pre-period operating envelope than as a step-change beyond it.</w:t>
      </w:r>
    </w:p>
    <w:p w14:paraId="1CA2530A" w14:textId="77777777" w:rsidR="006046D2" w:rsidRPr="00B76053" w:rsidRDefault="00B04762">
      <w:pPr>
        <w:rPr>
          <w:rFonts w:cs="Times New Roman"/>
        </w:rPr>
      </w:pPr>
      <w:r w:rsidRPr="00B76053">
        <w:rPr>
          <w:rFonts w:cs="Times New Roman"/>
        </w:rPr>
        <w:t xml:space="preserve">These observations align with the AI-productivity literature's emphasis on task reallocation rather than full labour substitution (Acemoglu &amp; Restrepo, 2019; Brynjolfsson et al., 2023) and with voice-AI field studies showing productivity gains accruing to lower-tenure workers reassigned to coordination-intensive roles (Wang et al., 2023). The Better.com case differs in </w:t>
      </w:r>
      <w:r w:rsidRPr="00B76053">
        <w:rPr>
          <w:rFonts w:cs="Times New Roman"/>
        </w:rPr>
        <w:lastRenderedPageBreak/>
        <w:t>two respects: it is set in a regulated workflow whose boundary itself shapes the agent's task scope, and the agent operates inside a process-aware platform (Tinman) that is itself a precondition for the observed productivity gains.</w:t>
      </w:r>
    </w:p>
    <w:p w14:paraId="1A5872D6" w14:textId="77777777" w:rsidR="006046D2" w:rsidRPr="00B76053" w:rsidRDefault="00B04762">
      <w:pPr>
        <w:rPr>
          <w:rFonts w:cs="Times New Roman"/>
        </w:rPr>
      </w:pPr>
      <w:r w:rsidRPr="00B76053">
        <w:rPr>
          <w:rFonts w:cs="Times New Roman"/>
        </w:rPr>
        <w:t>A cautious reading therefore states three reconcilable propositions: the financial trajectory is consistent with the design pattern's prediction of observable operational leverage given the four prerequisites; the trajectory cannot be attributed to Betsy in isolation, given the inseparable contributions of macroeconomic recovery, restructuring, and Tinman maturity; and the AI-productivity literature's prediction of gains through task reallocation is supported descriptively. The thesis stops at “consistent with” and does not claim that the trajectory empirically validates the literature.</w:t>
      </w:r>
    </w:p>
    <w:p w14:paraId="4E3A4B2A" w14:textId="77777777" w:rsidR="006046D2" w:rsidRPr="00B76053" w:rsidRDefault="00B04762">
      <w:pPr>
        <w:pStyle w:val="Heading2"/>
        <w:rPr>
          <w:rFonts w:cs="Times New Roman"/>
        </w:rPr>
      </w:pPr>
      <w:bookmarkStart w:id="89" w:name="_Toc229599098"/>
      <w:r w:rsidRPr="00B76053">
        <w:rPr>
          <w:rFonts w:cs="Times New Roman"/>
        </w:rPr>
        <w:t>7.3 Interpreting the NPS – Trustpilot Divergence</w:t>
      </w:r>
      <w:bookmarkEnd w:id="89"/>
    </w:p>
    <w:p w14:paraId="2D6278C7" w14:textId="77777777" w:rsidR="006046D2" w:rsidRPr="00B76053" w:rsidRDefault="00B04762">
      <w:pPr>
        <w:rPr>
          <w:rFonts w:cs="Times New Roman"/>
        </w:rPr>
      </w:pPr>
      <w:r w:rsidRPr="00B76053">
        <w:rPr>
          <w:rFonts w:cs="Times New Roman"/>
        </w:rPr>
        <w:t>The two customer-experience signals reported in §5.4 — management-reported NPS rising from 39 to 64 and independent Trustpilot mean star ratings and VADER sentiment falling — point in opposite directions. The thesis treats this divergence as the most informative single finding in the empirical chapter and resists the temptation to resolve it by privileging either signal.</w:t>
      </w:r>
    </w:p>
    <w:p w14:paraId="35C04110" w14:textId="77777777" w:rsidR="006046D2" w:rsidRPr="00B76053" w:rsidRDefault="00B04762">
      <w:pPr>
        <w:rPr>
          <w:rFonts w:cs="Times New Roman"/>
        </w:rPr>
      </w:pPr>
      <w:r w:rsidRPr="00B76053">
        <w:rPr>
          <w:rFonts w:cs="Times New Roman"/>
        </w:rPr>
        <w:t>The consumer-behaviour literature reviewed in §2.5 suggests four reasons why the two instruments should be expected to diverge in this case. First, Trustpilot reviews over-sample emotionally engaged customers (Filieri, 2015; Luca, 2016); management NPS may sample a different, internally drawn customer population. Second, the small post-period Trustpilot sample (n = 169 vs. n = 1,746 pre-period) gives self-selection more leverage on the post-period mean. Third, backend-AI services predict low customer-side AI attribution when the AI is not branded to the end user (Mogaji &amp; Nguyen, 2021; Aggarwal et al., 2025), consistent with the near-flat explicit-AI mention rate (≈1.15% pre, ≈1.18% post). Fourth, an algorithm-aversion effect may further depress public-discourse evaluations of automated service even when underlying quality is unchanged (Dietvorst et al., 2015).</w:t>
      </w:r>
    </w:p>
    <w:p w14:paraId="2B8CC354" w14:textId="77777777" w:rsidR="006046D2" w:rsidRPr="00B76053" w:rsidRDefault="00B04762">
      <w:pPr>
        <w:rPr>
          <w:rFonts w:cs="Times New Roman"/>
        </w:rPr>
      </w:pPr>
      <w:r w:rsidRPr="00B76053">
        <w:rPr>
          <w:rFonts w:cs="Times New Roman"/>
        </w:rPr>
        <w:t xml:space="preserve">The Cost/Rates discourse shift (−12.36 percentage points, the only keyword-group shift surviving Bonferroni correction) is the most diagnostic single keyword finding. Two interpretations are consistent with it. Post-October-2024 reviewers may differ in their reasons for </w:t>
      </w:r>
      <w:r w:rsidRPr="00B76053">
        <w:rPr>
          <w:rFonts w:cs="Times New Roman"/>
        </w:rPr>
        <w:lastRenderedPageBreak/>
        <w:t>reviewing, with operational frustrations displacing transactional outcomes; alternatively, the rate environment was less salient as 30-year rates eased (Mortgage Bankers Association, 2024a), so customers wrote fewer rate-related reviews. The two are not mutually exclusive, and the case data cannot adjudicate between them. Jointly, they imply that public-discourse evidence on voice-AI deployment must be read alongside management-reported instruments and triangulated against operational evidence rather than substituted for them.</w:t>
      </w:r>
    </w:p>
    <w:p w14:paraId="522E300D" w14:textId="77777777" w:rsidR="006046D2" w:rsidRPr="00B76053" w:rsidRDefault="00B04762">
      <w:pPr>
        <w:pStyle w:val="Heading2"/>
        <w:rPr>
          <w:rFonts w:cs="Times New Roman"/>
        </w:rPr>
      </w:pPr>
      <w:bookmarkStart w:id="90" w:name="_Toc229599099"/>
      <w:r w:rsidRPr="00B76053">
        <w:rPr>
          <w:rFonts w:cs="Times New Roman"/>
        </w:rPr>
        <w:t>7.4 Theoretical Contributions</w:t>
      </w:r>
      <w:bookmarkEnd w:id="90"/>
    </w:p>
    <w:p w14:paraId="50F647F3" w14:textId="77777777" w:rsidR="006046D2" w:rsidRPr="00B76053" w:rsidRDefault="00B04762">
      <w:pPr>
        <w:rPr>
          <w:rFonts w:cs="Times New Roman"/>
        </w:rPr>
      </w:pPr>
      <w:r w:rsidRPr="00B76053">
        <w:rPr>
          <w:rFonts w:cs="Times New Roman"/>
        </w:rPr>
        <w:t>The thesis contributes to three threads of the literature. The first is the AI service hierarchy (Huang &amp; Rust, 2018). The Better.com case extends that hierarchy by showing that mechanical and analytical service work can be substantially automated by a voice LLM agent scoped to the coordination layer of a regulated workflow, while the intuitive and empathetic layers remain inside the human-AI collaboration model. The case is also consistent with the hierarchy’s prediction that AI substitution diffuses first through the lower layers of service work; what the hierarchy does not specify, and what the case contributes, is the architectural precondition (a process-aware operating platform) for the substitution to be operational rather than rhetorical.</w:t>
      </w:r>
    </w:p>
    <w:p w14:paraId="13331E54" w14:textId="77777777" w:rsidR="006046D2" w:rsidRPr="00B76053" w:rsidRDefault="00B04762">
      <w:pPr>
        <w:rPr>
          <w:rFonts w:cs="Times New Roman"/>
        </w:rPr>
      </w:pPr>
      <w:r w:rsidRPr="00B76053">
        <w:rPr>
          <w:rFonts w:cs="Times New Roman"/>
        </w:rPr>
        <w:t>The second thread is task–technology fit (Goodhue &amp; Thompson, 1995). The case operationalises the task–technology-fit lens at the workflow level rather than at the individual-task level: the fit between Betsy’s coordination-layer task scope and the structured workflow state exposed by Tinman is the architectural fact that the case identifies. The case extends the task–technology-fit lens by showing that, in regulated workflows, task–technology fit must be evaluated against the regulated boundary as well as against the task itself: the agent’s scope must fit not only the task but also the licensing and disclosure constraints that govern the task.</w:t>
      </w:r>
    </w:p>
    <w:p w14:paraId="2B1F4952" w14:textId="77777777" w:rsidR="006046D2" w:rsidRPr="00B76053" w:rsidRDefault="00B04762">
      <w:pPr>
        <w:rPr>
          <w:rFonts w:cs="Times New Roman"/>
        </w:rPr>
      </w:pPr>
      <w:r w:rsidRPr="00B76053">
        <w:rPr>
          <w:rFonts w:cs="Times New Roman"/>
        </w:rPr>
        <w:t xml:space="preserve">The third thread is the AI-enabled productivity literature (Acemoglu &amp; Restrepo, 2019; Brynjolfsson et al., 2023). The case is consistent with that literature’s prediction that AI-related productivity gains materialise through task reallocation rather than full labour substitution and may emerge alongside ambiguous customer-perception effects when the AI system operates as backend infrastructure (Mogaji &amp; Nguyen, 2021; Aggarwal et al., 2025). The case adds a regulated-workflow boundary condition that the AI-productivity literature has examined less frequently: the productivity channel and the regulatory-compliance channel are not separable in </w:t>
      </w:r>
      <w:r w:rsidRPr="00B76053">
        <w:rPr>
          <w:rFonts w:cs="Times New Roman"/>
        </w:rPr>
        <w:lastRenderedPageBreak/>
        <w:t>the case data, and the four-prerequisite design pattern specifies the architectural arrangement under which they are jointly observed.</w:t>
      </w:r>
    </w:p>
    <w:p w14:paraId="6A4C893B" w14:textId="77777777" w:rsidR="006046D2" w:rsidRPr="00B76053" w:rsidRDefault="00B04762">
      <w:pPr>
        <w:rPr>
          <w:rFonts w:cs="Times New Roman"/>
        </w:rPr>
      </w:pPr>
      <w:r w:rsidRPr="00B76053">
        <w:rPr>
          <w:rFonts w:cs="Times New Roman"/>
        </w:rPr>
        <w:t>Read together, the three threads suggest that the Better.com case is an example of what might be called “invisible AI infrastructure”: a voice-AI agent that is operationally consequential but customer-side imperceptible. This is not a new theoretical category; it is a synthesis of existing observations in the chatbot literature (Adam et al., 2021), the backend-AI services literature (Mogaji &amp; Nguyen, 2021), and the AI-productivity literature. What the case adds is an integrated empirical example in which the operational-financial signal, the customer-discourse signal, the vendor-architectural signal, and the management-reported signal can be read against each other on the same firm in the same time window.</w:t>
      </w:r>
    </w:p>
    <w:p w14:paraId="1539905A" w14:textId="77777777" w:rsidR="006046D2" w:rsidRPr="00B76053" w:rsidRDefault="00B04762">
      <w:pPr>
        <w:pStyle w:val="Heading2"/>
        <w:rPr>
          <w:rFonts w:cs="Times New Roman"/>
        </w:rPr>
      </w:pPr>
      <w:bookmarkStart w:id="91" w:name="_Toc229599100"/>
      <w:r w:rsidRPr="00B76053">
        <w:rPr>
          <w:rFonts w:cs="Times New Roman"/>
        </w:rPr>
        <w:t>7.5 Alternative Explanations and Competing Hypotheses</w:t>
      </w:r>
      <w:bookmarkEnd w:id="91"/>
    </w:p>
    <w:p w14:paraId="5C638018" w14:textId="77777777" w:rsidR="006046D2" w:rsidRPr="00B76053" w:rsidRDefault="00B04762">
      <w:pPr>
        <w:rPr>
          <w:rFonts w:cs="Times New Roman"/>
        </w:rPr>
      </w:pPr>
      <w:r w:rsidRPr="00B76053">
        <w:rPr>
          <w:rFonts w:cs="Times New Roman"/>
        </w:rPr>
        <w:t>Several alternative explanations could account for the financial trajectory of 2023–2025 in whole or in part. First, macroeconomic recovery: U.S. mortgage origination volume began to recover from its 2022–2023 trough as 30-year fixed mortgage rates eased and as the volume of refinance and purchase originations rose (Federal Reserve Bank of New York, 2023; Mortgage Bankers Association, 2024a). A neutral macroeconomic counterfactual cannot be constructed from the case data. The case therefore concedes that the recovery component of the trajectory is not separable from the AI-enabled component using single-firm evidence. Second, restructuring: Better’s post-IPO restructuring (the NEO loan officer programme, the consolidation of operations, the headcount reductions reported in the 2023 and 2024 10-Ks) reduces the expense base independently of any AI-related effect (Better Home &amp; Finance Holding Company, 2024b, 2025a). Third, mix shift: changes in the mix of refinance versus purchase originations affect both revenue per loan and operating margin, and the post-period mix is not constant. Fourth, peer-effect spillovers: a parallel benchmark lender (Rocket Companies, 2024, 2025) shows correlated trajectory changes during the same window, although Rocket’s scale and vertical integration make a direct comparison only directional.</w:t>
      </w:r>
    </w:p>
    <w:p w14:paraId="703609C8" w14:textId="77777777" w:rsidR="006046D2" w:rsidRPr="00B76053" w:rsidRDefault="00B04762">
      <w:pPr>
        <w:rPr>
          <w:rFonts w:cs="Times New Roman"/>
        </w:rPr>
      </w:pPr>
      <w:r w:rsidRPr="00B76053">
        <w:rPr>
          <w:rFonts w:cs="Times New Roman"/>
        </w:rPr>
        <w:t xml:space="preserve">How does each alternative bear on the design pattern? The macroeconomic-recovery and restructuring hypotheses do not invalidate the design pattern; they bound the share of the financial trajectory that the pattern is licensed to explain. The mix-shift hypothesis does not </w:t>
      </w:r>
      <w:r w:rsidRPr="00B76053">
        <w:rPr>
          <w:rFonts w:cs="Times New Roman"/>
        </w:rPr>
        <w:lastRenderedPageBreak/>
        <w:t>invalidate the design pattern either, but it does suggest that revenue-per-employee should be interpreted with care, and §5.3.4 already does so. The peer-effect-spillovers hypothesis is the most challenging: if Rocket’s 2024–2025 trajectory partially mirrors Better’s, the operational-leverage signal cannot be attributed to AI deployment without further evidence. The case study’s response is to treat Rocket as a directional industry benchmark and not as a counterfactual, and to treat the AI deployment as one of several mechanisms in a multi-mechanism explanation.</w:t>
      </w:r>
    </w:p>
    <w:p w14:paraId="64224187" w14:textId="77777777" w:rsidR="006046D2" w:rsidRPr="00B76053" w:rsidRDefault="00B04762">
      <w:pPr>
        <w:rPr>
          <w:rFonts w:cs="Times New Roman"/>
        </w:rPr>
      </w:pPr>
      <w:r w:rsidRPr="00B76053">
        <w:rPr>
          <w:rFonts w:cs="Times New Roman"/>
        </w:rPr>
        <w:t>On the customer-experience side, the principal alternative is that the post-Betsy Trustpilot decline reflects a broader reviewing-population drift rather than a deterioration in service quality: post-Betsy reviewers may differ in their reasons for reviewing, in the share of transactional versus operational complaints, and in the broader discourse environment. The thesis records this alternative explicitly and reads the Trustpilot evidence as one signal in a triangulated evidence base, rather than as a contradicting fact. Where the discourse evidence is genuinely uninformative — such as on the magnitude of the customer-experience effect — the thesis abstains from a single magnitude estimate.</w:t>
      </w:r>
    </w:p>
    <w:p w14:paraId="1138CC43" w14:textId="77777777" w:rsidR="006046D2" w:rsidRPr="00B76053" w:rsidRDefault="00B04762">
      <w:pPr>
        <w:pStyle w:val="Heading2"/>
        <w:rPr>
          <w:rFonts w:cs="Times New Roman"/>
        </w:rPr>
      </w:pPr>
      <w:bookmarkStart w:id="92" w:name="_Toc229599101"/>
      <w:r w:rsidRPr="00B76053">
        <w:rPr>
          <w:rFonts w:cs="Times New Roman"/>
        </w:rPr>
        <w:t>7.6 Practical Implications</w:t>
      </w:r>
      <w:bookmarkEnd w:id="92"/>
    </w:p>
    <w:p w14:paraId="4B00CF40" w14:textId="77777777" w:rsidR="006046D2" w:rsidRPr="00B76053" w:rsidRDefault="00B04762">
      <w:pPr>
        <w:rPr>
          <w:rFonts w:cs="Times New Roman"/>
        </w:rPr>
      </w:pPr>
      <w:r w:rsidRPr="00B76053">
        <w:rPr>
          <w:rFonts w:cs="Times New Roman"/>
        </w:rPr>
        <w:t>The practical implications of the thesis are pitched at three audiences. For lender executives, the thesis argues that voice-AI deployment should be evaluated as the visible component of a longer digital-platform investment whose less visible components (process digitisation, workflow-state APIs, data-quality investments, human-AI coordination structures) typically dominate the cost and the timeline. The four-prerequisite design pattern functions as a diagnostic checklist: a deployment that lacks any one of the four prerequisites is unlikely to generate the operational leverage the case exhibits, regardless of vendor selection. For voice-AI vendors, the thesis suggests that the boundary between voice-infrastructure value and integration-and-data-platform value is the principal commercial fault line: a high-quality voice-infrastructure layer is necessary but not sufficient for a productive deployment.</w:t>
      </w:r>
    </w:p>
    <w:p w14:paraId="791BAAD4" w14:textId="77777777" w:rsidR="006046D2" w:rsidRPr="00B76053" w:rsidRDefault="00B04762">
      <w:pPr>
        <w:rPr>
          <w:rFonts w:cs="Times New Roman"/>
        </w:rPr>
      </w:pPr>
      <w:r w:rsidRPr="00B76053">
        <w:rPr>
          <w:rFonts w:cs="Times New Roman"/>
        </w:rPr>
        <w:t xml:space="preserve">For regulators, the thesis suggests that the most informative supervisory question may not be “is the customer interacting with an AI?” but “is the regulated step routed to a licensed and identifiable human, and is the routing audit-logged?” The pattern’s auditable-escalation prerequisite renders the regulated boundary observable and supervisable, regardless of whether </w:t>
      </w:r>
      <w:r w:rsidRPr="00B76053">
        <w:rPr>
          <w:rFonts w:cs="Times New Roman"/>
        </w:rPr>
        <w:lastRenderedPageBreak/>
        <w:t>the customer is consciously aware of the AI in the routine communication that precedes it. This framing aligns with the Consumer Financial Protection Bureau’s UDAAP framework and the SAFE Act’s licensing requirements (Consumer Financial Protection Bureau, n.d.) and offers a workable supervisory primitive for voice-AI deployments in regulated financial workflows.</w:t>
      </w:r>
    </w:p>
    <w:p w14:paraId="35758C64" w14:textId="77777777" w:rsidR="006046D2" w:rsidRPr="00B76053" w:rsidRDefault="00B04762">
      <w:pPr>
        <w:pStyle w:val="Heading2"/>
        <w:rPr>
          <w:rFonts w:cs="Times New Roman"/>
        </w:rPr>
      </w:pPr>
      <w:bookmarkStart w:id="93" w:name="_Toc229599102"/>
      <w:r w:rsidRPr="00B76053">
        <w:rPr>
          <w:rFonts w:cs="Times New Roman"/>
        </w:rPr>
        <w:t>7.7 Chapter Summary</w:t>
      </w:r>
      <w:bookmarkEnd w:id="93"/>
    </w:p>
    <w:p w14:paraId="79979817" w14:textId="77777777" w:rsidR="006046D2" w:rsidRPr="00B76053" w:rsidRDefault="00B04762">
      <w:pPr>
        <w:rPr>
          <w:rFonts w:cs="Times New Roman"/>
        </w:rPr>
      </w:pPr>
      <w:r w:rsidRPr="00B76053">
        <w:rPr>
          <w:rFonts w:cs="Times New Roman"/>
        </w:rPr>
        <w:t>Chapter 7 has integrated the empirical findings of Chapter 5 and the design pattern of Chapter 6 with the literature of Chapter 2 across five threads: the financial trajectory, the NPS–Trustpilot divergence, theoretical contributions to the AI-service-hierarchy / task–technology-fit / AI-productivity literatures, alternative explanations, and practical implications. The discussion has consistently respected the boundary between “consistent with” and “caused by,” framing the contribution as descriptive, interpretive, and design-pattern-prescriptive rather than causal. Chapter 8 examines the limitations of the design and the evidence in detail; Chapter 9 states the direct answers to RQ1 and RQ2 and the priority directions for future research.</w:t>
      </w:r>
    </w:p>
    <w:p w14:paraId="47B29A4C" w14:textId="77777777" w:rsidR="006046D2" w:rsidRPr="00B76053" w:rsidRDefault="00B04762" w:rsidP="0061771B">
      <w:pPr>
        <w:pStyle w:val="Heading1"/>
        <w:rPr>
          <w:rFonts w:cs="Times New Roman"/>
        </w:rPr>
      </w:pPr>
      <w:bookmarkStart w:id="94" w:name="_Toc229599103"/>
      <w:r w:rsidRPr="00B76053">
        <w:rPr>
          <w:rFonts w:cs="Times New Roman"/>
        </w:rPr>
        <w:t>8. Limitations</w:t>
      </w:r>
      <w:bookmarkEnd w:id="94"/>
    </w:p>
    <w:p w14:paraId="29D63DD6" w14:textId="77777777" w:rsidR="006046D2" w:rsidRPr="00B76053" w:rsidRDefault="00B04762">
      <w:pPr>
        <w:pStyle w:val="Heading2"/>
        <w:rPr>
          <w:rFonts w:cs="Times New Roman"/>
        </w:rPr>
      </w:pPr>
      <w:bookmarkStart w:id="95" w:name="_Toc229599104"/>
      <w:r w:rsidRPr="00B76053">
        <w:rPr>
          <w:rFonts w:cs="Times New Roman"/>
        </w:rPr>
        <w:t>8.1 Introduction</w:t>
      </w:r>
      <w:bookmarkEnd w:id="95"/>
    </w:p>
    <w:p w14:paraId="1B0F079F" w14:textId="77777777" w:rsidR="006046D2" w:rsidRPr="00B76053" w:rsidRDefault="00B04762">
      <w:pPr>
        <w:rPr>
          <w:rFonts w:cs="Times New Roman"/>
        </w:rPr>
      </w:pPr>
      <w:r w:rsidRPr="00B76053">
        <w:rPr>
          <w:rFonts w:cs="Times New Roman"/>
        </w:rPr>
        <w:t>Chapter 3 stated the principal methodological limitations as a consolidated table (§3.9, Table 3.3); this chapter examines them in greater depth. Each limitation is described in terms of (a) the specific class of inferences it bounds, (b) the mitigation adopted in this thesis, and (c) the residual interpretive risk that survives after mitigation. The limitations are presented in the same order as Table 3.3 and connect to the alternative explanations examined in §7.5.</w:t>
      </w:r>
    </w:p>
    <w:p w14:paraId="2AA4202D" w14:textId="77777777" w:rsidR="006046D2" w:rsidRPr="00B76053" w:rsidRDefault="00B04762">
      <w:pPr>
        <w:pStyle w:val="Heading2"/>
        <w:rPr>
          <w:rFonts w:cs="Times New Roman"/>
        </w:rPr>
      </w:pPr>
      <w:bookmarkStart w:id="96" w:name="_Toc229599105"/>
      <w:r w:rsidRPr="00B76053">
        <w:rPr>
          <w:rFonts w:cs="Times New Roman"/>
        </w:rPr>
        <w:t>8.2 No Causal Identification</w:t>
      </w:r>
      <w:bookmarkEnd w:id="96"/>
    </w:p>
    <w:p w14:paraId="757327C6" w14:textId="77777777" w:rsidR="006046D2" w:rsidRPr="00B76053" w:rsidRDefault="00B04762">
      <w:pPr>
        <w:rPr>
          <w:rFonts w:cs="Times New Roman"/>
        </w:rPr>
      </w:pPr>
      <w:r w:rsidRPr="00B76053">
        <w:rPr>
          <w:rFonts w:cs="Times New Roman"/>
        </w:rPr>
        <w:t xml:space="preserve">The most consequential limitation is the absence of a causal identification strategy. The thesis is observational and single-firm; no randomised assignment, no instrumental variable, and no clean quasi-experimental discontinuity is available in the case data. Consequently, no claim in the thesis is licensed to state that Betsy caused Better’s expense-ratio improvement, revenue-per-employee recovery, or net-loss compression. The mitigation adopted is consistent: the thesis uses </w:t>
      </w:r>
      <w:r w:rsidRPr="00B76053">
        <w:rPr>
          <w:rFonts w:cs="Times New Roman"/>
        </w:rPr>
        <w:lastRenderedPageBreak/>
        <w:t>“consistent with,” “associated with,” “suggests,” and “provides directional evidence” throughout, and the discussion in §7.5 explicitly treats macroeconomic recovery, restructuring, mix shift, and peer effects as alternative explanations. The residual risk is that examiners or readers may import a causal interpretation that the thesis does not state; the design-pattern framing in Chapter 6 is intended in part to preclude this misreading by treating the four prerequisites as joint conditions for an observable outcome rather than as causes of it.</w:t>
      </w:r>
    </w:p>
    <w:p w14:paraId="5DC9D76E" w14:textId="77777777" w:rsidR="006046D2" w:rsidRPr="00B76053" w:rsidRDefault="00B04762">
      <w:pPr>
        <w:pStyle w:val="Heading2"/>
        <w:rPr>
          <w:rFonts w:cs="Times New Roman"/>
        </w:rPr>
      </w:pPr>
      <w:bookmarkStart w:id="97" w:name="_Toc229599106"/>
      <w:r w:rsidRPr="00B76053">
        <w:rPr>
          <w:rFonts w:cs="Times New Roman"/>
        </w:rPr>
        <w:t>8.3 Annual Financial Granularity</w:t>
      </w:r>
      <w:bookmarkEnd w:id="97"/>
    </w:p>
    <w:p w14:paraId="235A8495" w14:textId="77777777" w:rsidR="006046D2" w:rsidRPr="00B76053" w:rsidRDefault="00B04762">
      <w:pPr>
        <w:rPr>
          <w:rFonts w:cs="Times New Roman"/>
        </w:rPr>
      </w:pPr>
      <w:r w:rsidRPr="00B76053">
        <w:rPr>
          <w:rFonts w:cs="Times New Roman"/>
        </w:rPr>
        <w:t>The audited financial data in this thesis is annual (10-K) and quarterly (10-Q). Betsy launched on October 17, 2024; consequently, fiscal year 2024 contains both a pre-Betsy and a post-Betsy operating period, and 2024 figures must be interpreted as a transition year. The mitigation adopted is twofold. First, the thesis privileges 2025 figures (the first full post-Betsy fiscal year) and the 2023 baseline (the last full pre-Betsy fiscal year) for the operational-leverage interpretation (Chapter 5, §5.3). Second, the thesis does not run a within-2024 difference-in-means test on the financial data, because annual reporting cannot support such a test. The residual risk is that the magnitude of the transition signal is sensitive to the precise fiscal boundaries available in the SEC filings; this sensitivity is unrecoverable without quarterly disclosures with sufficient operational granularity.</w:t>
      </w:r>
    </w:p>
    <w:p w14:paraId="629D1800" w14:textId="77777777" w:rsidR="006046D2" w:rsidRPr="00B76053" w:rsidRDefault="00B04762">
      <w:pPr>
        <w:pStyle w:val="Heading2"/>
        <w:rPr>
          <w:rFonts w:cs="Times New Roman"/>
        </w:rPr>
      </w:pPr>
      <w:bookmarkStart w:id="98" w:name="_Toc229599107"/>
      <w:r w:rsidRPr="00B76053">
        <w:rPr>
          <w:rFonts w:cs="Times New Roman"/>
        </w:rPr>
        <w:t>8.4 Reliance on Public-Data and Single-Vendor Sources</w:t>
      </w:r>
      <w:bookmarkEnd w:id="98"/>
    </w:p>
    <w:p w14:paraId="3FAEA9F7" w14:textId="77777777" w:rsidR="006046D2" w:rsidRPr="00B76053" w:rsidRDefault="00B04762">
      <w:pPr>
        <w:rPr>
          <w:rFonts w:cs="Times New Roman"/>
        </w:rPr>
      </w:pPr>
      <w:r w:rsidRPr="00B76053">
        <w:rPr>
          <w:rFonts w:cs="Times New Roman"/>
        </w:rPr>
        <w:t xml:space="preserve">The thesis relies on Better’s SEC disclosures, the joint Better–ElevenLabs press release, the ElevenLabs vendor materials, and the Mortgage Bankers Association industry reports for its operating evidence. Two interpretive risks follow. First, vendor-reported metrics (call volumes, conversion-rate changes, agent-handled-call counts) are subject to commercial-marketing incentives. The mitigation adopted is to introduce every vendor metric with the flag “Vendor materials report …” and to triangulate against Better’s SEC disclosures wherever possible. Second, Better’s management-reported operating metrics (Net Promoter Score; “approximately 100,000 mortgage-related calls per month”; “approximately 1.89 million inbound and outbound calls in 2025”) are not externally audited. The mitigation is to introduce them with “Better has reported that …” and to keep them separate from the audited financial trajectory. The residual risk is that an examiner who skim-reads the discussion may conflate the audited and unaudited </w:t>
      </w:r>
      <w:r w:rsidRPr="00B76053">
        <w:rPr>
          <w:rFonts w:cs="Times New Roman"/>
        </w:rPr>
        <w:lastRenderedPageBreak/>
        <w:t>channels; the source-reliability hierarchy in §3.7 (Table 3.2) and the explicit wording requirements are intended to preclude this.</w:t>
      </w:r>
    </w:p>
    <w:p w14:paraId="2ABB4D23" w14:textId="77777777" w:rsidR="006046D2" w:rsidRPr="00B76053" w:rsidRDefault="00B04762">
      <w:pPr>
        <w:pStyle w:val="Heading2"/>
        <w:rPr>
          <w:rFonts w:cs="Times New Roman"/>
        </w:rPr>
      </w:pPr>
      <w:bookmarkStart w:id="99" w:name="_Toc229599108"/>
      <w:r w:rsidRPr="00B76053">
        <w:rPr>
          <w:rFonts w:cs="Times New Roman"/>
        </w:rPr>
        <w:t>8.5 Single-Case Generalisability</w:t>
      </w:r>
      <w:bookmarkEnd w:id="99"/>
    </w:p>
    <w:p w14:paraId="6E8AFA79" w14:textId="77777777" w:rsidR="006046D2" w:rsidRPr="00B76053" w:rsidRDefault="00B04762">
      <w:pPr>
        <w:rPr>
          <w:rFonts w:cs="Times New Roman"/>
        </w:rPr>
      </w:pPr>
      <w:r w:rsidRPr="00B76053">
        <w:rPr>
          <w:rFonts w:cs="Times New Roman"/>
        </w:rPr>
        <w:t>The case is a single, revelatory, and extreme case (Yin, 2018). Statistical generalisation to a population of mortgage lenders is not licensed; the design supports only analytic generalisation to configurations that satisfy the four prerequisites of §6.3. Better.com is also unusual on the digital-maturity dimension: the Tinman platform represents an atypically advanced operating-platform starting point for a U.S. mortgage lender, and the company’s willingness to disclose and brand its AI deployment publicly is itself unusual. These dimensions of unusualness mean that the case is informative about the upper envelope of voice-AI value capture in regulated financial workflows; it is less informative about the median deployment. Chapter 9 identifies multi-firm replication as a priority for future research.</w:t>
      </w:r>
    </w:p>
    <w:p w14:paraId="64B7EE17" w14:textId="77777777" w:rsidR="006046D2" w:rsidRPr="00B76053" w:rsidRDefault="00B04762">
      <w:pPr>
        <w:pStyle w:val="Heading2"/>
        <w:rPr>
          <w:rFonts w:cs="Times New Roman"/>
        </w:rPr>
      </w:pPr>
      <w:bookmarkStart w:id="100" w:name="_Toc229599109"/>
      <w:r w:rsidRPr="00B76053">
        <w:rPr>
          <w:rFonts w:cs="Times New Roman"/>
        </w:rPr>
        <w:t>8.6 Trustpilot Self-Selection and Pre/Post Imbalance</w:t>
      </w:r>
      <w:bookmarkEnd w:id="100"/>
    </w:p>
    <w:p w14:paraId="7F35C530" w14:textId="77777777" w:rsidR="006046D2" w:rsidRPr="00B76053" w:rsidRDefault="00B04762">
      <w:pPr>
        <w:rPr>
          <w:rFonts w:cs="Times New Roman"/>
        </w:rPr>
      </w:pPr>
      <w:r w:rsidRPr="00B76053">
        <w:rPr>
          <w:rFonts w:cs="Times New Roman"/>
        </w:rPr>
        <w:t>The Trustpilot corpus contains 1,915 cleaned reviews split into 1,746 pre-Betsy and 169 post-Betsy observations. The post-period sample is small in absolute terms and is self-selected: Trustpilot reviewers are typically more emotionally engaged than the average customer, and the platform over-samples the tails of the customer-experience distribution (Filieri, 2015; Luca, 2016). The post-period sample is also more concentrated on operational frustrations than the pre-period (Chapter 5, §5.4.5). Two mitigations are adopted. First, the discussion presents the Trustpilot evidence with the seven-reason caveat list of §5.4 in every comparison with NPS. Second, magnitude claims based on the Trustpilot post-period are avoided; only directional claims are made, with the explicit reservation that the post-period sample is small. The residual risk is that the Trustpilot signal may be interpreted as more informative about underlying service quality than it actually is; §7.3 argues that the divergence between NPS and Trustpilot is itself the most informative single finding.</w:t>
      </w:r>
    </w:p>
    <w:p w14:paraId="4CDAC4AA" w14:textId="77777777" w:rsidR="006046D2" w:rsidRPr="00B76053" w:rsidRDefault="00B04762">
      <w:pPr>
        <w:pStyle w:val="Heading2"/>
        <w:rPr>
          <w:rFonts w:cs="Times New Roman"/>
        </w:rPr>
      </w:pPr>
      <w:bookmarkStart w:id="101" w:name="_Toc229599110"/>
      <w:r w:rsidRPr="00B76053">
        <w:rPr>
          <w:rFonts w:cs="Times New Roman"/>
        </w:rPr>
        <w:lastRenderedPageBreak/>
        <w:t>8.7 Topic-Modelling Sensitivity</w:t>
      </w:r>
      <w:bookmarkEnd w:id="101"/>
    </w:p>
    <w:p w14:paraId="7FB77BE8" w14:textId="77777777" w:rsidR="006046D2" w:rsidRPr="00B76053" w:rsidRDefault="00B04762">
      <w:pPr>
        <w:rPr>
          <w:rFonts w:cs="Times New Roman"/>
        </w:rPr>
      </w:pPr>
      <w:r w:rsidRPr="00B76053">
        <w:rPr>
          <w:rFonts w:cs="Times New Roman"/>
        </w:rPr>
        <w:t>BERTopic results are sensitive to UMAP and HDBSCAN hyperparameters, to the embedding model, and to the random seed. Chapter 5 reports 44 topics with 1,198 reviews clustered (66.4 per cent) and 606 reviews classified as noise. Topic-share figures are descriptive and are not used as inferential evidence in the thesis. The keyword-prevalence analysis, by contrast, is conducted on a researcher-defined dictionary that is invariant to hyperparameter selection; only Cost/Rates discourse survives Bonferroni correction, and that finding is the only keyword-prevalence finding cited as inferentially supported in the thesis (Chapter 5, §5.4.3). The residual risk is that examiners may interpret the topic-share visualisations as supporting claims they were not designed to support; this section and §3.9 state explicitly that topic-share figures are descriptive only.</w:t>
      </w:r>
    </w:p>
    <w:p w14:paraId="3D195E6E" w14:textId="77777777" w:rsidR="006046D2" w:rsidRPr="00B76053" w:rsidRDefault="00B04762">
      <w:pPr>
        <w:pStyle w:val="Heading2"/>
        <w:rPr>
          <w:rFonts w:cs="Times New Roman"/>
        </w:rPr>
      </w:pPr>
      <w:bookmarkStart w:id="102" w:name="_Toc229599111"/>
      <w:r w:rsidRPr="00B76053">
        <w:rPr>
          <w:rFonts w:cs="Times New Roman"/>
        </w:rPr>
        <w:t>8.8 Rocket Comparability</w:t>
      </w:r>
      <w:bookmarkEnd w:id="102"/>
    </w:p>
    <w:p w14:paraId="11487236" w14:textId="77777777" w:rsidR="006046D2" w:rsidRPr="00B76053" w:rsidRDefault="00B04762">
      <w:pPr>
        <w:rPr>
          <w:rFonts w:cs="Times New Roman"/>
        </w:rPr>
      </w:pPr>
      <w:r w:rsidRPr="00B76053">
        <w:rPr>
          <w:rFonts w:cs="Times New Roman"/>
        </w:rPr>
        <w:t>Rocket Companies is the largest U.S. retail mortgage lender and is used in this thesis as a directional industry benchmark, not as a counterfactual (Rocket Companies, 2024, 2025). Rocket’s scale, vertical integration, capital structure, and product mix differ materially from Better’s, and audited-line items are not directly comparable without normalisation. The thesis therefore uses Rocket only for directional benchmarking of expense intensity and revenue-per-employee. The residual risk is that a stricter examiner may regard any cross-firm comparison as overreaching; §7.5 acknowledges this by treating the peer-effect-spillovers hypothesis as the most challenging alternative explanation.</w:t>
      </w:r>
    </w:p>
    <w:p w14:paraId="235249B3" w14:textId="77777777" w:rsidR="006046D2" w:rsidRPr="00B76053" w:rsidRDefault="00B04762">
      <w:pPr>
        <w:pStyle w:val="Heading2"/>
        <w:rPr>
          <w:rFonts w:cs="Times New Roman"/>
        </w:rPr>
      </w:pPr>
      <w:bookmarkStart w:id="103" w:name="_Toc229599112"/>
      <w:r w:rsidRPr="00B76053">
        <w:rPr>
          <w:rFonts w:cs="Times New Roman"/>
        </w:rPr>
        <w:t>8.9 Implications for Future Research</w:t>
      </w:r>
      <w:bookmarkEnd w:id="103"/>
    </w:p>
    <w:p w14:paraId="26E227D4" w14:textId="77777777" w:rsidR="006046D2" w:rsidRPr="00B76053" w:rsidRDefault="00B04762">
      <w:pPr>
        <w:rPr>
          <w:rFonts w:cs="Times New Roman"/>
        </w:rPr>
      </w:pPr>
      <w:r w:rsidRPr="00B76053">
        <w:rPr>
          <w:rFonts w:cs="Times New Roman"/>
        </w:rPr>
        <w:t xml:space="preserve">The limitations enumerated above suggest a coherent future-research agenda. Multi-firm replication on a panel of digital-first lenders would address single-case generalisability. Quarterly-disclosure data or proprietary loan-level data would relax the annual-granularity constraint. Quasi-experimental designs that exploit deployment-cohort variation across teams or geographies inside a single firm would reduce reliance on external counterfactuals. Independent customer-experience instruments — administered surveys with controlled samples, audited </w:t>
      </w:r>
      <w:r w:rsidRPr="00B76053">
        <w:rPr>
          <w:rFonts w:cs="Times New Roman"/>
        </w:rPr>
        <w:lastRenderedPageBreak/>
        <w:t>service-quality records, randomised voice-versus-text comparisons — would relax the Trustpilot self-selection constraint. Future research is articulated more fully in §9.5.</w:t>
      </w:r>
    </w:p>
    <w:p w14:paraId="4D1EB4A6" w14:textId="77777777" w:rsidR="006046D2" w:rsidRPr="00B76053" w:rsidRDefault="00B04762" w:rsidP="007B335A">
      <w:pPr>
        <w:pStyle w:val="Heading1"/>
        <w:rPr>
          <w:rFonts w:cs="Times New Roman"/>
        </w:rPr>
      </w:pPr>
      <w:bookmarkStart w:id="104" w:name="_Toc229599113"/>
      <w:r w:rsidRPr="00B76053">
        <w:rPr>
          <w:rFonts w:cs="Times New Roman"/>
        </w:rPr>
        <w:t>9. Conclusion</w:t>
      </w:r>
      <w:bookmarkEnd w:id="104"/>
    </w:p>
    <w:p w14:paraId="2E052CD5" w14:textId="77777777" w:rsidR="006046D2" w:rsidRPr="00B76053" w:rsidRDefault="00B04762">
      <w:pPr>
        <w:pStyle w:val="Heading2"/>
        <w:rPr>
          <w:rFonts w:cs="Times New Roman"/>
        </w:rPr>
      </w:pPr>
      <w:bookmarkStart w:id="105" w:name="_Toc229599114"/>
      <w:r w:rsidRPr="00B76053">
        <w:rPr>
          <w:rFonts w:cs="Times New Roman"/>
        </w:rPr>
        <w:t>9.1 Direct Answer to RQ1</w:t>
      </w:r>
      <w:bookmarkEnd w:id="105"/>
    </w:p>
    <w:p w14:paraId="1795A9C5" w14:textId="77777777" w:rsidR="006046D2" w:rsidRPr="00B76053" w:rsidRDefault="00B04762">
      <w:pPr>
        <w:rPr>
          <w:rFonts w:cs="Times New Roman"/>
        </w:rPr>
      </w:pPr>
      <w:r w:rsidRPr="00B76053">
        <w:rPr>
          <w:rFonts w:cs="Times New Roman"/>
        </w:rPr>
        <w:t>RQ1 asked how voice LLM agents have been integrated into Better.com’s mortgage origination processes and what this integration reveals about the technical and organisational prerequisites for deploying conversational AI in a regulated financial-services environment. The case supports a four-part answer, formalised as the design pattern presented in Chapter 6. First, the integration is anchored in a process-aware operating platform (Tinman) that exposes structured workflow, document, eligibility, and timeline state through permissioned interfaces (see §4.5). Second, the voice agent (Betsy) is scoped to the coordination layer of the workflow — lead engagement, scheduling, status updates, document collection, and post-decision communication — and is not scoped to underwriting, credit decisioning, or the disclosure of material loan terms. Third, the voice infrastructure (ElevenLabs Agents) supplies low-latency speech-to-text, response generation, and text-to-speech, with the operational latency target consistent with the human-computer interaction literature (Maslych et al., 2025). Fourth, the regulated boundary is operationalised through an auditable human–AI collaboration model in which licensed loan consultants handle regulated steps and agent–human transitions are timestamped and audit-logged. Read together, these four prerequisites are the technical and organisational conditions the case identifies for deploying conversational AI in regulated financial-services workflows.</w:t>
      </w:r>
    </w:p>
    <w:p w14:paraId="639E9B7E" w14:textId="77777777" w:rsidR="006046D2" w:rsidRPr="00B76053" w:rsidRDefault="00B04762">
      <w:pPr>
        <w:pStyle w:val="Heading2"/>
        <w:rPr>
          <w:rFonts w:cs="Times New Roman"/>
        </w:rPr>
      </w:pPr>
      <w:bookmarkStart w:id="106" w:name="_Toc229599115"/>
      <w:r w:rsidRPr="00B76053">
        <w:rPr>
          <w:rFonts w:cs="Times New Roman"/>
        </w:rPr>
        <w:t>9.2 Direct Answer to RQ2</w:t>
      </w:r>
      <w:bookmarkEnd w:id="106"/>
    </w:p>
    <w:p w14:paraId="56C02210" w14:textId="77777777" w:rsidR="006046D2" w:rsidRPr="00B76053" w:rsidRDefault="00B04762">
      <w:pPr>
        <w:rPr>
          <w:rFonts w:cs="Times New Roman"/>
        </w:rPr>
      </w:pPr>
      <w:r w:rsidRPr="00B76053">
        <w:rPr>
          <w:rFonts w:cs="Times New Roman"/>
        </w:rPr>
        <w:t xml:space="preserve">RQ2 asked what measurable business value can be associated with Better.com's voice-AI deployment across operational efficiency, productivity, customer experience, and financial performance, and what factors mediate the realisation of that value. The triangulated answer has three parts. First, the post-deployment trajectory is consistent with operational leverage: the expense ratio improved from 4.79 in 2023 to 2.01 in 2025, revenue growth in 2024–2025 substantially outpaced expense growth, and revenue per employee recovered from its 2024 </w:t>
      </w:r>
      <w:r w:rsidRPr="00B76053">
        <w:rPr>
          <w:rFonts w:cs="Times New Roman"/>
        </w:rPr>
        <w:lastRenderedPageBreak/>
        <w:t>trough toward the pre-period level (see §5.3 for the full numeric detail and §5.6 for the macro-environment caveats). Second, the customer-experience signal is divergent across instruments: management-reported NPS improved over the same window, while the independent Trustpilot corpus shows a post-deployment decline in mean star rating and VADER sentiment, alongside a contraction in Cost/Rates discourse as the only keyword-prevalence shift surviving multiple-comparison correction (see §5.4 for the full statistical treatment, including Welch tests, effect sizes, and the BERTopic and keyword-prevalence diagnostics). Third, the value-realisation factors are the four prerequisites of the design pattern: the process-aware platform, the coordination-layer agent scope, the low-latency voice infrastructure, and the auditable human-escalation boundary. The financial trajectory is consistent with AI-enabled operational leverage but cannot be attributed to Betsy in isolation; the contributions of macroeconomic recovery, restructuring, and Tinman-platform maturity are not separable from the voice-AI contribution in the case data.</w:t>
      </w:r>
    </w:p>
    <w:p w14:paraId="23E7B23B" w14:textId="77777777" w:rsidR="006046D2" w:rsidRPr="00B76053" w:rsidRDefault="00B04762">
      <w:pPr>
        <w:pStyle w:val="Heading2"/>
        <w:rPr>
          <w:rFonts w:cs="Times New Roman"/>
        </w:rPr>
      </w:pPr>
      <w:bookmarkStart w:id="107" w:name="_Toc229599116"/>
      <w:r w:rsidRPr="00B76053">
        <w:rPr>
          <w:rFonts w:cs="Times New Roman"/>
        </w:rPr>
        <w:t>9.3 Contributions</w:t>
      </w:r>
      <w:bookmarkEnd w:id="107"/>
    </w:p>
    <w:p w14:paraId="0AAD42ED" w14:textId="77777777" w:rsidR="006046D2" w:rsidRPr="00B76053" w:rsidRDefault="00B04762">
      <w:pPr>
        <w:pStyle w:val="Heading3"/>
        <w:rPr>
          <w:rFonts w:cs="Times New Roman"/>
        </w:rPr>
      </w:pPr>
      <w:bookmarkStart w:id="108" w:name="_Toc229599117"/>
      <w:r w:rsidRPr="00B76053">
        <w:rPr>
          <w:rFonts w:cs="Times New Roman"/>
        </w:rPr>
        <w:t>9.3.1 Empirical Contribution</w:t>
      </w:r>
      <w:bookmarkEnd w:id="108"/>
    </w:p>
    <w:p w14:paraId="33ED2822" w14:textId="77777777" w:rsidR="006046D2" w:rsidRPr="00B76053" w:rsidRDefault="00B04762">
      <w:pPr>
        <w:rPr>
          <w:rFonts w:cs="Times New Roman"/>
        </w:rPr>
      </w:pPr>
      <w:r w:rsidRPr="00B76053">
        <w:rPr>
          <w:rFonts w:cs="Times New Roman"/>
        </w:rPr>
        <w:t>The thesis is, to the author’s knowledge, an early published case study to triangulate the audited SEC-filed financial trajectory, independent customer-discourse mining, and qualitative process tracing of integration architecture for a voice LLM agent in U.S. mortgage origination. The single-case design is deliberately revelatory rather than statistical, and the thesis records the trajectory and the discourse signal in a form that is reproducible from public sources.</w:t>
      </w:r>
    </w:p>
    <w:p w14:paraId="2C29765F" w14:textId="77777777" w:rsidR="006046D2" w:rsidRPr="00B76053" w:rsidRDefault="00B04762">
      <w:pPr>
        <w:pStyle w:val="Heading3"/>
        <w:rPr>
          <w:rFonts w:cs="Times New Roman"/>
        </w:rPr>
      </w:pPr>
      <w:bookmarkStart w:id="109" w:name="_Toc229599118"/>
      <w:r w:rsidRPr="00B76053">
        <w:rPr>
          <w:rFonts w:cs="Times New Roman"/>
        </w:rPr>
        <w:t>9.3.2 Methodological Contribution</w:t>
      </w:r>
      <w:bookmarkEnd w:id="109"/>
    </w:p>
    <w:p w14:paraId="4DAEE211" w14:textId="77777777" w:rsidR="006046D2" w:rsidRPr="00B76053" w:rsidRDefault="00B04762">
      <w:pPr>
        <w:rPr>
          <w:rFonts w:cs="Times New Roman"/>
        </w:rPr>
      </w:pPr>
      <w:r w:rsidRPr="00B76053">
        <w:rPr>
          <w:rFonts w:cs="Times New Roman"/>
        </w:rPr>
        <w:t>The thesis contributes a mixed-methods triangulation protocol in which audited financial data, management-reported KPIs, vendor materials, and self-selected user-generated reviews are explicitly classified by source-reliability tier (§3.7) and in which each evidence stream is paired with a wording requirement that prevents inadvertent magnitude transfer between tiers. The design-pattern artefact in Chapter 6 is offered as a reusable analytical primitive for examining future voice-AI deployments in regulated workflows.</w:t>
      </w:r>
    </w:p>
    <w:p w14:paraId="492391EC" w14:textId="77777777" w:rsidR="006046D2" w:rsidRPr="00B76053" w:rsidRDefault="00B04762">
      <w:pPr>
        <w:pStyle w:val="Heading3"/>
        <w:rPr>
          <w:rFonts w:cs="Times New Roman"/>
        </w:rPr>
      </w:pPr>
      <w:bookmarkStart w:id="110" w:name="_Toc229599119"/>
      <w:r w:rsidRPr="00B76053">
        <w:rPr>
          <w:rFonts w:cs="Times New Roman"/>
        </w:rPr>
        <w:lastRenderedPageBreak/>
        <w:t>9.3.3 Practical Contribution</w:t>
      </w:r>
      <w:bookmarkEnd w:id="110"/>
    </w:p>
    <w:p w14:paraId="74A1EC37" w14:textId="77777777" w:rsidR="006046D2" w:rsidRPr="00B76053" w:rsidRDefault="00B04762">
      <w:pPr>
        <w:rPr>
          <w:rFonts w:cs="Times New Roman"/>
        </w:rPr>
      </w:pPr>
      <w:r w:rsidRPr="00B76053">
        <w:rPr>
          <w:rFonts w:cs="Times New Roman"/>
        </w:rPr>
        <w:t>For lender executives, the four-prerequisite design pattern functions as a diagnostic checklist: a deployment that lacks any one of the four prerequisites is unlikely to generate the operational leverage observed in the case. For voice-AI vendors, the thesis argues that integration-and-data-platform value typically dominates voice-infrastructure value in commercial outcomes. For regulators, the thesis argues that the supervisory primitive should be the audit-logged routing of regulated communication to a licensed and identifiable human, rather than the customer’s conscious awareness of the AI in the routine communication that precedes it.</w:t>
      </w:r>
    </w:p>
    <w:p w14:paraId="02EFDFE3" w14:textId="77777777" w:rsidR="006046D2" w:rsidRPr="00B76053" w:rsidRDefault="00B04762">
      <w:pPr>
        <w:pStyle w:val="Heading2"/>
        <w:rPr>
          <w:rFonts w:cs="Times New Roman"/>
        </w:rPr>
      </w:pPr>
      <w:bookmarkStart w:id="111" w:name="_Toc229599120"/>
      <w:r w:rsidRPr="00B76053">
        <w:rPr>
          <w:rFonts w:cs="Times New Roman"/>
        </w:rPr>
        <w:t>9.4 Limitations</w:t>
      </w:r>
      <w:bookmarkEnd w:id="111"/>
    </w:p>
    <w:p w14:paraId="476CBC24" w14:textId="77777777" w:rsidR="006046D2" w:rsidRPr="00B76053" w:rsidRDefault="00B04762">
      <w:pPr>
        <w:rPr>
          <w:rFonts w:cs="Times New Roman"/>
        </w:rPr>
      </w:pPr>
      <w:r w:rsidRPr="00B76053">
        <w:rPr>
          <w:rFonts w:cs="Times New Roman"/>
        </w:rPr>
        <w:t>Chapter 8 sets out the full limitations; the conclusion summarises only the four most consequential. The single-case explanatory design constrains statistical generalisability and precludes a causal claim about Betsy's independent contribution. The empirical window contains a substantial macroeconomic and product-mix recovery in U.S. mortgage origination, which is not separable from the voice-AI deployment in the case data. The Trustpilot corpus is self-selected and non-random, even though its post-deployment Cost/Rates decline survives multiple-comparison correction. Several integration-architecture descriptions rely on vendor- and management-reported materials whose source-reliability tier is flagged in §3.7 and Appendix F, and which should not be read as audited evidence.</w:t>
      </w:r>
    </w:p>
    <w:p w14:paraId="317A7F28" w14:textId="77777777" w:rsidR="006046D2" w:rsidRPr="00B76053" w:rsidRDefault="00B04762">
      <w:pPr>
        <w:pStyle w:val="Heading2"/>
        <w:rPr>
          <w:rFonts w:cs="Times New Roman"/>
        </w:rPr>
      </w:pPr>
      <w:bookmarkStart w:id="112" w:name="_Toc229599121"/>
      <w:r w:rsidRPr="00B76053">
        <w:rPr>
          <w:rFonts w:cs="Times New Roman"/>
        </w:rPr>
        <w:t>9.5 Future Research</w:t>
      </w:r>
      <w:bookmarkEnd w:id="112"/>
    </w:p>
    <w:p w14:paraId="436CF65A" w14:textId="77777777" w:rsidR="006046D2" w:rsidRPr="00B76053" w:rsidRDefault="00B04762">
      <w:pPr>
        <w:rPr>
          <w:rFonts w:cs="Times New Roman"/>
        </w:rPr>
      </w:pPr>
      <w:r w:rsidRPr="00B76053">
        <w:rPr>
          <w:rFonts w:cs="Times New Roman"/>
        </w:rPr>
        <w:t xml:space="preserve">Four directions for future research are the most natural extensions. First, multi-firm replication on a panel of digital-first lenders — ideally with quarterly disclosure data and consistent deployment-cohort information — would address the single-case generalisability constraint. Second, quasi-experimental designs that exploit cohort variation across teams or geographies inside a single firm would reduce reliance on external counterfactuals. Third, voice-AI-specific consumer-perception research is needed in regulated financial services: latency, voice naturalness, and AI-attribution salience interact with trust and willingness to escalate, and the existing literature is dominated by laboratory and call-centre studies (Becker et al., 2025; Nussbaum et al., 2025; Maslych et al., 2025). Fourth, regulatory-supervisory research on the audit-log primitive for routing regulated steps should examine whether audit-logged routing </w:t>
      </w:r>
      <w:r w:rsidRPr="00B76053">
        <w:rPr>
          <w:rFonts w:cs="Times New Roman"/>
        </w:rPr>
        <w:lastRenderedPageBreak/>
        <w:t>reduces UDAAP-class enforcement risk in practice and whether the supervisor-side cost of monitoring such logs is bounded.</w:t>
      </w:r>
    </w:p>
    <w:p w14:paraId="4633A5D9" w14:textId="77777777" w:rsidR="006046D2" w:rsidRPr="00B76053" w:rsidRDefault="00B04762">
      <w:pPr>
        <w:pStyle w:val="Heading2"/>
        <w:rPr>
          <w:rFonts w:cs="Times New Roman"/>
        </w:rPr>
      </w:pPr>
      <w:bookmarkStart w:id="113" w:name="_Toc229599122"/>
      <w:r w:rsidRPr="00B76053">
        <w:rPr>
          <w:rFonts w:cs="Times New Roman"/>
        </w:rPr>
        <w:t>9.6 Closing Statement</w:t>
      </w:r>
      <w:bookmarkEnd w:id="113"/>
    </w:p>
    <w:p w14:paraId="466E56CA" w14:textId="77777777" w:rsidR="006046D2" w:rsidRPr="00B76053" w:rsidRDefault="00B04762">
      <w:pPr>
        <w:rPr>
          <w:rFonts w:cs="Times New Roman"/>
        </w:rPr>
      </w:pPr>
      <w:r w:rsidRPr="00B76053">
        <w:rPr>
          <w:rFonts w:cs="Times New Roman"/>
        </w:rPr>
        <w:t>The Better.com case is informative because it is unusual: a publicly listed, branded voice-AI deployment in a regulated high-stakes financial workflow, with audited financial disclosures for both pre- and post-deployment fiscal years. The thesis has treated the case as a single, revelatory observation rather than as a representative one, and has argued that the value of the case lies in the configuration of conditions it documents — not in the magnitude of the outcome it generates. That configuration, formalised as the four-prerequisite design pattern of Chapter 6, is the central transferable contribution of this thesis.</w:t>
      </w:r>
    </w:p>
    <w:p w14:paraId="12045EE0" w14:textId="77777777" w:rsidR="006046D2" w:rsidRPr="00B76053" w:rsidRDefault="00B04762">
      <w:pPr>
        <w:pStyle w:val="Heading1"/>
        <w:pageBreakBefore/>
        <w:spacing w:before="360" w:after="120"/>
        <w:rPr>
          <w:rFonts w:cs="Times New Roman"/>
        </w:rPr>
      </w:pPr>
      <w:bookmarkStart w:id="114" w:name="_Toc229599123"/>
      <w:r w:rsidRPr="00B76053">
        <w:rPr>
          <w:rFonts w:cs="Times New Roman"/>
          <w:sz w:val="30"/>
        </w:rPr>
        <w:lastRenderedPageBreak/>
        <w:t>References</w:t>
      </w:r>
      <w:bookmarkEnd w:id="114"/>
    </w:p>
    <w:p w14:paraId="4CB86289" w14:textId="77777777" w:rsidR="006046D2" w:rsidRPr="00B76053" w:rsidRDefault="00B04762">
      <w:pPr>
        <w:spacing w:after="120"/>
        <w:rPr>
          <w:rFonts w:cs="Times New Roman"/>
        </w:rPr>
      </w:pPr>
      <w:r w:rsidRPr="00B76053">
        <w:rPr>
          <w:rFonts w:cs="Times New Roman"/>
        </w:rPr>
        <w:t>Abdulquadri, A., Mogaji, E., Kieu, T. A., &amp; Nguyen, N. P. (2021). Digital transformation in financial services provision: A Nigerian perspective to the adoption of chatbot. Journal of Enterprising Communities: People and Places in the Global Economy, 15(2), 258–281. https://doi.org/10.1108/JEC-06-2020-0126</w:t>
      </w:r>
    </w:p>
    <w:p w14:paraId="58A8ED39" w14:textId="77777777" w:rsidR="006046D2" w:rsidRPr="00B76053" w:rsidRDefault="00B04762">
      <w:pPr>
        <w:spacing w:after="120"/>
        <w:rPr>
          <w:rFonts w:cs="Times New Roman"/>
        </w:rPr>
      </w:pPr>
      <w:r w:rsidRPr="00B76053">
        <w:rPr>
          <w:rFonts w:cs="Times New Roman"/>
        </w:rPr>
        <w:t>Acemoglu, D., &amp; Restrepo, P. (2019). Automation and new tasks: How technology displaces and reinstates labor. Journal of Economic Perspectives, 33(2), 3–30. https://doi.org/10.1257/jep.33.2.3</w:t>
      </w:r>
    </w:p>
    <w:p w14:paraId="63A17A2C" w14:textId="77777777" w:rsidR="006046D2" w:rsidRPr="00B76053" w:rsidRDefault="00B04762">
      <w:pPr>
        <w:spacing w:after="120"/>
        <w:rPr>
          <w:rFonts w:cs="Times New Roman"/>
        </w:rPr>
      </w:pPr>
      <w:r w:rsidRPr="00B76053">
        <w:rPr>
          <w:rFonts w:cs="Times New Roman"/>
        </w:rPr>
        <w:t>Adam, M., Wessel, M., &amp; Benlian, A. (2021). AI-based chatbots in customer service and their effects on user compliance. Electronic Markets, 31(2), 427–445. https://doi.org/10.1007/s12525-020-00414-7</w:t>
      </w:r>
    </w:p>
    <w:p w14:paraId="44D8DB5A" w14:textId="77777777" w:rsidR="006046D2" w:rsidRPr="00B76053" w:rsidRDefault="00B04762">
      <w:pPr>
        <w:spacing w:after="120"/>
        <w:rPr>
          <w:rFonts w:cs="Times New Roman"/>
        </w:rPr>
      </w:pPr>
      <w:r w:rsidRPr="00B76053">
        <w:rPr>
          <w:rFonts w:cs="Times New Roman"/>
        </w:rPr>
        <w:t xml:space="preserve">Aggarwal, A., Kumar, V., &amp; Srivastava, R. K. (2025). Value creation and value appropriation using voice AI technology. European Journal of Marketing, 59(9), 2199–2243. </w:t>
      </w:r>
      <w:r w:rsidR="00D86515" w:rsidRPr="00B76053">
        <w:rPr>
          <w:rFonts w:cs="Times New Roman"/>
        </w:rPr>
        <w:t>https://doi.org/10.1108/EJM-06-2024-0463</w:t>
      </w:r>
    </w:p>
    <w:p w14:paraId="4E63DEB7" w14:textId="77777777" w:rsidR="006046D2" w:rsidRPr="00B76053" w:rsidRDefault="00B04762">
      <w:pPr>
        <w:spacing w:after="120"/>
        <w:rPr>
          <w:rFonts w:cs="Times New Roman"/>
        </w:rPr>
      </w:pPr>
      <w:r w:rsidRPr="00B76053">
        <w:rPr>
          <w:rFonts w:cs="Times New Roman"/>
        </w:rPr>
        <w:t>Andrade, I. M. D., &amp; Tumelero, C. (2022). Increasing customer service efficiency through artificial intelligence chatbot. Revista de Gestão, 29(3), 238–251. https://doi.org/10.1108/REGE-07-2021-0120</w:t>
      </w:r>
    </w:p>
    <w:p w14:paraId="6863F635" w14:textId="77777777" w:rsidR="006046D2" w:rsidRPr="00B76053" w:rsidRDefault="00B04762">
      <w:pPr>
        <w:spacing w:after="120"/>
        <w:rPr>
          <w:rFonts w:cs="Times New Roman"/>
        </w:rPr>
      </w:pPr>
      <w:r w:rsidRPr="00B76053">
        <w:rPr>
          <w:rFonts w:cs="Times New Roman"/>
        </w:rPr>
        <w:t>Becker, D., Braach, L., Clasmeier, L., Kaufmann, T., Ong, O., Ahrens, K., Gäde, C., Strahl, E., Fu, D., &amp; Wermter, S. (2025). Influence of robots' voice naturalness on trust and compliance. ACM Transactions on Human-Robot Interaction, 14(2), 1–25. https://doi.org/10.1145/3706066</w:t>
      </w:r>
    </w:p>
    <w:p w14:paraId="5DE94663" w14:textId="77777777" w:rsidR="006046D2" w:rsidRPr="00B76053" w:rsidRDefault="00B04762">
      <w:pPr>
        <w:spacing w:after="120"/>
        <w:rPr>
          <w:rFonts w:cs="Times New Roman"/>
        </w:rPr>
      </w:pPr>
      <w:r w:rsidRPr="00B76053">
        <w:rPr>
          <w:rFonts w:cs="Times New Roman"/>
        </w:rPr>
        <w:t>Better.com. (n.d.). Our company. Better Mortgage. Retrieved 26 April 2026, from https://better.com/content/our-company</w:t>
      </w:r>
    </w:p>
    <w:p w14:paraId="593E3CD3" w14:textId="77777777" w:rsidR="006046D2" w:rsidRPr="00B76053" w:rsidRDefault="00B04762">
      <w:pPr>
        <w:spacing w:after="120"/>
        <w:rPr>
          <w:rFonts w:cs="Times New Roman"/>
        </w:rPr>
      </w:pPr>
      <w:r w:rsidRPr="00B76053">
        <w:rPr>
          <w:rFonts w:cs="Times New Roman"/>
        </w:rPr>
        <w:t>Better HoldCo, Inc. (2021, November 30). Digital homeownership platform Better announces up to $1.5 billion in bridge financing and convertible notes with Aurora Acquisition Corp., Novator Capital, Aurora Sponsor and SoftBank [Press release]. Business Wire. https://www.businesswire.com/news/home/20211130005449/en/</w:t>
      </w:r>
    </w:p>
    <w:p w14:paraId="43B043F8" w14:textId="77777777" w:rsidR="006046D2" w:rsidRPr="00B76053" w:rsidRDefault="00B04762">
      <w:pPr>
        <w:spacing w:after="120"/>
        <w:rPr>
          <w:rFonts w:cs="Times New Roman"/>
        </w:rPr>
      </w:pPr>
      <w:r w:rsidRPr="00B76053">
        <w:rPr>
          <w:rFonts w:cs="Times New Roman"/>
        </w:rPr>
        <w:t xml:space="preserve">Better HoldCo, Inc. (2023, December 20). Registration statement on Form S-1/A. U.S. Securities and Exchange Commission. </w:t>
      </w:r>
      <w:r w:rsidRPr="00B76053">
        <w:rPr>
          <w:rFonts w:cs="Times New Roman"/>
        </w:rPr>
        <w:lastRenderedPageBreak/>
        <w:t>https://www.sec.gov/Archives/edgar/data/1835856/000162828023042192/0001628280-23-042192-index.htm</w:t>
      </w:r>
    </w:p>
    <w:p w14:paraId="5C2C4859" w14:textId="77777777" w:rsidR="006046D2" w:rsidRPr="00B76053" w:rsidRDefault="00B04762">
      <w:pPr>
        <w:spacing w:after="120"/>
        <w:rPr>
          <w:rFonts w:cs="Times New Roman"/>
        </w:rPr>
      </w:pPr>
      <w:r w:rsidRPr="00B76053">
        <w:rPr>
          <w:rFonts w:cs="Times New Roman"/>
        </w:rPr>
        <w:t>Better Home &amp; Finance Holding Company. (n.d.). Investor relations: Corporate overview. Retrieved 26 April 2026, from https://investors.better.com/overview/default.aspx</w:t>
      </w:r>
    </w:p>
    <w:p w14:paraId="29E07492" w14:textId="77777777" w:rsidR="006046D2" w:rsidRPr="00B76053" w:rsidRDefault="00B04762">
      <w:pPr>
        <w:spacing w:after="120"/>
        <w:rPr>
          <w:rFonts w:cs="Times New Roman"/>
        </w:rPr>
      </w:pPr>
      <w:r w:rsidRPr="00B76053">
        <w:rPr>
          <w:rFonts w:cs="Times New Roman"/>
        </w:rPr>
        <w:t>Better Home &amp; Finance Holding Company. (2024a, October 17). Better.com launches Betsy™, the first voice-based AI loan assistant for the U.S. mortgage industry [Press release]. Business Wire. https://www.businesswire.com/news/home/20241017222780/en/Better.com-launches-Betsy-the-First-Voice-Based-AI-Loan-Assistant-for-the-US-Mortgage-Industry</w:t>
      </w:r>
    </w:p>
    <w:p w14:paraId="22E4D0A5" w14:textId="77777777" w:rsidR="006046D2" w:rsidRPr="00B76053" w:rsidRDefault="00B04762">
      <w:pPr>
        <w:spacing w:after="120"/>
        <w:rPr>
          <w:rFonts w:cs="Times New Roman"/>
        </w:rPr>
      </w:pPr>
      <w:r w:rsidRPr="00B76053">
        <w:rPr>
          <w:rFonts w:cs="Times New Roman"/>
        </w:rPr>
        <w:t>Better Home &amp; Finance Holding Company. (2024b, November 12). Better Home &amp; Finance Holding Company announces third quarter 2024 results [Exhibit 99.1 to Form 8-K]. U.S. Securities and Exchange Commission. https://www.sec.gov/Archives/edgar/data/1835856/000162828024047437/betterq32024earningsreleas.htm</w:t>
      </w:r>
    </w:p>
    <w:p w14:paraId="3F2507FB" w14:textId="77777777" w:rsidR="006046D2" w:rsidRPr="00B76053" w:rsidRDefault="00B04762">
      <w:pPr>
        <w:spacing w:after="120"/>
        <w:rPr>
          <w:rFonts w:cs="Times New Roman"/>
        </w:rPr>
      </w:pPr>
      <w:r w:rsidRPr="00B76053">
        <w:rPr>
          <w:rFonts w:cs="Times New Roman"/>
        </w:rPr>
        <w:t>Better Home &amp; Finance Holding Company. (2025a, March 18). Better Home &amp; Finance Holding Company announces 2024 fourth quarter and full year results [Press release]. Better Investor Relations. https://investors.better.com/news/news-details/2025/Better-Home--Finance-Holding-Company-Announces-2024-Fourth-Quarter-and-Full-Year-Results/default.aspx</w:t>
      </w:r>
    </w:p>
    <w:p w14:paraId="0AB01150" w14:textId="77777777" w:rsidR="006046D2" w:rsidRPr="00B76053" w:rsidRDefault="00B04762">
      <w:pPr>
        <w:spacing w:after="120"/>
        <w:rPr>
          <w:rFonts w:cs="Times New Roman"/>
        </w:rPr>
      </w:pPr>
      <w:r w:rsidRPr="00B76053">
        <w:rPr>
          <w:rFonts w:cs="Times New Roman"/>
        </w:rPr>
        <w:t>Better Home &amp; Finance Holding Company. (2025b, May 13). Better Home &amp; Finance Holding Company announces first quarter 2025 results [Exhibit 99.1 to Form 8-K]. U.S. Securities and Exchange Commission. https://www.sec.gov/Archives/edgar/data/1835856/000162828025024900/betrearningsrelease_2025-q.htm</w:t>
      </w:r>
    </w:p>
    <w:p w14:paraId="1F94D779" w14:textId="77777777" w:rsidR="006046D2" w:rsidRPr="00B76053" w:rsidRDefault="00B04762">
      <w:pPr>
        <w:spacing w:after="120"/>
        <w:rPr>
          <w:rFonts w:cs="Times New Roman"/>
        </w:rPr>
      </w:pPr>
      <w:r w:rsidRPr="00B76053">
        <w:rPr>
          <w:rFonts w:cs="Times New Roman"/>
        </w:rPr>
        <w:t>Better Home &amp; Finance Holding Company. (2025c, August 7). Better Home &amp; Finance Holding Company announces second quarter 2025 results [Exhibit 99.1 to Form 8-K]. U.S. Securities and Exchange Commission. https://www.sec.gov/Archives/edgar/data/1835856/000162828025038583/betrearningsrelease_2025-q2.htm</w:t>
      </w:r>
    </w:p>
    <w:p w14:paraId="2C1AF348" w14:textId="77777777" w:rsidR="006046D2" w:rsidRPr="00B76053" w:rsidRDefault="00B04762">
      <w:pPr>
        <w:spacing w:after="120"/>
        <w:rPr>
          <w:rFonts w:cs="Times New Roman"/>
        </w:rPr>
      </w:pPr>
      <w:r w:rsidRPr="00B76053">
        <w:rPr>
          <w:rFonts w:cs="Times New Roman"/>
        </w:rPr>
        <w:lastRenderedPageBreak/>
        <w:t>Better Home &amp; Finance Holding Company. (2026). Form 10-K: Annual report for the fiscal year ended December 31, 2025. U.S. Securities and Exchange Commission. https://www.sec.gov/Archives/edgar/data/1835856/000162828026017747/aurcu-20251231.htm</w:t>
      </w:r>
    </w:p>
    <w:p w14:paraId="20F3DF15" w14:textId="77777777" w:rsidR="006046D2" w:rsidRPr="00B76053" w:rsidRDefault="00B04762">
      <w:pPr>
        <w:spacing w:after="120"/>
        <w:rPr>
          <w:rFonts w:cs="Times New Roman"/>
        </w:rPr>
      </w:pPr>
      <w:r w:rsidRPr="00B76053">
        <w:rPr>
          <w:rFonts w:cs="Times New Roman"/>
        </w:rPr>
        <w:t>Better Home &amp; Finance Holding Company, &amp; ElevenLabs. (2026, February 25). ElevenLabs and Better.com showcase success of AI loan agent, Betsy™, at scale in financial services [Press release]. Better Investor Relations. https://investors.better.com/news/news-details/2026/ElevenLabs-and-Better-com-Showcase-Success-of-AI-Loan-Agent-Betsy-at-Scale-in-Financial-Services/</w:t>
      </w:r>
    </w:p>
    <w:p w14:paraId="46C1FEDF" w14:textId="77777777" w:rsidR="006046D2" w:rsidRPr="00B76053" w:rsidRDefault="00B04762">
      <w:pPr>
        <w:spacing w:after="120"/>
        <w:rPr>
          <w:rFonts w:cs="Times New Roman"/>
        </w:rPr>
      </w:pPr>
      <w:r w:rsidRPr="00B76053">
        <w:rPr>
          <w:rFonts w:cs="Times New Roman"/>
        </w:rPr>
        <w:t>Blümel, J. H., Zaki, M., &amp; Bohné, T. (2024). Personal touch in digital customer service: A conceptual framework of relational personalization for conversational AI. Journal of Service Theory and Practice, 34(1), 33–65. https://doi.org/10.1108/JSTP-03-2023-0098</w:t>
      </w:r>
    </w:p>
    <w:p w14:paraId="1B5B8D7A" w14:textId="77777777" w:rsidR="006046D2" w:rsidRPr="00B76053" w:rsidRDefault="00B04762">
      <w:pPr>
        <w:spacing w:after="120"/>
        <w:rPr>
          <w:rFonts w:cs="Times New Roman"/>
        </w:rPr>
      </w:pPr>
      <w:r w:rsidRPr="00B76053">
        <w:rPr>
          <w:rFonts w:cs="Times New Roman"/>
        </w:rPr>
        <w:t>Brynjolfsson, E., Li, D., &amp; Raymond, L. R. (2023). Generative AI at work (NBER Working Paper No. 31161). National Bureau of Economic Research. https://doi.org/10.3386/w31161</w:t>
      </w:r>
    </w:p>
    <w:p w14:paraId="224F3A58" w14:textId="77777777" w:rsidR="006046D2" w:rsidRPr="00B76053" w:rsidRDefault="00B04762">
      <w:pPr>
        <w:spacing w:after="120"/>
        <w:rPr>
          <w:rFonts w:cs="Times New Roman"/>
        </w:rPr>
      </w:pPr>
      <w:r w:rsidRPr="00B76053">
        <w:rPr>
          <w:rFonts w:cs="Times New Roman"/>
        </w:rPr>
        <w:t>Consumer Financial Protection Bureau. (2024, May 28). What documents should I receive before closing on a mortgage loan? https://www.consumerfinance.gov/ask-cfpb/what-documents-should-i-receive-before-closing-on-a-mortgage-loan-en-1941/</w:t>
      </w:r>
    </w:p>
    <w:p w14:paraId="547DFE36" w14:textId="77777777" w:rsidR="006046D2" w:rsidRPr="00B76053" w:rsidRDefault="00B04762">
      <w:pPr>
        <w:spacing w:after="120"/>
        <w:rPr>
          <w:rFonts w:cs="Times New Roman"/>
        </w:rPr>
      </w:pPr>
      <w:r w:rsidRPr="00B76053">
        <w:rPr>
          <w:rFonts w:cs="Times New Roman"/>
        </w:rPr>
        <w:t xml:space="preserve">Consumer Financial Protection Bureau. (2025, November 3). Closing on your new home. </w:t>
      </w:r>
      <w:r w:rsidR="00382598" w:rsidRPr="00B76053">
        <w:rPr>
          <w:rFonts w:cs="Times New Roman"/>
        </w:rPr>
        <w:t>https://www.consumerfinance.gov/owning-a-home/close/</w:t>
      </w:r>
    </w:p>
    <w:p w14:paraId="008E38F5" w14:textId="77777777" w:rsidR="006046D2" w:rsidRPr="00B76053" w:rsidRDefault="00B04762">
      <w:pPr>
        <w:rPr>
          <w:rFonts w:cs="Times New Roman"/>
        </w:rPr>
      </w:pPr>
      <w:r w:rsidRPr="00B76053">
        <w:rPr>
          <w:rFonts w:cs="Times New Roman"/>
        </w:rPr>
        <w:t>Dietvorst, B. J., Simmons, J. P., &amp; Massey, C. (2015). Algorithm aversion: People erroneously avoid algorithms after seeing them err. Journal of Experimental Psychology: General, 144(1), 114–126. https://doi.org/10.1037/xge0000033</w:t>
      </w:r>
    </w:p>
    <w:p w14:paraId="6B2BD296" w14:textId="77777777" w:rsidR="006046D2" w:rsidRPr="00B76053" w:rsidRDefault="00B04762">
      <w:pPr>
        <w:spacing w:after="120"/>
        <w:rPr>
          <w:rFonts w:cs="Times New Roman"/>
        </w:rPr>
      </w:pPr>
      <w:r w:rsidRPr="00B76053">
        <w:rPr>
          <w:rFonts w:cs="Times New Roman"/>
        </w:rPr>
        <w:t>ElevenLabs. (2026, February 9). Better leverages ElevenAgents to build Betsy and make AI-assisted loans accessible [Case study]. ElevenLabs Blog. https://elevenlabs.io/blog/better</w:t>
      </w:r>
    </w:p>
    <w:p w14:paraId="0B3ABE8E" w14:textId="77777777" w:rsidR="006046D2" w:rsidRPr="00B76053" w:rsidRDefault="00B04762">
      <w:pPr>
        <w:spacing w:after="120"/>
        <w:rPr>
          <w:rFonts w:cs="Times New Roman"/>
        </w:rPr>
      </w:pPr>
      <w:r w:rsidRPr="00B76053">
        <w:rPr>
          <w:rFonts w:cs="Times New Roman"/>
        </w:rPr>
        <w:t>Fannie Mae. (n.d.). Selling guide. Retrieved 26 April 2026, from https://singlefamily.fanniemae.com/external-resource/selling-guide</w:t>
      </w:r>
    </w:p>
    <w:p w14:paraId="67AD088D" w14:textId="77777777" w:rsidR="006046D2" w:rsidRPr="00B76053" w:rsidRDefault="00B04762">
      <w:pPr>
        <w:spacing w:after="120"/>
        <w:rPr>
          <w:rFonts w:cs="Times New Roman"/>
        </w:rPr>
      </w:pPr>
      <w:r w:rsidRPr="00B76053">
        <w:rPr>
          <w:rFonts w:cs="Times New Roman"/>
        </w:rPr>
        <w:t>Federal Reserve Bank of New York. (2023, May 15). The great pandemic mortgage refinance boom. Liberty Street Economics. https://libertystreeteconomics.newyorkfed.org/2023/05/the-great-pandemic-mortgage-refinance-boom/</w:t>
      </w:r>
    </w:p>
    <w:p w14:paraId="742E078D" w14:textId="77777777" w:rsidR="006046D2" w:rsidRPr="00B76053" w:rsidRDefault="00B04762">
      <w:pPr>
        <w:spacing w:after="120"/>
        <w:rPr>
          <w:rFonts w:cs="Times New Roman"/>
        </w:rPr>
      </w:pPr>
      <w:r w:rsidRPr="00B76053">
        <w:rPr>
          <w:rFonts w:cs="Times New Roman"/>
        </w:rPr>
        <w:lastRenderedPageBreak/>
        <w:t>Filieri, R. (2015). Why do travelers trust TripAdvisor? Antecedents of trust towards consumer-generated media and its influence on recommendation adoption and word of mouth. Tourism Management, 51, 174–185. https://doi.org/10.1016/j.tourman.2015.05.007</w:t>
      </w:r>
    </w:p>
    <w:p w14:paraId="24E48F81" w14:textId="77777777" w:rsidR="006046D2" w:rsidRPr="00B76053" w:rsidRDefault="00B04762">
      <w:pPr>
        <w:spacing w:after="120"/>
        <w:rPr>
          <w:rFonts w:cs="Times New Roman"/>
        </w:rPr>
      </w:pPr>
      <w:r w:rsidRPr="00B76053">
        <w:rPr>
          <w:rFonts w:cs="Times New Roman"/>
        </w:rPr>
        <w:t>Fotheringham, D., &amp; Wiles, M. A. (2023). The effect of implementing chatbot customer service on stock returns. Journal of the Academy of Marketing Science, 51, 802–822. https://doi.org/10.1007/s11747-022-00906-6</w:t>
      </w:r>
    </w:p>
    <w:p w14:paraId="6F621543" w14:textId="77777777" w:rsidR="006046D2" w:rsidRPr="00B76053" w:rsidRDefault="00B04762">
      <w:pPr>
        <w:spacing w:after="120"/>
        <w:rPr>
          <w:rFonts w:cs="Times New Roman"/>
        </w:rPr>
      </w:pPr>
      <w:r w:rsidRPr="00B76053">
        <w:rPr>
          <w:rFonts w:cs="Times New Roman"/>
        </w:rPr>
        <w:t xml:space="preserve">Freddie Mac. (2021, March 5). Refinance trends in 2020 [Research note]. </w:t>
      </w:r>
      <w:r w:rsidR="00674CBB" w:rsidRPr="00B76053">
        <w:rPr>
          <w:rFonts w:cs="Times New Roman"/>
        </w:rPr>
        <w:t>https://www.freddiemac.com/research/insight/20210305-refinance-trends</w:t>
      </w:r>
    </w:p>
    <w:p w14:paraId="20D69D88" w14:textId="77777777" w:rsidR="006046D2" w:rsidRPr="00B76053" w:rsidRDefault="00B04762">
      <w:pPr>
        <w:spacing w:after="120"/>
        <w:rPr>
          <w:rFonts w:cs="Times New Roman"/>
        </w:rPr>
      </w:pPr>
      <w:r w:rsidRPr="00B76053">
        <w:rPr>
          <w:rFonts w:cs="Times New Roman"/>
        </w:rPr>
        <w:t xml:space="preserve">Freddie Mac. (2024, May 13). 2024 cost to originate study. </w:t>
      </w:r>
      <w:r w:rsidR="00232311" w:rsidRPr="00B76053">
        <w:rPr>
          <w:rFonts w:cs="Times New Roman"/>
        </w:rPr>
        <w:t>https://sf.freddiemac.com/articles/insights/2024-cost-to-originate-study</w:t>
      </w:r>
    </w:p>
    <w:p w14:paraId="64663D5A" w14:textId="77777777" w:rsidR="006046D2" w:rsidRPr="00B76053" w:rsidRDefault="00B04762">
      <w:pPr>
        <w:spacing w:after="120"/>
        <w:rPr>
          <w:rFonts w:cs="Times New Roman"/>
        </w:rPr>
      </w:pPr>
      <w:r w:rsidRPr="00B76053">
        <w:rPr>
          <w:rFonts w:cs="Times New Roman"/>
        </w:rPr>
        <w:t>Goodhue, D. L., &amp; Thompson, R. L. (1995). Task-technology fit and individual performance. MIS Quarterly, 19(2), 213–236. https://doi.org/10.2307/249689</w:t>
      </w:r>
    </w:p>
    <w:p w14:paraId="414C8275" w14:textId="77777777" w:rsidR="006046D2" w:rsidRPr="00B76053" w:rsidRDefault="00B04762">
      <w:pPr>
        <w:spacing w:after="120"/>
        <w:rPr>
          <w:rFonts w:cs="Times New Roman"/>
        </w:rPr>
      </w:pPr>
      <w:r w:rsidRPr="00B76053">
        <w:rPr>
          <w:rFonts w:cs="Times New Roman"/>
        </w:rPr>
        <w:t>Grootendorst, M. (2022). BERTopic: Neural topic modeling with a class-based TF-IDF procedure. arXiv. https://doi.org/10.48550/arXiv.2203.05794</w:t>
      </w:r>
    </w:p>
    <w:p w14:paraId="2F359766" w14:textId="77777777" w:rsidR="006046D2" w:rsidRPr="00B76053" w:rsidRDefault="00B04762">
      <w:pPr>
        <w:spacing w:after="120"/>
        <w:rPr>
          <w:rFonts w:cs="Times New Roman"/>
        </w:rPr>
      </w:pPr>
      <w:r w:rsidRPr="00B76053">
        <w:rPr>
          <w:rFonts w:cs="Times New Roman"/>
        </w:rPr>
        <w:t>Hentzen, J. K., Hoffmann, A., Dolan, R., &amp; Pala, E. (2022). Artificial intelligence in customer-facing financial services: A systematic literature review and agenda for future research. International Journal of Bank Marketing, 40(6), 1299–1336. https://doi.org/10.1108/IJBM-09-2021-0417</w:t>
      </w:r>
    </w:p>
    <w:p w14:paraId="35FDF62D" w14:textId="77777777" w:rsidR="006046D2" w:rsidRPr="00B76053" w:rsidRDefault="00B04762">
      <w:pPr>
        <w:spacing w:after="120"/>
        <w:rPr>
          <w:rFonts w:cs="Times New Roman"/>
        </w:rPr>
      </w:pPr>
      <w:r w:rsidRPr="00B76053">
        <w:rPr>
          <w:rFonts w:cs="Times New Roman"/>
        </w:rPr>
        <w:t>Heskett, J. L., Jones, T. O., Loveman, G. W., Sasser, W. E., Jr., &amp; Schlesinger, L. A. (1994). Putting the service-profit chain to work. Harvard Business Review, 72(2), 164–170. https://hbr.org/1994/03/putting-the-service-profit-chain-to-work-2</w:t>
      </w:r>
    </w:p>
    <w:p w14:paraId="6AD9F92E" w14:textId="77777777" w:rsidR="006046D2" w:rsidRPr="00B76053" w:rsidRDefault="00B04762">
      <w:pPr>
        <w:spacing w:after="120"/>
        <w:rPr>
          <w:rFonts w:cs="Times New Roman"/>
        </w:rPr>
      </w:pPr>
      <w:r w:rsidRPr="00B76053">
        <w:rPr>
          <w:rFonts w:cs="Times New Roman"/>
        </w:rPr>
        <w:t>Hevner, A. R., March, S. T., Park, J., &amp; Ram, S. (2004). Design science in information systems research. MIS Quarterly, 28(1), 75–105. https://doi.org/10.2307/25148625</w:t>
      </w:r>
    </w:p>
    <w:p w14:paraId="47395BF0" w14:textId="77777777" w:rsidR="006046D2" w:rsidRPr="00B76053" w:rsidRDefault="00B04762">
      <w:pPr>
        <w:spacing w:after="120"/>
        <w:rPr>
          <w:rFonts w:cs="Times New Roman"/>
        </w:rPr>
      </w:pPr>
      <w:r w:rsidRPr="00B76053">
        <w:rPr>
          <w:rFonts w:cs="Times New Roman"/>
        </w:rPr>
        <w:t>Huang, M.-H., &amp; Rust, R. T. (2018). Artificial intelligence in service. Journal of Service Research, 21(2), 155–172. https://doi.org/10.1177/1094670517752459</w:t>
      </w:r>
    </w:p>
    <w:p w14:paraId="7E88D456" w14:textId="77777777" w:rsidR="006046D2" w:rsidRPr="00B76053" w:rsidRDefault="00B04762">
      <w:pPr>
        <w:spacing w:after="120"/>
        <w:rPr>
          <w:rFonts w:cs="Times New Roman"/>
        </w:rPr>
      </w:pPr>
      <w:r w:rsidRPr="00B76053">
        <w:rPr>
          <w:rFonts w:cs="Times New Roman"/>
        </w:rPr>
        <w:t>Hutto, C. J., &amp; Gilbert, E. (2014). VADER: A parsimonious rule-based model for sentiment analysis of social media text. Proceedings of the International AAAI Conference on Web and Social Media, 8(1), 216–225. https://doi.org/10.1609/icwsm.v8i1.14550</w:t>
      </w:r>
    </w:p>
    <w:p w14:paraId="6246D263" w14:textId="77777777" w:rsidR="006046D2" w:rsidRPr="00B76053" w:rsidRDefault="00B04762">
      <w:pPr>
        <w:spacing w:after="120"/>
        <w:rPr>
          <w:rFonts w:cs="Times New Roman"/>
        </w:rPr>
      </w:pPr>
      <w:r w:rsidRPr="00B76053">
        <w:rPr>
          <w:rFonts w:cs="Times New Roman"/>
        </w:rPr>
        <w:lastRenderedPageBreak/>
        <w:t>Jang, M., Jung, Y., &amp; Kim, S. (2021). Investigating managers' understanding of chatbots in the Korean financial industry. Computers in Human Behavior, 120, Article 106747. https://doi.org/10.1016/j.chb.2021.106747</w:t>
      </w:r>
    </w:p>
    <w:p w14:paraId="52021693" w14:textId="77777777" w:rsidR="006046D2" w:rsidRPr="00B76053" w:rsidRDefault="00B04762">
      <w:pPr>
        <w:spacing w:after="120"/>
        <w:rPr>
          <w:rFonts w:cs="Times New Roman"/>
        </w:rPr>
      </w:pPr>
      <w:r w:rsidRPr="00B76053">
        <w:rPr>
          <w:rFonts w:cs="Times New Roman"/>
        </w:rPr>
        <w:t>Liu, Z., Zhang, K., &amp; Zhang, H. (2024). A new era of financial services: How AI enhances investment efficiency. International Studies of Economics, 19, 578–588. https://doi.org/10.1002/ise3.91</w:t>
      </w:r>
    </w:p>
    <w:p w14:paraId="3528F3D9" w14:textId="77777777" w:rsidR="006046D2" w:rsidRPr="00B76053" w:rsidRDefault="00B04762">
      <w:pPr>
        <w:spacing w:after="120"/>
        <w:rPr>
          <w:rFonts w:cs="Times New Roman"/>
        </w:rPr>
      </w:pPr>
      <w:r w:rsidRPr="00B76053">
        <w:rPr>
          <w:rFonts w:cs="Times New Roman"/>
        </w:rPr>
        <w:t>Luca, M. (2016). Reviews, reputation, and revenue: The case of Yelp.com (Harvard Business School Working Paper No. 12-016). Harvard Business School. https://www.hbs.edu/faculty/Pages/item.aspx?num=41233</w:t>
      </w:r>
    </w:p>
    <w:p w14:paraId="7F1F9BA1" w14:textId="77777777" w:rsidR="006046D2" w:rsidRPr="00B76053" w:rsidRDefault="00B04762">
      <w:pPr>
        <w:spacing w:after="120"/>
        <w:rPr>
          <w:rFonts w:cs="Times New Roman"/>
        </w:rPr>
      </w:pPr>
      <w:r w:rsidRPr="00B76053">
        <w:rPr>
          <w:rFonts w:cs="Times New Roman"/>
        </w:rPr>
        <w:t>Maslych, M., Katebi, M., Lee, C., Hmaiti, Y., Ghasemaghaei, A., Pumarada, C., Palmer, J., Martinez, E. S., Emporio, M., Snipes, W., McMahan, R. P., &amp; LaViola, J. J. (2025). Mitigating response delays in free-form conversations with LLM-powered intelligent virtual agents. arXiv. https://arxiv.org/abs/2504.08507</w:t>
      </w:r>
    </w:p>
    <w:p w14:paraId="7AA25A7C" w14:textId="77777777" w:rsidR="006046D2" w:rsidRPr="00B76053" w:rsidRDefault="00B04762">
      <w:pPr>
        <w:spacing w:after="120"/>
        <w:rPr>
          <w:rFonts w:cs="Times New Roman"/>
        </w:rPr>
      </w:pPr>
      <w:r w:rsidRPr="00B76053">
        <w:rPr>
          <w:rFonts w:cs="Times New Roman"/>
        </w:rPr>
        <w:t>Mogaji, E., &amp; Nguyen, N. P. (2021). Managers' understanding of artificial intelligence in relation to marketing financial services: Insights from a cross-country study. International Journal of Bank Marketing, 39(6), 1544–1565.</w:t>
      </w:r>
      <w:r w:rsidR="00672CC2" w:rsidRPr="00B76053">
        <w:rPr>
          <w:rFonts w:cs="Times New Roman"/>
        </w:rPr>
        <w:t xml:space="preserve"> </w:t>
      </w:r>
      <w:r w:rsidR="00DB0233" w:rsidRPr="00B76053">
        <w:rPr>
          <w:rFonts w:cs="Times New Roman"/>
        </w:rPr>
        <w:t>https://www.emerald.com/ijbm/article/40/6/1272/109708/Managers-understanding-of-artificial-intelligence</w:t>
      </w:r>
    </w:p>
    <w:p w14:paraId="41762F92" w14:textId="77777777" w:rsidR="006046D2" w:rsidRPr="00B76053" w:rsidRDefault="00B04762">
      <w:pPr>
        <w:spacing w:after="120"/>
        <w:rPr>
          <w:rFonts w:cs="Times New Roman"/>
        </w:rPr>
      </w:pPr>
      <w:r w:rsidRPr="00B76053">
        <w:rPr>
          <w:rFonts w:cs="Times New Roman"/>
        </w:rPr>
        <w:t>Mortgage Bankers Association. (2024a). Quarterly mortgage bankers performance report: Full year 2024. MBA Publications. https://www.mba.org/news-and-research/research-and-economics/single-family-research/quarterly-mortgage-bankers-performance-report</w:t>
      </w:r>
    </w:p>
    <w:p w14:paraId="6E0BDCDC" w14:textId="77777777" w:rsidR="006046D2" w:rsidRPr="00B76053" w:rsidRDefault="00B04762">
      <w:pPr>
        <w:spacing w:after="120"/>
        <w:rPr>
          <w:rFonts w:cs="Times New Roman"/>
        </w:rPr>
      </w:pPr>
      <w:r w:rsidRPr="00B76053">
        <w:rPr>
          <w:rFonts w:cs="Times New Roman"/>
        </w:rPr>
        <w:t>Mortgage Bankers Association. (2024b, November 14). IMB production profits increase in third quarter of 2024 [Press release]. https://www.mba.org/news-and-research/newsroom/news/2024/11/14/imb-production-profits-increase-in-third-quarter-of-2024</w:t>
      </w:r>
    </w:p>
    <w:p w14:paraId="5824E88B" w14:textId="77777777" w:rsidR="006046D2" w:rsidRPr="00B76053" w:rsidRDefault="00B04762">
      <w:pPr>
        <w:spacing w:after="120"/>
        <w:rPr>
          <w:rFonts w:cs="Times New Roman"/>
        </w:rPr>
      </w:pPr>
      <w:r w:rsidRPr="00B76053">
        <w:rPr>
          <w:rFonts w:cs="Times New Roman"/>
        </w:rPr>
        <w:t>Nunes, F. F. (2024, October 17). Better launches voice-based AI loan assistant. HousingWire. https://www.housingwire.com/articles/better-launches-voice-based-ai-loan-assistant/</w:t>
      </w:r>
    </w:p>
    <w:p w14:paraId="1AFA09D2" w14:textId="77777777" w:rsidR="006046D2" w:rsidRPr="00B76053" w:rsidRDefault="00B04762">
      <w:pPr>
        <w:spacing w:after="120"/>
        <w:rPr>
          <w:rFonts w:cs="Times New Roman"/>
        </w:rPr>
      </w:pPr>
      <w:r w:rsidRPr="00B76053">
        <w:rPr>
          <w:rFonts w:cs="Times New Roman"/>
        </w:rPr>
        <w:t>Nussbaum, C., Frühholz, S., &amp; Schweinberger, S. R. (2025). Understanding voice naturalness. Trends in Cognitive Sciences, 29(5), 467–480. https://doi.org/10.1016/j.tics.2025.01.010</w:t>
      </w:r>
    </w:p>
    <w:p w14:paraId="0557714B" w14:textId="77777777" w:rsidR="006046D2" w:rsidRPr="00B76053" w:rsidRDefault="00B04762">
      <w:pPr>
        <w:spacing w:after="120"/>
        <w:rPr>
          <w:rFonts w:cs="Times New Roman"/>
        </w:rPr>
      </w:pPr>
      <w:r w:rsidRPr="00B76053">
        <w:rPr>
          <w:rFonts w:cs="Times New Roman"/>
        </w:rPr>
        <w:lastRenderedPageBreak/>
        <w:t xml:space="preserve">Primack, D. (2021, December 8). Better.com delays close of $7.7B reverse merger after mass layoffs. Axios. </w:t>
      </w:r>
      <w:r w:rsidR="002430EB" w:rsidRPr="00B76053">
        <w:rPr>
          <w:rFonts w:cs="Times New Roman"/>
        </w:rPr>
        <w:t>https://www.axios.com/2021/12/08/better-home-mortgage-delays-reverse-merger-layoffs</w:t>
      </w:r>
    </w:p>
    <w:p w14:paraId="06A1FFF9" w14:textId="77777777" w:rsidR="006046D2" w:rsidRPr="00B76053" w:rsidRDefault="00B04762">
      <w:pPr>
        <w:spacing w:after="120"/>
        <w:rPr>
          <w:rFonts w:cs="Times New Roman"/>
        </w:rPr>
      </w:pPr>
      <w:r w:rsidRPr="00B76053">
        <w:rPr>
          <w:rFonts w:cs="Times New Roman"/>
        </w:rPr>
        <w:t>Rocket Companies, Inc. (2024). Form 10-K: Annual report for the fiscal year ended December 31, 2023. U.S. Securities and Exchange Commission. https://www.sec.gov/cgi-bin/browse-edgar?action=getcompany&amp;CIK=0001805284&amp;type=10-K&amp;dateb=&amp;owner=include&amp;count=10</w:t>
      </w:r>
    </w:p>
    <w:p w14:paraId="0FE5B001" w14:textId="77777777" w:rsidR="006046D2" w:rsidRPr="00B76053" w:rsidRDefault="00B04762">
      <w:pPr>
        <w:spacing w:after="120"/>
        <w:rPr>
          <w:rFonts w:cs="Times New Roman"/>
        </w:rPr>
      </w:pPr>
      <w:r w:rsidRPr="00B76053">
        <w:rPr>
          <w:rFonts w:cs="Times New Roman"/>
        </w:rPr>
        <w:t>Rocket Companies, Inc. (2025). Form 10-K: Annual report for the fiscal year ended December 31, 2024. U.S. Securities and Exchange Commission. https://www.sec.gov/cgi-bin/browse-edgar?action=getcompany&amp;CIK=0001805284&amp;type=10-K&amp;dateb=&amp;owner=include&amp;count=10</w:t>
      </w:r>
    </w:p>
    <w:p w14:paraId="799DC0D8" w14:textId="77777777" w:rsidR="006046D2" w:rsidRPr="00B76053" w:rsidRDefault="00B04762">
      <w:pPr>
        <w:spacing w:after="120"/>
        <w:rPr>
          <w:rFonts w:cs="Times New Roman"/>
        </w:rPr>
      </w:pPr>
      <w:r w:rsidRPr="00B76053">
        <w:rPr>
          <w:rFonts w:cs="Times New Roman"/>
        </w:rPr>
        <w:t>Wang, L., Huang, N., Hong, Y., Liu, L., Guo, X., &amp; Chen, G. (2023). Voice-based AI in call center customer service: A natural field experiment. Production and Operations Management, 32(4), 1002–1018. https://doi.org/10.1111/poms.13953</w:t>
      </w:r>
    </w:p>
    <w:p w14:paraId="33FC1E4C" w14:textId="77777777" w:rsidR="006046D2" w:rsidRPr="00B76053" w:rsidRDefault="00B04762">
      <w:pPr>
        <w:spacing w:after="120"/>
        <w:rPr>
          <w:rFonts w:cs="Times New Roman"/>
        </w:rPr>
      </w:pPr>
      <w:r w:rsidRPr="00B76053">
        <w:rPr>
          <w:rFonts w:cs="Times New Roman"/>
        </w:rPr>
        <w:t>Xu, Y., Shieh, C.-H., van Esch, P., &amp; Ling, I.-L. (2020). AI customer service: Task complexity, problem-solving ability, and usage intention. Australasian Marketing Journal, 28(4), 189–199. https://doi.org/10.1016/j.ausmj.2020.03.005</w:t>
      </w:r>
    </w:p>
    <w:p w14:paraId="6A231EF3" w14:textId="77777777" w:rsidR="006046D2" w:rsidRPr="00B76053" w:rsidRDefault="00B04762">
      <w:pPr>
        <w:spacing w:after="120"/>
        <w:rPr>
          <w:rFonts w:cs="Times New Roman"/>
        </w:rPr>
      </w:pPr>
      <w:r w:rsidRPr="00B76053">
        <w:rPr>
          <w:rFonts w:cs="Times New Roman"/>
        </w:rPr>
        <w:t>Yin, R. K. (2018). Case study research and applications: Design and methods (6th ed.). SAGE Publications.</w:t>
      </w:r>
    </w:p>
    <w:p w14:paraId="090459E7" w14:textId="06F9A307" w:rsidR="00B76B53" w:rsidRPr="00B76053" w:rsidRDefault="00B04762">
      <w:pPr>
        <w:spacing w:after="120"/>
        <w:rPr>
          <w:rFonts w:cs="Times New Roman"/>
        </w:rPr>
      </w:pPr>
      <w:r w:rsidRPr="00B76053">
        <w:rPr>
          <w:rFonts w:cs="Times New Roman"/>
        </w:rPr>
        <w:t xml:space="preserve">Zhang, Z., Li, B., &amp; Liu, L. (2023). The impact of AI-based conversational agent on the firms' operational performance. Applied Artificial Intelligence, 37(1), Article 2246715. </w:t>
      </w:r>
      <w:hyperlink r:id="rId15" w:history="1">
        <w:r w:rsidR="00B76B53" w:rsidRPr="00B76053">
          <w:rPr>
            <w:rStyle w:val="Hyperlink"/>
            <w:rFonts w:cs="Times New Roman"/>
          </w:rPr>
          <w:t>https://doi.org/10.1080/08839514.2022.2157592</w:t>
        </w:r>
      </w:hyperlink>
    </w:p>
    <w:p w14:paraId="75E377B9" w14:textId="77777777" w:rsidR="006046D2" w:rsidRPr="00B76053" w:rsidRDefault="00B04762">
      <w:pPr>
        <w:pStyle w:val="Heading1"/>
        <w:pageBreakBefore/>
        <w:rPr>
          <w:rFonts w:cs="Times New Roman"/>
        </w:rPr>
      </w:pPr>
      <w:bookmarkStart w:id="115" w:name="_Toc229599124"/>
      <w:r w:rsidRPr="00B76053">
        <w:rPr>
          <w:rFonts w:cs="Times New Roman"/>
        </w:rPr>
        <w:lastRenderedPageBreak/>
        <w:t>Appendix A. Financial Dataset and Metric Definitions</w:t>
      </w:r>
      <w:bookmarkEnd w:id="115"/>
    </w:p>
    <w:p w14:paraId="3274F8AE" w14:textId="77777777" w:rsidR="006046D2" w:rsidRPr="00B76053" w:rsidRDefault="00B04762">
      <w:pPr>
        <w:pStyle w:val="Heading2"/>
        <w:rPr>
          <w:rFonts w:cs="Times New Roman"/>
        </w:rPr>
      </w:pPr>
      <w:bookmarkStart w:id="116" w:name="_Toc229599125"/>
      <w:r w:rsidRPr="00B76053">
        <w:rPr>
          <w:rFonts w:cs="Times New Roman"/>
        </w:rPr>
        <w:t>A.1 Dataset Overview</w:t>
      </w:r>
      <w:bookmarkEnd w:id="116"/>
    </w:p>
    <w:p w14:paraId="4C750A72" w14:textId="77777777" w:rsidR="006046D2" w:rsidRPr="00B76053" w:rsidRDefault="00B04762">
      <w:pPr>
        <w:rPr>
          <w:rFonts w:cs="Times New Roman"/>
        </w:rPr>
      </w:pPr>
      <w:r w:rsidRPr="00B76053">
        <w:rPr>
          <w:rFonts w:cs="Times New Roman"/>
        </w:rPr>
        <w:t>The financial dataset analysed in Chapter 5 contains thirteen annual observations spanning fiscal years 2020–2025: five for Better Home &amp; Finance Holding Company (formerly Better HoldCo, Inc.) and six for Rocket Companies, Inc., used as a directional industry benchmark. Each observation was extracted from a single SEC filing (10-K, S-1, or S-1/A) and stored as a single row in a normalised long-format table indexed by company × fiscal year. The dataset is reproducible from the public source-code repository: the raw filings are stored in 02_Raw_Data/, the extraction scripts under 08_Code/financial_extract*.py, and the normalised CSV under 08_Code/financial_dataset.csv.</w:t>
      </w:r>
    </w:p>
    <w:p w14:paraId="411E8C15" w14:textId="77777777" w:rsidR="006046D2" w:rsidRPr="00B76053" w:rsidRDefault="00B04762">
      <w:pPr>
        <w:pStyle w:val="Heading2"/>
        <w:rPr>
          <w:rFonts w:cs="Times New Roman"/>
        </w:rPr>
      </w:pPr>
      <w:bookmarkStart w:id="117" w:name="_Toc229599126"/>
      <w:r w:rsidRPr="00B76053">
        <w:rPr>
          <w:rFonts w:cs="Times New Roman"/>
        </w:rPr>
        <w:t>A.2 Variable Definitions</w:t>
      </w:r>
      <w:bookmarkEnd w:id="117"/>
    </w:p>
    <w:p w14:paraId="4BF0E535" w14:textId="77777777" w:rsidR="006046D2" w:rsidRPr="00B76053" w:rsidRDefault="00B04762">
      <w:pPr>
        <w:pStyle w:val="Caption"/>
        <w:rPr>
          <w:rFonts w:cs="Times New Roman"/>
        </w:rPr>
      </w:pPr>
      <w:r w:rsidRPr="00B76053">
        <w:rPr>
          <w:rFonts w:cs="Times New Roman"/>
        </w:rPr>
        <w:t>Table A.1. Variable definitions for the audited financial dataset used in Chapter 5.</w:t>
      </w:r>
    </w:p>
    <w:tbl>
      <w:tblPr>
        <w:tblStyle w:val="TableGrid"/>
        <w:tblW w:w="0" w:type="auto"/>
        <w:tblLook w:val="04A0" w:firstRow="1" w:lastRow="0" w:firstColumn="1" w:lastColumn="0" w:noHBand="0" w:noVBand="1"/>
      </w:tblPr>
      <w:tblGrid>
        <w:gridCol w:w="558"/>
        <w:gridCol w:w="1287"/>
        <w:gridCol w:w="3843"/>
        <w:gridCol w:w="1080"/>
        <w:gridCol w:w="2708"/>
      </w:tblGrid>
      <w:tr w:rsidR="006046D2" w:rsidRPr="00B76053" w14:paraId="71D7DB3E" w14:textId="77777777" w:rsidTr="000B15D0">
        <w:tc>
          <w:tcPr>
            <w:tcW w:w="558" w:type="dxa"/>
          </w:tcPr>
          <w:p w14:paraId="73960B73" w14:textId="77777777" w:rsidR="006046D2" w:rsidRPr="00B76053" w:rsidRDefault="00B04762">
            <w:pPr>
              <w:rPr>
                <w:rFonts w:cs="Times New Roman"/>
              </w:rPr>
            </w:pPr>
            <w:r w:rsidRPr="00B76053">
              <w:rPr>
                <w:rFonts w:cs="Times New Roman"/>
                <w:b/>
              </w:rPr>
              <w:t>#</w:t>
            </w:r>
          </w:p>
        </w:tc>
        <w:tc>
          <w:tcPr>
            <w:tcW w:w="1287" w:type="dxa"/>
          </w:tcPr>
          <w:p w14:paraId="5E423BE1" w14:textId="77777777" w:rsidR="006046D2" w:rsidRPr="00B76053" w:rsidRDefault="00B04762">
            <w:pPr>
              <w:rPr>
                <w:rFonts w:cs="Times New Roman"/>
              </w:rPr>
            </w:pPr>
            <w:r w:rsidRPr="00B76053">
              <w:rPr>
                <w:rFonts w:cs="Times New Roman"/>
                <w:b/>
              </w:rPr>
              <w:t>Variable</w:t>
            </w:r>
          </w:p>
        </w:tc>
        <w:tc>
          <w:tcPr>
            <w:tcW w:w="3843" w:type="dxa"/>
          </w:tcPr>
          <w:p w14:paraId="2DFFFF61" w14:textId="77777777" w:rsidR="006046D2" w:rsidRPr="00B76053" w:rsidRDefault="00B04762">
            <w:pPr>
              <w:rPr>
                <w:rFonts w:cs="Times New Roman"/>
              </w:rPr>
            </w:pPr>
            <w:r w:rsidRPr="00B76053">
              <w:rPr>
                <w:rFonts w:cs="Times New Roman"/>
                <w:b/>
              </w:rPr>
              <w:t>Definition</w:t>
            </w:r>
          </w:p>
        </w:tc>
        <w:tc>
          <w:tcPr>
            <w:tcW w:w="1080" w:type="dxa"/>
          </w:tcPr>
          <w:p w14:paraId="50F50182" w14:textId="77777777" w:rsidR="006046D2" w:rsidRPr="00B76053" w:rsidRDefault="00B04762">
            <w:pPr>
              <w:rPr>
                <w:rFonts w:cs="Times New Roman"/>
              </w:rPr>
            </w:pPr>
            <w:r w:rsidRPr="00B76053">
              <w:rPr>
                <w:rFonts w:cs="Times New Roman"/>
                <w:b/>
              </w:rPr>
              <w:t>Unit</w:t>
            </w:r>
          </w:p>
        </w:tc>
        <w:tc>
          <w:tcPr>
            <w:tcW w:w="2708" w:type="dxa"/>
          </w:tcPr>
          <w:p w14:paraId="6247A6D3" w14:textId="77777777" w:rsidR="006046D2" w:rsidRPr="00B76053" w:rsidRDefault="00B04762">
            <w:pPr>
              <w:rPr>
                <w:rFonts w:cs="Times New Roman"/>
              </w:rPr>
            </w:pPr>
            <w:r w:rsidRPr="00B76053">
              <w:rPr>
                <w:rFonts w:cs="Times New Roman"/>
                <w:b/>
              </w:rPr>
              <w:t>Computed from</w:t>
            </w:r>
          </w:p>
        </w:tc>
      </w:tr>
      <w:tr w:rsidR="006046D2" w:rsidRPr="00B76053" w14:paraId="3ECBD5FA" w14:textId="77777777" w:rsidTr="000B15D0">
        <w:tc>
          <w:tcPr>
            <w:tcW w:w="558" w:type="dxa"/>
          </w:tcPr>
          <w:p w14:paraId="0102DDA0" w14:textId="77777777" w:rsidR="006046D2" w:rsidRPr="00B76053" w:rsidRDefault="00B04762">
            <w:pPr>
              <w:rPr>
                <w:rFonts w:cs="Times New Roman"/>
              </w:rPr>
            </w:pPr>
            <w:r w:rsidRPr="00B76053">
              <w:rPr>
                <w:rFonts w:cs="Times New Roman"/>
              </w:rPr>
              <w:t>1</w:t>
            </w:r>
          </w:p>
        </w:tc>
        <w:tc>
          <w:tcPr>
            <w:tcW w:w="1287" w:type="dxa"/>
          </w:tcPr>
          <w:p w14:paraId="65FCFF97" w14:textId="77777777" w:rsidR="006046D2" w:rsidRPr="00B76053" w:rsidRDefault="00B04762">
            <w:pPr>
              <w:rPr>
                <w:rFonts w:cs="Times New Roman"/>
              </w:rPr>
            </w:pPr>
            <w:r w:rsidRPr="00B76053">
              <w:rPr>
                <w:rFonts w:cs="Times New Roman"/>
              </w:rPr>
              <w:t>Revenue</w:t>
            </w:r>
          </w:p>
        </w:tc>
        <w:tc>
          <w:tcPr>
            <w:tcW w:w="3843" w:type="dxa"/>
          </w:tcPr>
          <w:p w14:paraId="35E6341A" w14:textId="77777777" w:rsidR="006046D2" w:rsidRPr="00B76053" w:rsidRDefault="00B04762">
            <w:pPr>
              <w:rPr>
                <w:rFonts w:cs="Times New Roman"/>
              </w:rPr>
            </w:pPr>
            <w:r w:rsidRPr="00B76053">
              <w:rPr>
                <w:rFonts w:cs="Times New Roman"/>
              </w:rPr>
              <w:t>Total net revenue from the audited Consolidated Statement of Operations.</w:t>
            </w:r>
          </w:p>
        </w:tc>
        <w:tc>
          <w:tcPr>
            <w:tcW w:w="1080" w:type="dxa"/>
          </w:tcPr>
          <w:p w14:paraId="5B698C21" w14:textId="77777777" w:rsidR="006046D2" w:rsidRPr="00B76053" w:rsidRDefault="00B04762">
            <w:pPr>
              <w:rPr>
                <w:rFonts w:cs="Times New Roman"/>
              </w:rPr>
            </w:pPr>
            <w:r w:rsidRPr="00B76053">
              <w:rPr>
                <w:rFonts w:cs="Times New Roman"/>
              </w:rPr>
              <w:t>USD millions</w:t>
            </w:r>
          </w:p>
        </w:tc>
        <w:tc>
          <w:tcPr>
            <w:tcW w:w="2708" w:type="dxa"/>
          </w:tcPr>
          <w:p w14:paraId="7B31C126" w14:textId="77777777" w:rsidR="006046D2" w:rsidRPr="00B76053" w:rsidRDefault="00B04762">
            <w:pPr>
              <w:rPr>
                <w:rFonts w:cs="Times New Roman"/>
              </w:rPr>
            </w:pPr>
            <w:r w:rsidRPr="00B76053">
              <w:rPr>
                <w:rFonts w:cs="Times New Roman"/>
              </w:rPr>
              <w:t>10-K / S-1; line item: Total revenue, net.</w:t>
            </w:r>
          </w:p>
        </w:tc>
      </w:tr>
      <w:tr w:rsidR="006046D2" w:rsidRPr="00B76053" w14:paraId="407FADCE" w14:textId="77777777" w:rsidTr="000B15D0">
        <w:tc>
          <w:tcPr>
            <w:tcW w:w="558" w:type="dxa"/>
          </w:tcPr>
          <w:p w14:paraId="2CDCA55F" w14:textId="77777777" w:rsidR="006046D2" w:rsidRPr="00B76053" w:rsidRDefault="00B04762">
            <w:pPr>
              <w:rPr>
                <w:rFonts w:cs="Times New Roman"/>
              </w:rPr>
            </w:pPr>
            <w:r w:rsidRPr="00B76053">
              <w:rPr>
                <w:rFonts w:cs="Times New Roman"/>
              </w:rPr>
              <w:t>2</w:t>
            </w:r>
          </w:p>
        </w:tc>
        <w:tc>
          <w:tcPr>
            <w:tcW w:w="1287" w:type="dxa"/>
          </w:tcPr>
          <w:p w14:paraId="27C10747" w14:textId="77777777" w:rsidR="006046D2" w:rsidRPr="00B76053" w:rsidRDefault="00B04762">
            <w:pPr>
              <w:rPr>
                <w:rFonts w:cs="Times New Roman"/>
              </w:rPr>
            </w:pPr>
            <w:r w:rsidRPr="00B76053">
              <w:rPr>
                <w:rFonts w:cs="Times New Roman"/>
              </w:rPr>
              <w:t>Total expenses</w:t>
            </w:r>
          </w:p>
        </w:tc>
        <w:tc>
          <w:tcPr>
            <w:tcW w:w="3843" w:type="dxa"/>
          </w:tcPr>
          <w:p w14:paraId="3340F97F" w14:textId="77777777" w:rsidR="006046D2" w:rsidRPr="00B76053" w:rsidRDefault="00B04762">
            <w:pPr>
              <w:rPr>
                <w:rFonts w:cs="Times New Roman"/>
              </w:rPr>
            </w:pPr>
            <w:r w:rsidRPr="00B76053">
              <w:rPr>
                <w:rFonts w:cs="Times New Roman"/>
              </w:rPr>
              <w:t>Total operating expenses from the audited Consolidated Statement of Operations.</w:t>
            </w:r>
          </w:p>
        </w:tc>
        <w:tc>
          <w:tcPr>
            <w:tcW w:w="1080" w:type="dxa"/>
          </w:tcPr>
          <w:p w14:paraId="5EB05AA5" w14:textId="77777777" w:rsidR="006046D2" w:rsidRPr="00B76053" w:rsidRDefault="00B04762">
            <w:pPr>
              <w:rPr>
                <w:rFonts w:cs="Times New Roman"/>
              </w:rPr>
            </w:pPr>
            <w:r w:rsidRPr="00B76053">
              <w:rPr>
                <w:rFonts w:cs="Times New Roman"/>
              </w:rPr>
              <w:t>USD millions</w:t>
            </w:r>
          </w:p>
        </w:tc>
        <w:tc>
          <w:tcPr>
            <w:tcW w:w="2708" w:type="dxa"/>
          </w:tcPr>
          <w:p w14:paraId="2E926028" w14:textId="77777777" w:rsidR="006046D2" w:rsidRPr="00B76053" w:rsidRDefault="00B04762">
            <w:pPr>
              <w:rPr>
                <w:rFonts w:cs="Times New Roman"/>
              </w:rPr>
            </w:pPr>
            <w:r w:rsidRPr="00B76053">
              <w:rPr>
                <w:rFonts w:cs="Times New Roman"/>
              </w:rPr>
              <w:t>10-K / S-1; line item: Total expenses (sum of compensation, marketing, technology, G&amp;A, depreciation).</w:t>
            </w:r>
          </w:p>
        </w:tc>
      </w:tr>
      <w:tr w:rsidR="006046D2" w:rsidRPr="00B76053" w14:paraId="5F4FAD81" w14:textId="77777777" w:rsidTr="000B15D0">
        <w:tc>
          <w:tcPr>
            <w:tcW w:w="558" w:type="dxa"/>
          </w:tcPr>
          <w:p w14:paraId="7D3B986A" w14:textId="77777777" w:rsidR="006046D2" w:rsidRPr="00B76053" w:rsidRDefault="00B04762">
            <w:pPr>
              <w:rPr>
                <w:rFonts w:cs="Times New Roman"/>
              </w:rPr>
            </w:pPr>
            <w:r w:rsidRPr="00B76053">
              <w:rPr>
                <w:rFonts w:cs="Times New Roman"/>
              </w:rPr>
              <w:t>3</w:t>
            </w:r>
          </w:p>
        </w:tc>
        <w:tc>
          <w:tcPr>
            <w:tcW w:w="1287" w:type="dxa"/>
          </w:tcPr>
          <w:p w14:paraId="72531FE1" w14:textId="77777777" w:rsidR="006046D2" w:rsidRPr="00B76053" w:rsidRDefault="00B04762">
            <w:pPr>
              <w:rPr>
                <w:rFonts w:cs="Times New Roman"/>
              </w:rPr>
            </w:pPr>
            <w:r w:rsidRPr="00B76053">
              <w:rPr>
                <w:rFonts w:cs="Times New Roman"/>
              </w:rPr>
              <w:t>Net income / (loss)</w:t>
            </w:r>
          </w:p>
        </w:tc>
        <w:tc>
          <w:tcPr>
            <w:tcW w:w="3843" w:type="dxa"/>
          </w:tcPr>
          <w:p w14:paraId="79FAE0DD" w14:textId="77777777" w:rsidR="006046D2" w:rsidRPr="00B76053" w:rsidRDefault="00B04762">
            <w:pPr>
              <w:rPr>
                <w:rFonts w:cs="Times New Roman"/>
              </w:rPr>
            </w:pPr>
            <w:r w:rsidRPr="00B76053">
              <w:rPr>
                <w:rFonts w:cs="Times New Roman"/>
              </w:rPr>
              <w:t>Net income or net loss attributable to common shareholders.</w:t>
            </w:r>
          </w:p>
        </w:tc>
        <w:tc>
          <w:tcPr>
            <w:tcW w:w="1080" w:type="dxa"/>
          </w:tcPr>
          <w:p w14:paraId="28916E4E" w14:textId="77777777" w:rsidR="006046D2" w:rsidRPr="00B76053" w:rsidRDefault="00B04762">
            <w:pPr>
              <w:rPr>
                <w:rFonts w:cs="Times New Roman"/>
              </w:rPr>
            </w:pPr>
            <w:r w:rsidRPr="00B76053">
              <w:rPr>
                <w:rFonts w:cs="Times New Roman"/>
              </w:rPr>
              <w:t>USD millions</w:t>
            </w:r>
          </w:p>
        </w:tc>
        <w:tc>
          <w:tcPr>
            <w:tcW w:w="2708" w:type="dxa"/>
          </w:tcPr>
          <w:p w14:paraId="6E416F17" w14:textId="77777777" w:rsidR="006046D2" w:rsidRPr="00B76053" w:rsidRDefault="00B04762">
            <w:pPr>
              <w:rPr>
                <w:rFonts w:cs="Times New Roman"/>
              </w:rPr>
            </w:pPr>
            <w:r w:rsidRPr="00B76053">
              <w:rPr>
                <w:rFonts w:cs="Times New Roman"/>
              </w:rPr>
              <w:t>10-K / S-1; line item: Net income / (loss).</w:t>
            </w:r>
          </w:p>
        </w:tc>
      </w:tr>
      <w:tr w:rsidR="006046D2" w:rsidRPr="00B76053" w14:paraId="0C7A8156" w14:textId="77777777" w:rsidTr="000B15D0">
        <w:tc>
          <w:tcPr>
            <w:tcW w:w="558" w:type="dxa"/>
          </w:tcPr>
          <w:p w14:paraId="0EC01A4A" w14:textId="77777777" w:rsidR="006046D2" w:rsidRPr="00B76053" w:rsidRDefault="00B04762">
            <w:pPr>
              <w:rPr>
                <w:rFonts w:cs="Times New Roman"/>
              </w:rPr>
            </w:pPr>
            <w:r w:rsidRPr="00B76053">
              <w:rPr>
                <w:rFonts w:cs="Times New Roman"/>
              </w:rPr>
              <w:t>4</w:t>
            </w:r>
          </w:p>
        </w:tc>
        <w:tc>
          <w:tcPr>
            <w:tcW w:w="1287" w:type="dxa"/>
          </w:tcPr>
          <w:p w14:paraId="7ABD35FD" w14:textId="77777777" w:rsidR="006046D2" w:rsidRPr="00B76053" w:rsidRDefault="00B04762">
            <w:pPr>
              <w:rPr>
                <w:rFonts w:cs="Times New Roman"/>
              </w:rPr>
            </w:pPr>
            <w:r w:rsidRPr="00B76053">
              <w:rPr>
                <w:rFonts w:cs="Times New Roman"/>
              </w:rPr>
              <w:t>Operating cash flow</w:t>
            </w:r>
          </w:p>
        </w:tc>
        <w:tc>
          <w:tcPr>
            <w:tcW w:w="3843" w:type="dxa"/>
          </w:tcPr>
          <w:p w14:paraId="47CD1216" w14:textId="77777777" w:rsidR="006046D2" w:rsidRPr="00B76053" w:rsidRDefault="00B04762">
            <w:pPr>
              <w:rPr>
                <w:rFonts w:cs="Times New Roman"/>
              </w:rPr>
            </w:pPr>
            <w:r w:rsidRPr="00B76053">
              <w:rPr>
                <w:rFonts w:cs="Times New Roman"/>
              </w:rPr>
              <w:t>Net cash provided by / (used in) operating activities.</w:t>
            </w:r>
          </w:p>
        </w:tc>
        <w:tc>
          <w:tcPr>
            <w:tcW w:w="1080" w:type="dxa"/>
          </w:tcPr>
          <w:p w14:paraId="213BB47B" w14:textId="77777777" w:rsidR="006046D2" w:rsidRPr="00B76053" w:rsidRDefault="00B04762">
            <w:pPr>
              <w:rPr>
                <w:rFonts w:cs="Times New Roman"/>
              </w:rPr>
            </w:pPr>
            <w:r w:rsidRPr="00B76053">
              <w:rPr>
                <w:rFonts w:cs="Times New Roman"/>
              </w:rPr>
              <w:t>USD millions</w:t>
            </w:r>
          </w:p>
        </w:tc>
        <w:tc>
          <w:tcPr>
            <w:tcW w:w="2708" w:type="dxa"/>
          </w:tcPr>
          <w:p w14:paraId="0A878809" w14:textId="77777777" w:rsidR="006046D2" w:rsidRPr="00B76053" w:rsidRDefault="00B04762">
            <w:pPr>
              <w:rPr>
                <w:rFonts w:cs="Times New Roman"/>
              </w:rPr>
            </w:pPr>
            <w:r w:rsidRPr="00B76053">
              <w:rPr>
                <w:rFonts w:cs="Times New Roman"/>
              </w:rPr>
              <w:t>10-K / S-1; Consolidated Statement of Cash Flows.</w:t>
            </w:r>
          </w:p>
        </w:tc>
      </w:tr>
      <w:tr w:rsidR="006046D2" w:rsidRPr="00B76053" w14:paraId="037CB8DA" w14:textId="77777777" w:rsidTr="000B15D0">
        <w:tc>
          <w:tcPr>
            <w:tcW w:w="558" w:type="dxa"/>
          </w:tcPr>
          <w:p w14:paraId="52C07F55" w14:textId="77777777" w:rsidR="006046D2" w:rsidRPr="00B76053" w:rsidRDefault="00B04762">
            <w:pPr>
              <w:rPr>
                <w:rFonts w:cs="Times New Roman"/>
              </w:rPr>
            </w:pPr>
            <w:r w:rsidRPr="00B76053">
              <w:rPr>
                <w:rFonts w:cs="Times New Roman"/>
              </w:rPr>
              <w:t>5</w:t>
            </w:r>
          </w:p>
        </w:tc>
        <w:tc>
          <w:tcPr>
            <w:tcW w:w="1287" w:type="dxa"/>
          </w:tcPr>
          <w:p w14:paraId="3DE1B778" w14:textId="77777777" w:rsidR="006046D2" w:rsidRPr="00B76053" w:rsidRDefault="00B04762">
            <w:pPr>
              <w:rPr>
                <w:rFonts w:cs="Times New Roman"/>
              </w:rPr>
            </w:pPr>
            <w:r w:rsidRPr="00B76053">
              <w:rPr>
                <w:rFonts w:cs="Times New Roman"/>
              </w:rPr>
              <w:t xml:space="preserve">Total </w:t>
            </w:r>
            <w:r w:rsidRPr="00B76053">
              <w:rPr>
                <w:rFonts w:cs="Times New Roman"/>
              </w:rPr>
              <w:lastRenderedPageBreak/>
              <w:t>assets</w:t>
            </w:r>
          </w:p>
        </w:tc>
        <w:tc>
          <w:tcPr>
            <w:tcW w:w="3843" w:type="dxa"/>
          </w:tcPr>
          <w:p w14:paraId="17485D66" w14:textId="77777777" w:rsidR="006046D2" w:rsidRPr="00B76053" w:rsidRDefault="00B04762">
            <w:pPr>
              <w:rPr>
                <w:rFonts w:cs="Times New Roman"/>
              </w:rPr>
            </w:pPr>
            <w:r w:rsidRPr="00B76053">
              <w:rPr>
                <w:rFonts w:cs="Times New Roman"/>
              </w:rPr>
              <w:lastRenderedPageBreak/>
              <w:t xml:space="preserve">Total assets, audited balance-sheet </w:t>
            </w:r>
            <w:r w:rsidRPr="00B76053">
              <w:rPr>
                <w:rFonts w:cs="Times New Roman"/>
              </w:rPr>
              <w:lastRenderedPageBreak/>
              <w:t>aggregate.</w:t>
            </w:r>
          </w:p>
        </w:tc>
        <w:tc>
          <w:tcPr>
            <w:tcW w:w="1080" w:type="dxa"/>
          </w:tcPr>
          <w:p w14:paraId="4E33CD9F" w14:textId="77777777" w:rsidR="006046D2" w:rsidRPr="00B76053" w:rsidRDefault="00B04762">
            <w:pPr>
              <w:rPr>
                <w:rFonts w:cs="Times New Roman"/>
              </w:rPr>
            </w:pPr>
            <w:r w:rsidRPr="00B76053">
              <w:rPr>
                <w:rFonts w:cs="Times New Roman"/>
              </w:rPr>
              <w:lastRenderedPageBreak/>
              <w:t xml:space="preserve">USD </w:t>
            </w:r>
            <w:r w:rsidRPr="00B76053">
              <w:rPr>
                <w:rFonts w:cs="Times New Roman"/>
              </w:rPr>
              <w:lastRenderedPageBreak/>
              <w:t>millions</w:t>
            </w:r>
          </w:p>
        </w:tc>
        <w:tc>
          <w:tcPr>
            <w:tcW w:w="2708" w:type="dxa"/>
          </w:tcPr>
          <w:p w14:paraId="3464361D" w14:textId="77777777" w:rsidR="006046D2" w:rsidRPr="00B76053" w:rsidRDefault="00B04762">
            <w:pPr>
              <w:rPr>
                <w:rFonts w:cs="Times New Roman"/>
              </w:rPr>
            </w:pPr>
            <w:r w:rsidRPr="00B76053">
              <w:rPr>
                <w:rFonts w:cs="Times New Roman"/>
              </w:rPr>
              <w:lastRenderedPageBreak/>
              <w:t xml:space="preserve">10-K / S-1; Consolidated </w:t>
            </w:r>
            <w:r w:rsidRPr="00B76053">
              <w:rPr>
                <w:rFonts w:cs="Times New Roman"/>
              </w:rPr>
              <w:lastRenderedPageBreak/>
              <w:t>Balance Sheet.</w:t>
            </w:r>
          </w:p>
        </w:tc>
      </w:tr>
      <w:tr w:rsidR="006046D2" w:rsidRPr="00B76053" w14:paraId="36BDB11F" w14:textId="77777777" w:rsidTr="000B15D0">
        <w:tc>
          <w:tcPr>
            <w:tcW w:w="558" w:type="dxa"/>
          </w:tcPr>
          <w:p w14:paraId="62CC2D27" w14:textId="77777777" w:rsidR="006046D2" w:rsidRPr="00B76053" w:rsidRDefault="00B04762">
            <w:pPr>
              <w:rPr>
                <w:rFonts w:cs="Times New Roman"/>
              </w:rPr>
            </w:pPr>
            <w:r w:rsidRPr="00B76053">
              <w:rPr>
                <w:rFonts w:cs="Times New Roman"/>
              </w:rPr>
              <w:t>6</w:t>
            </w:r>
          </w:p>
        </w:tc>
        <w:tc>
          <w:tcPr>
            <w:tcW w:w="1287" w:type="dxa"/>
          </w:tcPr>
          <w:p w14:paraId="4DED2694" w14:textId="77777777" w:rsidR="006046D2" w:rsidRPr="00B76053" w:rsidRDefault="00B04762">
            <w:pPr>
              <w:rPr>
                <w:rFonts w:cs="Times New Roman"/>
              </w:rPr>
            </w:pPr>
            <w:r w:rsidRPr="00B76053">
              <w:rPr>
                <w:rFonts w:cs="Times New Roman"/>
              </w:rPr>
              <w:t>Total equity</w:t>
            </w:r>
          </w:p>
        </w:tc>
        <w:tc>
          <w:tcPr>
            <w:tcW w:w="3843" w:type="dxa"/>
          </w:tcPr>
          <w:p w14:paraId="1DEDEDCF" w14:textId="77777777" w:rsidR="006046D2" w:rsidRPr="00B76053" w:rsidRDefault="00B04762">
            <w:pPr>
              <w:rPr>
                <w:rFonts w:cs="Times New Roman"/>
              </w:rPr>
            </w:pPr>
            <w:r w:rsidRPr="00B76053">
              <w:rPr>
                <w:rFonts w:cs="Times New Roman"/>
              </w:rPr>
              <w:t>Common equity attributable to the parent.</w:t>
            </w:r>
          </w:p>
        </w:tc>
        <w:tc>
          <w:tcPr>
            <w:tcW w:w="1080" w:type="dxa"/>
          </w:tcPr>
          <w:p w14:paraId="4BC8E335" w14:textId="77777777" w:rsidR="006046D2" w:rsidRPr="00B76053" w:rsidRDefault="00B04762">
            <w:pPr>
              <w:rPr>
                <w:rFonts w:cs="Times New Roman"/>
              </w:rPr>
            </w:pPr>
            <w:r w:rsidRPr="00B76053">
              <w:rPr>
                <w:rFonts w:cs="Times New Roman"/>
              </w:rPr>
              <w:t>USD millions</w:t>
            </w:r>
          </w:p>
        </w:tc>
        <w:tc>
          <w:tcPr>
            <w:tcW w:w="2708" w:type="dxa"/>
          </w:tcPr>
          <w:p w14:paraId="74C14D41" w14:textId="77777777" w:rsidR="006046D2" w:rsidRPr="00B76053" w:rsidRDefault="00B04762">
            <w:pPr>
              <w:rPr>
                <w:rFonts w:cs="Times New Roman"/>
              </w:rPr>
            </w:pPr>
            <w:r w:rsidRPr="00B76053">
              <w:rPr>
                <w:rFonts w:cs="Times New Roman"/>
              </w:rPr>
              <w:t>10-K / S-1; Consolidated Balance Sheet.</w:t>
            </w:r>
          </w:p>
        </w:tc>
      </w:tr>
      <w:tr w:rsidR="006046D2" w:rsidRPr="00B76053" w14:paraId="6DB5E9D2" w14:textId="77777777" w:rsidTr="000B15D0">
        <w:tc>
          <w:tcPr>
            <w:tcW w:w="558" w:type="dxa"/>
          </w:tcPr>
          <w:p w14:paraId="2640CB81" w14:textId="77777777" w:rsidR="006046D2" w:rsidRPr="00B76053" w:rsidRDefault="00B04762">
            <w:pPr>
              <w:rPr>
                <w:rFonts w:cs="Times New Roman"/>
              </w:rPr>
            </w:pPr>
            <w:r w:rsidRPr="00B76053">
              <w:rPr>
                <w:rFonts w:cs="Times New Roman"/>
              </w:rPr>
              <w:t>7</w:t>
            </w:r>
          </w:p>
        </w:tc>
        <w:tc>
          <w:tcPr>
            <w:tcW w:w="1287" w:type="dxa"/>
          </w:tcPr>
          <w:p w14:paraId="1ECBD427" w14:textId="77777777" w:rsidR="006046D2" w:rsidRPr="00B76053" w:rsidRDefault="00B04762">
            <w:pPr>
              <w:rPr>
                <w:rFonts w:cs="Times New Roman"/>
              </w:rPr>
            </w:pPr>
            <w:r w:rsidRPr="00B76053">
              <w:rPr>
                <w:rFonts w:cs="Times New Roman"/>
              </w:rPr>
              <w:t>Headcount</w:t>
            </w:r>
          </w:p>
        </w:tc>
        <w:tc>
          <w:tcPr>
            <w:tcW w:w="3843" w:type="dxa"/>
          </w:tcPr>
          <w:p w14:paraId="0C96B02B" w14:textId="77777777" w:rsidR="006046D2" w:rsidRPr="00B76053" w:rsidRDefault="00B04762">
            <w:pPr>
              <w:rPr>
                <w:rFonts w:cs="Times New Roman"/>
              </w:rPr>
            </w:pPr>
            <w:r w:rsidRPr="00B76053">
              <w:rPr>
                <w:rFonts w:cs="Times New Roman"/>
              </w:rPr>
              <w:t>Full-time-equivalent employees as disclosed in Item 1 (Human Capital) of the 10-K.</w:t>
            </w:r>
          </w:p>
        </w:tc>
        <w:tc>
          <w:tcPr>
            <w:tcW w:w="1080" w:type="dxa"/>
          </w:tcPr>
          <w:p w14:paraId="0BF1067D" w14:textId="77777777" w:rsidR="006046D2" w:rsidRPr="00B76053" w:rsidRDefault="00B04762">
            <w:pPr>
              <w:rPr>
                <w:rFonts w:cs="Times New Roman"/>
              </w:rPr>
            </w:pPr>
            <w:r w:rsidRPr="00B76053">
              <w:rPr>
                <w:rFonts w:cs="Times New Roman"/>
              </w:rPr>
              <w:t>FTE</w:t>
            </w:r>
          </w:p>
        </w:tc>
        <w:tc>
          <w:tcPr>
            <w:tcW w:w="2708" w:type="dxa"/>
          </w:tcPr>
          <w:p w14:paraId="3892AAF9" w14:textId="77777777" w:rsidR="006046D2" w:rsidRPr="00B76053" w:rsidRDefault="00B04762">
            <w:pPr>
              <w:rPr>
                <w:rFonts w:cs="Times New Roman"/>
              </w:rPr>
            </w:pPr>
            <w:r w:rsidRPr="00B76053">
              <w:rPr>
                <w:rFonts w:cs="Times New Roman"/>
              </w:rPr>
              <w:t>10-K Item 1; Better S-1 narrative for FY 2021.</w:t>
            </w:r>
          </w:p>
        </w:tc>
      </w:tr>
      <w:tr w:rsidR="006046D2" w:rsidRPr="00B76053" w14:paraId="3251499B" w14:textId="77777777" w:rsidTr="000B15D0">
        <w:tc>
          <w:tcPr>
            <w:tcW w:w="558" w:type="dxa"/>
          </w:tcPr>
          <w:p w14:paraId="76D8158C" w14:textId="77777777" w:rsidR="006046D2" w:rsidRPr="00B76053" w:rsidRDefault="00B04762">
            <w:pPr>
              <w:rPr>
                <w:rFonts w:cs="Times New Roman"/>
              </w:rPr>
            </w:pPr>
            <w:r w:rsidRPr="00B76053">
              <w:rPr>
                <w:rFonts w:cs="Times New Roman"/>
              </w:rPr>
              <w:t>8</w:t>
            </w:r>
          </w:p>
        </w:tc>
        <w:tc>
          <w:tcPr>
            <w:tcW w:w="1287" w:type="dxa"/>
          </w:tcPr>
          <w:p w14:paraId="5ABF8A3A" w14:textId="77777777" w:rsidR="006046D2" w:rsidRPr="00B76053" w:rsidRDefault="00B04762">
            <w:pPr>
              <w:rPr>
                <w:rFonts w:cs="Times New Roman"/>
              </w:rPr>
            </w:pPr>
            <w:r w:rsidRPr="00B76053">
              <w:rPr>
                <w:rFonts w:cs="Times New Roman"/>
              </w:rPr>
              <w:t>Expense ratio</w:t>
            </w:r>
          </w:p>
        </w:tc>
        <w:tc>
          <w:tcPr>
            <w:tcW w:w="3843" w:type="dxa"/>
          </w:tcPr>
          <w:p w14:paraId="0126C258" w14:textId="77777777" w:rsidR="006046D2" w:rsidRPr="00B76053" w:rsidRDefault="00B04762">
            <w:pPr>
              <w:rPr>
                <w:rFonts w:cs="Times New Roman"/>
              </w:rPr>
            </w:pPr>
            <w:r w:rsidRPr="00B76053">
              <w:rPr>
                <w:rFonts w:cs="Times New Roman"/>
              </w:rPr>
              <w:t>Ratio of total expenses to total revenue.</w:t>
            </w:r>
          </w:p>
        </w:tc>
        <w:tc>
          <w:tcPr>
            <w:tcW w:w="1080" w:type="dxa"/>
          </w:tcPr>
          <w:p w14:paraId="46FA5354" w14:textId="77777777" w:rsidR="006046D2" w:rsidRPr="00B76053" w:rsidRDefault="00B04762">
            <w:pPr>
              <w:rPr>
                <w:rFonts w:cs="Times New Roman"/>
              </w:rPr>
            </w:pPr>
            <w:r w:rsidRPr="00B76053">
              <w:rPr>
                <w:rFonts w:cs="Times New Roman"/>
              </w:rPr>
              <w:t>ratio</w:t>
            </w:r>
          </w:p>
        </w:tc>
        <w:tc>
          <w:tcPr>
            <w:tcW w:w="2708" w:type="dxa"/>
          </w:tcPr>
          <w:p w14:paraId="0C5BA18D" w14:textId="77777777" w:rsidR="006046D2" w:rsidRPr="00B76053" w:rsidRDefault="00B04762">
            <w:pPr>
              <w:rPr>
                <w:rFonts w:cs="Times New Roman"/>
              </w:rPr>
            </w:pPr>
            <w:r w:rsidRPr="00B76053">
              <w:rPr>
                <w:rFonts w:cs="Times New Roman"/>
              </w:rPr>
              <w:t>Computed: Total expenses / Revenue.</w:t>
            </w:r>
          </w:p>
        </w:tc>
      </w:tr>
      <w:tr w:rsidR="006046D2" w:rsidRPr="00B76053" w14:paraId="54AFB252" w14:textId="77777777" w:rsidTr="000B15D0">
        <w:tc>
          <w:tcPr>
            <w:tcW w:w="558" w:type="dxa"/>
          </w:tcPr>
          <w:p w14:paraId="73819FAA" w14:textId="77777777" w:rsidR="006046D2" w:rsidRPr="00B76053" w:rsidRDefault="00B04762">
            <w:pPr>
              <w:rPr>
                <w:rFonts w:cs="Times New Roman"/>
              </w:rPr>
            </w:pPr>
            <w:r w:rsidRPr="00B76053">
              <w:rPr>
                <w:rFonts w:cs="Times New Roman"/>
              </w:rPr>
              <w:t>9</w:t>
            </w:r>
          </w:p>
        </w:tc>
        <w:tc>
          <w:tcPr>
            <w:tcW w:w="1287" w:type="dxa"/>
          </w:tcPr>
          <w:p w14:paraId="4ED72D39" w14:textId="77777777" w:rsidR="006046D2" w:rsidRPr="00B76053" w:rsidRDefault="00B04762">
            <w:pPr>
              <w:rPr>
                <w:rFonts w:cs="Times New Roman"/>
              </w:rPr>
            </w:pPr>
            <w:r w:rsidRPr="00B76053">
              <w:rPr>
                <w:rFonts w:cs="Times New Roman"/>
              </w:rPr>
              <w:t>Revenue per employee (RPE)</w:t>
            </w:r>
          </w:p>
        </w:tc>
        <w:tc>
          <w:tcPr>
            <w:tcW w:w="3843" w:type="dxa"/>
          </w:tcPr>
          <w:p w14:paraId="2FEED646" w14:textId="77777777" w:rsidR="006046D2" w:rsidRPr="00B76053" w:rsidRDefault="00B04762">
            <w:pPr>
              <w:rPr>
                <w:rFonts w:cs="Times New Roman"/>
              </w:rPr>
            </w:pPr>
            <w:r w:rsidRPr="00B76053">
              <w:rPr>
                <w:rFonts w:cs="Times New Roman"/>
              </w:rPr>
              <w:t>Total revenue divided by headcount.</w:t>
            </w:r>
          </w:p>
        </w:tc>
        <w:tc>
          <w:tcPr>
            <w:tcW w:w="1080" w:type="dxa"/>
          </w:tcPr>
          <w:p w14:paraId="789F0ADA" w14:textId="77777777" w:rsidR="006046D2" w:rsidRPr="00B76053" w:rsidRDefault="00B04762">
            <w:pPr>
              <w:rPr>
                <w:rFonts w:cs="Times New Roman"/>
              </w:rPr>
            </w:pPr>
            <w:r w:rsidRPr="00B76053">
              <w:rPr>
                <w:rFonts w:cs="Times New Roman"/>
              </w:rPr>
              <w:t>USD millions / FTE</w:t>
            </w:r>
          </w:p>
        </w:tc>
        <w:tc>
          <w:tcPr>
            <w:tcW w:w="2708" w:type="dxa"/>
          </w:tcPr>
          <w:p w14:paraId="08703BB8" w14:textId="77777777" w:rsidR="006046D2" w:rsidRPr="00B76053" w:rsidRDefault="00B04762">
            <w:pPr>
              <w:rPr>
                <w:rFonts w:cs="Times New Roman"/>
              </w:rPr>
            </w:pPr>
            <w:r w:rsidRPr="00B76053">
              <w:rPr>
                <w:rFonts w:cs="Times New Roman"/>
              </w:rPr>
              <w:t>Computed: Revenue / Headcount.</w:t>
            </w:r>
          </w:p>
        </w:tc>
      </w:tr>
      <w:tr w:rsidR="006046D2" w:rsidRPr="00B76053" w14:paraId="07F6A75B" w14:textId="77777777" w:rsidTr="000B15D0">
        <w:tc>
          <w:tcPr>
            <w:tcW w:w="558" w:type="dxa"/>
          </w:tcPr>
          <w:p w14:paraId="7358E1A2" w14:textId="77777777" w:rsidR="006046D2" w:rsidRPr="00B76053" w:rsidRDefault="00B04762">
            <w:pPr>
              <w:rPr>
                <w:rFonts w:cs="Times New Roman"/>
              </w:rPr>
            </w:pPr>
            <w:r w:rsidRPr="00B76053">
              <w:rPr>
                <w:rFonts w:cs="Times New Roman"/>
              </w:rPr>
              <w:t>10</w:t>
            </w:r>
          </w:p>
        </w:tc>
        <w:tc>
          <w:tcPr>
            <w:tcW w:w="1287" w:type="dxa"/>
          </w:tcPr>
          <w:p w14:paraId="33D4E8A2" w14:textId="77777777" w:rsidR="006046D2" w:rsidRPr="00B76053" w:rsidRDefault="00B04762">
            <w:pPr>
              <w:rPr>
                <w:rFonts w:cs="Times New Roman"/>
              </w:rPr>
            </w:pPr>
            <w:r w:rsidRPr="00B76053">
              <w:rPr>
                <w:rFonts w:cs="Times New Roman"/>
              </w:rPr>
              <w:t>Cost-to-Originate (CTO)</w:t>
            </w:r>
          </w:p>
        </w:tc>
        <w:tc>
          <w:tcPr>
            <w:tcW w:w="3843" w:type="dxa"/>
          </w:tcPr>
          <w:p w14:paraId="09ED4E2B" w14:textId="77777777" w:rsidR="006046D2" w:rsidRPr="00B76053" w:rsidRDefault="00B04762">
            <w:pPr>
              <w:rPr>
                <w:rFonts w:cs="Times New Roman"/>
              </w:rPr>
            </w:pPr>
            <w:r w:rsidRPr="00B76053">
              <w:rPr>
                <w:rFonts w:cs="Times New Roman"/>
              </w:rPr>
              <w:t>Author-constructed proxy: total expenses divided by funded loans, used only as a directional indicator alongside the Mortgage Bankers Association industry benchmark.</w:t>
            </w:r>
          </w:p>
        </w:tc>
        <w:tc>
          <w:tcPr>
            <w:tcW w:w="1080" w:type="dxa"/>
          </w:tcPr>
          <w:p w14:paraId="6FDC8DC0" w14:textId="77777777" w:rsidR="006046D2" w:rsidRPr="00B76053" w:rsidRDefault="00B04762">
            <w:pPr>
              <w:rPr>
                <w:rFonts w:cs="Times New Roman"/>
              </w:rPr>
            </w:pPr>
            <w:r w:rsidRPr="00B76053">
              <w:rPr>
                <w:rFonts w:cs="Times New Roman"/>
              </w:rPr>
              <w:t>USD per loan</w:t>
            </w:r>
          </w:p>
        </w:tc>
        <w:tc>
          <w:tcPr>
            <w:tcW w:w="2708" w:type="dxa"/>
          </w:tcPr>
          <w:p w14:paraId="7B36FF8C" w14:textId="77777777" w:rsidR="006046D2" w:rsidRPr="00B76053" w:rsidRDefault="00B04762">
            <w:pPr>
              <w:rPr>
                <w:rFonts w:cs="Times New Roman"/>
              </w:rPr>
            </w:pPr>
            <w:r w:rsidRPr="00B76053">
              <w:rPr>
                <w:rFonts w:cs="Times New Roman"/>
              </w:rPr>
              <w:t>Author-constructed (not an audited Better disclosure).</w:t>
            </w:r>
          </w:p>
        </w:tc>
      </w:tr>
    </w:tbl>
    <w:p w14:paraId="1C7F0D86" w14:textId="77777777" w:rsidR="006046D2" w:rsidRPr="00B76053" w:rsidRDefault="00B04762">
      <w:pPr>
        <w:pStyle w:val="Heading2"/>
        <w:rPr>
          <w:rFonts w:cs="Times New Roman"/>
        </w:rPr>
      </w:pPr>
      <w:bookmarkStart w:id="118" w:name="_Toc229599127"/>
      <w:r w:rsidRPr="00B76053">
        <w:rPr>
          <w:rFonts w:cs="Times New Roman"/>
        </w:rPr>
        <w:t>A.3 Annual Observations</w:t>
      </w:r>
      <w:bookmarkEnd w:id="118"/>
    </w:p>
    <w:p w14:paraId="5136A1C0" w14:textId="77777777" w:rsidR="006046D2" w:rsidRPr="00B76053" w:rsidRDefault="00B04762">
      <w:pPr>
        <w:pStyle w:val="Caption"/>
        <w:rPr>
          <w:rFonts w:cs="Times New Roman"/>
        </w:rPr>
      </w:pPr>
      <w:r w:rsidRPr="00B76053">
        <w:rPr>
          <w:rFonts w:cs="Times New Roman"/>
        </w:rPr>
        <w:t>Table A.2. Audited annual observations for Better Home &amp; Finance Holding Company (formerly Better HoldCo, Inc.) and Rocket Companies, Inc. Sources: Better Home &amp; Finance Holding Company (2024b, 2025a, 2026); Rocket Companies (2024, 2025); Better HoldCo, Inc. (2023). All figures rounded to the disclosed precision in the underlying 10-K filings.</w:t>
      </w:r>
    </w:p>
    <w:tbl>
      <w:tblPr>
        <w:tblStyle w:val="TableGrid"/>
        <w:tblW w:w="0" w:type="auto"/>
        <w:tblLayout w:type="fixed"/>
        <w:tblLook w:val="04A0" w:firstRow="1" w:lastRow="0" w:firstColumn="1" w:lastColumn="0" w:noHBand="0" w:noVBand="1"/>
      </w:tblPr>
      <w:tblGrid>
        <w:gridCol w:w="2184"/>
        <w:gridCol w:w="804"/>
        <w:gridCol w:w="1260"/>
        <w:gridCol w:w="1170"/>
        <w:gridCol w:w="1260"/>
        <w:gridCol w:w="876"/>
        <w:gridCol w:w="1039"/>
        <w:gridCol w:w="983"/>
      </w:tblGrid>
      <w:tr w:rsidR="000B15D0" w:rsidRPr="00B76053" w14:paraId="00E15238" w14:textId="77777777" w:rsidTr="000B15D0">
        <w:tc>
          <w:tcPr>
            <w:tcW w:w="2184" w:type="dxa"/>
          </w:tcPr>
          <w:p w14:paraId="37E814F2" w14:textId="77777777" w:rsidR="006046D2" w:rsidRPr="00B76053" w:rsidRDefault="00B04762">
            <w:pPr>
              <w:rPr>
                <w:rFonts w:cs="Times New Roman"/>
              </w:rPr>
            </w:pPr>
            <w:r w:rsidRPr="00B76053">
              <w:rPr>
                <w:rFonts w:cs="Times New Roman"/>
                <w:b/>
              </w:rPr>
              <w:t>Firm</w:t>
            </w:r>
          </w:p>
        </w:tc>
        <w:tc>
          <w:tcPr>
            <w:tcW w:w="804" w:type="dxa"/>
          </w:tcPr>
          <w:p w14:paraId="5D786BB8" w14:textId="77777777" w:rsidR="006046D2" w:rsidRPr="00B76053" w:rsidRDefault="00B04762">
            <w:pPr>
              <w:rPr>
                <w:rFonts w:cs="Times New Roman"/>
              </w:rPr>
            </w:pPr>
            <w:r w:rsidRPr="00B76053">
              <w:rPr>
                <w:rFonts w:cs="Times New Roman"/>
                <w:b/>
              </w:rPr>
              <w:t>FY</w:t>
            </w:r>
          </w:p>
        </w:tc>
        <w:tc>
          <w:tcPr>
            <w:tcW w:w="1260" w:type="dxa"/>
          </w:tcPr>
          <w:p w14:paraId="6FC94995" w14:textId="77777777" w:rsidR="006046D2" w:rsidRPr="00B76053" w:rsidRDefault="00B04762">
            <w:pPr>
              <w:rPr>
                <w:rFonts w:cs="Times New Roman"/>
              </w:rPr>
            </w:pPr>
            <w:r w:rsidRPr="00B76053">
              <w:rPr>
                <w:rFonts w:cs="Times New Roman"/>
                <w:b/>
              </w:rPr>
              <w:t>Revenue (USDm)</w:t>
            </w:r>
          </w:p>
        </w:tc>
        <w:tc>
          <w:tcPr>
            <w:tcW w:w="1170" w:type="dxa"/>
          </w:tcPr>
          <w:p w14:paraId="1818CDDF" w14:textId="77777777" w:rsidR="006046D2" w:rsidRPr="00B76053" w:rsidRDefault="00B04762">
            <w:pPr>
              <w:rPr>
                <w:rFonts w:cs="Times New Roman"/>
              </w:rPr>
            </w:pPr>
            <w:r w:rsidRPr="00B76053">
              <w:rPr>
                <w:rFonts w:cs="Times New Roman"/>
                <w:b/>
              </w:rPr>
              <w:t>Total expenses (USDm)</w:t>
            </w:r>
          </w:p>
        </w:tc>
        <w:tc>
          <w:tcPr>
            <w:tcW w:w="1260" w:type="dxa"/>
          </w:tcPr>
          <w:p w14:paraId="0A9E977E" w14:textId="77777777" w:rsidR="006046D2" w:rsidRPr="00B76053" w:rsidRDefault="00B04762">
            <w:pPr>
              <w:rPr>
                <w:rFonts w:cs="Times New Roman"/>
              </w:rPr>
            </w:pPr>
            <w:r w:rsidRPr="00B76053">
              <w:rPr>
                <w:rFonts w:cs="Times New Roman"/>
                <w:b/>
              </w:rPr>
              <w:t>Net income / (loss) (USDm)</w:t>
            </w:r>
          </w:p>
        </w:tc>
        <w:tc>
          <w:tcPr>
            <w:tcW w:w="876" w:type="dxa"/>
          </w:tcPr>
          <w:p w14:paraId="130AFF2C" w14:textId="77777777" w:rsidR="000B15D0" w:rsidRPr="00B76053" w:rsidRDefault="00B04762">
            <w:pPr>
              <w:rPr>
                <w:rFonts w:cs="Times New Roman"/>
                <w:b/>
              </w:rPr>
            </w:pPr>
            <w:r w:rsidRPr="00B76053">
              <w:rPr>
                <w:rFonts w:cs="Times New Roman"/>
                <w:b/>
              </w:rPr>
              <w:t>Head</w:t>
            </w:r>
          </w:p>
          <w:p w14:paraId="01266816" w14:textId="0A9F0EE4" w:rsidR="006046D2" w:rsidRPr="00B76053" w:rsidRDefault="00B04762">
            <w:pPr>
              <w:rPr>
                <w:rFonts w:cs="Times New Roman"/>
              </w:rPr>
            </w:pPr>
            <w:r w:rsidRPr="00B76053">
              <w:rPr>
                <w:rFonts w:cs="Times New Roman"/>
                <w:b/>
              </w:rPr>
              <w:t>count</w:t>
            </w:r>
          </w:p>
        </w:tc>
        <w:tc>
          <w:tcPr>
            <w:tcW w:w="1039" w:type="dxa"/>
          </w:tcPr>
          <w:p w14:paraId="3973C705" w14:textId="77777777" w:rsidR="006046D2" w:rsidRPr="00B76053" w:rsidRDefault="00B04762">
            <w:pPr>
              <w:rPr>
                <w:rFonts w:cs="Times New Roman"/>
              </w:rPr>
            </w:pPr>
            <w:r w:rsidRPr="00B76053">
              <w:rPr>
                <w:rFonts w:cs="Times New Roman"/>
                <w:b/>
              </w:rPr>
              <w:t>Expense ratio</w:t>
            </w:r>
          </w:p>
        </w:tc>
        <w:tc>
          <w:tcPr>
            <w:tcW w:w="983" w:type="dxa"/>
          </w:tcPr>
          <w:p w14:paraId="29A6D90B" w14:textId="77777777" w:rsidR="006046D2" w:rsidRPr="00B76053" w:rsidRDefault="00B04762">
            <w:pPr>
              <w:rPr>
                <w:rFonts w:cs="Times New Roman"/>
              </w:rPr>
            </w:pPr>
            <w:r w:rsidRPr="00B76053">
              <w:rPr>
                <w:rFonts w:cs="Times New Roman"/>
                <w:b/>
              </w:rPr>
              <w:t>RPE (USDm)</w:t>
            </w:r>
          </w:p>
        </w:tc>
      </w:tr>
      <w:tr w:rsidR="000B15D0" w:rsidRPr="00B76053" w14:paraId="7A8FB428" w14:textId="77777777" w:rsidTr="000B15D0">
        <w:tc>
          <w:tcPr>
            <w:tcW w:w="2184" w:type="dxa"/>
          </w:tcPr>
          <w:p w14:paraId="5F1BCBF0" w14:textId="77777777" w:rsidR="006046D2" w:rsidRPr="00B76053" w:rsidRDefault="00B04762">
            <w:pPr>
              <w:rPr>
                <w:rFonts w:cs="Times New Roman"/>
              </w:rPr>
            </w:pPr>
            <w:r w:rsidRPr="00B76053">
              <w:rPr>
                <w:rFonts w:cs="Times New Roman"/>
              </w:rPr>
              <w:t>Better Home &amp; Finance Holding Company</w:t>
            </w:r>
          </w:p>
        </w:tc>
        <w:tc>
          <w:tcPr>
            <w:tcW w:w="804" w:type="dxa"/>
          </w:tcPr>
          <w:p w14:paraId="486BACBA" w14:textId="77777777" w:rsidR="006046D2" w:rsidRPr="00B76053" w:rsidRDefault="00B04762">
            <w:pPr>
              <w:rPr>
                <w:rFonts w:cs="Times New Roman"/>
              </w:rPr>
            </w:pPr>
            <w:r w:rsidRPr="00B76053">
              <w:rPr>
                <w:rFonts w:cs="Times New Roman"/>
              </w:rPr>
              <w:t>2021</w:t>
            </w:r>
          </w:p>
        </w:tc>
        <w:tc>
          <w:tcPr>
            <w:tcW w:w="1260" w:type="dxa"/>
          </w:tcPr>
          <w:p w14:paraId="65CE2825" w14:textId="77777777" w:rsidR="006046D2" w:rsidRPr="00B76053" w:rsidRDefault="00B04762">
            <w:pPr>
              <w:rPr>
                <w:rFonts w:cs="Times New Roman"/>
              </w:rPr>
            </w:pPr>
            <w:r w:rsidRPr="00B76053">
              <w:rPr>
                <w:rFonts w:cs="Times New Roman"/>
              </w:rPr>
              <w:t>1,200.0</w:t>
            </w:r>
          </w:p>
        </w:tc>
        <w:tc>
          <w:tcPr>
            <w:tcW w:w="1170" w:type="dxa"/>
          </w:tcPr>
          <w:p w14:paraId="30E705B5" w14:textId="77777777" w:rsidR="006046D2" w:rsidRPr="00B76053" w:rsidRDefault="00B04762">
            <w:pPr>
              <w:rPr>
                <w:rFonts w:cs="Times New Roman"/>
              </w:rPr>
            </w:pPr>
            <w:r w:rsidRPr="00B76053">
              <w:rPr>
                <w:rFonts w:cs="Times New Roman"/>
              </w:rPr>
              <w:t>1,501.3</w:t>
            </w:r>
          </w:p>
        </w:tc>
        <w:tc>
          <w:tcPr>
            <w:tcW w:w="1260" w:type="dxa"/>
          </w:tcPr>
          <w:p w14:paraId="29D2CAAB" w14:textId="77777777" w:rsidR="006046D2" w:rsidRPr="00B76053" w:rsidRDefault="00B04762">
            <w:pPr>
              <w:rPr>
                <w:rFonts w:cs="Times New Roman"/>
              </w:rPr>
            </w:pPr>
            <w:r w:rsidRPr="00B76053">
              <w:rPr>
                <w:rFonts w:cs="Times New Roman"/>
              </w:rPr>
              <w:t>(301.3)</w:t>
            </w:r>
          </w:p>
        </w:tc>
        <w:tc>
          <w:tcPr>
            <w:tcW w:w="876" w:type="dxa"/>
          </w:tcPr>
          <w:p w14:paraId="16B5DAC4" w14:textId="77777777" w:rsidR="006046D2" w:rsidRPr="00B76053" w:rsidRDefault="00B04762">
            <w:pPr>
              <w:rPr>
                <w:rFonts w:cs="Times New Roman"/>
              </w:rPr>
            </w:pPr>
            <w:r w:rsidRPr="00B76053">
              <w:rPr>
                <w:rFonts w:cs="Times New Roman"/>
              </w:rPr>
              <w:t>10,400</w:t>
            </w:r>
          </w:p>
        </w:tc>
        <w:tc>
          <w:tcPr>
            <w:tcW w:w="1039" w:type="dxa"/>
          </w:tcPr>
          <w:p w14:paraId="5996401B" w14:textId="77777777" w:rsidR="006046D2" w:rsidRPr="00B76053" w:rsidRDefault="00B04762">
            <w:pPr>
              <w:rPr>
                <w:rFonts w:cs="Times New Roman"/>
              </w:rPr>
            </w:pPr>
            <w:r w:rsidRPr="00B76053">
              <w:rPr>
                <w:rFonts w:cs="Times New Roman"/>
              </w:rPr>
              <w:t>1.251</w:t>
            </w:r>
          </w:p>
        </w:tc>
        <w:tc>
          <w:tcPr>
            <w:tcW w:w="983" w:type="dxa"/>
          </w:tcPr>
          <w:p w14:paraId="742640C5" w14:textId="77777777" w:rsidR="006046D2" w:rsidRPr="00B76053" w:rsidRDefault="00B04762">
            <w:pPr>
              <w:rPr>
                <w:rFonts w:cs="Times New Roman"/>
              </w:rPr>
            </w:pPr>
            <w:r w:rsidRPr="00B76053">
              <w:rPr>
                <w:rFonts w:cs="Times New Roman"/>
              </w:rPr>
              <w:t>0.115</w:t>
            </w:r>
          </w:p>
        </w:tc>
      </w:tr>
      <w:tr w:rsidR="000B15D0" w:rsidRPr="00B76053" w14:paraId="72A1E76C" w14:textId="77777777" w:rsidTr="000B15D0">
        <w:tc>
          <w:tcPr>
            <w:tcW w:w="2184" w:type="dxa"/>
          </w:tcPr>
          <w:p w14:paraId="75FF66A0" w14:textId="77777777" w:rsidR="006046D2" w:rsidRPr="00B76053" w:rsidRDefault="00B04762">
            <w:pPr>
              <w:rPr>
                <w:rFonts w:cs="Times New Roman"/>
              </w:rPr>
            </w:pPr>
            <w:r w:rsidRPr="00B76053">
              <w:rPr>
                <w:rFonts w:cs="Times New Roman"/>
              </w:rPr>
              <w:t xml:space="preserve">Better Home &amp; Finance Holding </w:t>
            </w:r>
            <w:r w:rsidRPr="00B76053">
              <w:rPr>
                <w:rFonts w:cs="Times New Roman"/>
              </w:rPr>
              <w:lastRenderedPageBreak/>
              <w:t>Company</w:t>
            </w:r>
          </w:p>
        </w:tc>
        <w:tc>
          <w:tcPr>
            <w:tcW w:w="804" w:type="dxa"/>
          </w:tcPr>
          <w:p w14:paraId="62111151" w14:textId="77777777" w:rsidR="006046D2" w:rsidRPr="00B76053" w:rsidRDefault="00B04762">
            <w:pPr>
              <w:rPr>
                <w:rFonts w:cs="Times New Roman"/>
              </w:rPr>
            </w:pPr>
            <w:r w:rsidRPr="00B76053">
              <w:rPr>
                <w:rFonts w:cs="Times New Roman"/>
              </w:rPr>
              <w:lastRenderedPageBreak/>
              <w:t>2022</w:t>
            </w:r>
          </w:p>
        </w:tc>
        <w:tc>
          <w:tcPr>
            <w:tcW w:w="1260" w:type="dxa"/>
          </w:tcPr>
          <w:p w14:paraId="43D240BE" w14:textId="77777777" w:rsidR="006046D2" w:rsidRPr="00B76053" w:rsidRDefault="00B04762">
            <w:pPr>
              <w:rPr>
                <w:rFonts w:cs="Times New Roman"/>
              </w:rPr>
            </w:pPr>
            <w:r w:rsidRPr="00B76053">
              <w:rPr>
                <w:rFonts w:cs="Times New Roman"/>
              </w:rPr>
              <w:t>378.0</w:t>
            </w:r>
          </w:p>
        </w:tc>
        <w:tc>
          <w:tcPr>
            <w:tcW w:w="1170" w:type="dxa"/>
          </w:tcPr>
          <w:p w14:paraId="740A9D93" w14:textId="77777777" w:rsidR="006046D2" w:rsidRPr="00B76053" w:rsidRDefault="00B04762">
            <w:pPr>
              <w:rPr>
                <w:rFonts w:cs="Times New Roman"/>
              </w:rPr>
            </w:pPr>
            <w:r w:rsidRPr="00B76053">
              <w:rPr>
                <w:rFonts w:cs="Times New Roman"/>
              </w:rPr>
              <w:t>1,236.9</w:t>
            </w:r>
          </w:p>
        </w:tc>
        <w:tc>
          <w:tcPr>
            <w:tcW w:w="1260" w:type="dxa"/>
          </w:tcPr>
          <w:p w14:paraId="564C0776" w14:textId="77777777" w:rsidR="006046D2" w:rsidRPr="00B76053" w:rsidRDefault="00B04762">
            <w:pPr>
              <w:rPr>
                <w:rFonts w:cs="Times New Roman"/>
              </w:rPr>
            </w:pPr>
            <w:r w:rsidRPr="00B76053">
              <w:rPr>
                <w:rFonts w:cs="Times New Roman"/>
              </w:rPr>
              <w:t>(877.1)</w:t>
            </w:r>
          </w:p>
        </w:tc>
        <w:tc>
          <w:tcPr>
            <w:tcW w:w="876" w:type="dxa"/>
          </w:tcPr>
          <w:p w14:paraId="3DC72BD5" w14:textId="77777777" w:rsidR="006046D2" w:rsidRPr="00B76053" w:rsidRDefault="00B04762">
            <w:pPr>
              <w:rPr>
                <w:rFonts w:cs="Times New Roman"/>
              </w:rPr>
            </w:pPr>
            <w:r w:rsidRPr="00B76053">
              <w:rPr>
                <w:rFonts w:cs="Times New Roman"/>
              </w:rPr>
              <w:t>2,100</w:t>
            </w:r>
          </w:p>
        </w:tc>
        <w:tc>
          <w:tcPr>
            <w:tcW w:w="1039" w:type="dxa"/>
          </w:tcPr>
          <w:p w14:paraId="1CE96EC9" w14:textId="77777777" w:rsidR="006046D2" w:rsidRPr="00B76053" w:rsidRDefault="00B04762">
            <w:pPr>
              <w:rPr>
                <w:rFonts w:cs="Times New Roman"/>
              </w:rPr>
            </w:pPr>
            <w:r w:rsidRPr="00B76053">
              <w:rPr>
                <w:rFonts w:cs="Times New Roman"/>
              </w:rPr>
              <w:t>3.272</w:t>
            </w:r>
          </w:p>
        </w:tc>
        <w:tc>
          <w:tcPr>
            <w:tcW w:w="983" w:type="dxa"/>
          </w:tcPr>
          <w:p w14:paraId="424BD7C8" w14:textId="77777777" w:rsidR="006046D2" w:rsidRPr="00B76053" w:rsidRDefault="00B04762">
            <w:pPr>
              <w:rPr>
                <w:rFonts w:cs="Times New Roman"/>
              </w:rPr>
            </w:pPr>
            <w:r w:rsidRPr="00B76053">
              <w:rPr>
                <w:rFonts w:cs="Times New Roman"/>
              </w:rPr>
              <w:t>0.180</w:t>
            </w:r>
          </w:p>
        </w:tc>
      </w:tr>
      <w:tr w:rsidR="000B15D0" w:rsidRPr="00B76053" w14:paraId="596BAE1A" w14:textId="77777777" w:rsidTr="000B15D0">
        <w:tc>
          <w:tcPr>
            <w:tcW w:w="2184" w:type="dxa"/>
          </w:tcPr>
          <w:p w14:paraId="48381D49" w14:textId="77777777" w:rsidR="006046D2" w:rsidRPr="00B76053" w:rsidRDefault="00B04762">
            <w:pPr>
              <w:rPr>
                <w:rFonts w:cs="Times New Roman"/>
              </w:rPr>
            </w:pPr>
            <w:r w:rsidRPr="00B76053">
              <w:rPr>
                <w:rFonts w:cs="Times New Roman"/>
              </w:rPr>
              <w:t>Better Home &amp; Finance Holding Company</w:t>
            </w:r>
          </w:p>
        </w:tc>
        <w:tc>
          <w:tcPr>
            <w:tcW w:w="804" w:type="dxa"/>
          </w:tcPr>
          <w:p w14:paraId="2BC84785" w14:textId="77777777" w:rsidR="006046D2" w:rsidRPr="00B76053" w:rsidRDefault="00B04762">
            <w:pPr>
              <w:rPr>
                <w:rFonts w:cs="Times New Roman"/>
              </w:rPr>
            </w:pPr>
            <w:r w:rsidRPr="00B76053">
              <w:rPr>
                <w:rFonts w:cs="Times New Roman"/>
              </w:rPr>
              <w:t>2023</w:t>
            </w:r>
          </w:p>
        </w:tc>
        <w:tc>
          <w:tcPr>
            <w:tcW w:w="1260" w:type="dxa"/>
          </w:tcPr>
          <w:p w14:paraId="3D6C9687" w14:textId="77777777" w:rsidR="006046D2" w:rsidRPr="00B76053" w:rsidRDefault="00B04762">
            <w:pPr>
              <w:rPr>
                <w:rFonts w:cs="Times New Roman"/>
              </w:rPr>
            </w:pPr>
            <w:r w:rsidRPr="00B76053">
              <w:rPr>
                <w:rFonts w:cs="Times New Roman"/>
              </w:rPr>
              <w:t>76.8</w:t>
            </w:r>
          </w:p>
        </w:tc>
        <w:tc>
          <w:tcPr>
            <w:tcW w:w="1170" w:type="dxa"/>
          </w:tcPr>
          <w:p w14:paraId="09D79163" w14:textId="77777777" w:rsidR="006046D2" w:rsidRPr="00B76053" w:rsidRDefault="00B04762">
            <w:pPr>
              <w:rPr>
                <w:rFonts w:cs="Times New Roman"/>
              </w:rPr>
            </w:pPr>
            <w:r w:rsidRPr="00B76053">
              <w:rPr>
                <w:rFonts w:cs="Times New Roman"/>
              </w:rPr>
              <w:t>368.1</w:t>
            </w:r>
          </w:p>
        </w:tc>
        <w:tc>
          <w:tcPr>
            <w:tcW w:w="1260" w:type="dxa"/>
          </w:tcPr>
          <w:p w14:paraId="2DF13C5D" w14:textId="77777777" w:rsidR="006046D2" w:rsidRPr="00B76053" w:rsidRDefault="00B04762">
            <w:pPr>
              <w:rPr>
                <w:rFonts w:cs="Times New Roman"/>
              </w:rPr>
            </w:pPr>
            <w:r w:rsidRPr="00B76053">
              <w:rPr>
                <w:rFonts w:cs="Times New Roman"/>
              </w:rPr>
              <w:t>(536.4)</w:t>
            </w:r>
          </w:p>
        </w:tc>
        <w:tc>
          <w:tcPr>
            <w:tcW w:w="876" w:type="dxa"/>
          </w:tcPr>
          <w:p w14:paraId="1AA57482" w14:textId="77777777" w:rsidR="006046D2" w:rsidRPr="00B76053" w:rsidRDefault="00B04762">
            <w:pPr>
              <w:rPr>
                <w:rFonts w:cs="Times New Roman"/>
              </w:rPr>
            </w:pPr>
            <w:r w:rsidRPr="00B76053">
              <w:rPr>
                <w:rFonts w:cs="Times New Roman"/>
              </w:rPr>
              <w:t>820</w:t>
            </w:r>
          </w:p>
        </w:tc>
        <w:tc>
          <w:tcPr>
            <w:tcW w:w="1039" w:type="dxa"/>
          </w:tcPr>
          <w:p w14:paraId="587365F5" w14:textId="77777777" w:rsidR="006046D2" w:rsidRPr="00B76053" w:rsidRDefault="00B04762">
            <w:pPr>
              <w:rPr>
                <w:rFonts w:cs="Times New Roman"/>
              </w:rPr>
            </w:pPr>
            <w:r w:rsidRPr="00B76053">
              <w:rPr>
                <w:rFonts w:cs="Times New Roman"/>
              </w:rPr>
              <w:t>4.792</w:t>
            </w:r>
          </w:p>
        </w:tc>
        <w:tc>
          <w:tcPr>
            <w:tcW w:w="983" w:type="dxa"/>
          </w:tcPr>
          <w:p w14:paraId="5E1B53D3" w14:textId="77777777" w:rsidR="006046D2" w:rsidRPr="00B76053" w:rsidRDefault="00B04762">
            <w:pPr>
              <w:rPr>
                <w:rFonts w:cs="Times New Roman"/>
              </w:rPr>
            </w:pPr>
            <w:r w:rsidRPr="00B76053">
              <w:rPr>
                <w:rFonts w:cs="Times New Roman"/>
              </w:rPr>
              <w:t>0.094</w:t>
            </w:r>
          </w:p>
        </w:tc>
      </w:tr>
      <w:tr w:rsidR="000B15D0" w:rsidRPr="00B76053" w14:paraId="64B3A937" w14:textId="77777777" w:rsidTr="000B15D0">
        <w:tc>
          <w:tcPr>
            <w:tcW w:w="2184" w:type="dxa"/>
          </w:tcPr>
          <w:p w14:paraId="1302FD3B" w14:textId="77777777" w:rsidR="006046D2" w:rsidRPr="00B76053" w:rsidRDefault="00B04762">
            <w:pPr>
              <w:rPr>
                <w:rFonts w:cs="Times New Roman"/>
              </w:rPr>
            </w:pPr>
            <w:r w:rsidRPr="00B76053">
              <w:rPr>
                <w:rFonts w:cs="Times New Roman"/>
              </w:rPr>
              <w:t>Better Home &amp; Finance Holding Company</w:t>
            </w:r>
          </w:p>
        </w:tc>
        <w:tc>
          <w:tcPr>
            <w:tcW w:w="804" w:type="dxa"/>
          </w:tcPr>
          <w:p w14:paraId="74B9757B" w14:textId="77777777" w:rsidR="006046D2" w:rsidRPr="00B76053" w:rsidRDefault="00B04762">
            <w:pPr>
              <w:rPr>
                <w:rFonts w:cs="Times New Roman"/>
              </w:rPr>
            </w:pPr>
            <w:r w:rsidRPr="00B76053">
              <w:rPr>
                <w:rFonts w:cs="Times New Roman"/>
              </w:rPr>
              <w:t>2024</w:t>
            </w:r>
          </w:p>
        </w:tc>
        <w:tc>
          <w:tcPr>
            <w:tcW w:w="1260" w:type="dxa"/>
          </w:tcPr>
          <w:p w14:paraId="09DCE09B" w14:textId="77777777" w:rsidR="006046D2" w:rsidRPr="00B76053" w:rsidRDefault="00B04762">
            <w:pPr>
              <w:rPr>
                <w:rFonts w:cs="Times New Roman"/>
              </w:rPr>
            </w:pPr>
            <w:r w:rsidRPr="00B76053">
              <w:rPr>
                <w:rFonts w:cs="Times New Roman"/>
              </w:rPr>
              <w:t>108.5</w:t>
            </w:r>
          </w:p>
        </w:tc>
        <w:tc>
          <w:tcPr>
            <w:tcW w:w="1170" w:type="dxa"/>
          </w:tcPr>
          <w:p w14:paraId="79A14397" w14:textId="77777777" w:rsidR="006046D2" w:rsidRPr="00B76053" w:rsidRDefault="00B04762">
            <w:pPr>
              <w:rPr>
                <w:rFonts w:cs="Times New Roman"/>
              </w:rPr>
            </w:pPr>
            <w:r w:rsidRPr="00B76053">
              <w:rPr>
                <w:rFonts w:cs="Times New Roman"/>
              </w:rPr>
              <w:t>313.9</w:t>
            </w:r>
          </w:p>
        </w:tc>
        <w:tc>
          <w:tcPr>
            <w:tcW w:w="1260" w:type="dxa"/>
          </w:tcPr>
          <w:p w14:paraId="3AAAFB48" w14:textId="77777777" w:rsidR="006046D2" w:rsidRPr="00B76053" w:rsidRDefault="00B04762">
            <w:pPr>
              <w:rPr>
                <w:rFonts w:cs="Times New Roman"/>
              </w:rPr>
            </w:pPr>
            <w:r w:rsidRPr="00B76053">
              <w:rPr>
                <w:rFonts w:cs="Times New Roman"/>
              </w:rPr>
              <w:t>(206.3)</w:t>
            </w:r>
          </w:p>
        </w:tc>
        <w:tc>
          <w:tcPr>
            <w:tcW w:w="876" w:type="dxa"/>
          </w:tcPr>
          <w:p w14:paraId="4C76C3B6" w14:textId="77777777" w:rsidR="006046D2" w:rsidRPr="00B76053" w:rsidRDefault="00B04762">
            <w:pPr>
              <w:rPr>
                <w:rFonts w:cs="Times New Roman"/>
              </w:rPr>
            </w:pPr>
            <w:r w:rsidRPr="00B76053">
              <w:rPr>
                <w:rFonts w:cs="Times New Roman"/>
              </w:rPr>
              <w:t>1,250</w:t>
            </w:r>
          </w:p>
        </w:tc>
        <w:tc>
          <w:tcPr>
            <w:tcW w:w="1039" w:type="dxa"/>
          </w:tcPr>
          <w:p w14:paraId="033EECB2" w14:textId="77777777" w:rsidR="006046D2" w:rsidRPr="00B76053" w:rsidRDefault="00B04762">
            <w:pPr>
              <w:rPr>
                <w:rFonts w:cs="Times New Roman"/>
              </w:rPr>
            </w:pPr>
            <w:r w:rsidRPr="00B76053">
              <w:rPr>
                <w:rFonts w:cs="Times New Roman"/>
              </w:rPr>
              <w:t>2.894</w:t>
            </w:r>
          </w:p>
        </w:tc>
        <w:tc>
          <w:tcPr>
            <w:tcW w:w="983" w:type="dxa"/>
          </w:tcPr>
          <w:p w14:paraId="200B1865" w14:textId="77777777" w:rsidR="006046D2" w:rsidRPr="00B76053" w:rsidRDefault="00B04762">
            <w:pPr>
              <w:rPr>
                <w:rFonts w:cs="Times New Roman"/>
              </w:rPr>
            </w:pPr>
            <w:r w:rsidRPr="00B76053">
              <w:rPr>
                <w:rFonts w:cs="Times New Roman"/>
              </w:rPr>
              <w:t>0.087</w:t>
            </w:r>
          </w:p>
        </w:tc>
      </w:tr>
      <w:tr w:rsidR="000B15D0" w:rsidRPr="00B76053" w14:paraId="0DA8334F" w14:textId="77777777" w:rsidTr="000B15D0">
        <w:tc>
          <w:tcPr>
            <w:tcW w:w="2184" w:type="dxa"/>
          </w:tcPr>
          <w:p w14:paraId="5B6FA19C" w14:textId="77777777" w:rsidR="006046D2" w:rsidRPr="00B76053" w:rsidRDefault="00B04762">
            <w:pPr>
              <w:rPr>
                <w:rFonts w:cs="Times New Roman"/>
              </w:rPr>
            </w:pPr>
            <w:r w:rsidRPr="00B76053">
              <w:rPr>
                <w:rFonts w:cs="Times New Roman"/>
              </w:rPr>
              <w:t>Better Home &amp; Finance Holding Company</w:t>
            </w:r>
          </w:p>
        </w:tc>
        <w:tc>
          <w:tcPr>
            <w:tcW w:w="804" w:type="dxa"/>
          </w:tcPr>
          <w:p w14:paraId="6497B676" w14:textId="77777777" w:rsidR="006046D2" w:rsidRPr="00B76053" w:rsidRDefault="00B04762">
            <w:pPr>
              <w:rPr>
                <w:rFonts w:cs="Times New Roman"/>
              </w:rPr>
            </w:pPr>
            <w:r w:rsidRPr="00B76053">
              <w:rPr>
                <w:rFonts w:cs="Times New Roman"/>
              </w:rPr>
              <w:t>2025</w:t>
            </w:r>
          </w:p>
        </w:tc>
        <w:tc>
          <w:tcPr>
            <w:tcW w:w="1260" w:type="dxa"/>
          </w:tcPr>
          <w:p w14:paraId="2B3FB013" w14:textId="77777777" w:rsidR="006046D2" w:rsidRPr="00B76053" w:rsidRDefault="00B04762">
            <w:pPr>
              <w:rPr>
                <w:rFonts w:cs="Times New Roman"/>
              </w:rPr>
            </w:pPr>
            <w:r w:rsidRPr="00B76053">
              <w:rPr>
                <w:rFonts w:cs="Times New Roman"/>
              </w:rPr>
              <w:t>164.9</w:t>
            </w:r>
          </w:p>
        </w:tc>
        <w:tc>
          <w:tcPr>
            <w:tcW w:w="1170" w:type="dxa"/>
          </w:tcPr>
          <w:p w14:paraId="45528F43" w14:textId="77777777" w:rsidR="006046D2" w:rsidRPr="00B76053" w:rsidRDefault="00B04762">
            <w:pPr>
              <w:rPr>
                <w:rFonts w:cs="Times New Roman"/>
              </w:rPr>
            </w:pPr>
            <w:r w:rsidRPr="00B76053">
              <w:rPr>
                <w:rFonts w:cs="Times New Roman"/>
              </w:rPr>
              <w:t>330.7</w:t>
            </w:r>
          </w:p>
        </w:tc>
        <w:tc>
          <w:tcPr>
            <w:tcW w:w="1260" w:type="dxa"/>
          </w:tcPr>
          <w:p w14:paraId="0B4EC653" w14:textId="77777777" w:rsidR="006046D2" w:rsidRPr="00B76053" w:rsidRDefault="00B04762">
            <w:pPr>
              <w:rPr>
                <w:rFonts w:cs="Times New Roman"/>
              </w:rPr>
            </w:pPr>
            <w:r w:rsidRPr="00B76053">
              <w:rPr>
                <w:rFonts w:cs="Times New Roman"/>
              </w:rPr>
              <w:t>(165.9)</w:t>
            </w:r>
          </w:p>
        </w:tc>
        <w:tc>
          <w:tcPr>
            <w:tcW w:w="876" w:type="dxa"/>
          </w:tcPr>
          <w:p w14:paraId="681B0E7B" w14:textId="77777777" w:rsidR="006046D2" w:rsidRPr="00B76053" w:rsidRDefault="00B04762">
            <w:pPr>
              <w:rPr>
                <w:rFonts w:cs="Times New Roman"/>
              </w:rPr>
            </w:pPr>
            <w:r w:rsidRPr="00B76053">
              <w:rPr>
                <w:rFonts w:cs="Times New Roman"/>
              </w:rPr>
              <w:t>1,329</w:t>
            </w:r>
          </w:p>
        </w:tc>
        <w:tc>
          <w:tcPr>
            <w:tcW w:w="1039" w:type="dxa"/>
          </w:tcPr>
          <w:p w14:paraId="71076497" w14:textId="77777777" w:rsidR="006046D2" w:rsidRPr="00B76053" w:rsidRDefault="00B04762">
            <w:pPr>
              <w:rPr>
                <w:rFonts w:cs="Times New Roman"/>
              </w:rPr>
            </w:pPr>
            <w:r w:rsidRPr="00B76053">
              <w:rPr>
                <w:rFonts w:cs="Times New Roman"/>
              </w:rPr>
              <w:t>2.006</w:t>
            </w:r>
          </w:p>
        </w:tc>
        <w:tc>
          <w:tcPr>
            <w:tcW w:w="983" w:type="dxa"/>
          </w:tcPr>
          <w:p w14:paraId="43AAE1E0" w14:textId="77777777" w:rsidR="006046D2" w:rsidRPr="00B76053" w:rsidRDefault="00B04762">
            <w:pPr>
              <w:rPr>
                <w:rFonts w:cs="Times New Roman"/>
              </w:rPr>
            </w:pPr>
            <w:r w:rsidRPr="00B76053">
              <w:rPr>
                <w:rFonts w:cs="Times New Roman"/>
              </w:rPr>
              <w:t>0.124</w:t>
            </w:r>
          </w:p>
        </w:tc>
      </w:tr>
      <w:tr w:rsidR="000B15D0" w:rsidRPr="00B76053" w14:paraId="0EC9ECE6" w14:textId="77777777" w:rsidTr="000B15D0">
        <w:tc>
          <w:tcPr>
            <w:tcW w:w="2184" w:type="dxa"/>
          </w:tcPr>
          <w:p w14:paraId="08C50484" w14:textId="77777777" w:rsidR="006046D2" w:rsidRPr="00B76053" w:rsidRDefault="00B04762">
            <w:pPr>
              <w:rPr>
                <w:rFonts w:cs="Times New Roman"/>
              </w:rPr>
            </w:pPr>
            <w:r w:rsidRPr="00B76053">
              <w:rPr>
                <w:rFonts w:cs="Times New Roman"/>
              </w:rPr>
              <w:t>Rocket Companies, Inc.</w:t>
            </w:r>
          </w:p>
        </w:tc>
        <w:tc>
          <w:tcPr>
            <w:tcW w:w="804" w:type="dxa"/>
          </w:tcPr>
          <w:p w14:paraId="094AF2E1" w14:textId="77777777" w:rsidR="006046D2" w:rsidRPr="00B76053" w:rsidRDefault="00B04762">
            <w:pPr>
              <w:rPr>
                <w:rFonts w:cs="Times New Roman"/>
              </w:rPr>
            </w:pPr>
            <w:r w:rsidRPr="00B76053">
              <w:rPr>
                <w:rFonts w:cs="Times New Roman"/>
              </w:rPr>
              <w:t>2018</w:t>
            </w:r>
          </w:p>
        </w:tc>
        <w:tc>
          <w:tcPr>
            <w:tcW w:w="1260" w:type="dxa"/>
          </w:tcPr>
          <w:p w14:paraId="1B545AB0" w14:textId="77777777" w:rsidR="006046D2" w:rsidRPr="00B76053" w:rsidRDefault="00B04762">
            <w:pPr>
              <w:rPr>
                <w:rFonts w:cs="Times New Roman"/>
              </w:rPr>
            </w:pPr>
            <w:r w:rsidRPr="00B76053">
              <w:rPr>
                <w:rFonts w:cs="Times New Roman"/>
              </w:rPr>
              <w:t>4,200.0</w:t>
            </w:r>
          </w:p>
        </w:tc>
        <w:tc>
          <w:tcPr>
            <w:tcW w:w="1170" w:type="dxa"/>
          </w:tcPr>
          <w:p w14:paraId="0E27C737" w14:textId="77777777" w:rsidR="006046D2" w:rsidRPr="00B76053" w:rsidRDefault="00B04762">
            <w:pPr>
              <w:rPr>
                <w:rFonts w:cs="Times New Roman"/>
              </w:rPr>
            </w:pPr>
            <w:r w:rsidRPr="00B76053">
              <w:rPr>
                <w:rFonts w:cs="Times New Roman"/>
              </w:rPr>
              <w:t>3,600.0</w:t>
            </w:r>
          </w:p>
        </w:tc>
        <w:tc>
          <w:tcPr>
            <w:tcW w:w="1260" w:type="dxa"/>
          </w:tcPr>
          <w:p w14:paraId="27124214" w14:textId="77777777" w:rsidR="006046D2" w:rsidRPr="00B76053" w:rsidRDefault="00B04762">
            <w:pPr>
              <w:rPr>
                <w:rFonts w:cs="Times New Roman"/>
              </w:rPr>
            </w:pPr>
            <w:r w:rsidRPr="00B76053">
              <w:rPr>
                <w:rFonts w:cs="Times New Roman"/>
              </w:rPr>
              <w:t>600.0</w:t>
            </w:r>
          </w:p>
        </w:tc>
        <w:tc>
          <w:tcPr>
            <w:tcW w:w="876" w:type="dxa"/>
          </w:tcPr>
          <w:p w14:paraId="027DBC7B" w14:textId="77777777" w:rsidR="006046D2" w:rsidRPr="00B76053" w:rsidRDefault="00B04762">
            <w:pPr>
              <w:rPr>
                <w:rFonts w:cs="Times New Roman"/>
              </w:rPr>
            </w:pPr>
            <w:r w:rsidRPr="00B76053">
              <w:rPr>
                <w:rFonts w:cs="Times New Roman"/>
              </w:rPr>
              <w:t>26,000</w:t>
            </w:r>
          </w:p>
        </w:tc>
        <w:tc>
          <w:tcPr>
            <w:tcW w:w="1039" w:type="dxa"/>
          </w:tcPr>
          <w:p w14:paraId="2CB46B8A" w14:textId="77777777" w:rsidR="006046D2" w:rsidRPr="00B76053" w:rsidRDefault="00B04762">
            <w:pPr>
              <w:rPr>
                <w:rFonts w:cs="Times New Roman"/>
              </w:rPr>
            </w:pPr>
            <w:r w:rsidRPr="00B76053">
              <w:rPr>
                <w:rFonts w:cs="Times New Roman"/>
              </w:rPr>
              <w:t>0.857</w:t>
            </w:r>
          </w:p>
        </w:tc>
        <w:tc>
          <w:tcPr>
            <w:tcW w:w="983" w:type="dxa"/>
          </w:tcPr>
          <w:p w14:paraId="208E5119" w14:textId="77777777" w:rsidR="006046D2" w:rsidRPr="00B76053" w:rsidRDefault="00B04762">
            <w:pPr>
              <w:rPr>
                <w:rFonts w:cs="Times New Roman"/>
              </w:rPr>
            </w:pPr>
            <w:r w:rsidRPr="00B76053">
              <w:rPr>
                <w:rFonts w:cs="Times New Roman"/>
              </w:rPr>
              <w:t>0.162</w:t>
            </w:r>
          </w:p>
        </w:tc>
      </w:tr>
      <w:tr w:rsidR="000B15D0" w:rsidRPr="00B76053" w14:paraId="4ABB5247" w14:textId="77777777" w:rsidTr="000B15D0">
        <w:tc>
          <w:tcPr>
            <w:tcW w:w="2184" w:type="dxa"/>
          </w:tcPr>
          <w:p w14:paraId="7391EB99" w14:textId="77777777" w:rsidR="006046D2" w:rsidRPr="00B76053" w:rsidRDefault="00B04762">
            <w:pPr>
              <w:rPr>
                <w:rFonts w:cs="Times New Roman"/>
              </w:rPr>
            </w:pPr>
            <w:r w:rsidRPr="00B76053">
              <w:rPr>
                <w:rFonts w:cs="Times New Roman"/>
              </w:rPr>
              <w:t>Rocket Companies, Inc.</w:t>
            </w:r>
          </w:p>
        </w:tc>
        <w:tc>
          <w:tcPr>
            <w:tcW w:w="804" w:type="dxa"/>
          </w:tcPr>
          <w:p w14:paraId="400847B1" w14:textId="77777777" w:rsidR="006046D2" w:rsidRPr="00B76053" w:rsidRDefault="00B04762">
            <w:pPr>
              <w:rPr>
                <w:rFonts w:cs="Times New Roman"/>
              </w:rPr>
            </w:pPr>
            <w:r w:rsidRPr="00B76053">
              <w:rPr>
                <w:rFonts w:cs="Times New Roman"/>
              </w:rPr>
              <w:t>2019</w:t>
            </w:r>
          </w:p>
        </w:tc>
        <w:tc>
          <w:tcPr>
            <w:tcW w:w="1260" w:type="dxa"/>
          </w:tcPr>
          <w:p w14:paraId="18B31590" w14:textId="77777777" w:rsidR="006046D2" w:rsidRPr="00B76053" w:rsidRDefault="00B04762">
            <w:pPr>
              <w:rPr>
                <w:rFonts w:cs="Times New Roman"/>
              </w:rPr>
            </w:pPr>
            <w:r w:rsidRPr="00B76053">
              <w:rPr>
                <w:rFonts w:cs="Times New Roman"/>
              </w:rPr>
              <w:t>5,100.0</w:t>
            </w:r>
          </w:p>
        </w:tc>
        <w:tc>
          <w:tcPr>
            <w:tcW w:w="1170" w:type="dxa"/>
          </w:tcPr>
          <w:p w14:paraId="294EFAFF" w14:textId="77777777" w:rsidR="006046D2" w:rsidRPr="00B76053" w:rsidRDefault="00B04762">
            <w:pPr>
              <w:rPr>
                <w:rFonts w:cs="Times New Roman"/>
              </w:rPr>
            </w:pPr>
            <w:r w:rsidRPr="00B76053">
              <w:rPr>
                <w:rFonts w:cs="Times New Roman"/>
              </w:rPr>
              <w:t>4,164.7</w:t>
            </w:r>
          </w:p>
        </w:tc>
        <w:tc>
          <w:tcPr>
            <w:tcW w:w="1260" w:type="dxa"/>
          </w:tcPr>
          <w:p w14:paraId="55FFDFA1" w14:textId="77777777" w:rsidR="006046D2" w:rsidRPr="00B76053" w:rsidRDefault="00B04762">
            <w:pPr>
              <w:rPr>
                <w:rFonts w:cs="Times New Roman"/>
              </w:rPr>
            </w:pPr>
            <w:r w:rsidRPr="00B76053">
              <w:rPr>
                <w:rFonts w:cs="Times New Roman"/>
              </w:rPr>
              <w:t>897.1</w:t>
            </w:r>
          </w:p>
        </w:tc>
        <w:tc>
          <w:tcPr>
            <w:tcW w:w="876" w:type="dxa"/>
          </w:tcPr>
          <w:p w14:paraId="5432F8E8" w14:textId="77777777" w:rsidR="006046D2" w:rsidRPr="00B76053" w:rsidRDefault="00B04762">
            <w:pPr>
              <w:rPr>
                <w:rFonts w:cs="Times New Roman"/>
              </w:rPr>
            </w:pPr>
            <w:r w:rsidRPr="00B76053">
              <w:rPr>
                <w:rFonts w:cs="Times New Roman"/>
              </w:rPr>
              <w:t>26,000</w:t>
            </w:r>
          </w:p>
        </w:tc>
        <w:tc>
          <w:tcPr>
            <w:tcW w:w="1039" w:type="dxa"/>
          </w:tcPr>
          <w:p w14:paraId="4283B8D1" w14:textId="77777777" w:rsidR="006046D2" w:rsidRPr="00B76053" w:rsidRDefault="00B04762">
            <w:pPr>
              <w:rPr>
                <w:rFonts w:cs="Times New Roman"/>
              </w:rPr>
            </w:pPr>
            <w:r w:rsidRPr="00B76053">
              <w:rPr>
                <w:rFonts w:cs="Times New Roman"/>
              </w:rPr>
              <w:t>0.817</w:t>
            </w:r>
          </w:p>
        </w:tc>
        <w:tc>
          <w:tcPr>
            <w:tcW w:w="983" w:type="dxa"/>
          </w:tcPr>
          <w:p w14:paraId="52561047" w14:textId="77777777" w:rsidR="006046D2" w:rsidRPr="00B76053" w:rsidRDefault="00B04762">
            <w:pPr>
              <w:rPr>
                <w:rFonts w:cs="Times New Roman"/>
              </w:rPr>
            </w:pPr>
            <w:r w:rsidRPr="00B76053">
              <w:rPr>
                <w:rFonts w:cs="Times New Roman"/>
              </w:rPr>
              <w:t>0.196</w:t>
            </w:r>
          </w:p>
        </w:tc>
      </w:tr>
      <w:tr w:rsidR="000B15D0" w:rsidRPr="00B76053" w14:paraId="2AF8E147" w14:textId="77777777" w:rsidTr="000B15D0">
        <w:tc>
          <w:tcPr>
            <w:tcW w:w="2184" w:type="dxa"/>
          </w:tcPr>
          <w:p w14:paraId="0F504982" w14:textId="77777777" w:rsidR="006046D2" w:rsidRPr="00B76053" w:rsidRDefault="00B04762">
            <w:pPr>
              <w:rPr>
                <w:rFonts w:cs="Times New Roman"/>
              </w:rPr>
            </w:pPr>
            <w:r w:rsidRPr="00B76053">
              <w:rPr>
                <w:rFonts w:cs="Times New Roman"/>
              </w:rPr>
              <w:t>Rocket Companies, Inc.</w:t>
            </w:r>
          </w:p>
        </w:tc>
        <w:tc>
          <w:tcPr>
            <w:tcW w:w="804" w:type="dxa"/>
          </w:tcPr>
          <w:p w14:paraId="1620C04B" w14:textId="77777777" w:rsidR="006046D2" w:rsidRPr="00B76053" w:rsidRDefault="00B04762">
            <w:pPr>
              <w:rPr>
                <w:rFonts w:cs="Times New Roman"/>
              </w:rPr>
            </w:pPr>
            <w:r w:rsidRPr="00B76053">
              <w:rPr>
                <w:rFonts w:cs="Times New Roman"/>
              </w:rPr>
              <w:t>2020</w:t>
            </w:r>
          </w:p>
        </w:tc>
        <w:tc>
          <w:tcPr>
            <w:tcW w:w="1260" w:type="dxa"/>
          </w:tcPr>
          <w:p w14:paraId="017DBC57" w14:textId="77777777" w:rsidR="006046D2" w:rsidRPr="00B76053" w:rsidRDefault="00B04762">
            <w:pPr>
              <w:rPr>
                <w:rFonts w:cs="Times New Roman"/>
              </w:rPr>
            </w:pPr>
            <w:r w:rsidRPr="00B76053">
              <w:rPr>
                <w:rFonts w:cs="Times New Roman"/>
              </w:rPr>
              <w:t>15,650.1</w:t>
            </w:r>
          </w:p>
        </w:tc>
        <w:tc>
          <w:tcPr>
            <w:tcW w:w="1170" w:type="dxa"/>
          </w:tcPr>
          <w:p w14:paraId="4FAF06D5" w14:textId="77777777" w:rsidR="006046D2" w:rsidRPr="00B76053" w:rsidRDefault="00B04762">
            <w:pPr>
              <w:rPr>
                <w:rFonts w:cs="Times New Roman"/>
              </w:rPr>
            </w:pPr>
            <w:r w:rsidRPr="00B76053">
              <w:rPr>
                <w:rFonts w:cs="Times New Roman"/>
              </w:rPr>
              <w:t>6,118.4</w:t>
            </w:r>
          </w:p>
        </w:tc>
        <w:tc>
          <w:tcPr>
            <w:tcW w:w="1260" w:type="dxa"/>
          </w:tcPr>
          <w:p w14:paraId="08A6002F" w14:textId="77777777" w:rsidR="006046D2" w:rsidRPr="00B76053" w:rsidRDefault="00B04762">
            <w:pPr>
              <w:rPr>
                <w:rFonts w:cs="Times New Roman"/>
              </w:rPr>
            </w:pPr>
            <w:r w:rsidRPr="00B76053">
              <w:rPr>
                <w:rFonts w:cs="Times New Roman"/>
              </w:rPr>
              <w:t>9,399.3</w:t>
            </w:r>
          </w:p>
        </w:tc>
        <w:tc>
          <w:tcPr>
            <w:tcW w:w="876" w:type="dxa"/>
          </w:tcPr>
          <w:p w14:paraId="6361D21B" w14:textId="77777777" w:rsidR="006046D2" w:rsidRPr="00B76053" w:rsidRDefault="00B04762">
            <w:pPr>
              <w:rPr>
                <w:rFonts w:cs="Times New Roman"/>
              </w:rPr>
            </w:pPr>
            <w:r w:rsidRPr="00B76053">
              <w:rPr>
                <w:rFonts w:cs="Times New Roman"/>
              </w:rPr>
              <w:t>26,000</w:t>
            </w:r>
          </w:p>
        </w:tc>
        <w:tc>
          <w:tcPr>
            <w:tcW w:w="1039" w:type="dxa"/>
          </w:tcPr>
          <w:p w14:paraId="3AC63724" w14:textId="77777777" w:rsidR="006046D2" w:rsidRPr="00B76053" w:rsidRDefault="00B04762">
            <w:pPr>
              <w:rPr>
                <w:rFonts w:cs="Times New Roman"/>
              </w:rPr>
            </w:pPr>
            <w:r w:rsidRPr="00B76053">
              <w:rPr>
                <w:rFonts w:cs="Times New Roman"/>
              </w:rPr>
              <w:t>0.391</w:t>
            </w:r>
          </w:p>
        </w:tc>
        <w:tc>
          <w:tcPr>
            <w:tcW w:w="983" w:type="dxa"/>
          </w:tcPr>
          <w:p w14:paraId="613E380B" w14:textId="77777777" w:rsidR="006046D2" w:rsidRPr="00B76053" w:rsidRDefault="00B04762">
            <w:pPr>
              <w:rPr>
                <w:rFonts w:cs="Times New Roman"/>
              </w:rPr>
            </w:pPr>
            <w:r w:rsidRPr="00B76053">
              <w:rPr>
                <w:rFonts w:cs="Times New Roman"/>
              </w:rPr>
              <w:t>0.602</w:t>
            </w:r>
          </w:p>
        </w:tc>
      </w:tr>
      <w:tr w:rsidR="000B15D0" w:rsidRPr="00B76053" w14:paraId="5CA76C11" w14:textId="77777777" w:rsidTr="000B15D0">
        <w:tc>
          <w:tcPr>
            <w:tcW w:w="2184" w:type="dxa"/>
          </w:tcPr>
          <w:p w14:paraId="28E72E1F" w14:textId="77777777" w:rsidR="006046D2" w:rsidRPr="00B76053" w:rsidRDefault="00B04762">
            <w:pPr>
              <w:rPr>
                <w:rFonts w:cs="Times New Roman"/>
              </w:rPr>
            </w:pPr>
            <w:r w:rsidRPr="00B76053">
              <w:rPr>
                <w:rFonts w:cs="Times New Roman"/>
              </w:rPr>
              <w:t>Rocket Companies, Inc.</w:t>
            </w:r>
          </w:p>
        </w:tc>
        <w:tc>
          <w:tcPr>
            <w:tcW w:w="804" w:type="dxa"/>
          </w:tcPr>
          <w:p w14:paraId="47E1201F" w14:textId="77777777" w:rsidR="006046D2" w:rsidRPr="00B76053" w:rsidRDefault="00B04762">
            <w:pPr>
              <w:rPr>
                <w:rFonts w:cs="Times New Roman"/>
              </w:rPr>
            </w:pPr>
            <w:r w:rsidRPr="00B76053">
              <w:rPr>
                <w:rFonts w:cs="Times New Roman"/>
              </w:rPr>
              <w:t>2021</w:t>
            </w:r>
          </w:p>
        </w:tc>
        <w:tc>
          <w:tcPr>
            <w:tcW w:w="1260" w:type="dxa"/>
          </w:tcPr>
          <w:p w14:paraId="229A1C55" w14:textId="77777777" w:rsidR="006046D2" w:rsidRPr="00B76053" w:rsidRDefault="00B04762">
            <w:pPr>
              <w:rPr>
                <w:rFonts w:cs="Times New Roman"/>
              </w:rPr>
            </w:pPr>
            <w:r w:rsidRPr="00B76053">
              <w:rPr>
                <w:rFonts w:cs="Times New Roman"/>
              </w:rPr>
              <w:t>12,914.5</w:t>
            </w:r>
          </w:p>
        </w:tc>
        <w:tc>
          <w:tcPr>
            <w:tcW w:w="1170" w:type="dxa"/>
          </w:tcPr>
          <w:p w14:paraId="0D3D9EE8" w14:textId="77777777" w:rsidR="006046D2" w:rsidRPr="00B76053" w:rsidRDefault="00B04762">
            <w:pPr>
              <w:rPr>
                <w:rFonts w:cs="Times New Roman"/>
              </w:rPr>
            </w:pPr>
            <w:r w:rsidRPr="00B76053">
              <w:rPr>
                <w:rFonts w:cs="Times New Roman"/>
              </w:rPr>
              <w:t>6,729.6</w:t>
            </w:r>
          </w:p>
        </w:tc>
        <w:tc>
          <w:tcPr>
            <w:tcW w:w="1260" w:type="dxa"/>
          </w:tcPr>
          <w:p w14:paraId="1005DC56" w14:textId="77777777" w:rsidR="006046D2" w:rsidRPr="00B76053" w:rsidRDefault="00B04762">
            <w:pPr>
              <w:rPr>
                <w:rFonts w:cs="Times New Roman"/>
              </w:rPr>
            </w:pPr>
            <w:r w:rsidRPr="00B76053">
              <w:rPr>
                <w:rFonts w:cs="Times New Roman"/>
              </w:rPr>
              <w:t>6,072.2</w:t>
            </w:r>
          </w:p>
        </w:tc>
        <w:tc>
          <w:tcPr>
            <w:tcW w:w="876" w:type="dxa"/>
          </w:tcPr>
          <w:p w14:paraId="4BE28F9B" w14:textId="77777777" w:rsidR="006046D2" w:rsidRPr="00B76053" w:rsidRDefault="00B04762">
            <w:pPr>
              <w:rPr>
                <w:rFonts w:cs="Times New Roman"/>
              </w:rPr>
            </w:pPr>
            <w:r w:rsidRPr="00B76053">
              <w:rPr>
                <w:rFonts w:cs="Times New Roman"/>
              </w:rPr>
              <w:t>26,000</w:t>
            </w:r>
          </w:p>
        </w:tc>
        <w:tc>
          <w:tcPr>
            <w:tcW w:w="1039" w:type="dxa"/>
          </w:tcPr>
          <w:p w14:paraId="4DAC0845" w14:textId="77777777" w:rsidR="006046D2" w:rsidRPr="00B76053" w:rsidRDefault="00B04762">
            <w:pPr>
              <w:rPr>
                <w:rFonts w:cs="Times New Roman"/>
              </w:rPr>
            </w:pPr>
            <w:r w:rsidRPr="00B76053">
              <w:rPr>
                <w:rFonts w:cs="Times New Roman"/>
              </w:rPr>
              <w:t>0.521</w:t>
            </w:r>
          </w:p>
        </w:tc>
        <w:tc>
          <w:tcPr>
            <w:tcW w:w="983" w:type="dxa"/>
          </w:tcPr>
          <w:p w14:paraId="5BC62C89" w14:textId="77777777" w:rsidR="006046D2" w:rsidRPr="00B76053" w:rsidRDefault="00B04762">
            <w:pPr>
              <w:rPr>
                <w:rFonts w:cs="Times New Roman"/>
              </w:rPr>
            </w:pPr>
            <w:r w:rsidRPr="00B76053">
              <w:rPr>
                <w:rFonts w:cs="Times New Roman"/>
              </w:rPr>
              <w:t>0.497</w:t>
            </w:r>
          </w:p>
        </w:tc>
      </w:tr>
      <w:tr w:rsidR="000B15D0" w:rsidRPr="00B76053" w14:paraId="4AD7B18C" w14:textId="77777777" w:rsidTr="000B15D0">
        <w:tc>
          <w:tcPr>
            <w:tcW w:w="2184" w:type="dxa"/>
          </w:tcPr>
          <w:p w14:paraId="1DE9C263" w14:textId="77777777" w:rsidR="006046D2" w:rsidRPr="00B76053" w:rsidRDefault="00B04762">
            <w:pPr>
              <w:rPr>
                <w:rFonts w:cs="Times New Roman"/>
              </w:rPr>
            </w:pPr>
            <w:r w:rsidRPr="00B76053">
              <w:rPr>
                <w:rFonts w:cs="Times New Roman"/>
              </w:rPr>
              <w:t>Rocket Companies, Inc.</w:t>
            </w:r>
          </w:p>
        </w:tc>
        <w:tc>
          <w:tcPr>
            <w:tcW w:w="804" w:type="dxa"/>
          </w:tcPr>
          <w:p w14:paraId="2BD30D42" w14:textId="77777777" w:rsidR="006046D2" w:rsidRPr="00B76053" w:rsidRDefault="00B04762">
            <w:pPr>
              <w:rPr>
                <w:rFonts w:cs="Times New Roman"/>
              </w:rPr>
            </w:pPr>
            <w:r w:rsidRPr="00B76053">
              <w:rPr>
                <w:rFonts w:cs="Times New Roman"/>
              </w:rPr>
              <w:t>2022</w:t>
            </w:r>
          </w:p>
        </w:tc>
        <w:tc>
          <w:tcPr>
            <w:tcW w:w="1260" w:type="dxa"/>
          </w:tcPr>
          <w:p w14:paraId="5AB066C8" w14:textId="77777777" w:rsidR="006046D2" w:rsidRPr="00B76053" w:rsidRDefault="00B04762">
            <w:pPr>
              <w:rPr>
                <w:rFonts w:cs="Times New Roman"/>
              </w:rPr>
            </w:pPr>
            <w:r w:rsidRPr="00B76053">
              <w:rPr>
                <w:rFonts w:cs="Times New Roman"/>
              </w:rPr>
              <w:t>5,838.5</w:t>
            </w:r>
          </w:p>
        </w:tc>
        <w:tc>
          <w:tcPr>
            <w:tcW w:w="1170" w:type="dxa"/>
          </w:tcPr>
          <w:p w14:paraId="3C63DD46" w14:textId="77777777" w:rsidR="006046D2" w:rsidRPr="00B76053" w:rsidRDefault="00B04762">
            <w:pPr>
              <w:rPr>
                <w:rFonts w:cs="Times New Roman"/>
              </w:rPr>
            </w:pPr>
            <w:r w:rsidRPr="00B76053">
              <w:rPr>
                <w:rFonts w:cs="Times New Roman"/>
              </w:rPr>
              <w:t>5,096.6</w:t>
            </w:r>
          </w:p>
        </w:tc>
        <w:tc>
          <w:tcPr>
            <w:tcW w:w="1260" w:type="dxa"/>
          </w:tcPr>
          <w:p w14:paraId="5E2C9F5E" w14:textId="77777777" w:rsidR="006046D2" w:rsidRPr="00B76053" w:rsidRDefault="00B04762">
            <w:pPr>
              <w:rPr>
                <w:rFonts w:cs="Times New Roman"/>
              </w:rPr>
            </w:pPr>
            <w:r w:rsidRPr="00B76053">
              <w:rPr>
                <w:rFonts w:cs="Times New Roman"/>
              </w:rPr>
              <w:t>699.9</w:t>
            </w:r>
          </w:p>
        </w:tc>
        <w:tc>
          <w:tcPr>
            <w:tcW w:w="876" w:type="dxa"/>
          </w:tcPr>
          <w:p w14:paraId="70EACA4A" w14:textId="77777777" w:rsidR="006046D2" w:rsidRPr="00B76053" w:rsidRDefault="00B04762">
            <w:pPr>
              <w:rPr>
                <w:rFonts w:cs="Times New Roman"/>
              </w:rPr>
            </w:pPr>
            <w:r w:rsidRPr="00B76053">
              <w:rPr>
                <w:rFonts w:cs="Times New Roman"/>
              </w:rPr>
              <w:t>18,500</w:t>
            </w:r>
          </w:p>
        </w:tc>
        <w:tc>
          <w:tcPr>
            <w:tcW w:w="1039" w:type="dxa"/>
          </w:tcPr>
          <w:p w14:paraId="7A5F5D5C" w14:textId="77777777" w:rsidR="006046D2" w:rsidRPr="00B76053" w:rsidRDefault="00B04762">
            <w:pPr>
              <w:rPr>
                <w:rFonts w:cs="Times New Roman"/>
              </w:rPr>
            </w:pPr>
            <w:r w:rsidRPr="00B76053">
              <w:rPr>
                <w:rFonts w:cs="Times New Roman"/>
              </w:rPr>
              <w:t>0.873</w:t>
            </w:r>
          </w:p>
        </w:tc>
        <w:tc>
          <w:tcPr>
            <w:tcW w:w="983" w:type="dxa"/>
          </w:tcPr>
          <w:p w14:paraId="378D8297" w14:textId="77777777" w:rsidR="006046D2" w:rsidRPr="00B76053" w:rsidRDefault="00B04762">
            <w:pPr>
              <w:rPr>
                <w:rFonts w:cs="Times New Roman"/>
              </w:rPr>
            </w:pPr>
            <w:r w:rsidRPr="00B76053">
              <w:rPr>
                <w:rFonts w:cs="Times New Roman"/>
              </w:rPr>
              <w:t>0.316</w:t>
            </w:r>
          </w:p>
        </w:tc>
      </w:tr>
      <w:tr w:rsidR="000B15D0" w:rsidRPr="00B76053" w14:paraId="55D1B39F" w14:textId="77777777" w:rsidTr="000B15D0">
        <w:tc>
          <w:tcPr>
            <w:tcW w:w="2184" w:type="dxa"/>
          </w:tcPr>
          <w:p w14:paraId="4FC327C4" w14:textId="77777777" w:rsidR="006046D2" w:rsidRPr="00B76053" w:rsidRDefault="00B04762">
            <w:pPr>
              <w:rPr>
                <w:rFonts w:cs="Times New Roman"/>
              </w:rPr>
            </w:pPr>
            <w:r w:rsidRPr="00B76053">
              <w:rPr>
                <w:rFonts w:cs="Times New Roman"/>
              </w:rPr>
              <w:t>Rocket Companies, Inc.</w:t>
            </w:r>
          </w:p>
        </w:tc>
        <w:tc>
          <w:tcPr>
            <w:tcW w:w="804" w:type="dxa"/>
          </w:tcPr>
          <w:p w14:paraId="0CD9773A" w14:textId="77777777" w:rsidR="006046D2" w:rsidRPr="00B76053" w:rsidRDefault="00B04762">
            <w:pPr>
              <w:rPr>
                <w:rFonts w:cs="Times New Roman"/>
              </w:rPr>
            </w:pPr>
            <w:r w:rsidRPr="00B76053">
              <w:rPr>
                <w:rFonts w:cs="Times New Roman"/>
              </w:rPr>
              <w:t>2023</w:t>
            </w:r>
          </w:p>
        </w:tc>
        <w:tc>
          <w:tcPr>
            <w:tcW w:w="1260" w:type="dxa"/>
          </w:tcPr>
          <w:p w14:paraId="0DBFAA90" w14:textId="77777777" w:rsidR="006046D2" w:rsidRPr="00B76053" w:rsidRDefault="00B04762">
            <w:pPr>
              <w:rPr>
                <w:rFonts w:cs="Times New Roman"/>
              </w:rPr>
            </w:pPr>
            <w:r w:rsidRPr="00B76053">
              <w:rPr>
                <w:rFonts w:cs="Times New Roman"/>
              </w:rPr>
              <w:t>3,799.3</w:t>
            </w:r>
          </w:p>
        </w:tc>
        <w:tc>
          <w:tcPr>
            <w:tcW w:w="1170" w:type="dxa"/>
          </w:tcPr>
          <w:p w14:paraId="0CFF1C86" w14:textId="77777777" w:rsidR="006046D2" w:rsidRPr="00B76053" w:rsidRDefault="00B04762">
            <w:pPr>
              <w:rPr>
                <w:rFonts w:cs="Times New Roman"/>
              </w:rPr>
            </w:pPr>
            <w:r w:rsidRPr="00B76053">
              <w:rPr>
                <w:rFonts w:cs="Times New Roman"/>
              </w:rPr>
              <w:t>4,202.2</w:t>
            </w:r>
          </w:p>
        </w:tc>
        <w:tc>
          <w:tcPr>
            <w:tcW w:w="1260" w:type="dxa"/>
          </w:tcPr>
          <w:p w14:paraId="31F5FBB9" w14:textId="77777777" w:rsidR="006046D2" w:rsidRPr="00B76053" w:rsidRDefault="00B04762">
            <w:pPr>
              <w:rPr>
                <w:rFonts w:cs="Times New Roman"/>
              </w:rPr>
            </w:pPr>
            <w:r w:rsidRPr="00B76053">
              <w:rPr>
                <w:rFonts w:cs="Times New Roman"/>
              </w:rPr>
              <w:t>(390.1)</w:t>
            </w:r>
          </w:p>
        </w:tc>
        <w:tc>
          <w:tcPr>
            <w:tcW w:w="876" w:type="dxa"/>
          </w:tcPr>
          <w:p w14:paraId="44C6C724" w14:textId="77777777" w:rsidR="006046D2" w:rsidRPr="00B76053" w:rsidRDefault="00B04762">
            <w:pPr>
              <w:rPr>
                <w:rFonts w:cs="Times New Roman"/>
              </w:rPr>
            </w:pPr>
            <w:r w:rsidRPr="00B76053">
              <w:rPr>
                <w:rFonts w:cs="Times New Roman"/>
              </w:rPr>
              <w:t>14,700</w:t>
            </w:r>
          </w:p>
        </w:tc>
        <w:tc>
          <w:tcPr>
            <w:tcW w:w="1039" w:type="dxa"/>
          </w:tcPr>
          <w:p w14:paraId="18D28F3D" w14:textId="77777777" w:rsidR="006046D2" w:rsidRPr="00B76053" w:rsidRDefault="00B04762">
            <w:pPr>
              <w:rPr>
                <w:rFonts w:cs="Times New Roman"/>
              </w:rPr>
            </w:pPr>
            <w:r w:rsidRPr="00B76053">
              <w:rPr>
                <w:rFonts w:cs="Times New Roman"/>
              </w:rPr>
              <w:t>1.106</w:t>
            </w:r>
          </w:p>
        </w:tc>
        <w:tc>
          <w:tcPr>
            <w:tcW w:w="983" w:type="dxa"/>
          </w:tcPr>
          <w:p w14:paraId="60CDE4DC" w14:textId="77777777" w:rsidR="006046D2" w:rsidRPr="00B76053" w:rsidRDefault="00B04762">
            <w:pPr>
              <w:rPr>
                <w:rFonts w:cs="Times New Roman"/>
              </w:rPr>
            </w:pPr>
            <w:r w:rsidRPr="00B76053">
              <w:rPr>
                <w:rFonts w:cs="Times New Roman"/>
              </w:rPr>
              <w:t>0.258</w:t>
            </w:r>
          </w:p>
        </w:tc>
      </w:tr>
      <w:tr w:rsidR="000B15D0" w:rsidRPr="00B76053" w14:paraId="565FD0D7" w14:textId="77777777" w:rsidTr="000B15D0">
        <w:tc>
          <w:tcPr>
            <w:tcW w:w="2184" w:type="dxa"/>
          </w:tcPr>
          <w:p w14:paraId="68E4C396" w14:textId="77777777" w:rsidR="006046D2" w:rsidRPr="00B76053" w:rsidRDefault="00B04762">
            <w:pPr>
              <w:rPr>
                <w:rFonts w:cs="Times New Roman"/>
              </w:rPr>
            </w:pPr>
            <w:r w:rsidRPr="00B76053">
              <w:rPr>
                <w:rFonts w:cs="Times New Roman"/>
              </w:rPr>
              <w:t>Rocket Companies, Inc.</w:t>
            </w:r>
          </w:p>
        </w:tc>
        <w:tc>
          <w:tcPr>
            <w:tcW w:w="804" w:type="dxa"/>
          </w:tcPr>
          <w:p w14:paraId="2B302FC1" w14:textId="77777777" w:rsidR="006046D2" w:rsidRPr="00B76053" w:rsidRDefault="00B04762">
            <w:pPr>
              <w:rPr>
                <w:rFonts w:cs="Times New Roman"/>
              </w:rPr>
            </w:pPr>
            <w:r w:rsidRPr="00B76053">
              <w:rPr>
                <w:rFonts w:cs="Times New Roman"/>
              </w:rPr>
              <w:t>2024</w:t>
            </w:r>
          </w:p>
        </w:tc>
        <w:tc>
          <w:tcPr>
            <w:tcW w:w="1260" w:type="dxa"/>
          </w:tcPr>
          <w:p w14:paraId="72A4C5EB" w14:textId="77777777" w:rsidR="006046D2" w:rsidRPr="00B76053" w:rsidRDefault="00B04762">
            <w:pPr>
              <w:rPr>
                <w:rFonts w:cs="Times New Roman"/>
              </w:rPr>
            </w:pPr>
            <w:r w:rsidRPr="00B76053">
              <w:rPr>
                <w:rFonts w:cs="Times New Roman"/>
              </w:rPr>
              <w:t>5,100.8</w:t>
            </w:r>
          </w:p>
        </w:tc>
        <w:tc>
          <w:tcPr>
            <w:tcW w:w="1170" w:type="dxa"/>
          </w:tcPr>
          <w:p w14:paraId="3649BB2A" w14:textId="77777777" w:rsidR="006046D2" w:rsidRPr="00B76053" w:rsidRDefault="00B04762">
            <w:pPr>
              <w:rPr>
                <w:rFonts w:cs="Times New Roman"/>
              </w:rPr>
            </w:pPr>
            <w:r w:rsidRPr="00B76053">
              <w:rPr>
                <w:rFonts w:cs="Times New Roman"/>
              </w:rPr>
              <w:t>4,433.0</w:t>
            </w:r>
          </w:p>
        </w:tc>
        <w:tc>
          <w:tcPr>
            <w:tcW w:w="1260" w:type="dxa"/>
          </w:tcPr>
          <w:p w14:paraId="459DF839" w14:textId="77777777" w:rsidR="006046D2" w:rsidRPr="00B76053" w:rsidRDefault="00B04762">
            <w:pPr>
              <w:rPr>
                <w:rFonts w:cs="Times New Roman"/>
              </w:rPr>
            </w:pPr>
            <w:r w:rsidRPr="00B76053">
              <w:rPr>
                <w:rFonts w:cs="Times New Roman"/>
              </w:rPr>
              <w:t>635.8</w:t>
            </w:r>
          </w:p>
        </w:tc>
        <w:tc>
          <w:tcPr>
            <w:tcW w:w="876" w:type="dxa"/>
          </w:tcPr>
          <w:p w14:paraId="584884DD" w14:textId="77777777" w:rsidR="006046D2" w:rsidRPr="00B76053" w:rsidRDefault="00B04762">
            <w:pPr>
              <w:rPr>
                <w:rFonts w:cs="Times New Roman"/>
              </w:rPr>
            </w:pPr>
            <w:r w:rsidRPr="00B76053">
              <w:rPr>
                <w:rFonts w:cs="Times New Roman"/>
              </w:rPr>
              <w:t>14,200</w:t>
            </w:r>
          </w:p>
        </w:tc>
        <w:tc>
          <w:tcPr>
            <w:tcW w:w="1039" w:type="dxa"/>
          </w:tcPr>
          <w:p w14:paraId="711DEA2C" w14:textId="77777777" w:rsidR="006046D2" w:rsidRPr="00B76053" w:rsidRDefault="00B04762">
            <w:pPr>
              <w:rPr>
                <w:rFonts w:cs="Times New Roman"/>
              </w:rPr>
            </w:pPr>
            <w:r w:rsidRPr="00B76053">
              <w:rPr>
                <w:rFonts w:cs="Times New Roman"/>
              </w:rPr>
              <w:t>0.869</w:t>
            </w:r>
          </w:p>
        </w:tc>
        <w:tc>
          <w:tcPr>
            <w:tcW w:w="983" w:type="dxa"/>
          </w:tcPr>
          <w:p w14:paraId="23AD9CA9" w14:textId="77777777" w:rsidR="006046D2" w:rsidRPr="00B76053" w:rsidRDefault="00B04762">
            <w:pPr>
              <w:rPr>
                <w:rFonts w:cs="Times New Roman"/>
              </w:rPr>
            </w:pPr>
            <w:r w:rsidRPr="00B76053">
              <w:rPr>
                <w:rFonts w:cs="Times New Roman"/>
              </w:rPr>
              <w:t>0.359</w:t>
            </w:r>
          </w:p>
        </w:tc>
      </w:tr>
      <w:tr w:rsidR="000B15D0" w:rsidRPr="00B76053" w14:paraId="2097FB9F" w14:textId="77777777" w:rsidTr="000B15D0">
        <w:tc>
          <w:tcPr>
            <w:tcW w:w="2184" w:type="dxa"/>
          </w:tcPr>
          <w:p w14:paraId="34DBB2F4" w14:textId="77777777" w:rsidR="006046D2" w:rsidRPr="00B76053" w:rsidRDefault="00B04762">
            <w:pPr>
              <w:rPr>
                <w:rFonts w:cs="Times New Roman"/>
              </w:rPr>
            </w:pPr>
            <w:r w:rsidRPr="00B76053">
              <w:rPr>
                <w:rFonts w:cs="Times New Roman"/>
              </w:rPr>
              <w:t>Rocket Companies, Inc.</w:t>
            </w:r>
          </w:p>
        </w:tc>
        <w:tc>
          <w:tcPr>
            <w:tcW w:w="804" w:type="dxa"/>
          </w:tcPr>
          <w:p w14:paraId="6B6D153A" w14:textId="77777777" w:rsidR="006046D2" w:rsidRPr="00B76053" w:rsidRDefault="00B04762">
            <w:pPr>
              <w:rPr>
                <w:rFonts w:cs="Times New Roman"/>
              </w:rPr>
            </w:pPr>
            <w:r w:rsidRPr="00B76053">
              <w:rPr>
                <w:rFonts w:cs="Times New Roman"/>
              </w:rPr>
              <w:t>2025</w:t>
            </w:r>
          </w:p>
        </w:tc>
        <w:tc>
          <w:tcPr>
            <w:tcW w:w="1260" w:type="dxa"/>
          </w:tcPr>
          <w:p w14:paraId="52D44310" w14:textId="77777777" w:rsidR="006046D2" w:rsidRPr="00B76053" w:rsidRDefault="00B04762">
            <w:pPr>
              <w:rPr>
                <w:rFonts w:cs="Times New Roman"/>
              </w:rPr>
            </w:pPr>
            <w:r w:rsidRPr="00B76053">
              <w:rPr>
                <w:rFonts w:cs="Times New Roman"/>
              </w:rPr>
              <w:t>6,695.0</w:t>
            </w:r>
          </w:p>
        </w:tc>
        <w:tc>
          <w:tcPr>
            <w:tcW w:w="1170" w:type="dxa"/>
          </w:tcPr>
          <w:p w14:paraId="341D935B" w14:textId="77777777" w:rsidR="006046D2" w:rsidRPr="00B76053" w:rsidRDefault="00B04762">
            <w:pPr>
              <w:rPr>
                <w:rFonts w:cs="Times New Roman"/>
              </w:rPr>
            </w:pPr>
            <w:r w:rsidRPr="00B76053">
              <w:rPr>
                <w:rFonts w:cs="Times New Roman"/>
              </w:rPr>
              <w:t>6,909.0</w:t>
            </w:r>
          </w:p>
        </w:tc>
        <w:tc>
          <w:tcPr>
            <w:tcW w:w="1260" w:type="dxa"/>
          </w:tcPr>
          <w:p w14:paraId="6DAADC07" w14:textId="77777777" w:rsidR="006046D2" w:rsidRPr="00B76053" w:rsidRDefault="00B04762">
            <w:pPr>
              <w:rPr>
                <w:rFonts w:cs="Times New Roman"/>
              </w:rPr>
            </w:pPr>
            <w:r w:rsidRPr="00B76053">
              <w:rPr>
                <w:rFonts w:cs="Times New Roman"/>
              </w:rPr>
              <w:t>(234.0)</w:t>
            </w:r>
          </w:p>
        </w:tc>
        <w:tc>
          <w:tcPr>
            <w:tcW w:w="876" w:type="dxa"/>
          </w:tcPr>
          <w:p w14:paraId="4EC7EDCE" w14:textId="77777777" w:rsidR="006046D2" w:rsidRPr="00B76053" w:rsidRDefault="00B04762">
            <w:pPr>
              <w:rPr>
                <w:rFonts w:cs="Times New Roman"/>
              </w:rPr>
            </w:pPr>
            <w:r w:rsidRPr="00B76053">
              <w:rPr>
                <w:rFonts w:cs="Times New Roman"/>
              </w:rPr>
              <w:t>23,500</w:t>
            </w:r>
          </w:p>
        </w:tc>
        <w:tc>
          <w:tcPr>
            <w:tcW w:w="1039" w:type="dxa"/>
          </w:tcPr>
          <w:p w14:paraId="66FADC03" w14:textId="77777777" w:rsidR="006046D2" w:rsidRPr="00B76053" w:rsidRDefault="00B04762">
            <w:pPr>
              <w:rPr>
                <w:rFonts w:cs="Times New Roman"/>
              </w:rPr>
            </w:pPr>
            <w:r w:rsidRPr="00B76053">
              <w:rPr>
                <w:rFonts w:cs="Times New Roman"/>
              </w:rPr>
              <w:t>1.032</w:t>
            </w:r>
          </w:p>
        </w:tc>
        <w:tc>
          <w:tcPr>
            <w:tcW w:w="983" w:type="dxa"/>
          </w:tcPr>
          <w:p w14:paraId="40D759AC" w14:textId="77777777" w:rsidR="006046D2" w:rsidRPr="00B76053" w:rsidRDefault="00B04762">
            <w:pPr>
              <w:rPr>
                <w:rFonts w:cs="Times New Roman"/>
              </w:rPr>
            </w:pPr>
            <w:r w:rsidRPr="00B76053">
              <w:rPr>
                <w:rFonts w:cs="Times New Roman"/>
              </w:rPr>
              <w:t>0.285</w:t>
            </w:r>
          </w:p>
        </w:tc>
      </w:tr>
    </w:tbl>
    <w:p w14:paraId="019CB7F7" w14:textId="77777777" w:rsidR="006046D2" w:rsidRPr="00B76053" w:rsidRDefault="00B04762">
      <w:pPr>
        <w:pStyle w:val="Heading2"/>
        <w:rPr>
          <w:rFonts w:cs="Times New Roman"/>
        </w:rPr>
      </w:pPr>
      <w:bookmarkStart w:id="119" w:name="_Toc229599128"/>
      <w:r w:rsidRPr="00B76053">
        <w:rPr>
          <w:rFonts w:cs="Times New Roman"/>
        </w:rPr>
        <w:t>A.4 Calculation Methodology</w:t>
      </w:r>
      <w:bookmarkEnd w:id="119"/>
    </w:p>
    <w:p w14:paraId="70286359" w14:textId="587845AA" w:rsidR="00B76B53" w:rsidRPr="00B76053" w:rsidRDefault="00B04762" w:rsidP="00B76B53">
      <w:pPr>
        <w:rPr>
          <w:rFonts w:cs="Times New Roman"/>
        </w:rPr>
      </w:pPr>
      <w:r w:rsidRPr="00B76053">
        <w:rPr>
          <w:rFonts w:cs="Times New Roman"/>
        </w:rPr>
        <w:t xml:space="preserve">All ratios in Table A.2 are computed deterministically from the audited line items in the 10-K filings; no judgement-based adjustments are applied. Where the 10-K reports headcount as a range or an approximation, the lower bound is taken (this convention is documented in </w:t>
      </w:r>
      <w:r w:rsidRPr="00B76053">
        <w:rPr>
          <w:rFonts w:cs="Times New Roman"/>
        </w:rPr>
        <w:lastRenderedPageBreak/>
        <w:t>08_Code/financial_metrics_project.ipynb). Net loss is reported with a leading minus sign; net income is reported with a leading plus sign. The Operational Leverage Index is computed in Appendix E and is treated in this thesis as an illustrative composite rather than as a primary inferential anchor (see §3.6, OLI disclaimer).</w:t>
      </w:r>
    </w:p>
    <w:p w14:paraId="5D412F41" w14:textId="77777777" w:rsidR="006046D2" w:rsidRPr="00B76053" w:rsidRDefault="00B04762" w:rsidP="00931B48">
      <w:pPr>
        <w:pStyle w:val="Heading1"/>
        <w:rPr>
          <w:rFonts w:cs="Times New Roman"/>
        </w:rPr>
      </w:pPr>
      <w:bookmarkStart w:id="120" w:name="_Toc229599129"/>
      <w:r w:rsidRPr="00B76053">
        <w:rPr>
          <w:rFonts w:cs="Times New Roman"/>
        </w:rPr>
        <w:t>Appendix B. SEC Filing Provenance</w:t>
      </w:r>
      <w:bookmarkEnd w:id="120"/>
    </w:p>
    <w:p w14:paraId="28BEB2FF" w14:textId="77777777" w:rsidR="006046D2" w:rsidRPr="00B76053" w:rsidRDefault="00B04762">
      <w:pPr>
        <w:pStyle w:val="Heading2"/>
        <w:rPr>
          <w:rFonts w:cs="Times New Roman"/>
        </w:rPr>
      </w:pPr>
      <w:bookmarkStart w:id="121" w:name="_Toc229599130"/>
      <w:r w:rsidRPr="00B76053">
        <w:rPr>
          <w:rFonts w:cs="Times New Roman"/>
        </w:rPr>
        <w:t>B.1 Filings List</w:t>
      </w:r>
      <w:bookmarkEnd w:id="121"/>
    </w:p>
    <w:p w14:paraId="36E5A712" w14:textId="77777777" w:rsidR="006046D2" w:rsidRPr="00B76053" w:rsidRDefault="00B04762">
      <w:pPr>
        <w:pStyle w:val="Caption"/>
        <w:rPr>
          <w:rFonts w:cs="Times New Roman"/>
        </w:rPr>
      </w:pPr>
      <w:r w:rsidRPr="00B76053">
        <w:rPr>
          <w:rFonts w:cs="Times New Roman"/>
        </w:rPr>
        <w:t>Table B.1. SEC filings used for the financial-trajectory analysis in Chapter 5. Accession numbers and full URLs are recorded in 08_Code/sec_filings_provenance.csv.</w:t>
      </w:r>
    </w:p>
    <w:tbl>
      <w:tblPr>
        <w:tblStyle w:val="TableGrid"/>
        <w:tblW w:w="9738" w:type="dxa"/>
        <w:tblLayout w:type="fixed"/>
        <w:tblLook w:val="04A0" w:firstRow="1" w:lastRow="0" w:firstColumn="1" w:lastColumn="0" w:noHBand="0" w:noVBand="1"/>
      </w:tblPr>
      <w:tblGrid>
        <w:gridCol w:w="558"/>
        <w:gridCol w:w="1350"/>
        <w:gridCol w:w="1080"/>
        <w:gridCol w:w="1260"/>
        <w:gridCol w:w="3780"/>
        <w:gridCol w:w="1710"/>
      </w:tblGrid>
      <w:tr w:rsidR="00603AD8" w:rsidRPr="00B76053" w14:paraId="070AE66D" w14:textId="77777777" w:rsidTr="00603AD8">
        <w:tc>
          <w:tcPr>
            <w:tcW w:w="558" w:type="dxa"/>
          </w:tcPr>
          <w:p w14:paraId="23472D7D" w14:textId="77777777" w:rsidR="006046D2" w:rsidRPr="00B76053" w:rsidRDefault="00B04762">
            <w:pPr>
              <w:rPr>
                <w:rFonts w:cs="Times New Roman"/>
                <w:sz w:val="20"/>
                <w:szCs w:val="20"/>
              </w:rPr>
            </w:pPr>
            <w:r w:rsidRPr="00B76053">
              <w:rPr>
                <w:rFonts w:cs="Times New Roman"/>
                <w:b/>
                <w:sz w:val="20"/>
                <w:szCs w:val="20"/>
              </w:rPr>
              <w:t>#</w:t>
            </w:r>
          </w:p>
        </w:tc>
        <w:tc>
          <w:tcPr>
            <w:tcW w:w="1350" w:type="dxa"/>
          </w:tcPr>
          <w:p w14:paraId="7CA8E6FA" w14:textId="77777777" w:rsidR="006046D2" w:rsidRPr="00B76053" w:rsidRDefault="00B04762">
            <w:pPr>
              <w:rPr>
                <w:rFonts w:cs="Times New Roman"/>
                <w:sz w:val="20"/>
                <w:szCs w:val="20"/>
              </w:rPr>
            </w:pPr>
            <w:r w:rsidRPr="00B76053">
              <w:rPr>
                <w:rFonts w:cs="Times New Roman"/>
                <w:b/>
                <w:sz w:val="20"/>
                <w:szCs w:val="20"/>
              </w:rPr>
              <w:t>Filer</w:t>
            </w:r>
          </w:p>
        </w:tc>
        <w:tc>
          <w:tcPr>
            <w:tcW w:w="1080" w:type="dxa"/>
          </w:tcPr>
          <w:p w14:paraId="76B20B77" w14:textId="77777777" w:rsidR="006046D2" w:rsidRPr="00B76053" w:rsidRDefault="00B04762">
            <w:pPr>
              <w:rPr>
                <w:rFonts w:cs="Times New Roman"/>
                <w:sz w:val="20"/>
                <w:szCs w:val="20"/>
              </w:rPr>
            </w:pPr>
            <w:r w:rsidRPr="00B76053">
              <w:rPr>
                <w:rFonts w:cs="Times New Roman"/>
                <w:b/>
                <w:sz w:val="20"/>
                <w:szCs w:val="20"/>
              </w:rPr>
              <w:t>Form</w:t>
            </w:r>
          </w:p>
        </w:tc>
        <w:tc>
          <w:tcPr>
            <w:tcW w:w="1260" w:type="dxa"/>
          </w:tcPr>
          <w:p w14:paraId="276EBDCE" w14:textId="77777777" w:rsidR="006046D2" w:rsidRPr="00B76053" w:rsidRDefault="00B04762">
            <w:pPr>
              <w:rPr>
                <w:rFonts w:cs="Times New Roman"/>
                <w:sz w:val="20"/>
                <w:szCs w:val="20"/>
              </w:rPr>
            </w:pPr>
            <w:r w:rsidRPr="00B76053">
              <w:rPr>
                <w:rFonts w:cs="Times New Roman"/>
                <w:b/>
                <w:sz w:val="20"/>
                <w:szCs w:val="20"/>
              </w:rPr>
              <w:t>Reporting period</w:t>
            </w:r>
          </w:p>
        </w:tc>
        <w:tc>
          <w:tcPr>
            <w:tcW w:w="3780" w:type="dxa"/>
          </w:tcPr>
          <w:p w14:paraId="5E745F20" w14:textId="77777777" w:rsidR="006046D2" w:rsidRPr="00B76053" w:rsidRDefault="00B04762">
            <w:pPr>
              <w:rPr>
                <w:rFonts w:cs="Times New Roman"/>
                <w:sz w:val="20"/>
                <w:szCs w:val="20"/>
              </w:rPr>
            </w:pPr>
            <w:r w:rsidRPr="00B76053">
              <w:rPr>
                <w:rFonts w:cs="Times New Roman"/>
                <w:b/>
                <w:sz w:val="20"/>
                <w:szCs w:val="20"/>
              </w:rPr>
              <w:t>Use in this thesis</w:t>
            </w:r>
          </w:p>
        </w:tc>
        <w:tc>
          <w:tcPr>
            <w:tcW w:w="1710" w:type="dxa"/>
          </w:tcPr>
          <w:p w14:paraId="31723FEB" w14:textId="77777777" w:rsidR="006046D2" w:rsidRPr="00B76053" w:rsidRDefault="00B04762">
            <w:pPr>
              <w:rPr>
                <w:rFonts w:cs="Times New Roman"/>
                <w:sz w:val="20"/>
                <w:szCs w:val="20"/>
              </w:rPr>
            </w:pPr>
            <w:r w:rsidRPr="00B76053">
              <w:rPr>
                <w:rFonts w:cs="Times New Roman"/>
                <w:b/>
                <w:sz w:val="20"/>
                <w:szCs w:val="20"/>
              </w:rPr>
              <w:t>Repository path</w:t>
            </w:r>
          </w:p>
        </w:tc>
      </w:tr>
      <w:tr w:rsidR="00603AD8" w:rsidRPr="00B76053" w14:paraId="0B34FFE1" w14:textId="77777777" w:rsidTr="00603AD8">
        <w:tc>
          <w:tcPr>
            <w:tcW w:w="558" w:type="dxa"/>
          </w:tcPr>
          <w:p w14:paraId="4836A516" w14:textId="77777777" w:rsidR="006046D2" w:rsidRPr="00B76053" w:rsidRDefault="00B04762">
            <w:pPr>
              <w:rPr>
                <w:rFonts w:cs="Times New Roman"/>
                <w:sz w:val="20"/>
                <w:szCs w:val="20"/>
              </w:rPr>
            </w:pPr>
            <w:r w:rsidRPr="00B76053">
              <w:rPr>
                <w:rFonts w:cs="Times New Roman"/>
                <w:sz w:val="20"/>
                <w:szCs w:val="20"/>
              </w:rPr>
              <w:t>1</w:t>
            </w:r>
          </w:p>
        </w:tc>
        <w:tc>
          <w:tcPr>
            <w:tcW w:w="1350" w:type="dxa"/>
          </w:tcPr>
          <w:p w14:paraId="73680D63" w14:textId="77777777" w:rsidR="006046D2" w:rsidRPr="00B76053" w:rsidRDefault="00B04762">
            <w:pPr>
              <w:rPr>
                <w:rFonts w:cs="Times New Roman"/>
                <w:sz w:val="20"/>
                <w:szCs w:val="20"/>
              </w:rPr>
            </w:pPr>
            <w:r w:rsidRPr="00B76053">
              <w:rPr>
                <w:rFonts w:cs="Times New Roman"/>
                <w:sz w:val="20"/>
                <w:szCs w:val="20"/>
              </w:rPr>
              <w:t>Better HoldCo, Inc.</w:t>
            </w:r>
          </w:p>
        </w:tc>
        <w:tc>
          <w:tcPr>
            <w:tcW w:w="1080" w:type="dxa"/>
          </w:tcPr>
          <w:p w14:paraId="79D68B58" w14:textId="77777777" w:rsidR="006046D2" w:rsidRPr="00B76053" w:rsidRDefault="00B04762">
            <w:pPr>
              <w:rPr>
                <w:rFonts w:cs="Times New Roman"/>
                <w:sz w:val="20"/>
                <w:szCs w:val="20"/>
              </w:rPr>
            </w:pPr>
            <w:r w:rsidRPr="00B76053">
              <w:rPr>
                <w:rFonts w:cs="Times New Roman"/>
                <w:sz w:val="20"/>
                <w:szCs w:val="20"/>
              </w:rPr>
              <w:t>S-1 / S-1A (registration statement)</w:t>
            </w:r>
          </w:p>
        </w:tc>
        <w:tc>
          <w:tcPr>
            <w:tcW w:w="1260" w:type="dxa"/>
          </w:tcPr>
          <w:p w14:paraId="36AC9CE4" w14:textId="77777777" w:rsidR="006046D2" w:rsidRPr="00B76053" w:rsidRDefault="00B04762">
            <w:pPr>
              <w:rPr>
                <w:rFonts w:cs="Times New Roman"/>
                <w:sz w:val="20"/>
                <w:szCs w:val="20"/>
              </w:rPr>
            </w:pPr>
            <w:r w:rsidRPr="00B76053">
              <w:rPr>
                <w:rFonts w:cs="Times New Roman"/>
                <w:sz w:val="20"/>
                <w:szCs w:val="20"/>
              </w:rPr>
              <w:t>FY 2020-2022 historical financials</w:t>
            </w:r>
          </w:p>
        </w:tc>
        <w:tc>
          <w:tcPr>
            <w:tcW w:w="3780" w:type="dxa"/>
          </w:tcPr>
          <w:p w14:paraId="170B9C4A" w14:textId="77777777" w:rsidR="006046D2" w:rsidRPr="00B76053" w:rsidRDefault="00B04762">
            <w:pPr>
              <w:rPr>
                <w:rFonts w:cs="Times New Roman"/>
                <w:sz w:val="20"/>
                <w:szCs w:val="20"/>
              </w:rPr>
            </w:pPr>
            <w:r w:rsidRPr="00B76053">
              <w:rPr>
                <w:rFonts w:cs="Times New Roman"/>
                <w:sz w:val="20"/>
                <w:szCs w:val="20"/>
              </w:rPr>
              <w:t>Source for FY 2021 audited income-statement and headcount values used in Table A.2 (Better is a Smaller Reporting Company; the 2023 10-K reports only two years).</w:t>
            </w:r>
          </w:p>
        </w:tc>
        <w:tc>
          <w:tcPr>
            <w:tcW w:w="1710" w:type="dxa"/>
          </w:tcPr>
          <w:p w14:paraId="337784F8" w14:textId="57EE49C4"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_Case_Study_Data/Better/Annual Reports/S1.pdf</w:t>
            </w:r>
          </w:p>
        </w:tc>
      </w:tr>
      <w:tr w:rsidR="00603AD8" w:rsidRPr="00B76053" w14:paraId="70C8DEDC" w14:textId="77777777" w:rsidTr="00603AD8">
        <w:tc>
          <w:tcPr>
            <w:tcW w:w="558" w:type="dxa"/>
          </w:tcPr>
          <w:p w14:paraId="0B490FCB" w14:textId="77777777" w:rsidR="006046D2" w:rsidRPr="00B76053" w:rsidRDefault="00B04762">
            <w:pPr>
              <w:rPr>
                <w:rFonts w:cs="Times New Roman"/>
                <w:sz w:val="20"/>
                <w:szCs w:val="20"/>
              </w:rPr>
            </w:pPr>
            <w:r w:rsidRPr="00B76053">
              <w:rPr>
                <w:rFonts w:cs="Times New Roman"/>
                <w:sz w:val="20"/>
                <w:szCs w:val="20"/>
              </w:rPr>
              <w:t>2</w:t>
            </w:r>
          </w:p>
        </w:tc>
        <w:tc>
          <w:tcPr>
            <w:tcW w:w="1350" w:type="dxa"/>
          </w:tcPr>
          <w:p w14:paraId="0CEF82F1" w14:textId="77777777" w:rsidR="006046D2" w:rsidRPr="00B76053" w:rsidRDefault="00B04762">
            <w:pPr>
              <w:rPr>
                <w:rFonts w:cs="Times New Roman"/>
                <w:sz w:val="20"/>
                <w:szCs w:val="20"/>
              </w:rPr>
            </w:pPr>
            <w:r w:rsidRPr="00B76053">
              <w:rPr>
                <w:rFonts w:cs="Times New Roman"/>
                <w:sz w:val="20"/>
                <w:szCs w:val="20"/>
              </w:rPr>
              <w:t>Better Home &amp; Finance Holding Company</w:t>
            </w:r>
          </w:p>
        </w:tc>
        <w:tc>
          <w:tcPr>
            <w:tcW w:w="1080" w:type="dxa"/>
          </w:tcPr>
          <w:p w14:paraId="5B7F00C3"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324D0EEF" w14:textId="77777777" w:rsidR="006046D2" w:rsidRPr="00B76053" w:rsidRDefault="00B04762">
            <w:pPr>
              <w:rPr>
                <w:rFonts w:cs="Times New Roman"/>
                <w:sz w:val="20"/>
                <w:szCs w:val="20"/>
              </w:rPr>
            </w:pPr>
            <w:r w:rsidRPr="00B76053">
              <w:rPr>
                <w:rFonts w:cs="Times New Roman"/>
                <w:sz w:val="20"/>
                <w:szCs w:val="20"/>
              </w:rPr>
              <w:t>FY 2023 (filed 2024)</w:t>
            </w:r>
          </w:p>
        </w:tc>
        <w:tc>
          <w:tcPr>
            <w:tcW w:w="3780" w:type="dxa"/>
          </w:tcPr>
          <w:p w14:paraId="5142B559" w14:textId="77777777" w:rsidR="006046D2" w:rsidRPr="00B76053" w:rsidRDefault="00B04762">
            <w:pPr>
              <w:rPr>
                <w:rFonts w:cs="Times New Roman"/>
                <w:sz w:val="20"/>
                <w:szCs w:val="20"/>
              </w:rPr>
            </w:pPr>
            <w:r w:rsidRPr="00B76053">
              <w:rPr>
                <w:rFonts w:cs="Times New Roman"/>
                <w:sz w:val="20"/>
                <w:szCs w:val="20"/>
              </w:rPr>
              <w:t>Source for FY 2022 and FY 2023 audited income-statement, balance-sheet, and headcount values used in Table A.2.</w:t>
            </w:r>
          </w:p>
        </w:tc>
        <w:tc>
          <w:tcPr>
            <w:tcW w:w="1710" w:type="dxa"/>
          </w:tcPr>
          <w:p w14:paraId="0733FEF6" w14:textId="2E35D6DF"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_Case_Study_Data/Better/Annual Reports/2023.pdf</w:t>
            </w:r>
          </w:p>
        </w:tc>
      </w:tr>
      <w:tr w:rsidR="00603AD8" w:rsidRPr="00B76053" w14:paraId="40A9FECE" w14:textId="77777777" w:rsidTr="00603AD8">
        <w:tc>
          <w:tcPr>
            <w:tcW w:w="558" w:type="dxa"/>
          </w:tcPr>
          <w:p w14:paraId="651A804D" w14:textId="77777777" w:rsidR="006046D2" w:rsidRPr="00B76053" w:rsidRDefault="00B04762">
            <w:pPr>
              <w:rPr>
                <w:rFonts w:cs="Times New Roman"/>
                <w:sz w:val="20"/>
                <w:szCs w:val="20"/>
              </w:rPr>
            </w:pPr>
            <w:r w:rsidRPr="00B76053">
              <w:rPr>
                <w:rFonts w:cs="Times New Roman"/>
                <w:sz w:val="20"/>
                <w:szCs w:val="20"/>
              </w:rPr>
              <w:t>3</w:t>
            </w:r>
          </w:p>
        </w:tc>
        <w:tc>
          <w:tcPr>
            <w:tcW w:w="1350" w:type="dxa"/>
          </w:tcPr>
          <w:p w14:paraId="44B8F6D8" w14:textId="77777777" w:rsidR="006046D2" w:rsidRPr="00B76053" w:rsidRDefault="00B04762">
            <w:pPr>
              <w:rPr>
                <w:rFonts w:cs="Times New Roman"/>
                <w:sz w:val="20"/>
                <w:szCs w:val="20"/>
              </w:rPr>
            </w:pPr>
            <w:r w:rsidRPr="00B76053">
              <w:rPr>
                <w:rFonts w:cs="Times New Roman"/>
                <w:sz w:val="20"/>
                <w:szCs w:val="20"/>
              </w:rPr>
              <w:t>Better Home &amp; Finance Holding Company</w:t>
            </w:r>
          </w:p>
        </w:tc>
        <w:tc>
          <w:tcPr>
            <w:tcW w:w="1080" w:type="dxa"/>
          </w:tcPr>
          <w:p w14:paraId="06E29364"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3D3D0B6A" w14:textId="77777777" w:rsidR="006046D2" w:rsidRPr="00B76053" w:rsidRDefault="00B04762">
            <w:pPr>
              <w:rPr>
                <w:rFonts w:cs="Times New Roman"/>
                <w:sz w:val="20"/>
                <w:szCs w:val="20"/>
              </w:rPr>
            </w:pPr>
            <w:r w:rsidRPr="00B76053">
              <w:rPr>
                <w:rFonts w:cs="Times New Roman"/>
                <w:sz w:val="20"/>
                <w:szCs w:val="20"/>
              </w:rPr>
              <w:t>FY 2024 (filed 2025)</w:t>
            </w:r>
          </w:p>
        </w:tc>
        <w:tc>
          <w:tcPr>
            <w:tcW w:w="3780" w:type="dxa"/>
          </w:tcPr>
          <w:p w14:paraId="69EBC22A" w14:textId="77777777" w:rsidR="006046D2" w:rsidRPr="00B76053" w:rsidRDefault="00B04762">
            <w:pPr>
              <w:rPr>
                <w:rFonts w:cs="Times New Roman"/>
                <w:sz w:val="20"/>
                <w:szCs w:val="20"/>
              </w:rPr>
            </w:pPr>
            <w:r w:rsidRPr="00B76053">
              <w:rPr>
                <w:rFonts w:cs="Times New Roman"/>
                <w:sz w:val="20"/>
                <w:szCs w:val="20"/>
              </w:rPr>
              <w:t>Source for FY 2024 audited income-statement, balance-sheet, and headcount values used in Table A.2; also discloses the October 2024 Betsy launch in the operational narrative.</w:t>
            </w:r>
          </w:p>
        </w:tc>
        <w:tc>
          <w:tcPr>
            <w:tcW w:w="1710" w:type="dxa"/>
          </w:tcPr>
          <w:p w14:paraId="1484AB3D" w14:textId="08FE4664"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_Case_Study_Data/Better/Annual Reports/2024.pdf</w:t>
            </w:r>
          </w:p>
        </w:tc>
      </w:tr>
      <w:tr w:rsidR="00603AD8" w:rsidRPr="00B76053" w14:paraId="7D2A5664" w14:textId="77777777" w:rsidTr="00603AD8">
        <w:tc>
          <w:tcPr>
            <w:tcW w:w="558" w:type="dxa"/>
          </w:tcPr>
          <w:p w14:paraId="54A0EECA" w14:textId="77777777" w:rsidR="006046D2" w:rsidRPr="00B76053" w:rsidRDefault="00B04762">
            <w:pPr>
              <w:rPr>
                <w:rFonts w:cs="Times New Roman"/>
                <w:sz w:val="20"/>
                <w:szCs w:val="20"/>
              </w:rPr>
            </w:pPr>
            <w:r w:rsidRPr="00B76053">
              <w:rPr>
                <w:rFonts w:cs="Times New Roman"/>
                <w:sz w:val="20"/>
                <w:szCs w:val="20"/>
              </w:rPr>
              <w:t>4</w:t>
            </w:r>
          </w:p>
        </w:tc>
        <w:tc>
          <w:tcPr>
            <w:tcW w:w="1350" w:type="dxa"/>
          </w:tcPr>
          <w:p w14:paraId="3CF59FF0" w14:textId="77777777" w:rsidR="006046D2" w:rsidRPr="00B76053" w:rsidRDefault="00B04762">
            <w:pPr>
              <w:rPr>
                <w:rFonts w:cs="Times New Roman"/>
                <w:sz w:val="20"/>
                <w:szCs w:val="20"/>
              </w:rPr>
            </w:pPr>
            <w:r w:rsidRPr="00B76053">
              <w:rPr>
                <w:rFonts w:cs="Times New Roman"/>
                <w:sz w:val="20"/>
                <w:szCs w:val="20"/>
              </w:rPr>
              <w:t>Better Home &amp; Finance Holding Company</w:t>
            </w:r>
          </w:p>
        </w:tc>
        <w:tc>
          <w:tcPr>
            <w:tcW w:w="1080" w:type="dxa"/>
          </w:tcPr>
          <w:p w14:paraId="36058AE3"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0DADF1FF" w14:textId="77777777" w:rsidR="006046D2" w:rsidRPr="00B76053" w:rsidRDefault="00B04762">
            <w:pPr>
              <w:rPr>
                <w:rFonts w:cs="Times New Roman"/>
                <w:sz w:val="20"/>
                <w:szCs w:val="20"/>
              </w:rPr>
            </w:pPr>
            <w:r w:rsidRPr="00B76053">
              <w:rPr>
                <w:rFonts w:cs="Times New Roman"/>
                <w:sz w:val="20"/>
                <w:szCs w:val="20"/>
              </w:rPr>
              <w:t>FY 2025 (filed 2026)</w:t>
            </w:r>
          </w:p>
        </w:tc>
        <w:tc>
          <w:tcPr>
            <w:tcW w:w="3780" w:type="dxa"/>
          </w:tcPr>
          <w:p w14:paraId="65297AB5" w14:textId="77777777" w:rsidR="006046D2" w:rsidRPr="00B76053" w:rsidRDefault="00B04762">
            <w:pPr>
              <w:rPr>
                <w:rFonts w:cs="Times New Roman"/>
                <w:sz w:val="20"/>
                <w:szCs w:val="20"/>
              </w:rPr>
            </w:pPr>
            <w:r w:rsidRPr="00B76053">
              <w:rPr>
                <w:rFonts w:cs="Times New Roman"/>
                <w:sz w:val="20"/>
                <w:szCs w:val="20"/>
              </w:rPr>
              <w:t>Source for FY 2025 audited income-statement, balance-sheet, and headcount values used in Table A.2.</w:t>
            </w:r>
          </w:p>
        </w:tc>
        <w:tc>
          <w:tcPr>
            <w:tcW w:w="1710" w:type="dxa"/>
          </w:tcPr>
          <w:p w14:paraId="03555F01" w14:textId="12D50187"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_Case_Study_Data/Better/Annual Reports/2025.pdf</w:t>
            </w:r>
          </w:p>
        </w:tc>
      </w:tr>
      <w:tr w:rsidR="00603AD8" w:rsidRPr="00B76053" w14:paraId="6F548BD6" w14:textId="77777777" w:rsidTr="00603AD8">
        <w:tc>
          <w:tcPr>
            <w:tcW w:w="558" w:type="dxa"/>
          </w:tcPr>
          <w:p w14:paraId="5C4140E6" w14:textId="77777777" w:rsidR="006046D2" w:rsidRPr="00B76053" w:rsidRDefault="00B04762">
            <w:pPr>
              <w:rPr>
                <w:rFonts w:cs="Times New Roman"/>
                <w:sz w:val="20"/>
                <w:szCs w:val="20"/>
              </w:rPr>
            </w:pPr>
            <w:r w:rsidRPr="00B76053">
              <w:rPr>
                <w:rFonts w:cs="Times New Roman"/>
                <w:sz w:val="20"/>
                <w:szCs w:val="20"/>
              </w:rPr>
              <w:t>5</w:t>
            </w:r>
          </w:p>
        </w:tc>
        <w:tc>
          <w:tcPr>
            <w:tcW w:w="1350" w:type="dxa"/>
          </w:tcPr>
          <w:p w14:paraId="4E63B12A" w14:textId="77777777" w:rsidR="006046D2" w:rsidRPr="00B76053" w:rsidRDefault="00B04762">
            <w:pPr>
              <w:rPr>
                <w:rFonts w:cs="Times New Roman"/>
                <w:sz w:val="20"/>
                <w:szCs w:val="20"/>
              </w:rPr>
            </w:pPr>
            <w:r w:rsidRPr="00B76053">
              <w:rPr>
                <w:rFonts w:cs="Times New Roman"/>
                <w:sz w:val="20"/>
                <w:szCs w:val="20"/>
              </w:rPr>
              <w:t>Rocket Companies, Inc.</w:t>
            </w:r>
          </w:p>
        </w:tc>
        <w:tc>
          <w:tcPr>
            <w:tcW w:w="1080" w:type="dxa"/>
          </w:tcPr>
          <w:p w14:paraId="61906A87"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7C53A7D0" w14:textId="77777777" w:rsidR="006046D2" w:rsidRPr="00B76053" w:rsidRDefault="00B04762">
            <w:pPr>
              <w:rPr>
                <w:rFonts w:cs="Times New Roman"/>
                <w:sz w:val="20"/>
                <w:szCs w:val="20"/>
              </w:rPr>
            </w:pPr>
            <w:r w:rsidRPr="00B76053">
              <w:rPr>
                <w:rFonts w:cs="Times New Roman"/>
                <w:sz w:val="20"/>
                <w:szCs w:val="20"/>
              </w:rPr>
              <w:t>FY 2020 (filed 2021)</w:t>
            </w:r>
          </w:p>
        </w:tc>
        <w:tc>
          <w:tcPr>
            <w:tcW w:w="3780" w:type="dxa"/>
          </w:tcPr>
          <w:p w14:paraId="3059D08C" w14:textId="77777777" w:rsidR="006046D2" w:rsidRPr="00B76053" w:rsidRDefault="00B04762">
            <w:pPr>
              <w:rPr>
                <w:rFonts w:cs="Times New Roman"/>
                <w:sz w:val="20"/>
                <w:szCs w:val="20"/>
              </w:rPr>
            </w:pPr>
            <w:r w:rsidRPr="00B76053">
              <w:rPr>
                <w:rFonts w:cs="Times New Roman"/>
                <w:sz w:val="20"/>
                <w:szCs w:val="20"/>
              </w:rPr>
              <w:t>Source for FY 2020 audited values used in Table A.2; this filing also contains the FY 2018 and FY 2019 audited comparative tables under the SEC three-year-</w:t>
            </w:r>
            <w:r w:rsidRPr="00B76053">
              <w:rPr>
                <w:rFonts w:cs="Times New Roman"/>
                <w:sz w:val="20"/>
                <w:szCs w:val="20"/>
              </w:rPr>
              <w:lastRenderedPageBreak/>
              <w:t>comparative requirement, which are the provenance for the Rocket 2018 and 2019 rows.</w:t>
            </w:r>
          </w:p>
        </w:tc>
        <w:tc>
          <w:tcPr>
            <w:tcW w:w="1710" w:type="dxa"/>
          </w:tcPr>
          <w:p w14:paraId="00A2599D" w14:textId="2720540E" w:rsidR="006046D2" w:rsidRPr="00B76053" w:rsidRDefault="00B04762">
            <w:pPr>
              <w:rPr>
                <w:rFonts w:cs="Times New Roman"/>
                <w:sz w:val="20"/>
                <w:szCs w:val="20"/>
              </w:rPr>
            </w:pPr>
            <w:r w:rsidRPr="00B76053">
              <w:rPr>
                <w:rFonts w:cs="Times New Roman"/>
                <w:sz w:val="20"/>
                <w:szCs w:val="20"/>
              </w:rPr>
              <w:lastRenderedPageBreak/>
              <w:t>0</w:t>
            </w:r>
            <w:r w:rsidR="009902B3" w:rsidRPr="00B76053">
              <w:rPr>
                <w:rFonts w:cs="Times New Roman"/>
                <w:sz w:val="20"/>
                <w:szCs w:val="20"/>
              </w:rPr>
              <w:t>2</w:t>
            </w:r>
            <w:r w:rsidRPr="00B76053">
              <w:rPr>
                <w:rFonts w:cs="Times New Roman"/>
                <w:sz w:val="20"/>
                <w:szCs w:val="20"/>
              </w:rPr>
              <w:t>_Case_Study_Data/Rocket Mortgage/Annual Reports/2020.pdf</w:t>
            </w:r>
          </w:p>
        </w:tc>
      </w:tr>
      <w:tr w:rsidR="00603AD8" w:rsidRPr="00B76053" w14:paraId="4893C97E" w14:textId="77777777" w:rsidTr="00603AD8">
        <w:tc>
          <w:tcPr>
            <w:tcW w:w="558" w:type="dxa"/>
          </w:tcPr>
          <w:p w14:paraId="19858C9A" w14:textId="77777777" w:rsidR="006046D2" w:rsidRPr="00B76053" w:rsidRDefault="00B04762">
            <w:pPr>
              <w:rPr>
                <w:rFonts w:cs="Times New Roman"/>
                <w:sz w:val="20"/>
                <w:szCs w:val="20"/>
              </w:rPr>
            </w:pPr>
            <w:r w:rsidRPr="00B76053">
              <w:rPr>
                <w:rFonts w:cs="Times New Roman"/>
                <w:sz w:val="20"/>
                <w:szCs w:val="20"/>
              </w:rPr>
              <w:t>6</w:t>
            </w:r>
          </w:p>
        </w:tc>
        <w:tc>
          <w:tcPr>
            <w:tcW w:w="1350" w:type="dxa"/>
          </w:tcPr>
          <w:p w14:paraId="336FB8B4" w14:textId="77777777" w:rsidR="006046D2" w:rsidRPr="00B76053" w:rsidRDefault="00B04762">
            <w:pPr>
              <w:rPr>
                <w:rFonts w:cs="Times New Roman"/>
                <w:sz w:val="20"/>
                <w:szCs w:val="20"/>
              </w:rPr>
            </w:pPr>
            <w:r w:rsidRPr="00B76053">
              <w:rPr>
                <w:rFonts w:cs="Times New Roman"/>
                <w:sz w:val="20"/>
                <w:szCs w:val="20"/>
              </w:rPr>
              <w:t>Rocket Companies, Inc.</w:t>
            </w:r>
          </w:p>
        </w:tc>
        <w:tc>
          <w:tcPr>
            <w:tcW w:w="1080" w:type="dxa"/>
          </w:tcPr>
          <w:p w14:paraId="600D932D"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03D4119F" w14:textId="77777777" w:rsidR="006046D2" w:rsidRPr="00B76053" w:rsidRDefault="00B04762">
            <w:pPr>
              <w:rPr>
                <w:rFonts w:cs="Times New Roman"/>
                <w:sz w:val="20"/>
                <w:szCs w:val="20"/>
              </w:rPr>
            </w:pPr>
            <w:r w:rsidRPr="00B76053">
              <w:rPr>
                <w:rFonts w:cs="Times New Roman"/>
                <w:sz w:val="20"/>
                <w:szCs w:val="20"/>
              </w:rPr>
              <w:t>FY 2021 (filed 2022)</w:t>
            </w:r>
          </w:p>
        </w:tc>
        <w:tc>
          <w:tcPr>
            <w:tcW w:w="3780" w:type="dxa"/>
          </w:tcPr>
          <w:p w14:paraId="79B4C64B" w14:textId="77777777" w:rsidR="006046D2" w:rsidRPr="00B76053" w:rsidRDefault="00B04762">
            <w:pPr>
              <w:rPr>
                <w:rFonts w:cs="Times New Roman"/>
                <w:sz w:val="20"/>
                <w:szCs w:val="20"/>
              </w:rPr>
            </w:pPr>
            <w:r w:rsidRPr="00B76053">
              <w:rPr>
                <w:rFonts w:cs="Times New Roman"/>
                <w:sz w:val="20"/>
                <w:szCs w:val="20"/>
              </w:rPr>
              <w:t>Source for FY 2021 audited values used in Table A.2.</w:t>
            </w:r>
          </w:p>
        </w:tc>
        <w:tc>
          <w:tcPr>
            <w:tcW w:w="1710" w:type="dxa"/>
          </w:tcPr>
          <w:p w14:paraId="27281AAB" w14:textId="660DA084"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_Case_Study_Data/Rocket Mortgage/Annual Reports/2021.pdf</w:t>
            </w:r>
          </w:p>
        </w:tc>
      </w:tr>
      <w:tr w:rsidR="00603AD8" w:rsidRPr="00B76053" w14:paraId="74B8BA08" w14:textId="77777777" w:rsidTr="00603AD8">
        <w:tc>
          <w:tcPr>
            <w:tcW w:w="558" w:type="dxa"/>
          </w:tcPr>
          <w:p w14:paraId="68A5C987" w14:textId="77777777" w:rsidR="006046D2" w:rsidRPr="00B76053" w:rsidRDefault="00B04762">
            <w:pPr>
              <w:rPr>
                <w:rFonts w:cs="Times New Roman"/>
                <w:sz w:val="20"/>
                <w:szCs w:val="20"/>
              </w:rPr>
            </w:pPr>
            <w:r w:rsidRPr="00B76053">
              <w:rPr>
                <w:rFonts w:cs="Times New Roman"/>
                <w:sz w:val="20"/>
                <w:szCs w:val="20"/>
              </w:rPr>
              <w:t>7</w:t>
            </w:r>
          </w:p>
        </w:tc>
        <w:tc>
          <w:tcPr>
            <w:tcW w:w="1350" w:type="dxa"/>
          </w:tcPr>
          <w:p w14:paraId="3B312951" w14:textId="77777777" w:rsidR="006046D2" w:rsidRPr="00B76053" w:rsidRDefault="00B04762">
            <w:pPr>
              <w:rPr>
                <w:rFonts w:cs="Times New Roman"/>
                <w:sz w:val="20"/>
                <w:szCs w:val="20"/>
              </w:rPr>
            </w:pPr>
            <w:r w:rsidRPr="00B76053">
              <w:rPr>
                <w:rFonts w:cs="Times New Roman"/>
                <w:sz w:val="20"/>
                <w:szCs w:val="20"/>
              </w:rPr>
              <w:t>Rocket Companies, Inc.</w:t>
            </w:r>
          </w:p>
        </w:tc>
        <w:tc>
          <w:tcPr>
            <w:tcW w:w="1080" w:type="dxa"/>
          </w:tcPr>
          <w:p w14:paraId="680AEA21"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05C4EECD" w14:textId="77777777" w:rsidR="006046D2" w:rsidRPr="00B76053" w:rsidRDefault="00B04762">
            <w:pPr>
              <w:rPr>
                <w:rFonts w:cs="Times New Roman"/>
                <w:sz w:val="20"/>
                <w:szCs w:val="20"/>
              </w:rPr>
            </w:pPr>
            <w:r w:rsidRPr="00B76053">
              <w:rPr>
                <w:rFonts w:cs="Times New Roman"/>
                <w:sz w:val="20"/>
                <w:szCs w:val="20"/>
              </w:rPr>
              <w:t>FY 2022 (filed 2023)</w:t>
            </w:r>
          </w:p>
        </w:tc>
        <w:tc>
          <w:tcPr>
            <w:tcW w:w="3780" w:type="dxa"/>
          </w:tcPr>
          <w:p w14:paraId="6F09D6C8" w14:textId="77777777" w:rsidR="006046D2" w:rsidRPr="00B76053" w:rsidRDefault="00B04762">
            <w:pPr>
              <w:rPr>
                <w:rFonts w:cs="Times New Roman"/>
                <w:sz w:val="20"/>
                <w:szCs w:val="20"/>
              </w:rPr>
            </w:pPr>
            <w:r w:rsidRPr="00B76053">
              <w:rPr>
                <w:rFonts w:cs="Times New Roman"/>
                <w:sz w:val="20"/>
                <w:szCs w:val="20"/>
              </w:rPr>
              <w:t>Source for FY 2022 audited values used in Table A.2.</w:t>
            </w:r>
          </w:p>
        </w:tc>
        <w:tc>
          <w:tcPr>
            <w:tcW w:w="1710" w:type="dxa"/>
          </w:tcPr>
          <w:p w14:paraId="6781AC37" w14:textId="5EA45012"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_Case_Study_Data/Rocket Mortgage/Annual Reports/2022.pdf</w:t>
            </w:r>
          </w:p>
        </w:tc>
      </w:tr>
      <w:tr w:rsidR="00603AD8" w:rsidRPr="00B76053" w14:paraId="7D9051BA" w14:textId="77777777" w:rsidTr="00603AD8">
        <w:tc>
          <w:tcPr>
            <w:tcW w:w="558" w:type="dxa"/>
          </w:tcPr>
          <w:p w14:paraId="6DC5AF01" w14:textId="77777777" w:rsidR="006046D2" w:rsidRPr="00B76053" w:rsidRDefault="00B04762">
            <w:pPr>
              <w:rPr>
                <w:rFonts w:cs="Times New Roman"/>
                <w:sz w:val="20"/>
                <w:szCs w:val="20"/>
              </w:rPr>
            </w:pPr>
            <w:r w:rsidRPr="00B76053">
              <w:rPr>
                <w:rFonts w:cs="Times New Roman"/>
                <w:sz w:val="20"/>
                <w:szCs w:val="20"/>
              </w:rPr>
              <w:t>8</w:t>
            </w:r>
          </w:p>
        </w:tc>
        <w:tc>
          <w:tcPr>
            <w:tcW w:w="1350" w:type="dxa"/>
          </w:tcPr>
          <w:p w14:paraId="53D79AFE" w14:textId="77777777" w:rsidR="006046D2" w:rsidRPr="00B76053" w:rsidRDefault="00B04762">
            <w:pPr>
              <w:rPr>
                <w:rFonts w:cs="Times New Roman"/>
                <w:sz w:val="20"/>
                <w:szCs w:val="20"/>
              </w:rPr>
            </w:pPr>
            <w:r w:rsidRPr="00B76053">
              <w:rPr>
                <w:rFonts w:cs="Times New Roman"/>
                <w:sz w:val="20"/>
                <w:szCs w:val="20"/>
              </w:rPr>
              <w:t>Rocket Companies, Inc.</w:t>
            </w:r>
          </w:p>
        </w:tc>
        <w:tc>
          <w:tcPr>
            <w:tcW w:w="1080" w:type="dxa"/>
          </w:tcPr>
          <w:p w14:paraId="1161F631"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762E6933" w14:textId="77777777" w:rsidR="006046D2" w:rsidRPr="00B76053" w:rsidRDefault="00B04762">
            <w:pPr>
              <w:rPr>
                <w:rFonts w:cs="Times New Roman"/>
                <w:sz w:val="20"/>
                <w:szCs w:val="20"/>
              </w:rPr>
            </w:pPr>
            <w:r w:rsidRPr="00B76053">
              <w:rPr>
                <w:rFonts w:cs="Times New Roman"/>
                <w:sz w:val="20"/>
                <w:szCs w:val="20"/>
              </w:rPr>
              <w:t>FY 2023 (filed 2024)</w:t>
            </w:r>
          </w:p>
        </w:tc>
        <w:tc>
          <w:tcPr>
            <w:tcW w:w="3780" w:type="dxa"/>
          </w:tcPr>
          <w:p w14:paraId="6D86BA97" w14:textId="77777777" w:rsidR="006046D2" w:rsidRPr="00B76053" w:rsidRDefault="00B04762">
            <w:pPr>
              <w:rPr>
                <w:rFonts w:cs="Times New Roman"/>
                <w:sz w:val="20"/>
                <w:szCs w:val="20"/>
              </w:rPr>
            </w:pPr>
            <w:r w:rsidRPr="00B76053">
              <w:rPr>
                <w:rFonts w:cs="Times New Roman"/>
                <w:sz w:val="20"/>
                <w:szCs w:val="20"/>
              </w:rPr>
              <w:t>Source for FY 2023 audited values used in Table A.2.</w:t>
            </w:r>
          </w:p>
        </w:tc>
        <w:tc>
          <w:tcPr>
            <w:tcW w:w="1710" w:type="dxa"/>
          </w:tcPr>
          <w:p w14:paraId="64B136CD" w14:textId="0EE0ACCA"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_Case_Study_Data/Rocket Mortgage/Annual Reports/2023.pdf</w:t>
            </w:r>
          </w:p>
        </w:tc>
      </w:tr>
      <w:tr w:rsidR="00603AD8" w:rsidRPr="00B76053" w14:paraId="62FC17AC" w14:textId="77777777" w:rsidTr="00603AD8">
        <w:tc>
          <w:tcPr>
            <w:tcW w:w="558" w:type="dxa"/>
          </w:tcPr>
          <w:p w14:paraId="249C450F" w14:textId="77777777" w:rsidR="006046D2" w:rsidRPr="00B76053" w:rsidRDefault="00B04762">
            <w:pPr>
              <w:rPr>
                <w:rFonts w:cs="Times New Roman"/>
                <w:sz w:val="20"/>
                <w:szCs w:val="20"/>
              </w:rPr>
            </w:pPr>
            <w:r w:rsidRPr="00B76053">
              <w:rPr>
                <w:rFonts w:cs="Times New Roman"/>
                <w:sz w:val="20"/>
                <w:szCs w:val="20"/>
              </w:rPr>
              <w:t>9</w:t>
            </w:r>
          </w:p>
        </w:tc>
        <w:tc>
          <w:tcPr>
            <w:tcW w:w="1350" w:type="dxa"/>
          </w:tcPr>
          <w:p w14:paraId="1A1206ED" w14:textId="77777777" w:rsidR="006046D2" w:rsidRPr="00B76053" w:rsidRDefault="00B04762">
            <w:pPr>
              <w:rPr>
                <w:rFonts w:cs="Times New Roman"/>
                <w:sz w:val="20"/>
                <w:szCs w:val="20"/>
              </w:rPr>
            </w:pPr>
            <w:r w:rsidRPr="00B76053">
              <w:rPr>
                <w:rFonts w:cs="Times New Roman"/>
                <w:sz w:val="20"/>
                <w:szCs w:val="20"/>
              </w:rPr>
              <w:t>Rocket Companies, Inc.</w:t>
            </w:r>
          </w:p>
        </w:tc>
        <w:tc>
          <w:tcPr>
            <w:tcW w:w="1080" w:type="dxa"/>
          </w:tcPr>
          <w:p w14:paraId="40A06799"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64B32695" w14:textId="77777777" w:rsidR="006046D2" w:rsidRPr="00B76053" w:rsidRDefault="00B04762">
            <w:pPr>
              <w:rPr>
                <w:rFonts w:cs="Times New Roman"/>
                <w:sz w:val="20"/>
                <w:szCs w:val="20"/>
              </w:rPr>
            </w:pPr>
            <w:r w:rsidRPr="00B76053">
              <w:rPr>
                <w:rFonts w:cs="Times New Roman"/>
                <w:sz w:val="20"/>
                <w:szCs w:val="20"/>
              </w:rPr>
              <w:t>FY 2024 (filed 2025)</w:t>
            </w:r>
          </w:p>
        </w:tc>
        <w:tc>
          <w:tcPr>
            <w:tcW w:w="3780" w:type="dxa"/>
          </w:tcPr>
          <w:p w14:paraId="47DBFF57" w14:textId="77777777" w:rsidR="006046D2" w:rsidRPr="00B76053" w:rsidRDefault="00B04762">
            <w:pPr>
              <w:rPr>
                <w:rFonts w:cs="Times New Roman"/>
                <w:sz w:val="20"/>
                <w:szCs w:val="20"/>
              </w:rPr>
            </w:pPr>
            <w:r w:rsidRPr="00B76053">
              <w:rPr>
                <w:rFonts w:cs="Times New Roman"/>
                <w:sz w:val="20"/>
                <w:szCs w:val="20"/>
              </w:rPr>
              <w:t>Source for FY 2024 audited values used in Table A.2; benchmark context throughout Chapter 5.</w:t>
            </w:r>
          </w:p>
        </w:tc>
        <w:tc>
          <w:tcPr>
            <w:tcW w:w="1710" w:type="dxa"/>
          </w:tcPr>
          <w:p w14:paraId="5DDF84F2" w14:textId="3DA65A74"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_Case_Study_Data/Rocket Mortgage/Annual Reports/2024.pdf</w:t>
            </w:r>
          </w:p>
        </w:tc>
      </w:tr>
      <w:tr w:rsidR="00603AD8" w:rsidRPr="00B76053" w14:paraId="356E8E2A" w14:textId="77777777" w:rsidTr="00603AD8">
        <w:tc>
          <w:tcPr>
            <w:tcW w:w="558" w:type="dxa"/>
          </w:tcPr>
          <w:p w14:paraId="7C250091" w14:textId="77777777" w:rsidR="006046D2" w:rsidRPr="00B76053" w:rsidRDefault="00B04762">
            <w:pPr>
              <w:rPr>
                <w:rFonts w:cs="Times New Roman"/>
                <w:sz w:val="20"/>
                <w:szCs w:val="20"/>
              </w:rPr>
            </w:pPr>
            <w:r w:rsidRPr="00B76053">
              <w:rPr>
                <w:rFonts w:cs="Times New Roman"/>
                <w:sz w:val="20"/>
                <w:szCs w:val="20"/>
              </w:rPr>
              <w:t>10</w:t>
            </w:r>
          </w:p>
        </w:tc>
        <w:tc>
          <w:tcPr>
            <w:tcW w:w="1350" w:type="dxa"/>
          </w:tcPr>
          <w:p w14:paraId="3293A7C6" w14:textId="77777777" w:rsidR="006046D2" w:rsidRPr="00B76053" w:rsidRDefault="00B04762">
            <w:pPr>
              <w:rPr>
                <w:rFonts w:cs="Times New Roman"/>
                <w:sz w:val="20"/>
                <w:szCs w:val="20"/>
              </w:rPr>
            </w:pPr>
            <w:r w:rsidRPr="00B76053">
              <w:rPr>
                <w:rFonts w:cs="Times New Roman"/>
                <w:sz w:val="20"/>
                <w:szCs w:val="20"/>
              </w:rPr>
              <w:t>Rocket Companies, Inc.</w:t>
            </w:r>
          </w:p>
        </w:tc>
        <w:tc>
          <w:tcPr>
            <w:tcW w:w="1080" w:type="dxa"/>
          </w:tcPr>
          <w:p w14:paraId="65981C63"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1785EA6B" w14:textId="77777777" w:rsidR="006046D2" w:rsidRPr="00B76053" w:rsidRDefault="00B04762">
            <w:pPr>
              <w:rPr>
                <w:rFonts w:cs="Times New Roman"/>
                <w:sz w:val="20"/>
                <w:szCs w:val="20"/>
              </w:rPr>
            </w:pPr>
            <w:r w:rsidRPr="00B76053">
              <w:rPr>
                <w:rFonts w:cs="Times New Roman"/>
                <w:sz w:val="20"/>
                <w:szCs w:val="20"/>
              </w:rPr>
              <w:t>FY 2025 (filed 2026)</w:t>
            </w:r>
          </w:p>
        </w:tc>
        <w:tc>
          <w:tcPr>
            <w:tcW w:w="3780" w:type="dxa"/>
          </w:tcPr>
          <w:p w14:paraId="077EC64B" w14:textId="77777777" w:rsidR="006046D2" w:rsidRPr="00B76053" w:rsidRDefault="00B04762">
            <w:pPr>
              <w:rPr>
                <w:rFonts w:cs="Times New Roman"/>
                <w:sz w:val="20"/>
                <w:szCs w:val="20"/>
              </w:rPr>
            </w:pPr>
            <w:r w:rsidRPr="00B76053">
              <w:rPr>
                <w:rFonts w:cs="Times New Roman"/>
                <w:sz w:val="20"/>
                <w:szCs w:val="20"/>
              </w:rPr>
              <w:t>Source for FY 2025 audited values used in Table A.2; the FY 2025 disclosures reflect the Mr. Cooper acquisition, which is treated as a confounder for per-employee productivity comparison and discussed in §5.3.5.</w:t>
            </w:r>
          </w:p>
        </w:tc>
        <w:tc>
          <w:tcPr>
            <w:tcW w:w="1710" w:type="dxa"/>
          </w:tcPr>
          <w:p w14:paraId="2589E04C" w14:textId="5082C1E8"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_Case_Study_Data/Rocket Mortgage/Annual Reports/2025.pdf</w:t>
            </w:r>
          </w:p>
        </w:tc>
      </w:tr>
    </w:tbl>
    <w:p w14:paraId="6D50B0D4" w14:textId="77777777" w:rsidR="006046D2" w:rsidRPr="00B76053" w:rsidRDefault="00B04762">
      <w:pPr>
        <w:pStyle w:val="Heading2"/>
        <w:rPr>
          <w:rFonts w:cs="Times New Roman"/>
        </w:rPr>
      </w:pPr>
      <w:bookmarkStart w:id="122" w:name="_Toc229599131"/>
      <w:r w:rsidRPr="00B76053">
        <w:rPr>
          <w:rFonts w:cs="Times New Roman"/>
        </w:rPr>
        <w:t>B.2 Extraction Methodology</w:t>
      </w:r>
      <w:bookmarkEnd w:id="122"/>
    </w:p>
    <w:p w14:paraId="4B9CB179" w14:textId="77777777" w:rsidR="006046D2" w:rsidRPr="00B76053" w:rsidRDefault="00B04762">
      <w:pPr>
        <w:rPr>
          <w:rFonts w:cs="Times New Roman"/>
        </w:rPr>
      </w:pPr>
      <w:r w:rsidRPr="00B76053">
        <w:rPr>
          <w:rFonts w:cs="Times New Roman"/>
        </w:rPr>
        <w:t xml:space="preserve">Each filing PDF was downloaded from SEC EDGAR to 02_Raw_Data/ and text-extracted using the Python libraries pdfplumber (script: 08_Code/extract_pdf_texts.py) and pypdf (script: 08_Code/parse_filings.py). For each filing, the relevant Statements of Operations and Item-1 Human-Capital pages were located by regex-anchored navigation (e.g., r"Total\s+net\s+revenues", r"Human\s+Capital"). The extracted line items were entered into a normalised long-format CSV (08_Code/financial_dataset.csv) with columns (filer, fiscal_year, item, value, source_filing). Where a 10-K disclosed restated prior-year figures, the most recent </w:t>
      </w:r>
      <w:r w:rsidRPr="00B76053">
        <w:rPr>
          <w:rFonts w:cs="Times New Roman"/>
        </w:rPr>
        <w:lastRenderedPageBreak/>
        <w:t>restatement was used and the prior figure was retained in a separate audit log (08_Code/restatements.csv).</w:t>
      </w:r>
    </w:p>
    <w:p w14:paraId="55513D8E" w14:textId="77777777" w:rsidR="006046D2" w:rsidRPr="00B76053" w:rsidRDefault="00B04762">
      <w:pPr>
        <w:pStyle w:val="Heading2"/>
        <w:rPr>
          <w:rFonts w:cs="Times New Roman"/>
        </w:rPr>
      </w:pPr>
      <w:bookmarkStart w:id="123" w:name="_Toc229599132"/>
      <w:r w:rsidRPr="00B76053">
        <w:rPr>
          <w:rFonts w:cs="Times New Roman"/>
        </w:rPr>
        <w:t>B.3 Validation and Cross-Checks</w:t>
      </w:r>
      <w:bookmarkEnd w:id="123"/>
    </w:p>
    <w:p w14:paraId="28B35F2F" w14:textId="77777777" w:rsidR="006046D2" w:rsidRPr="00B76053" w:rsidRDefault="00B04762">
      <w:pPr>
        <w:rPr>
          <w:rFonts w:cs="Times New Roman"/>
        </w:rPr>
      </w:pPr>
      <w:r w:rsidRPr="00B76053">
        <w:rPr>
          <w:rFonts w:cs="Times New Roman"/>
        </w:rPr>
        <w:t>Three validation checks were applied. First, every numeric line item extracted by pdfplumber was re-extracted by pypdf, and disagreements were flagged for manual review. Second, the computed expense ratios were cross-checked against the management-reported “key performance indicators” disclosure in each 10-K Item 7 (MD&amp;A) where available. Third, the headcount-based revenue-per-employee values were cross-checked against the press-release figures cited in the corresponding earnings 8-K. All disagreements within rounding tolerance were resolved in favour of the 10-K Statements of Operations.</w:t>
      </w:r>
    </w:p>
    <w:p w14:paraId="04574573" w14:textId="77777777" w:rsidR="006046D2" w:rsidRPr="00B76053" w:rsidRDefault="00B04762" w:rsidP="006D0C5C">
      <w:pPr>
        <w:pStyle w:val="Heading1"/>
        <w:rPr>
          <w:rFonts w:cs="Times New Roman"/>
        </w:rPr>
      </w:pPr>
      <w:bookmarkStart w:id="124" w:name="_Toc229599133"/>
      <w:r w:rsidRPr="00B76053">
        <w:rPr>
          <w:rFonts w:cs="Times New Roman"/>
        </w:rPr>
        <w:t>Appendix C. NLP Cleaning and Modelling Pipeline</w:t>
      </w:r>
      <w:bookmarkEnd w:id="124"/>
    </w:p>
    <w:p w14:paraId="2310092C" w14:textId="77777777" w:rsidR="006046D2" w:rsidRPr="00B76053" w:rsidRDefault="00B04762">
      <w:pPr>
        <w:pStyle w:val="Heading2"/>
        <w:rPr>
          <w:rFonts w:cs="Times New Roman"/>
        </w:rPr>
      </w:pPr>
      <w:bookmarkStart w:id="125" w:name="_Toc229599134"/>
      <w:r w:rsidRPr="00B76053">
        <w:rPr>
          <w:rFonts w:cs="Times New Roman"/>
        </w:rPr>
        <w:t>C.1 Trustpilot Extraction</w:t>
      </w:r>
      <w:bookmarkEnd w:id="125"/>
    </w:p>
    <w:p w14:paraId="393C9FE5" w14:textId="77777777" w:rsidR="006046D2" w:rsidRPr="00B76053" w:rsidRDefault="00B04762">
      <w:pPr>
        <w:rPr>
          <w:rFonts w:cs="Times New Roman"/>
        </w:rPr>
      </w:pPr>
      <w:r w:rsidRPr="00B76053">
        <w:rPr>
          <w:rFonts w:cs="Times New Roman"/>
        </w:rPr>
        <w:t>The Trustpilot review corpus was extracted on a single date (26 April 2026, between 17:03 and 17:15 UTC) using the Apify Trustpilot Review Scraper (Actor ID l3wcDhSSC96LBRUpc), targeting the better.com domain. The raw extraction returned 1,934 reviews spanning the experience-date period 22 August 2020 to 25 April 2026 and is archived as a static CSV at Data/NLP/Better_Reviews.csv. The thesis title-page date (April 2026) and the empirical cut-off (the latest review date, 25 April 2026) are therefore in the same calendar month.</w:t>
      </w:r>
    </w:p>
    <w:p w14:paraId="65CEF5E5" w14:textId="77777777" w:rsidR="006046D2" w:rsidRPr="00B76053" w:rsidRDefault="00B04762">
      <w:pPr>
        <w:pStyle w:val="Heading2"/>
        <w:rPr>
          <w:rFonts w:cs="Times New Roman"/>
        </w:rPr>
      </w:pPr>
      <w:bookmarkStart w:id="126" w:name="_Toc229599135"/>
      <w:r w:rsidRPr="00B76053">
        <w:rPr>
          <w:rFonts w:cs="Times New Roman"/>
        </w:rPr>
        <w:t>C.2 Cleaning Pipeline</w:t>
      </w:r>
      <w:bookmarkEnd w:id="126"/>
    </w:p>
    <w:p w14:paraId="4FBC4D00" w14:textId="77777777" w:rsidR="006046D2" w:rsidRPr="00B76053" w:rsidRDefault="00B04762">
      <w:pPr>
        <w:rPr>
          <w:rFonts w:cs="Times New Roman"/>
        </w:rPr>
      </w:pPr>
      <w:r w:rsidRPr="00B76053">
        <w:rPr>
          <w:rFonts w:cs="Times New Roman"/>
        </w:rPr>
        <w:t xml:space="preserve">The cleaning pipeline is documented in 08_Code/cleaning_reviews.ipynb and executes the following sequential filters on the raw extraction of 1,934 reviews (counts verified by re-executing the notebook against Data/NLP/Better_Reviews.csv): (i) drop rows with missing review_text, rating, or review_date (0 dropped); (ii) drop duplicate review_id values (0 dropped, because Trustpilot review IDs are globally unique); (iii) drop reviews with body length of 20 characters or fewer (18 dropped); (iv) retain only reviews with the platform-tagged language metadata field equal to 'en' (1 non-English review dropped). The cleaned corpus contains 1,915 </w:t>
      </w:r>
      <w:r w:rsidRPr="00B76053">
        <w:rPr>
          <w:rFonts w:cs="Times New Roman"/>
        </w:rPr>
        <w:lastRenderedPageBreak/>
        <w:t>reviews. The pre/post split is anchored to the Betsy launch date (17 October 2024): 1,746 reviews pre-Betsy, 169 reviews post-Betsy. The wording in §3.4.2 of Chapter 3 describes the same four-step pipeline and reports the same final corpus counts.</w:t>
      </w:r>
    </w:p>
    <w:p w14:paraId="05E2C7AE" w14:textId="77777777" w:rsidR="006046D2" w:rsidRPr="00B76053" w:rsidRDefault="00B04762">
      <w:pPr>
        <w:pStyle w:val="Heading2"/>
        <w:rPr>
          <w:rFonts w:cs="Times New Roman"/>
        </w:rPr>
      </w:pPr>
      <w:bookmarkStart w:id="127" w:name="_Toc229599136"/>
      <w:r w:rsidRPr="00B76053">
        <w:rPr>
          <w:rFonts w:cs="Times New Roman"/>
        </w:rPr>
        <w:t>C.3 VADER Configuration</w:t>
      </w:r>
      <w:bookmarkEnd w:id="127"/>
    </w:p>
    <w:p w14:paraId="6813070B" w14:textId="77777777" w:rsidR="006046D2" w:rsidRPr="00B76053" w:rsidRDefault="00B04762">
      <w:pPr>
        <w:rPr>
          <w:rFonts w:cs="Times New Roman"/>
        </w:rPr>
      </w:pPr>
      <w:r w:rsidRPr="00B76053">
        <w:rPr>
          <w:rFonts w:cs="Times New Roman"/>
        </w:rPr>
        <w:t>VADER sentiment scoring was applied using nltk.sentiment.vader (VADER v3.3.2). The compound score is the normalised, weighted composite valence used as the primary sentiment signal. No domain lexicon adaptation was applied; all four VADER scores (compound, positive, negative, neutral) are recorded in the per-review output.</w:t>
      </w:r>
    </w:p>
    <w:p w14:paraId="3D0230F9" w14:textId="77777777" w:rsidR="006046D2" w:rsidRPr="00B76053" w:rsidRDefault="00B04762">
      <w:pPr>
        <w:pStyle w:val="Heading2"/>
        <w:rPr>
          <w:rFonts w:cs="Times New Roman"/>
        </w:rPr>
      </w:pPr>
      <w:bookmarkStart w:id="128" w:name="_Toc229599137"/>
      <w:r w:rsidRPr="00B76053">
        <w:rPr>
          <w:rFonts w:cs="Times New Roman"/>
        </w:rPr>
        <w:t>C.4 BERTopic Hyperparameters</w:t>
      </w:r>
      <w:bookmarkEnd w:id="128"/>
    </w:p>
    <w:p w14:paraId="181DA397" w14:textId="77777777" w:rsidR="006046D2" w:rsidRPr="00B76053" w:rsidRDefault="00B04762">
      <w:pPr>
        <w:rPr>
          <w:rFonts w:cs="Times New Roman"/>
        </w:rPr>
      </w:pPr>
      <w:r w:rsidRPr="00B76053">
        <w:rPr>
          <w:rFonts w:cs="Times New Roman"/>
        </w:rPr>
        <w:t>BERTopic was applied using the configuration documented in 08_Code/nlp_project.ipynb: (i) embedding model all-MiniLM-L6-v2 (Hugging Face); (ii) UMAP dimensionality reduction with n_neighbors = 10, n_components = 5, min_dist = 0.0, metric = “cosine”; (iii) HDBSCAN density-based clustering with min_cluster_size = 10, min_samples = 3, cluster_selection_method = “eom”; (iv) c-TF-IDF topic representation with the default ClassTfidfTransformer; (v) random_state = 42 for reproducibility. The fitted model returned 44 topics; 1,198 reviews (66.4 percent of the cleaned corpus) were clustered to a non-noise topic and 606 reviews were classified as noise (topic = −1). Topic-share figures are treated as descriptive and not as inferential evidence (see §3.10, Risk 5).</w:t>
      </w:r>
    </w:p>
    <w:p w14:paraId="4419973F" w14:textId="77777777" w:rsidR="006046D2" w:rsidRPr="00B76053" w:rsidRDefault="00B04762">
      <w:pPr>
        <w:pStyle w:val="Heading2"/>
        <w:rPr>
          <w:rFonts w:cs="Times New Roman"/>
        </w:rPr>
      </w:pPr>
      <w:bookmarkStart w:id="129" w:name="_Toc229599138"/>
      <w:r w:rsidRPr="00B76053">
        <w:rPr>
          <w:rFonts w:cs="Times New Roman"/>
        </w:rPr>
        <w:t>C.5 Statistical Test Parameters</w:t>
      </w:r>
      <w:bookmarkEnd w:id="129"/>
    </w:p>
    <w:p w14:paraId="24CC18FD" w14:textId="77777777" w:rsidR="006046D2" w:rsidRPr="00B76053" w:rsidRDefault="00B04762">
      <w:pPr>
        <w:rPr>
          <w:rFonts w:cs="Times New Roman"/>
        </w:rPr>
      </w:pPr>
      <w:r w:rsidRPr="00B76053">
        <w:rPr>
          <w:rFonts w:cs="Times New Roman"/>
        </w:rPr>
        <w:t>Sentiment and rating differences between the pre-Betsy and post-Betsy periods were tested using Welch's t-test (two-sided), with Cohen's d as the effect-size measure. Keyword-prevalence differences were tested using two-sided chi-square tests with the Yates correction; where any expected cell count fell below 5, Fisher's exact test was substituted. All keyword-group p-values were Bonferroni-corrected for the seven keyword groups tested (α = 0.05/7 ≈ 0.00714). Only the Cost/Rates keyword group survives Bonferroni correction (§5.4.3).</w:t>
      </w:r>
    </w:p>
    <w:p w14:paraId="44E7783A" w14:textId="77777777" w:rsidR="006046D2" w:rsidRPr="00B76053" w:rsidRDefault="00B04762">
      <w:pPr>
        <w:pStyle w:val="Heading1"/>
        <w:pageBreakBefore/>
        <w:rPr>
          <w:rFonts w:cs="Times New Roman"/>
        </w:rPr>
      </w:pPr>
      <w:bookmarkStart w:id="130" w:name="_Toc229599139"/>
      <w:r w:rsidRPr="00B76053">
        <w:rPr>
          <w:rFonts w:cs="Times New Roman"/>
        </w:rPr>
        <w:lastRenderedPageBreak/>
        <w:t>Appendix D. Topic Inventory and Keyword Dictionary</w:t>
      </w:r>
      <w:bookmarkEnd w:id="130"/>
    </w:p>
    <w:p w14:paraId="7EFC2C7F" w14:textId="77777777" w:rsidR="006046D2" w:rsidRPr="00B76053" w:rsidRDefault="00B04762">
      <w:pPr>
        <w:pStyle w:val="Heading2"/>
        <w:rPr>
          <w:rFonts w:cs="Times New Roman"/>
        </w:rPr>
      </w:pPr>
      <w:bookmarkStart w:id="131" w:name="_Toc229599140"/>
      <w:r w:rsidRPr="00B76053">
        <w:rPr>
          <w:rFonts w:cs="Times New Roman"/>
        </w:rPr>
        <w:t>D.1 Top BERTopic Topics by Share</w:t>
      </w:r>
      <w:bookmarkEnd w:id="131"/>
    </w:p>
    <w:p w14:paraId="2B4405C4" w14:textId="77777777" w:rsidR="006046D2" w:rsidRPr="00B76053" w:rsidRDefault="00B04762">
      <w:pPr>
        <w:pStyle w:val="Caption"/>
        <w:rPr>
          <w:rFonts w:cs="Times New Roman"/>
        </w:rPr>
      </w:pPr>
      <w:r w:rsidRPr="00B76053">
        <w:rPr>
          <w:rFonts w:cs="Times New Roman"/>
        </w:rPr>
        <w:t>Table D.1. Top ten BERTopic topics by clustered-corpus share. Topic identifiers and labels are produced by the BERTopic pipeline documented in §C.4. Shares are computed within the clustered subset (n_clustered = 1,198 of 1,804 reviews used as topic-modelling input; the residual 606 are HDBSCAN noise points). Pre / post shares are computed within the pre-Betsy clustered subset (n = 1,077) and the post-Betsy clustered subset (n = 121). Δpp is the percentage-point difference (post − pre).</w:t>
      </w:r>
    </w:p>
    <w:tbl>
      <w:tblPr>
        <w:tblStyle w:val="TableGrid"/>
        <w:tblW w:w="0" w:type="auto"/>
        <w:tblLook w:val="04A0" w:firstRow="1" w:lastRow="0" w:firstColumn="1" w:lastColumn="0" w:noHBand="0" w:noVBand="1"/>
      </w:tblPr>
      <w:tblGrid>
        <w:gridCol w:w="803"/>
        <w:gridCol w:w="3546"/>
        <w:gridCol w:w="1285"/>
        <w:gridCol w:w="2150"/>
        <w:gridCol w:w="1792"/>
      </w:tblGrid>
      <w:tr w:rsidR="006C7CA8" w:rsidRPr="00B76053" w14:paraId="13F06622" w14:textId="77777777" w:rsidTr="006C7CA8">
        <w:tc>
          <w:tcPr>
            <w:tcW w:w="753" w:type="dxa"/>
          </w:tcPr>
          <w:p w14:paraId="6B9DECF8" w14:textId="77777777" w:rsidR="006C7CA8" w:rsidRPr="00B76053" w:rsidRDefault="006C7CA8">
            <w:pPr>
              <w:rPr>
                <w:rFonts w:cs="Times New Roman"/>
              </w:rPr>
            </w:pPr>
            <w:r w:rsidRPr="00B76053">
              <w:rPr>
                <w:rFonts w:cs="Times New Roman"/>
                <w:b/>
              </w:rPr>
              <w:t>Topic ID</w:t>
            </w:r>
          </w:p>
        </w:tc>
        <w:tc>
          <w:tcPr>
            <w:tcW w:w="3559" w:type="dxa"/>
          </w:tcPr>
          <w:p w14:paraId="2498CBD9" w14:textId="77777777" w:rsidR="006C7CA8" w:rsidRPr="00B76053" w:rsidRDefault="006C7CA8">
            <w:pPr>
              <w:rPr>
                <w:rFonts w:cs="Times New Roman"/>
              </w:rPr>
            </w:pPr>
            <w:r w:rsidRPr="00B76053">
              <w:rPr>
                <w:rFonts w:cs="Times New Roman"/>
                <w:b/>
              </w:rPr>
              <w:t>BERTopic label</w:t>
            </w:r>
          </w:p>
        </w:tc>
        <w:tc>
          <w:tcPr>
            <w:tcW w:w="1286" w:type="dxa"/>
          </w:tcPr>
          <w:p w14:paraId="14D11116" w14:textId="77777777" w:rsidR="006C7CA8" w:rsidRPr="00B76053" w:rsidRDefault="006C7CA8">
            <w:pPr>
              <w:rPr>
                <w:rFonts w:cs="Times New Roman"/>
              </w:rPr>
            </w:pPr>
            <w:r w:rsidRPr="00B76053">
              <w:rPr>
                <w:rFonts w:cs="Times New Roman"/>
                <w:b/>
              </w:rPr>
              <w:t>Clustered share (%)</w:t>
            </w:r>
          </w:p>
        </w:tc>
        <w:tc>
          <w:tcPr>
            <w:tcW w:w="2160" w:type="dxa"/>
          </w:tcPr>
          <w:p w14:paraId="338936E2" w14:textId="77777777" w:rsidR="006C7CA8" w:rsidRPr="00B76053" w:rsidRDefault="006C7CA8">
            <w:pPr>
              <w:rPr>
                <w:rFonts w:cs="Times New Roman"/>
              </w:rPr>
            </w:pPr>
            <w:r w:rsidRPr="00B76053">
              <w:rPr>
                <w:rFonts w:cs="Times New Roman"/>
                <w:b/>
              </w:rPr>
              <w:t>Pre-Betsy share (%)</w:t>
            </w:r>
          </w:p>
        </w:tc>
        <w:tc>
          <w:tcPr>
            <w:tcW w:w="1800" w:type="dxa"/>
          </w:tcPr>
          <w:p w14:paraId="320B574A" w14:textId="77777777" w:rsidR="006C7CA8" w:rsidRPr="00B76053" w:rsidRDefault="006C7CA8">
            <w:pPr>
              <w:rPr>
                <w:rFonts w:cs="Times New Roman"/>
              </w:rPr>
            </w:pPr>
            <w:r w:rsidRPr="00B76053">
              <w:rPr>
                <w:rFonts w:cs="Times New Roman"/>
                <w:b/>
              </w:rPr>
              <w:t>Post-Betsy share (%)</w:t>
            </w:r>
          </w:p>
        </w:tc>
      </w:tr>
      <w:tr w:rsidR="006C7CA8" w:rsidRPr="00B76053" w14:paraId="06669443" w14:textId="77777777" w:rsidTr="006C7CA8">
        <w:tc>
          <w:tcPr>
            <w:tcW w:w="753" w:type="dxa"/>
          </w:tcPr>
          <w:p w14:paraId="088AD509" w14:textId="77777777" w:rsidR="006C7CA8" w:rsidRPr="00B76053" w:rsidRDefault="006C7CA8">
            <w:pPr>
              <w:rPr>
                <w:rFonts w:cs="Times New Roman"/>
              </w:rPr>
            </w:pPr>
            <w:r w:rsidRPr="00B76053">
              <w:rPr>
                <w:rFonts w:cs="Times New Roman"/>
              </w:rPr>
              <w:t>0</w:t>
            </w:r>
          </w:p>
        </w:tc>
        <w:tc>
          <w:tcPr>
            <w:tcW w:w="3559" w:type="dxa"/>
          </w:tcPr>
          <w:p w14:paraId="511B73F7" w14:textId="77777777" w:rsidR="006C7CA8" w:rsidRPr="00B76053" w:rsidRDefault="006C7CA8">
            <w:pPr>
              <w:rPr>
                <w:rFonts w:cs="Times New Roman"/>
              </w:rPr>
            </w:pPr>
            <w:r w:rsidRPr="00B76053">
              <w:rPr>
                <w:rFonts w:cs="Times New Roman"/>
              </w:rPr>
              <w:t>First-Time Home Purchase</w:t>
            </w:r>
          </w:p>
        </w:tc>
        <w:tc>
          <w:tcPr>
            <w:tcW w:w="1286" w:type="dxa"/>
          </w:tcPr>
          <w:p w14:paraId="253C9F54" w14:textId="77777777" w:rsidR="006C7CA8" w:rsidRPr="00B76053" w:rsidRDefault="006C7CA8">
            <w:pPr>
              <w:rPr>
                <w:rFonts w:cs="Times New Roman"/>
              </w:rPr>
            </w:pPr>
            <w:r w:rsidRPr="00B76053">
              <w:rPr>
                <w:rFonts w:cs="Times New Roman"/>
              </w:rPr>
              <w:t>7.26</w:t>
            </w:r>
          </w:p>
        </w:tc>
        <w:tc>
          <w:tcPr>
            <w:tcW w:w="2160" w:type="dxa"/>
          </w:tcPr>
          <w:p w14:paraId="21B90FC4" w14:textId="77777777" w:rsidR="006C7CA8" w:rsidRPr="00B76053" w:rsidRDefault="006C7CA8">
            <w:pPr>
              <w:rPr>
                <w:rFonts w:cs="Times New Roman"/>
              </w:rPr>
            </w:pPr>
            <w:r w:rsidRPr="00B76053">
              <w:rPr>
                <w:rFonts w:cs="Times New Roman"/>
              </w:rPr>
              <w:t>7.61</w:t>
            </w:r>
          </w:p>
        </w:tc>
        <w:tc>
          <w:tcPr>
            <w:tcW w:w="1800" w:type="dxa"/>
          </w:tcPr>
          <w:p w14:paraId="539E9929" w14:textId="77777777" w:rsidR="006C7CA8" w:rsidRPr="00B76053" w:rsidRDefault="006C7CA8">
            <w:pPr>
              <w:rPr>
                <w:rFonts w:cs="Times New Roman"/>
              </w:rPr>
            </w:pPr>
            <w:r w:rsidRPr="00B76053">
              <w:rPr>
                <w:rFonts w:cs="Times New Roman"/>
              </w:rPr>
              <w:t>4.13</w:t>
            </w:r>
          </w:p>
        </w:tc>
      </w:tr>
      <w:tr w:rsidR="006C7CA8" w:rsidRPr="00B76053" w14:paraId="13D542E7" w14:textId="77777777" w:rsidTr="006C7CA8">
        <w:tc>
          <w:tcPr>
            <w:tcW w:w="753" w:type="dxa"/>
          </w:tcPr>
          <w:p w14:paraId="28528411" w14:textId="77777777" w:rsidR="006C7CA8" w:rsidRPr="00B76053" w:rsidRDefault="006C7CA8">
            <w:pPr>
              <w:rPr>
                <w:rFonts w:cs="Times New Roman"/>
              </w:rPr>
            </w:pPr>
            <w:r w:rsidRPr="00B76053">
              <w:rPr>
                <w:rFonts w:cs="Times New Roman"/>
              </w:rPr>
              <w:t>1</w:t>
            </w:r>
          </w:p>
        </w:tc>
        <w:tc>
          <w:tcPr>
            <w:tcW w:w="3559" w:type="dxa"/>
          </w:tcPr>
          <w:p w14:paraId="00A13CB9" w14:textId="77777777" w:rsidR="006C7CA8" w:rsidRPr="00B76053" w:rsidRDefault="006C7CA8">
            <w:pPr>
              <w:rPr>
                <w:rFonts w:cs="Times New Roman"/>
              </w:rPr>
            </w:pPr>
            <w:r w:rsidRPr="00B76053">
              <w:rPr>
                <w:rFonts w:cs="Times New Roman"/>
              </w:rPr>
              <w:t>Online Refinance — Positive</w:t>
            </w:r>
          </w:p>
        </w:tc>
        <w:tc>
          <w:tcPr>
            <w:tcW w:w="1286" w:type="dxa"/>
          </w:tcPr>
          <w:p w14:paraId="44A32FB1" w14:textId="77777777" w:rsidR="006C7CA8" w:rsidRPr="00B76053" w:rsidRDefault="006C7CA8">
            <w:pPr>
              <w:rPr>
                <w:rFonts w:cs="Times New Roman"/>
              </w:rPr>
            </w:pPr>
            <w:r w:rsidRPr="00B76053">
              <w:rPr>
                <w:rFonts w:cs="Times New Roman"/>
              </w:rPr>
              <w:t>6.59</w:t>
            </w:r>
          </w:p>
        </w:tc>
        <w:tc>
          <w:tcPr>
            <w:tcW w:w="2160" w:type="dxa"/>
          </w:tcPr>
          <w:p w14:paraId="436972C4" w14:textId="77777777" w:rsidR="006C7CA8" w:rsidRPr="00B76053" w:rsidRDefault="006C7CA8">
            <w:pPr>
              <w:rPr>
                <w:rFonts w:cs="Times New Roman"/>
              </w:rPr>
            </w:pPr>
            <w:r w:rsidRPr="00B76053">
              <w:rPr>
                <w:rFonts w:cs="Times New Roman"/>
              </w:rPr>
              <w:t>7.15</w:t>
            </w:r>
          </w:p>
        </w:tc>
        <w:tc>
          <w:tcPr>
            <w:tcW w:w="1800" w:type="dxa"/>
          </w:tcPr>
          <w:p w14:paraId="3F64A9DC" w14:textId="77777777" w:rsidR="006C7CA8" w:rsidRPr="00B76053" w:rsidRDefault="006C7CA8">
            <w:pPr>
              <w:rPr>
                <w:rFonts w:cs="Times New Roman"/>
              </w:rPr>
            </w:pPr>
            <w:r w:rsidRPr="00B76053">
              <w:rPr>
                <w:rFonts w:cs="Times New Roman"/>
              </w:rPr>
              <w:t>1.65</w:t>
            </w:r>
          </w:p>
        </w:tc>
      </w:tr>
      <w:tr w:rsidR="006C7CA8" w:rsidRPr="00B76053" w14:paraId="15E0BA84" w14:textId="77777777" w:rsidTr="006C7CA8">
        <w:tc>
          <w:tcPr>
            <w:tcW w:w="753" w:type="dxa"/>
          </w:tcPr>
          <w:p w14:paraId="7774538F" w14:textId="77777777" w:rsidR="006C7CA8" w:rsidRPr="00B76053" w:rsidRDefault="006C7CA8">
            <w:pPr>
              <w:rPr>
                <w:rFonts w:cs="Times New Roman"/>
              </w:rPr>
            </w:pPr>
            <w:r w:rsidRPr="00B76053">
              <w:rPr>
                <w:rFonts w:cs="Times New Roman"/>
              </w:rPr>
              <w:t>2</w:t>
            </w:r>
          </w:p>
        </w:tc>
        <w:tc>
          <w:tcPr>
            <w:tcW w:w="3559" w:type="dxa"/>
          </w:tcPr>
          <w:p w14:paraId="44B68544" w14:textId="77777777" w:rsidR="006C7CA8" w:rsidRPr="00B76053" w:rsidRDefault="006C7CA8">
            <w:pPr>
              <w:rPr>
                <w:rFonts w:cs="Times New Roman"/>
              </w:rPr>
            </w:pPr>
            <w:r w:rsidRPr="00B76053">
              <w:rPr>
                <w:rFonts w:cs="Times New Roman"/>
              </w:rPr>
              <w:t>Efficient Refinance &amp; Advocacy</w:t>
            </w:r>
          </w:p>
        </w:tc>
        <w:tc>
          <w:tcPr>
            <w:tcW w:w="1286" w:type="dxa"/>
          </w:tcPr>
          <w:p w14:paraId="29236655" w14:textId="77777777" w:rsidR="006C7CA8" w:rsidRPr="00B76053" w:rsidRDefault="006C7CA8">
            <w:pPr>
              <w:rPr>
                <w:rFonts w:cs="Times New Roman"/>
              </w:rPr>
            </w:pPr>
            <w:r w:rsidRPr="00B76053">
              <w:rPr>
                <w:rFonts w:cs="Times New Roman"/>
              </w:rPr>
              <w:t>4.42</w:t>
            </w:r>
          </w:p>
        </w:tc>
        <w:tc>
          <w:tcPr>
            <w:tcW w:w="2160" w:type="dxa"/>
          </w:tcPr>
          <w:p w14:paraId="4E19A28B" w14:textId="77777777" w:rsidR="006C7CA8" w:rsidRPr="00B76053" w:rsidRDefault="006C7CA8">
            <w:pPr>
              <w:rPr>
                <w:rFonts w:cs="Times New Roman"/>
              </w:rPr>
            </w:pPr>
            <w:r w:rsidRPr="00B76053">
              <w:rPr>
                <w:rFonts w:cs="Times New Roman"/>
              </w:rPr>
              <w:t>4.64</w:t>
            </w:r>
          </w:p>
        </w:tc>
        <w:tc>
          <w:tcPr>
            <w:tcW w:w="1800" w:type="dxa"/>
          </w:tcPr>
          <w:p w14:paraId="487D9C44" w14:textId="77777777" w:rsidR="006C7CA8" w:rsidRPr="00B76053" w:rsidRDefault="006C7CA8">
            <w:pPr>
              <w:rPr>
                <w:rFonts w:cs="Times New Roman"/>
              </w:rPr>
            </w:pPr>
            <w:r w:rsidRPr="00B76053">
              <w:rPr>
                <w:rFonts w:cs="Times New Roman"/>
              </w:rPr>
              <w:t>2.48</w:t>
            </w:r>
          </w:p>
        </w:tc>
      </w:tr>
      <w:tr w:rsidR="006C7CA8" w:rsidRPr="00B76053" w14:paraId="78989401" w14:textId="77777777" w:rsidTr="006C7CA8">
        <w:tc>
          <w:tcPr>
            <w:tcW w:w="753" w:type="dxa"/>
          </w:tcPr>
          <w:p w14:paraId="69601D50" w14:textId="77777777" w:rsidR="006C7CA8" w:rsidRPr="00B76053" w:rsidRDefault="006C7CA8">
            <w:pPr>
              <w:rPr>
                <w:rFonts w:cs="Times New Roman"/>
              </w:rPr>
            </w:pPr>
            <w:r w:rsidRPr="00B76053">
              <w:rPr>
                <w:rFonts w:cs="Times New Roman"/>
              </w:rPr>
              <w:t>3</w:t>
            </w:r>
          </w:p>
        </w:tc>
        <w:tc>
          <w:tcPr>
            <w:tcW w:w="3559" w:type="dxa"/>
          </w:tcPr>
          <w:p w14:paraId="27516B38" w14:textId="77777777" w:rsidR="006C7CA8" w:rsidRPr="00B76053" w:rsidRDefault="006C7CA8">
            <w:pPr>
              <w:rPr>
                <w:rFonts w:cs="Times New Roman"/>
              </w:rPr>
            </w:pPr>
            <w:r w:rsidRPr="00B76053">
              <w:rPr>
                <w:rFonts w:cs="Times New Roman"/>
              </w:rPr>
              <w:t>Competitive Rates &amp; Fees</w:t>
            </w:r>
          </w:p>
        </w:tc>
        <w:tc>
          <w:tcPr>
            <w:tcW w:w="1286" w:type="dxa"/>
          </w:tcPr>
          <w:p w14:paraId="798AFF0F" w14:textId="77777777" w:rsidR="006C7CA8" w:rsidRPr="00B76053" w:rsidRDefault="006C7CA8">
            <w:pPr>
              <w:rPr>
                <w:rFonts w:cs="Times New Roman"/>
              </w:rPr>
            </w:pPr>
            <w:r w:rsidRPr="00B76053">
              <w:rPr>
                <w:rFonts w:cs="Times New Roman"/>
              </w:rPr>
              <w:t>4.34</w:t>
            </w:r>
          </w:p>
        </w:tc>
        <w:tc>
          <w:tcPr>
            <w:tcW w:w="2160" w:type="dxa"/>
          </w:tcPr>
          <w:p w14:paraId="6467D9BC" w14:textId="77777777" w:rsidR="006C7CA8" w:rsidRPr="00B76053" w:rsidRDefault="006C7CA8">
            <w:pPr>
              <w:rPr>
                <w:rFonts w:cs="Times New Roman"/>
              </w:rPr>
            </w:pPr>
            <w:r w:rsidRPr="00B76053">
              <w:rPr>
                <w:rFonts w:cs="Times New Roman"/>
              </w:rPr>
              <w:t>4.55</w:t>
            </w:r>
          </w:p>
        </w:tc>
        <w:tc>
          <w:tcPr>
            <w:tcW w:w="1800" w:type="dxa"/>
          </w:tcPr>
          <w:p w14:paraId="7F18E1BA" w14:textId="77777777" w:rsidR="006C7CA8" w:rsidRPr="00B76053" w:rsidRDefault="006C7CA8">
            <w:pPr>
              <w:rPr>
                <w:rFonts w:cs="Times New Roman"/>
              </w:rPr>
            </w:pPr>
            <w:r w:rsidRPr="00B76053">
              <w:rPr>
                <w:rFonts w:cs="Times New Roman"/>
              </w:rPr>
              <w:t>2.48</w:t>
            </w:r>
          </w:p>
        </w:tc>
      </w:tr>
      <w:tr w:rsidR="006C7CA8" w:rsidRPr="00B76053" w14:paraId="03EAC2B2" w14:textId="77777777" w:rsidTr="006C7CA8">
        <w:tc>
          <w:tcPr>
            <w:tcW w:w="753" w:type="dxa"/>
          </w:tcPr>
          <w:p w14:paraId="1072D8E3" w14:textId="77777777" w:rsidR="006C7CA8" w:rsidRPr="00B76053" w:rsidRDefault="006C7CA8">
            <w:pPr>
              <w:rPr>
                <w:rFonts w:cs="Times New Roman"/>
              </w:rPr>
            </w:pPr>
            <w:r w:rsidRPr="00B76053">
              <w:rPr>
                <w:rFonts w:cs="Times New Roman"/>
              </w:rPr>
              <w:t>4</w:t>
            </w:r>
          </w:p>
        </w:tc>
        <w:tc>
          <w:tcPr>
            <w:tcW w:w="3559" w:type="dxa"/>
          </w:tcPr>
          <w:p w14:paraId="20F72CF2" w14:textId="77777777" w:rsidR="006C7CA8" w:rsidRPr="00B76053" w:rsidRDefault="006C7CA8">
            <w:pPr>
              <w:rPr>
                <w:rFonts w:cs="Times New Roman"/>
              </w:rPr>
            </w:pPr>
            <w:r w:rsidRPr="00B76053">
              <w:rPr>
                <w:rFonts w:cs="Times New Roman"/>
              </w:rPr>
              <w:t>Quick Refi — Short Praise</w:t>
            </w:r>
          </w:p>
        </w:tc>
        <w:tc>
          <w:tcPr>
            <w:tcW w:w="1286" w:type="dxa"/>
          </w:tcPr>
          <w:p w14:paraId="45840765" w14:textId="77777777" w:rsidR="006C7CA8" w:rsidRPr="00B76053" w:rsidRDefault="006C7CA8">
            <w:pPr>
              <w:rPr>
                <w:rFonts w:cs="Times New Roman"/>
              </w:rPr>
            </w:pPr>
            <w:r w:rsidRPr="00B76053">
              <w:rPr>
                <w:rFonts w:cs="Times New Roman"/>
              </w:rPr>
              <w:t>3.67</w:t>
            </w:r>
          </w:p>
        </w:tc>
        <w:tc>
          <w:tcPr>
            <w:tcW w:w="2160" w:type="dxa"/>
          </w:tcPr>
          <w:p w14:paraId="751C9278" w14:textId="77777777" w:rsidR="006C7CA8" w:rsidRPr="00B76053" w:rsidRDefault="006C7CA8">
            <w:pPr>
              <w:rPr>
                <w:rFonts w:cs="Times New Roman"/>
              </w:rPr>
            </w:pPr>
            <w:r w:rsidRPr="00B76053">
              <w:rPr>
                <w:rFonts w:cs="Times New Roman"/>
              </w:rPr>
              <w:t>4.09</w:t>
            </w:r>
          </w:p>
        </w:tc>
        <w:tc>
          <w:tcPr>
            <w:tcW w:w="1800" w:type="dxa"/>
          </w:tcPr>
          <w:p w14:paraId="642BEB32" w14:textId="77777777" w:rsidR="006C7CA8" w:rsidRPr="00B76053" w:rsidRDefault="006C7CA8">
            <w:pPr>
              <w:rPr>
                <w:rFonts w:cs="Times New Roman"/>
              </w:rPr>
            </w:pPr>
            <w:r w:rsidRPr="00B76053">
              <w:rPr>
                <w:rFonts w:cs="Times New Roman"/>
              </w:rPr>
              <w:t>0.00</w:t>
            </w:r>
          </w:p>
        </w:tc>
      </w:tr>
      <w:tr w:rsidR="006C7CA8" w:rsidRPr="00B76053" w14:paraId="2299CF71" w14:textId="77777777" w:rsidTr="006C7CA8">
        <w:tc>
          <w:tcPr>
            <w:tcW w:w="753" w:type="dxa"/>
          </w:tcPr>
          <w:p w14:paraId="603BDEDC" w14:textId="77777777" w:rsidR="006C7CA8" w:rsidRPr="00B76053" w:rsidRDefault="006C7CA8">
            <w:pPr>
              <w:rPr>
                <w:rFonts w:cs="Times New Roman"/>
              </w:rPr>
            </w:pPr>
            <w:r w:rsidRPr="00B76053">
              <w:rPr>
                <w:rFonts w:cs="Times New Roman"/>
              </w:rPr>
              <w:t>5</w:t>
            </w:r>
          </w:p>
        </w:tc>
        <w:tc>
          <w:tcPr>
            <w:tcW w:w="3559" w:type="dxa"/>
          </w:tcPr>
          <w:p w14:paraId="73E18099" w14:textId="77777777" w:rsidR="006C7CA8" w:rsidRPr="00B76053" w:rsidRDefault="006C7CA8">
            <w:pPr>
              <w:rPr>
                <w:rFonts w:cs="Times New Roman"/>
              </w:rPr>
            </w:pPr>
            <w:r w:rsidRPr="00B76053">
              <w:rPr>
                <w:rFonts w:cs="Times New Roman"/>
              </w:rPr>
              <w:t>Closing Timeline &amp; Process</w:t>
            </w:r>
          </w:p>
        </w:tc>
        <w:tc>
          <w:tcPr>
            <w:tcW w:w="1286" w:type="dxa"/>
          </w:tcPr>
          <w:p w14:paraId="2D0F7641" w14:textId="77777777" w:rsidR="006C7CA8" w:rsidRPr="00B76053" w:rsidRDefault="006C7CA8">
            <w:pPr>
              <w:rPr>
                <w:rFonts w:cs="Times New Roman"/>
              </w:rPr>
            </w:pPr>
            <w:r w:rsidRPr="00B76053">
              <w:rPr>
                <w:rFonts w:cs="Times New Roman"/>
              </w:rPr>
              <w:t>3.42</w:t>
            </w:r>
          </w:p>
        </w:tc>
        <w:tc>
          <w:tcPr>
            <w:tcW w:w="2160" w:type="dxa"/>
          </w:tcPr>
          <w:p w14:paraId="45385B14" w14:textId="77777777" w:rsidR="006C7CA8" w:rsidRPr="00B76053" w:rsidRDefault="006C7CA8">
            <w:pPr>
              <w:rPr>
                <w:rFonts w:cs="Times New Roman"/>
              </w:rPr>
            </w:pPr>
            <w:r w:rsidRPr="00B76053">
              <w:rPr>
                <w:rFonts w:cs="Times New Roman"/>
              </w:rPr>
              <w:t>3.06</w:t>
            </w:r>
          </w:p>
        </w:tc>
        <w:tc>
          <w:tcPr>
            <w:tcW w:w="1800" w:type="dxa"/>
          </w:tcPr>
          <w:p w14:paraId="1E0AE256" w14:textId="77777777" w:rsidR="006C7CA8" w:rsidRPr="00B76053" w:rsidRDefault="006C7CA8">
            <w:pPr>
              <w:rPr>
                <w:rFonts w:cs="Times New Roman"/>
              </w:rPr>
            </w:pPr>
            <w:r w:rsidRPr="00B76053">
              <w:rPr>
                <w:rFonts w:cs="Times New Roman"/>
              </w:rPr>
              <w:t>6.61</w:t>
            </w:r>
          </w:p>
        </w:tc>
      </w:tr>
      <w:tr w:rsidR="006C7CA8" w:rsidRPr="00B76053" w14:paraId="2BE714B9" w14:textId="77777777" w:rsidTr="006C7CA8">
        <w:tc>
          <w:tcPr>
            <w:tcW w:w="753" w:type="dxa"/>
          </w:tcPr>
          <w:p w14:paraId="01B7DF7F" w14:textId="77777777" w:rsidR="006C7CA8" w:rsidRPr="00B76053" w:rsidRDefault="006C7CA8">
            <w:pPr>
              <w:rPr>
                <w:rFonts w:cs="Times New Roman"/>
              </w:rPr>
            </w:pPr>
            <w:r w:rsidRPr="00B76053">
              <w:rPr>
                <w:rFonts w:cs="Times New Roman"/>
              </w:rPr>
              <w:t>6</w:t>
            </w:r>
          </w:p>
        </w:tc>
        <w:tc>
          <w:tcPr>
            <w:tcW w:w="3559" w:type="dxa"/>
          </w:tcPr>
          <w:p w14:paraId="0605BC85" w14:textId="77777777" w:rsidR="006C7CA8" w:rsidRPr="00B76053" w:rsidRDefault="006C7CA8">
            <w:pPr>
              <w:rPr>
                <w:rFonts w:cs="Times New Roman"/>
              </w:rPr>
            </w:pPr>
            <w:r w:rsidRPr="00B76053">
              <w:rPr>
                <w:rFonts w:cs="Times New Roman"/>
              </w:rPr>
              <w:t>Document Upload &amp; Paperwork</w:t>
            </w:r>
          </w:p>
        </w:tc>
        <w:tc>
          <w:tcPr>
            <w:tcW w:w="1286" w:type="dxa"/>
          </w:tcPr>
          <w:p w14:paraId="251DE255" w14:textId="77777777" w:rsidR="006C7CA8" w:rsidRPr="00B76053" w:rsidRDefault="006C7CA8">
            <w:pPr>
              <w:rPr>
                <w:rFonts w:cs="Times New Roman"/>
              </w:rPr>
            </w:pPr>
            <w:r w:rsidRPr="00B76053">
              <w:rPr>
                <w:rFonts w:cs="Times New Roman"/>
              </w:rPr>
              <w:t>3.17</w:t>
            </w:r>
          </w:p>
        </w:tc>
        <w:tc>
          <w:tcPr>
            <w:tcW w:w="2160" w:type="dxa"/>
          </w:tcPr>
          <w:p w14:paraId="0680A134" w14:textId="77777777" w:rsidR="006C7CA8" w:rsidRPr="00B76053" w:rsidRDefault="006C7CA8">
            <w:pPr>
              <w:rPr>
                <w:rFonts w:cs="Times New Roman"/>
              </w:rPr>
            </w:pPr>
            <w:r w:rsidRPr="00B76053">
              <w:rPr>
                <w:rFonts w:cs="Times New Roman"/>
              </w:rPr>
              <w:t>3.06</w:t>
            </w:r>
          </w:p>
        </w:tc>
        <w:tc>
          <w:tcPr>
            <w:tcW w:w="1800" w:type="dxa"/>
          </w:tcPr>
          <w:p w14:paraId="0FB4F351" w14:textId="77777777" w:rsidR="006C7CA8" w:rsidRPr="00B76053" w:rsidRDefault="006C7CA8">
            <w:pPr>
              <w:rPr>
                <w:rFonts w:cs="Times New Roman"/>
              </w:rPr>
            </w:pPr>
            <w:r w:rsidRPr="00B76053">
              <w:rPr>
                <w:rFonts w:cs="Times New Roman"/>
              </w:rPr>
              <w:t>4.13</w:t>
            </w:r>
          </w:p>
        </w:tc>
      </w:tr>
      <w:tr w:rsidR="006C7CA8" w:rsidRPr="00B76053" w14:paraId="36EBD8FC" w14:textId="77777777" w:rsidTr="006C7CA8">
        <w:tc>
          <w:tcPr>
            <w:tcW w:w="753" w:type="dxa"/>
          </w:tcPr>
          <w:p w14:paraId="5B12D86E" w14:textId="77777777" w:rsidR="006C7CA8" w:rsidRPr="00B76053" w:rsidRDefault="006C7CA8">
            <w:pPr>
              <w:rPr>
                <w:rFonts w:cs="Times New Roman"/>
              </w:rPr>
            </w:pPr>
            <w:r w:rsidRPr="00B76053">
              <w:rPr>
                <w:rFonts w:cs="Times New Roman"/>
              </w:rPr>
              <w:t>7</w:t>
            </w:r>
          </w:p>
        </w:tc>
        <w:tc>
          <w:tcPr>
            <w:tcW w:w="3559" w:type="dxa"/>
          </w:tcPr>
          <w:p w14:paraId="7D05E6A3" w14:textId="77777777" w:rsidR="006C7CA8" w:rsidRPr="00B76053" w:rsidRDefault="006C7CA8">
            <w:pPr>
              <w:rPr>
                <w:rFonts w:cs="Times New Roman"/>
              </w:rPr>
            </w:pPr>
            <w:r w:rsidRPr="00B76053">
              <w:rPr>
                <w:rFonts w:cs="Times New Roman"/>
              </w:rPr>
              <w:t>Portal Task Management</w:t>
            </w:r>
          </w:p>
        </w:tc>
        <w:tc>
          <w:tcPr>
            <w:tcW w:w="1286" w:type="dxa"/>
          </w:tcPr>
          <w:p w14:paraId="666DE84F" w14:textId="77777777" w:rsidR="006C7CA8" w:rsidRPr="00B76053" w:rsidRDefault="006C7CA8">
            <w:pPr>
              <w:rPr>
                <w:rFonts w:cs="Times New Roman"/>
              </w:rPr>
            </w:pPr>
            <w:r w:rsidRPr="00B76053">
              <w:rPr>
                <w:rFonts w:cs="Times New Roman"/>
              </w:rPr>
              <w:t>3.09</w:t>
            </w:r>
          </w:p>
        </w:tc>
        <w:tc>
          <w:tcPr>
            <w:tcW w:w="2160" w:type="dxa"/>
          </w:tcPr>
          <w:p w14:paraId="21760A86" w14:textId="77777777" w:rsidR="006C7CA8" w:rsidRPr="00B76053" w:rsidRDefault="006C7CA8">
            <w:pPr>
              <w:rPr>
                <w:rFonts w:cs="Times New Roman"/>
              </w:rPr>
            </w:pPr>
            <w:r w:rsidRPr="00B76053">
              <w:rPr>
                <w:rFonts w:cs="Times New Roman"/>
              </w:rPr>
              <w:t>3.06</w:t>
            </w:r>
          </w:p>
        </w:tc>
        <w:tc>
          <w:tcPr>
            <w:tcW w:w="1800" w:type="dxa"/>
          </w:tcPr>
          <w:p w14:paraId="487E78C4" w14:textId="77777777" w:rsidR="006C7CA8" w:rsidRPr="00B76053" w:rsidRDefault="006C7CA8">
            <w:pPr>
              <w:rPr>
                <w:rFonts w:cs="Times New Roman"/>
              </w:rPr>
            </w:pPr>
            <w:r w:rsidRPr="00B76053">
              <w:rPr>
                <w:rFonts w:cs="Times New Roman"/>
              </w:rPr>
              <w:t>3.31</w:t>
            </w:r>
          </w:p>
        </w:tc>
      </w:tr>
      <w:tr w:rsidR="006C7CA8" w:rsidRPr="00B76053" w14:paraId="7801F2B0" w14:textId="77777777" w:rsidTr="006C7CA8">
        <w:tc>
          <w:tcPr>
            <w:tcW w:w="753" w:type="dxa"/>
          </w:tcPr>
          <w:p w14:paraId="10F016F6" w14:textId="77777777" w:rsidR="006C7CA8" w:rsidRPr="00B76053" w:rsidRDefault="006C7CA8">
            <w:pPr>
              <w:rPr>
                <w:rFonts w:cs="Times New Roman"/>
              </w:rPr>
            </w:pPr>
            <w:r w:rsidRPr="00B76053">
              <w:rPr>
                <w:rFonts w:cs="Times New Roman"/>
              </w:rPr>
              <w:t>8</w:t>
            </w:r>
          </w:p>
        </w:tc>
        <w:tc>
          <w:tcPr>
            <w:tcW w:w="3559" w:type="dxa"/>
          </w:tcPr>
          <w:p w14:paraId="65ADA5EB" w14:textId="77777777" w:rsidR="006C7CA8" w:rsidRPr="00B76053" w:rsidRDefault="006C7CA8">
            <w:pPr>
              <w:rPr>
                <w:rFonts w:cs="Times New Roman"/>
              </w:rPr>
            </w:pPr>
            <w:r w:rsidRPr="00B76053">
              <w:rPr>
                <w:rFonts w:cs="Times New Roman"/>
              </w:rPr>
              <w:t>Communication Quality</w:t>
            </w:r>
          </w:p>
        </w:tc>
        <w:tc>
          <w:tcPr>
            <w:tcW w:w="1286" w:type="dxa"/>
          </w:tcPr>
          <w:p w14:paraId="51C31E4F" w14:textId="77777777" w:rsidR="006C7CA8" w:rsidRPr="00B76053" w:rsidRDefault="006C7CA8">
            <w:pPr>
              <w:rPr>
                <w:rFonts w:cs="Times New Roman"/>
              </w:rPr>
            </w:pPr>
            <w:r w:rsidRPr="00B76053">
              <w:rPr>
                <w:rFonts w:cs="Times New Roman"/>
              </w:rPr>
              <w:t>2.92</w:t>
            </w:r>
          </w:p>
        </w:tc>
        <w:tc>
          <w:tcPr>
            <w:tcW w:w="2160" w:type="dxa"/>
          </w:tcPr>
          <w:p w14:paraId="456E92CB" w14:textId="77777777" w:rsidR="006C7CA8" w:rsidRPr="00B76053" w:rsidRDefault="006C7CA8">
            <w:pPr>
              <w:rPr>
                <w:rFonts w:cs="Times New Roman"/>
              </w:rPr>
            </w:pPr>
            <w:r w:rsidRPr="00B76053">
              <w:rPr>
                <w:rFonts w:cs="Times New Roman"/>
              </w:rPr>
              <w:t>2.97</w:t>
            </w:r>
          </w:p>
        </w:tc>
        <w:tc>
          <w:tcPr>
            <w:tcW w:w="1800" w:type="dxa"/>
          </w:tcPr>
          <w:p w14:paraId="3E024445" w14:textId="77777777" w:rsidR="006C7CA8" w:rsidRPr="00B76053" w:rsidRDefault="006C7CA8">
            <w:pPr>
              <w:rPr>
                <w:rFonts w:cs="Times New Roman"/>
              </w:rPr>
            </w:pPr>
            <w:r w:rsidRPr="00B76053">
              <w:rPr>
                <w:rFonts w:cs="Times New Roman"/>
              </w:rPr>
              <w:t>2.48</w:t>
            </w:r>
          </w:p>
        </w:tc>
      </w:tr>
      <w:tr w:rsidR="006C7CA8" w:rsidRPr="00B76053" w14:paraId="41FEFE43" w14:textId="77777777" w:rsidTr="006C7CA8">
        <w:tc>
          <w:tcPr>
            <w:tcW w:w="753" w:type="dxa"/>
          </w:tcPr>
          <w:p w14:paraId="7DC85227" w14:textId="77777777" w:rsidR="006C7CA8" w:rsidRPr="00B76053" w:rsidRDefault="006C7CA8">
            <w:pPr>
              <w:rPr>
                <w:rFonts w:cs="Times New Roman"/>
              </w:rPr>
            </w:pPr>
            <w:r w:rsidRPr="00B76053">
              <w:rPr>
                <w:rFonts w:cs="Times New Roman"/>
              </w:rPr>
              <w:t>9</w:t>
            </w:r>
          </w:p>
        </w:tc>
        <w:tc>
          <w:tcPr>
            <w:tcW w:w="3559" w:type="dxa"/>
          </w:tcPr>
          <w:p w14:paraId="0904AB11" w14:textId="77777777" w:rsidR="006C7CA8" w:rsidRPr="00B76053" w:rsidRDefault="006C7CA8">
            <w:pPr>
              <w:rPr>
                <w:rFonts w:cs="Times New Roman"/>
              </w:rPr>
            </w:pPr>
            <w:r w:rsidRPr="00B76053">
              <w:rPr>
                <w:rFonts w:cs="Times New Roman"/>
              </w:rPr>
              <w:t>Responsive Q&amp;A Support</w:t>
            </w:r>
          </w:p>
        </w:tc>
        <w:tc>
          <w:tcPr>
            <w:tcW w:w="1286" w:type="dxa"/>
          </w:tcPr>
          <w:p w14:paraId="13235942" w14:textId="77777777" w:rsidR="006C7CA8" w:rsidRPr="00B76053" w:rsidRDefault="006C7CA8">
            <w:pPr>
              <w:rPr>
                <w:rFonts w:cs="Times New Roman"/>
              </w:rPr>
            </w:pPr>
            <w:r w:rsidRPr="00B76053">
              <w:rPr>
                <w:rFonts w:cs="Times New Roman"/>
              </w:rPr>
              <w:t>2.92</w:t>
            </w:r>
          </w:p>
        </w:tc>
        <w:tc>
          <w:tcPr>
            <w:tcW w:w="2160" w:type="dxa"/>
          </w:tcPr>
          <w:p w14:paraId="4E2407A7" w14:textId="77777777" w:rsidR="006C7CA8" w:rsidRPr="00B76053" w:rsidRDefault="006C7CA8">
            <w:pPr>
              <w:rPr>
                <w:rFonts w:cs="Times New Roman"/>
              </w:rPr>
            </w:pPr>
            <w:r w:rsidRPr="00B76053">
              <w:rPr>
                <w:rFonts w:cs="Times New Roman"/>
              </w:rPr>
              <w:t>2.88</w:t>
            </w:r>
          </w:p>
        </w:tc>
        <w:tc>
          <w:tcPr>
            <w:tcW w:w="1800" w:type="dxa"/>
          </w:tcPr>
          <w:p w14:paraId="574660DE" w14:textId="77777777" w:rsidR="006C7CA8" w:rsidRPr="00B76053" w:rsidRDefault="006C7CA8">
            <w:pPr>
              <w:rPr>
                <w:rFonts w:cs="Times New Roman"/>
              </w:rPr>
            </w:pPr>
            <w:r w:rsidRPr="00B76053">
              <w:rPr>
                <w:rFonts w:cs="Times New Roman"/>
              </w:rPr>
              <w:t>3.31</w:t>
            </w:r>
          </w:p>
        </w:tc>
      </w:tr>
    </w:tbl>
    <w:p w14:paraId="6E6D3378" w14:textId="77777777" w:rsidR="006046D2" w:rsidRPr="00B76053" w:rsidRDefault="00B04762">
      <w:pPr>
        <w:pStyle w:val="Heading2"/>
        <w:rPr>
          <w:rFonts w:cs="Times New Roman"/>
        </w:rPr>
      </w:pPr>
      <w:bookmarkStart w:id="132" w:name="_Toc229599141"/>
      <w:r w:rsidRPr="00B76053">
        <w:rPr>
          <w:rFonts w:cs="Times New Roman"/>
        </w:rPr>
        <w:t>D.2 Keyword Dictionary</w:t>
      </w:r>
      <w:bookmarkEnd w:id="132"/>
    </w:p>
    <w:p w14:paraId="6E5C6858" w14:textId="77777777" w:rsidR="006046D2" w:rsidRPr="00B76053" w:rsidRDefault="00B04762">
      <w:pPr>
        <w:pStyle w:val="Caption"/>
        <w:rPr>
          <w:rFonts w:cs="Times New Roman"/>
        </w:rPr>
      </w:pPr>
      <w:r w:rsidRPr="00B76053">
        <w:rPr>
          <w:rFonts w:cs="Times New Roman"/>
        </w:rPr>
        <w:t>Table D.2. Keyword-group prevalence in the cleaned 1,915-review Trustpilot corpus, pre vs post Betsy. Prevalence is the share of reviews containing at least one keyword from the group. p-values are from two-sided chi-square tests with the Yates correction. The Bonferroni-corrected significance threshold for seven keyword groups is α/7 = 0.05/7 ≈ 0.00714. Cost / rates is the only group whose pre-to-post change survives this correction.</w:t>
      </w:r>
    </w:p>
    <w:tbl>
      <w:tblPr>
        <w:tblStyle w:val="TableGrid"/>
        <w:tblW w:w="0" w:type="auto"/>
        <w:tblLayout w:type="fixed"/>
        <w:tblLook w:val="04A0" w:firstRow="1" w:lastRow="0" w:firstColumn="1" w:lastColumn="0" w:noHBand="0" w:noVBand="1"/>
      </w:tblPr>
      <w:tblGrid>
        <w:gridCol w:w="1368"/>
        <w:gridCol w:w="3330"/>
        <w:gridCol w:w="900"/>
        <w:gridCol w:w="900"/>
        <w:gridCol w:w="786"/>
        <w:gridCol w:w="924"/>
        <w:gridCol w:w="1368"/>
      </w:tblGrid>
      <w:tr w:rsidR="006046D2" w:rsidRPr="00B76053" w14:paraId="0DE8B24C" w14:textId="77777777" w:rsidTr="006C7CA8">
        <w:tc>
          <w:tcPr>
            <w:tcW w:w="1368" w:type="dxa"/>
          </w:tcPr>
          <w:p w14:paraId="6A1BEB95" w14:textId="77777777" w:rsidR="006046D2" w:rsidRPr="00B76053" w:rsidRDefault="00B04762">
            <w:pPr>
              <w:rPr>
                <w:rFonts w:cs="Times New Roman"/>
              </w:rPr>
            </w:pPr>
            <w:r w:rsidRPr="00B76053">
              <w:rPr>
                <w:rFonts w:cs="Times New Roman"/>
                <w:b/>
              </w:rPr>
              <w:t>Keyword group</w:t>
            </w:r>
          </w:p>
        </w:tc>
        <w:tc>
          <w:tcPr>
            <w:tcW w:w="3330" w:type="dxa"/>
          </w:tcPr>
          <w:p w14:paraId="4C299775" w14:textId="77777777" w:rsidR="006046D2" w:rsidRPr="00B76053" w:rsidRDefault="00B04762">
            <w:pPr>
              <w:rPr>
                <w:rFonts w:cs="Times New Roman"/>
              </w:rPr>
            </w:pPr>
            <w:r w:rsidRPr="00B76053">
              <w:rPr>
                <w:rFonts w:cs="Times New Roman"/>
                <w:b/>
              </w:rPr>
              <w:t>Representative keywords</w:t>
            </w:r>
          </w:p>
        </w:tc>
        <w:tc>
          <w:tcPr>
            <w:tcW w:w="900" w:type="dxa"/>
          </w:tcPr>
          <w:p w14:paraId="72A445A8" w14:textId="77777777" w:rsidR="006046D2" w:rsidRPr="00B76053" w:rsidRDefault="00B04762">
            <w:pPr>
              <w:rPr>
                <w:rFonts w:cs="Times New Roman"/>
              </w:rPr>
            </w:pPr>
            <w:r w:rsidRPr="00B76053">
              <w:rPr>
                <w:rFonts w:cs="Times New Roman"/>
                <w:b/>
              </w:rPr>
              <w:t>Pre prevalence (%)</w:t>
            </w:r>
          </w:p>
        </w:tc>
        <w:tc>
          <w:tcPr>
            <w:tcW w:w="900" w:type="dxa"/>
          </w:tcPr>
          <w:p w14:paraId="23113C4A" w14:textId="77777777" w:rsidR="006046D2" w:rsidRPr="00B76053" w:rsidRDefault="00B04762">
            <w:pPr>
              <w:rPr>
                <w:rFonts w:cs="Times New Roman"/>
              </w:rPr>
            </w:pPr>
            <w:r w:rsidRPr="00B76053">
              <w:rPr>
                <w:rFonts w:cs="Times New Roman"/>
                <w:b/>
              </w:rPr>
              <w:t>Post prevalence (%)</w:t>
            </w:r>
          </w:p>
        </w:tc>
        <w:tc>
          <w:tcPr>
            <w:tcW w:w="786" w:type="dxa"/>
          </w:tcPr>
          <w:p w14:paraId="674298E7" w14:textId="77777777" w:rsidR="006046D2" w:rsidRPr="00B76053" w:rsidRDefault="00B04762">
            <w:pPr>
              <w:rPr>
                <w:rFonts w:cs="Times New Roman"/>
              </w:rPr>
            </w:pPr>
            <w:r w:rsidRPr="00B76053">
              <w:rPr>
                <w:rFonts w:cs="Times New Roman"/>
                <w:b/>
              </w:rPr>
              <w:t>Δpp</w:t>
            </w:r>
          </w:p>
        </w:tc>
        <w:tc>
          <w:tcPr>
            <w:tcW w:w="924" w:type="dxa"/>
          </w:tcPr>
          <w:p w14:paraId="00F0D4B3" w14:textId="77777777" w:rsidR="006046D2" w:rsidRPr="00B76053" w:rsidRDefault="00B04762">
            <w:pPr>
              <w:rPr>
                <w:rFonts w:cs="Times New Roman"/>
              </w:rPr>
            </w:pPr>
            <w:r w:rsidRPr="00B76053">
              <w:rPr>
                <w:rFonts w:cs="Times New Roman"/>
                <w:b/>
              </w:rPr>
              <w:t>p-value (χ², Yates)</w:t>
            </w:r>
          </w:p>
        </w:tc>
        <w:tc>
          <w:tcPr>
            <w:tcW w:w="1368" w:type="dxa"/>
          </w:tcPr>
          <w:p w14:paraId="321C9764" w14:textId="77777777" w:rsidR="006046D2" w:rsidRPr="00B76053" w:rsidRDefault="00B04762">
            <w:pPr>
              <w:rPr>
                <w:rFonts w:cs="Times New Roman"/>
              </w:rPr>
            </w:pPr>
            <w:r w:rsidRPr="00B76053">
              <w:rPr>
                <w:rFonts w:cs="Times New Roman"/>
                <w:b/>
              </w:rPr>
              <w:t>Bonferroni-significant (α/7 = 0.00714)</w:t>
            </w:r>
          </w:p>
        </w:tc>
      </w:tr>
      <w:tr w:rsidR="006046D2" w:rsidRPr="00B76053" w14:paraId="1A0FCAD0" w14:textId="77777777" w:rsidTr="006C7CA8">
        <w:tc>
          <w:tcPr>
            <w:tcW w:w="1368" w:type="dxa"/>
          </w:tcPr>
          <w:p w14:paraId="330CB9DB" w14:textId="77777777" w:rsidR="006046D2" w:rsidRPr="00B76053" w:rsidRDefault="00B04762" w:rsidP="006C7CA8">
            <w:pPr>
              <w:jc w:val="left"/>
              <w:rPr>
                <w:rFonts w:cs="Times New Roman"/>
              </w:rPr>
            </w:pPr>
            <w:r w:rsidRPr="00B76053">
              <w:rPr>
                <w:rFonts w:cs="Times New Roman"/>
              </w:rPr>
              <w:t xml:space="preserve">Explicit AI </w:t>
            </w:r>
            <w:r w:rsidRPr="00B76053">
              <w:rPr>
                <w:rFonts w:cs="Times New Roman"/>
              </w:rPr>
              <w:lastRenderedPageBreak/>
              <w:t>/ automation</w:t>
            </w:r>
          </w:p>
        </w:tc>
        <w:tc>
          <w:tcPr>
            <w:tcW w:w="3330" w:type="dxa"/>
          </w:tcPr>
          <w:p w14:paraId="0A42D726" w14:textId="77777777" w:rsidR="006046D2" w:rsidRPr="00B76053" w:rsidRDefault="00B04762" w:rsidP="006C7CA8">
            <w:pPr>
              <w:jc w:val="left"/>
              <w:rPr>
                <w:rFonts w:cs="Times New Roman"/>
              </w:rPr>
            </w:pPr>
            <w:r w:rsidRPr="00B76053">
              <w:rPr>
                <w:rFonts w:cs="Times New Roman"/>
              </w:rPr>
              <w:lastRenderedPageBreak/>
              <w:t xml:space="preserve">ai, bot, chatbot, automated, </w:t>
            </w:r>
            <w:r w:rsidRPr="00B76053">
              <w:rPr>
                <w:rFonts w:cs="Times New Roman"/>
              </w:rPr>
              <w:lastRenderedPageBreak/>
              <w:t>betsy</w:t>
            </w:r>
          </w:p>
        </w:tc>
        <w:tc>
          <w:tcPr>
            <w:tcW w:w="900" w:type="dxa"/>
          </w:tcPr>
          <w:p w14:paraId="41447AB3" w14:textId="77777777" w:rsidR="006046D2" w:rsidRPr="00B76053" w:rsidRDefault="00B04762" w:rsidP="006C7CA8">
            <w:pPr>
              <w:jc w:val="left"/>
              <w:rPr>
                <w:rFonts w:cs="Times New Roman"/>
              </w:rPr>
            </w:pPr>
            <w:r w:rsidRPr="00B76053">
              <w:rPr>
                <w:rFonts w:cs="Times New Roman"/>
              </w:rPr>
              <w:lastRenderedPageBreak/>
              <w:t>1.15</w:t>
            </w:r>
          </w:p>
        </w:tc>
        <w:tc>
          <w:tcPr>
            <w:tcW w:w="900" w:type="dxa"/>
          </w:tcPr>
          <w:p w14:paraId="7B23F576" w14:textId="77777777" w:rsidR="006046D2" w:rsidRPr="00B76053" w:rsidRDefault="00B04762" w:rsidP="006C7CA8">
            <w:pPr>
              <w:jc w:val="left"/>
              <w:rPr>
                <w:rFonts w:cs="Times New Roman"/>
              </w:rPr>
            </w:pPr>
            <w:r w:rsidRPr="00B76053">
              <w:rPr>
                <w:rFonts w:cs="Times New Roman"/>
              </w:rPr>
              <w:t>1.18</w:t>
            </w:r>
          </w:p>
        </w:tc>
        <w:tc>
          <w:tcPr>
            <w:tcW w:w="786" w:type="dxa"/>
          </w:tcPr>
          <w:p w14:paraId="2D8C9C84" w14:textId="77777777" w:rsidR="006046D2" w:rsidRPr="00B76053" w:rsidRDefault="00B04762" w:rsidP="006C7CA8">
            <w:pPr>
              <w:jc w:val="left"/>
              <w:rPr>
                <w:rFonts w:cs="Times New Roman"/>
              </w:rPr>
            </w:pPr>
            <w:r w:rsidRPr="00B76053">
              <w:rPr>
                <w:rFonts w:cs="Times New Roman"/>
              </w:rPr>
              <w:t>+0.04</w:t>
            </w:r>
          </w:p>
        </w:tc>
        <w:tc>
          <w:tcPr>
            <w:tcW w:w="924" w:type="dxa"/>
          </w:tcPr>
          <w:p w14:paraId="065D361E" w14:textId="77777777" w:rsidR="006046D2" w:rsidRPr="00B76053" w:rsidRDefault="00B04762" w:rsidP="006C7CA8">
            <w:pPr>
              <w:jc w:val="left"/>
              <w:rPr>
                <w:rFonts w:cs="Times New Roman"/>
              </w:rPr>
            </w:pPr>
            <w:r w:rsidRPr="00B76053">
              <w:rPr>
                <w:rFonts w:cs="Times New Roman"/>
              </w:rPr>
              <w:t>1.0000</w:t>
            </w:r>
          </w:p>
        </w:tc>
        <w:tc>
          <w:tcPr>
            <w:tcW w:w="1368" w:type="dxa"/>
          </w:tcPr>
          <w:p w14:paraId="40F1DF49" w14:textId="77777777" w:rsidR="006046D2" w:rsidRPr="00B76053" w:rsidRDefault="00B04762" w:rsidP="006C7CA8">
            <w:pPr>
              <w:jc w:val="left"/>
              <w:rPr>
                <w:rFonts w:cs="Times New Roman"/>
              </w:rPr>
            </w:pPr>
            <w:r w:rsidRPr="00B76053">
              <w:rPr>
                <w:rFonts w:cs="Times New Roman"/>
              </w:rPr>
              <w:t>No</w:t>
            </w:r>
          </w:p>
        </w:tc>
      </w:tr>
      <w:tr w:rsidR="006046D2" w:rsidRPr="00B76053" w14:paraId="3C4C4911" w14:textId="77777777" w:rsidTr="006C7CA8">
        <w:tc>
          <w:tcPr>
            <w:tcW w:w="1368" w:type="dxa"/>
          </w:tcPr>
          <w:p w14:paraId="6AE4587D" w14:textId="77777777" w:rsidR="006046D2" w:rsidRPr="00B76053" w:rsidRDefault="00B04762" w:rsidP="006C7CA8">
            <w:pPr>
              <w:jc w:val="left"/>
              <w:rPr>
                <w:rFonts w:cs="Times New Roman"/>
              </w:rPr>
            </w:pPr>
            <w:r w:rsidRPr="00B76053">
              <w:rPr>
                <w:rFonts w:cs="Times New Roman"/>
              </w:rPr>
              <w:t>Speed / efficiency</w:t>
            </w:r>
          </w:p>
        </w:tc>
        <w:tc>
          <w:tcPr>
            <w:tcW w:w="3330" w:type="dxa"/>
          </w:tcPr>
          <w:p w14:paraId="5523A5D3" w14:textId="77777777" w:rsidR="006046D2" w:rsidRPr="00B76053" w:rsidRDefault="00B04762" w:rsidP="006C7CA8">
            <w:pPr>
              <w:jc w:val="left"/>
              <w:rPr>
                <w:rFonts w:cs="Times New Roman"/>
              </w:rPr>
            </w:pPr>
            <w:r w:rsidRPr="00B76053">
              <w:rPr>
                <w:rFonts w:cs="Times New Roman"/>
              </w:rPr>
              <w:t>fast, quick, slow, delay, wait</w:t>
            </w:r>
          </w:p>
        </w:tc>
        <w:tc>
          <w:tcPr>
            <w:tcW w:w="900" w:type="dxa"/>
          </w:tcPr>
          <w:p w14:paraId="539D7794" w14:textId="77777777" w:rsidR="006046D2" w:rsidRPr="00B76053" w:rsidRDefault="00B04762" w:rsidP="006C7CA8">
            <w:pPr>
              <w:jc w:val="left"/>
              <w:rPr>
                <w:rFonts w:cs="Times New Roman"/>
              </w:rPr>
            </w:pPr>
            <w:r w:rsidRPr="00B76053">
              <w:rPr>
                <w:rFonts w:cs="Times New Roman"/>
              </w:rPr>
              <w:t>52.00</w:t>
            </w:r>
          </w:p>
        </w:tc>
        <w:tc>
          <w:tcPr>
            <w:tcW w:w="900" w:type="dxa"/>
          </w:tcPr>
          <w:p w14:paraId="5B014021" w14:textId="77777777" w:rsidR="006046D2" w:rsidRPr="00B76053" w:rsidRDefault="00B04762" w:rsidP="006C7CA8">
            <w:pPr>
              <w:jc w:val="left"/>
              <w:rPr>
                <w:rFonts w:cs="Times New Roman"/>
              </w:rPr>
            </w:pPr>
            <w:r w:rsidRPr="00B76053">
              <w:rPr>
                <w:rFonts w:cs="Times New Roman"/>
              </w:rPr>
              <w:t>44.38</w:t>
            </w:r>
          </w:p>
        </w:tc>
        <w:tc>
          <w:tcPr>
            <w:tcW w:w="786" w:type="dxa"/>
          </w:tcPr>
          <w:p w14:paraId="5A062A3F" w14:textId="77777777" w:rsidR="006046D2" w:rsidRPr="00B76053" w:rsidRDefault="00B04762" w:rsidP="006C7CA8">
            <w:pPr>
              <w:jc w:val="left"/>
              <w:rPr>
                <w:rFonts w:cs="Times New Roman"/>
              </w:rPr>
            </w:pPr>
            <w:r w:rsidRPr="00B76053">
              <w:rPr>
                <w:rFonts w:cs="Times New Roman"/>
              </w:rPr>
              <w:t>-7.63</w:t>
            </w:r>
          </w:p>
        </w:tc>
        <w:tc>
          <w:tcPr>
            <w:tcW w:w="924" w:type="dxa"/>
          </w:tcPr>
          <w:p w14:paraId="398FA12F" w14:textId="77777777" w:rsidR="006046D2" w:rsidRPr="00B76053" w:rsidRDefault="00B04762" w:rsidP="006C7CA8">
            <w:pPr>
              <w:jc w:val="left"/>
              <w:rPr>
                <w:rFonts w:cs="Times New Roman"/>
              </w:rPr>
            </w:pPr>
            <w:r w:rsidRPr="00B76053">
              <w:rPr>
                <w:rFonts w:cs="Times New Roman"/>
              </w:rPr>
              <w:t>0.0698</w:t>
            </w:r>
          </w:p>
        </w:tc>
        <w:tc>
          <w:tcPr>
            <w:tcW w:w="1368" w:type="dxa"/>
          </w:tcPr>
          <w:p w14:paraId="562749EF" w14:textId="77777777" w:rsidR="006046D2" w:rsidRPr="00B76053" w:rsidRDefault="00B04762" w:rsidP="006C7CA8">
            <w:pPr>
              <w:jc w:val="left"/>
              <w:rPr>
                <w:rFonts w:cs="Times New Roman"/>
              </w:rPr>
            </w:pPr>
            <w:r w:rsidRPr="00B76053">
              <w:rPr>
                <w:rFonts w:cs="Times New Roman"/>
              </w:rPr>
              <w:t>No</w:t>
            </w:r>
          </w:p>
        </w:tc>
      </w:tr>
      <w:tr w:rsidR="006046D2" w:rsidRPr="00B76053" w14:paraId="10BCF41A" w14:textId="77777777" w:rsidTr="006C7CA8">
        <w:tc>
          <w:tcPr>
            <w:tcW w:w="1368" w:type="dxa"/>
          </w:tcPr>
          <w:p w14:paraId="559BD296" w14:textId="77777777" w:rsidR="006046D2" w:rsidRPr="00B76053" w:rsidRDefault="00B04762" w:rsidP="006C7CA8">
            <w:pPr>
              <w:jc w:val="left"/>
              <w:rPr>
                <w:rFonts w:cs="Times New Roman"/>
              </w:rPr>
            </w:pPr>
            <w:r w:rsidRPr="00B76053">
              <w:rPr>
                <w:rFonts w:cs="Times New Roman"/>
              </w:rPr>
              <w:t>Human support</w:t>
            </w:r>
          </w:p>
        </w:tc>
        <w:tc>
          <w:tcPr>
            <w:tcW w:w="3330" w:type="dxa"/>
          </w:tcPr>
          <w:p w14:paraId="55EAB449" w14:textId="77777777" w:rsidR="006046D2" w:rsidRPr="00B76053" w:rsidRDefault="00B04762" w:rsidP="006C7CA8">
            <w:pPr>
              <w:jc w:val="left"/>
              <w:rPr>
                <w:rFonts w:cs="Times New Roman"/>
              </w:rPr>
            </w:pPr>
            <w:r w:rsidRPr="00B76053">
              <w:rPr>
                <w:rFonts w:cs="Times New Roman"/>
              </w:rPr>
              <w:t>agent, officer, human, broker, person</w:t>
            </w:r>
          </w:p>
        </w:tc>
        <w:tc>
          <w:tcPr>
            <w:tcW w:w="900" w:type="dxa"/>
          </w:tcPr>
          <w:p w14:paraId="28132EA9" w14:textId="77777777" w:rsidR="006046D2" w:rsidRPr="00B76053" w:rsidRDefault="00B04762" w:rsidP="006C7CA8">
            <w:pPr>
              <w:jc w:val="left"/>
              <w:rPr>
                <w:rFonts w:cs="Times New Roman"/>
              </w:rPr>
            </w:pPr>
            <w:r w:rsidRPr="00B76053">
              <w:rPr>
                <w:rFonts w:cs="Times New Roman"/>
              </w:rPr>
              <w:t>43.81</w:t>
            </w:r>
          </w:p>
        </w:tc>
        <w:tc>
          <w:tcPr>
            <w:tcW w:w="900" w:type="dxa"/>
          </w:tcPr>
          <w:p w14:paraId="02F1D095" w14:textId="77777777" w:rsidR="006046D2" w:rsidRPr="00B76053" w:rsidRDefault="00B04762" w:rsidP="006C7CA8">
            <w:pPr>
              <w:jc w:val="left"/>
              <w:rPr>
                <w:rFonts w:cs="Times New Roman"/>
              </w:rPr>
            </w:pPr>
            <w:r w:rsidRPr="00B76053">
              <w:rPr>
                <w:rFonts w:cs="Times New Roman"/>
              </w:rPr>
              <w:t>40.83</w:t>
            </w:r>
          </w:p>
        </w:tc>
        <w:tc>
          <w:tcPr>
            <w:tcW w:w="786" w:type="dxa"/>
          </w:tcPr>
          <w:p w14:paraId="11DB86AD" w14:textId="77777777" w:rsidR="006046D2" w:rsidRPr="00B76053" w:rsidRDefault="00B04762" w:rsidP="006C7CA8">
            <w:pPr>
              <w:jc w:val="left"/>
              <w:rPr>
                <w:rFonts w:cs="Times New Roman"/>
              </w:rPr>
            </w:pPr>
            <w:r w:rsidRPr="00B76053">
              <w:rPr>
                <w:rFonts w:cs="Times New Roman"/>
              </w:rPr>
              <w:t>-2.99</w:t>
            </w:r>
          </w:p>
        </w:tc>
        <w:tc>
          <w:tcPr>
            <w:tcW w:w="924" w:type="dxa"/>
          </w:tcPr>
          <w:p w14:paraId="2DCA4436" w14:textId="77777777" w:rsidR="006046D2" w:rsidRPr="00B76053" w:rsidRDefault="00B04762" w:rsidP="006C7CA8">
            <w:pPr>
              <w:jc w:val="left"/>
              <w:rPr>
                <w:rFonts w:cs="Times New Roman"/>
              </w:rPr>
            </w:pPr>
            <w:r w:rsidRPr="00B76053">
              <w:rPr>
                <w:rFonts w:cs="Times New Roman"/>
              </w:rPr>
              <w:t>0.5052</w:t>
            </w:r>
          </w:p>
        </w:tc>
        <w:tc>
          <w:tcPr>
            <w:tcW w:w="1368" w:type="dxa"/>
          </w:tcPr>
          <w:p w14:paraId="43A7A049" w14:textId="77777777" w:rsidR="006046D2" w:rsidRPr="00B76053" w:rsidRDefault="00B04762" w:rsidP="006C7CA8">
            <w:pPr>
              <w:jc w:val="left"/>
              <w:rPr>
                <w:rFonts w:cs="Times New Roman"/>
              </w:rPr>
            </w:pPr>
            <w:r w:rsidRPr="00B76053">
              <w:rPr>
                <w:rFonts w:cs="Times New Roman"/>
              </w:rPr>
              <w:t>No</w:t>
            </w:r>
          </w:p>
        </w:tc>
      </w:tr>
      <w:tr w:rsidR="006046D2" w:rsidRPr="00B76053" w14:paraId="57C09101" w14:textId="77777777" w:rsidTr="006C7CA8">
        <w:tc>
          <w:tcPr>
            <w:tcW w:w="1368" w:type="dxa"/>
          </w:tcPr>
          <w:p w14:paraId="3BED4C48" w14:textId="77777777" w:rsidR="006046D2" w:rsidRPr="00B76053" w:rsidRDefault="00B04762" w:rsidP="006C7CA8">
            <w:pPr>
              <w:jc w:val="left"/>
              <w:rPr>
                <w:rFonts w:cs="Times New Roman"/>
              </w:rPr>
            </w:pPr>
            <w:r w:rsidRPr="00B76053">
              <w:rPr>
                <w:rFonts w:cs="Times New Roman"/>
              </w:rPr>
              <w:t>Communication</w:t>
            </w:r>
          </w:p>
        </w:tc>
        <w:tc>
          <w:tcPr>
            <w:tcW w:w="3330" w:type="dxa"/>
          </w:tcPr>
          <w:p w14:paraId="199440E6" w14:textId="77777777" w:rsidR="006046D2" w:rsidRPr="00B76053" w:rsidRDefault="00B04762" w:rsidP="006C7CA8">
            <w:pPr>
              <w:jc w:val="left"/>
              <w:rPr>
                <w:rFonts w:cs="Times New Roman"/>
              </w:rPr>
            </w:pPr>
            <w:r w:rsidRPr="00B76053">
              <w:rPr>
                <w:rFonts w:cs="Times New Roman"/>
              </w:rPr>
              <w:t>respond, communication, email, call</w:t>
            </w:r>
          </w:p>
        </w:tc>
        <w:tc>
          <w:tcPr>
            <w:tcW w:w="900" w:type="dxa"/>
          </w:tcPr>
          <w:p w14:paraId="678A69C1" w14:textId="77777777" w:rsidR="006046D2" w:rsidRPr="00B76053" w:rsidRDefault="00B04762" w:rsidP="006C7CA8">
            <w:pPr>
              <w:jc w:val="left"/>
              <w:rPr>
                <w:rFonts w:cs="Times New Roman"/>
              </w:rPr>
            </w:pPr>
            <w:r w:rsidRPr="00B76053">
              <w:rPr>
                <w:rFonts w:cs="Times New Roman"/>
              </w:rPr>
              <w:t>32.53</w:t>
            </w:r>
          </w:p>
        </w:tc>
        <w:tc>
          <w:tcPr>
            <w:tcW w:w="900" w:type="dxa"/>
          </w:tcPr>
          <w:p w14:paraId="440805C7" w14:textId="77777777" w:rsidR="006046D2" w:rsidRPr="00B76053" w:rsidRDefault="00B04762" w:rsidP="006C7CA8">
            <w:pPr>
              <w:jc w:val="left"/>
              <w:rPr>
                <w:rFonts w:cs="Times New Roman"/>
              </w:rPr>
            </w:pPr>
            <w:r w:rsidRPr="00B76053">
              <w:rPr>
                <w:rFonts w:cs="Times New Roman"/>
              </w:rPr>
              <w:t>30.77</w:t>
            </w:r>
          </w:p>
        </w:tc>
        <w:tc>
          <w:tcPr>
            <w:tcW w:w="786" w:type="dxa"/>
          </w:tcPr>
          <w:p w14:paraId="02D27605" w14:textId="77777777" w:rsidR="006046D2" w:rsidRPr="00B76053" w:rsidRDefault="00B04762" w:rsidP="006C7CA8">
            <w:pPr>
              <w:jc w:val="left"/>
              <w:rPr>
                <w:rFonts w:cs="Times New Roman"/>
              </w:rPr>
            </w:pPr>
            <w:r w:rsidRPr="00B76053">
              <w:rPr>
                <w:rFonts w:cs="Times New Roman"/>
              </w:rPr>
              <w:t>-1.76</w:t>
            </w:r>
          </w:p>
        </w:tc>
        <w:tc>
          <w:tcPr>
            <w:tcW w:w="924" w:type="dxa"/>
          </w:tcPr>
          <w:p w14:paraId="5F063F4F" w14:textId="77777777" w:rsidR="006046D2" w:rsidRPr="00B76053" w:rsidRDefault="00B04762" w:rsidP="006C7CA8">
            <w:pPr>
              <w:jc w:val="left"/>
              <w:rPr>
                <w:rFonts w:cs="Times New Roman"/>
              </w:rPr>
            </w:pPr>
            <w:r w:rsidRPr="00B76053">
              <w:rPr>
                <w:rFonts w:cs="Times New Roman"/>
              </w:rPr>
              <w:t>0.7029</w:t>
            </w:r>
          </w:p>
        </w:tc>
        <w:tc>
          <w:tcPr>
            <w:tcW w:w="1368" w:type="dxa"/>
          </w:tcPr>
          <w:p w14:paraId="0DB79AF6" w14:textId="77777777" w:rsidR="006046D2" w:rsidRPr="00B76053" w:rsidRDefault="00B04762" w:rsidP="006C7CA8">
            <w:pPr>
              <w:jc w:val="left"/>
              <w:rPr>
                <w:rFonts w:cs="Times New Roman"/>
              </w:rPr>
            </w:pPr>
            <w:r w:rsidRPr="00B76053">
              <w:rPr>
                <w:rFonts w:cs="Times New Roman"/>
              </w:rPr>
              <w:t>No</w:t>
            </w:r>
          </w:p>
        </w:tc>
      </w:tr>
      <w:tr w:rsidR="006046D2" w:rsidRPr="00B76053" w14:paraId="2E30F60F" w14:textId="77777777" w:rsidTr="006C7CA8">
        <w:tc>
          <w:tcPr>
            <w:tcW w:w="1368" w:type="dxa"/>
          </w:tcPr>
          <w:p w14:paraId="1187B1B3" w14:textId="77777777" w:rsidR="006046D2" w:rsidRPr="00B76053" w:rsidRDefault="00B04762" w:rsidP="006C7CA8">
            <w:pPr>
              <w:jc w:val="left"/>
              <w:rPr>
                <w:rFonts w:cs="Times New Roman"/>
              </w:rPr>
            </w:pPr>
            <w:r w:rsidRPr="00B76053">
              <w:rPr>
                <w:rFonts w:cs="Times New Roman"/>
              </w:rPr>
              <w:t>Delay / friction</w:t>
            </w:r>
          </w:p>
        </w:tc>
        <w:tc>
          <w:tcPr>
            <w:tcW w:w="3330" w:type="dxa"/>
          </w:tcPr>
          <w:p w14:paraId="1DB8EDCE" w14:textId="77777777" w:rsidR="006046D2" w:rsidRPr="00B76053" w:rsidRDefault="00B04762" w:rsidP="006C7CA8">
            <w:pPr>
              <w:jc w:val="left"/>
              <w:rPr>
                <w:rFonts w:cs="Times New Roman"/>
              </w:rPr>
            </w:pPr>
            <w:r w:rsidRPr="00B76053">
              <w:rPr>
                <w:rFonts w:cs="Times New Roman"/>
              </w:rPr>
              <w:t>delay, hold, wait, stuck, friction</w:t>
            </w:r>
          </w:p>
        </w:tc>
        <w:tc>
          <w:tcPr>
            <w:tcW w:w="900" w:type="dxa"/>
          </w:tcPr>
          <w:p w14:paraId="5A87C024" w14:textId="77777777" w:rsidR="006046D2" w:rsidRPr="00B76053" w:rsidRDefault="00B04762" w:rsidP="006C7CA8">
            <w:pPr>
              <w:jc w:val="left"/>
              <w:rPr>
                <w:rFonts w:cs="Times New Roman"/>
              </w:rPr>
            </w:pPr>
            <w:r w:rsidRPr="00B76053">
              <w:rPr>
                <w:rFonts w:cs="Times New Roman"/>
              </w:rPr>
              <w:t>13.52</w:t>
            </w:r>
          </w:p>
        </w:tc>
        <w:tc>
          <w:tcPr>
            <w:tcW w:w="900" w:type="dxa"/>
          </w:tcPr>
          <w:p w14:paraId="24E309C9" w14:textId="77777777" w:rsidR="006046D2" w:rsidRPr="00B76053" w:rsidRDefault="00B04762" w:rsidP="006C7CA8">
            <w:pPr>
              <w:jc w:val="left"/>
              <w:rPr>
                <w:rFonts w:cs="Times New Roman"/>
              </w:rPr>
            </w:pPr>
            <w:r w:rsidRPr="00B76053">
              <w:rPr>
                <w:rFonts w:cs="Times New Roman"/>
              </w:rPr>
              <w:t>10.06</w:t>
            </w:r>
          </w:p>
        </w:tc>
        <w:tc>
          <w:tcPr>
            <w:tcW w:w="786" w:type="dxa"/>
          </w:tcPr>
          <w:p w14:paraId="34FB1C4B" w14:textId="77777777" w:rsidR="006046D2" w:rsidRPr="00B76053" w:rsidRDefault="00B04762" w:rsidP="006C7CA8">
            <w:pPr>
              <w:jc w:val="left"/>
              <w:rPr>
                <w:rFonts w:cs="Times New Roman"/>
              </w:rPr>
            </w:pPr>
            <w:r w:rsidRPr="00B76053">
              <w:rPr>
                <w:rFonts w:cs="Times New Roman"/>
              </w:rPr>
              <w:t>-3.46</w:t>
            </w:r>
          </w:p>
        </w:tc>
        <w:tc>
          <w:tcPr>
            <w:tcW w:w="924" w:type="dxa"/>
          </w:tcPr>
          <w:p w14:paraId="20792C89" w14:textId="77777777" w:rsidR="006046D2" w:rsidRPr="00B76053" w:rsidRDefault="00B04762" w:rsidP="006C7CA8">
            <w:pPr>
              <w:jc w:val="left"/>
              <w:rPr>
                <w:rFonts w:cs="Times New Roman"/>
              </w:rPr>
            </w:pPr>
            <w:r w:rsidRPr="00B76053">
              <w:rPr>
                <w:rFonts w:cs="Times New Roman"/>
              </w:rPr>
              <w:t>0.2508</w:t>
            </w:r>
          </w:p>
        </w:tc>
        <w:tc>
          <w:tcPr>
            <w:tcW w:w="1368" w:type="dxa"/>
          </w:tcPr>
          <w:p w14:paraId="63AE3B97" w14:textId="77777777" w:rsidR="006046D2" w:rsidRPr="00B76053" w:rsidRDefault="00B04762" w:rsidP="006C7CA8">
            <w:pPr>
              <w:jc w:val="left"/>
              <w:rPr>
                <w:rFonts w:cs="Times New Roman"/>
              </w:rPr>
            </w:pPr>
            <w:r w:rsidRPr="00B76053">
              <w:rPr>
                <w:rFonts w:cs="Times New Roman"/>
              </w:rPr>
              <w:t>No</w:t>
            </w:r>
          </w:p>
        </w:tc>
      </w:tr>
      <w:tr w:rsidR="006046D2" w:rsidRPr="00B76053" w14:paraId="40BE0A04" w14:textId="77777777" w:rsidTr="006C7CA8">
        <w:tc>
          <w:tcPr>
            <w:tcW w:w="1368" w:type="dxa"/>
          </w:tcPr>
          <w:p w14:paraId="275C6E00" w14:textId="77777777" w:rsidR="006046D2" w:rsidRPr="00B76053" w:rsidRDefault="00B04762" w:rsidP="006C7CA8">
            <w:pPr>
              <w:jc w:val="left"/>
              <w:rPr>
                <w:rFonts w:cs="Times New Roman"/>
              </w:rPr>
            </w:pPr>
            <w:r w:rsidRPr="00B76053">
              <w:rPr>
                <w:rFonts w:cs="Times New Roman"/>
              </w:rPr>
              <w:t>Cost / rates</w:t>
            </w:r>
          </w:p>
        </w:tc>
        <w:tc>
          <w:tcPr>
            <w:tcW w:w="3330" w:type="dxa"/>
          </w:tcPr>
          <w:p w14:paraId="1FF4B398" w14:textId="77777777" w:rsidR="006046D2" w:rsidRPr="00B76053" w:rsidRDefault="00B04762" w:rsidP="006C7CA8">
            <w:pPr>
              <w:jc w:val="left"/>
              <w:rPr>
                <w:rFonts w:cs="Times New Roman"/>
              </w:rPr>
            </w:pPr>
            <w:r w:rsidRPr="00B76053">
              <w:rPr>
                <w:rFonts w:cs="Times New Roman"/>
              </w:rPr>
              <w:t>rate, fee, cost, expensive, pricing</w:t>
            </w:r>
          </w:p>
        </w:tc>
        <w:tc>
          <w:tcPr>
            <w:tcW w:w="900" w:type="dxa"/>
          </w:tcPr>
          <w:p w14:paraId="099A8D89" w14:textId="77777777" w:rsidR="006046D2" w:rsidRPr="00B76053" w:rsidRDefault="00B04762" w:rsidP="006C7CA8">
            <w:pPr>
              <w:jc w:val="left"/>
              <w:rPr>
                <w:rFonts w:cs="Times New Roman"/>
              </w:rPr>
            </w:pPr>
            <w:r w:rsidRPr="00B76053">
              <w:rPr>
                <w:rFonts w:cs="Times New Roman"/>
              </w:rPr>
              <w:t>28.92</w:t>
            </w:r>
          </w:p>
        </w:tc>
        <w:tc>
          <w:tcPr>
            <w:tcW w:w="900" w:type="dxa"/>
          </w:tcPr>
          <w:p w14:paraId="093486E8" w14:textId="77777777" w:rsidR="006046D2" w:rsidRPr="00B76053" w:rsidRDefault="00B04762" w:rsidP="006C7CA8">
            <w:pPr>
              <w:jc w:val="left"/>
              <w:rPr>
                <w:rFonts w:cs="Times New Roman"/>
              </w:rPr>
            </w:pPr>
            <w:r w:rsidRPr="00B76053">
              <w:rPr>
                <w:rFonts w:cs="Times New Roman"/>
              </w:rPr>
              <w:t>16.57</w:t>
            </w:r>
          </w:p>
        </w:tc>
        <w:tc>
          <w:tcPr>
            <w:tcW w:w="786" w:type="dxa"/>
          </w:tcPr>
          <w:p w14:paraId="3F28265B" w14:textId="77777777" w:rsidR="006046D2" w:rsidRPr="00B76053" w:rsidRDefault="00B04762" w:rsidP="006C7CA8">
            <w:pPr>
              <w:jc w:val="left"/>
              <w:rPr>
                <w:rFonts w:cs="Times New Roman"/>
              </w:rPr>
            </w:pPr>
            <w:r w:rsidRPr="00B76053">
              <w:rPr>
                <w:rFonts w:cs="Times New Roman"/>
              </w:rPr>
              <w:t>-12.36</w:t>
            </w:r>
          </w:p>
        </w:tc>
        <w:tc>
          <w:tcPr>
            <w:tcW w:w="924" w:type="dxa"/>
          </w:tcPr>
          <w:p w14:paraId="0254541E" w14:textId="77777777" w:rsidR="006046D2" w:rsidRPr="00B76053" w:rsidRDefault="00B04762" w:rsidP="006C7CA8">
            <w:pPr>
              <w:jc w:val="left"/>
              <w:rPr>
                <w:rFonts w:cs="Times New Roman"/>
              </w:rPr>
            </w:pPr>
            <w:r w:rsidRPr="00B76053">
              <w:rPr>
                <w:rFonts w:cs="Times New Roman"/>
              </w:rPr>
              <w:t>0.0009</w:t>
            </w:r>
          </w:p>
        </w:tc>
        <w:tc>
          <w:tcPr>
            <w:tcW w:w="1368" w:type="dxa"/>
          </w:tcPr>
          <w:p w14:paraId="782BBB51" w14:textId="77777777" w:rsidR="006046D2" w:rsidRPr="00B76053" w:rsidRDefault="00B04762" w:rsidP="006C7CA8">
            <w:pPr>
              <w:jc w:val="left"/>
              <w:rPr>
                <w:rFonts w:cs="Times New Roman"/>
              </w:rPr>
            </w:pPr>
            <w:r w:rsidRPr="00B76053">
              <w:rPr>
                <w:rFonts w:cs="Times New Roman"/>
              </w:rPr>
              <w:t>Yes</w:t>
            </w:r>
          </w:p>
        </w:tc>
      </w:tr>
      <w:tr w:rsidR="006046D2" w:rsidRPr="00B76053" w14:paraId="5B66253E" w14:textId="77777777" w:rsidTr="006C7CA8">
        <w:tc>
          <w:tcPr>
            <w:tcW w:w="1368" w:type="dxa"/>
          </w:tcPr>
          <w:p w14:paraId="5593021C" w14:textId="77777777" w:rsidR="006046D2" w:rsidRPr="00B76053" w:rsidRDefault="00B04762" w:rsidP="006C7CA8">
            <w:pPr>
              <w:jc w:val="left"/>
              <w:rPr>
                <w:rFonts w:cs="Times New Roman"/>
              </w:rPr>
            </w:pPr>
            <w:r w:rsidRPr="00B76053">
              <w:rPr>
                <w:rFonts w:cs="Times New Roman"/>
              </w:rPr>
              <w:t>Digital / process</w:t>
            </w:r>
          </w:p>
        </w:tc>
        <w:tc>
          <w:tcPr>
            <w:tcW w:w="3330" w:type="dxa"/>
          </w:tcPr>
          <w:p w14:paraId="03C4D108" w14:textId="77777777" w:rsidR="006046D2" w:rsidRPr="00B76053" w:rsidRDefault="00B04762" w:rsidP="006C7CA8">
            <w:pPr>
              <w:jc w:val="left"/>
              <w:rPr>
                <w:rFonts w:cs="Times New Roman"/>
              </w:rPr>
            </w:pPr>
            <w:r w:rsidRPr="00B76053">
              <w:rPr>
                <w:rFonts w:cs="Times New Roman"/>
              </w:rPr>
              <w:t>online, app, portal, dashboard, login</w:t>
            </w:r>
          </w:p>
        </w:tc>
        <w:tc>
          <w:tcPr>
            <w:tcW w:w="900" w:type="dxa"/>
          </w:tcPr>
          <w:p w14:paraId="3093BFC1" w14:textId="77777777" w:rsidR="006046D2" w:rsidRPr="00B76053" w:rsidRDefault="00B04762" w:rsidP="006C7CA8">
            <w:pPr>
              <w:jc w:val="left"/>
              <w:rPr>
                <w:rFonts w:cs="Times New Roman"/>
              </w:rPr>
            </w:pPr>
            <w:r w:rsidRPr="00B76053">
              <w:rPr>
                <w:rFonts w:cs="Times New Roman"/>
              </w:rPr>
              <w:t>32.65</w:t>
            </w:r>
          </w:p>
        </w:tc>
        <w:tc>
          <w:tcPr>
            <w:tcW w:w="900" w:type="dxa"/>
          </w:tcPr>
          <w:p w14:paraId="2F300A28" w14:textId="77777777" w:rsidR="006046D2" w:rsidRPr="00B76053" w:rsidRDefault="00B04762" w:rsidP="006C7CA8">
            <w:pPr>
              <w:jc w:val="left"/>
              <w:rPr>
                <w:rFonts w:cs="Times New Roman"/>
              </w:rPr>
            </w:pPr>
            <w:r w:rsidRPr="00B76053">
              <w:rPr>
                <w:rFonts w:cs="Times New Roman"/>
              </w:rPr>
              <w:t>23.67</w:t>
            </w:r>
          </w:p>
        </w:tc>
        <w:tc>
          <w:tcPr>
            <w:tcW w:w="786" w:type="dxa"/>
          </w:tcPr>
          <w:p w14:paraId="61027F77" w14:textId="77777777" w:rsidR="006046D2" w:rsidRPr="00B76053" w:rsidRDefault="00B04762" w:rsidP="006C7CA8">
            <w:pPr>
              <w:jc w:val="left"/>
              <w:rPr>
                <w:rFonts w:cs="Times New Roman"/>
              </w:rPr>
            </w:pPr>
            <w:r w:rsidRPr="00B76053">
              <w:rPr>
                <w:rFonts w:cs="Times New Roman"/>
              </w:rPr>
              <w:t>-8.98</w:t>
            </w:r>
          </w:p>
        </w:tc>
        <w:tc>
          <w:tcPr>
            <w:tcW w:w="924" w:type="dxa"/>
          </w:tcPr>
          <w:p w14:paraId="37E0D764" w14:textId="77777777" w:rsidR="006046D2" w:rsidRPr="00B76053" w:rsidRDefault="00B04762" w:rsidP="006C7CA8">
            <w:pPr>
              <w:jc w:val="left"/>
              <w:rPr>
                <w:rFonts w:cs="Times New Roman"/>
              </w:rPr>
            </w:pPr>
            <w:r w:rsidRPr="00B76053">
              <w:rPr>
                <w:rFonts w:cs="Times New Roman"/>
              </w:rPr>
              <w:t>0.0211</w:t>
            </w:r>
          </w:p>
        </w:tc>
        <w:tc>
          <w:tcPr>
            <w:tcW w:w="1368" w:type="dxa"/>
          </w:tcPr>
          <w:p w14:paraId="47B3E507" w14:textId="77777777" w:rsidR="006046D2" w:rsidRPr="00B76053" w:rsidRDefault="00B04762" w:rsidP="006C7CA8">
            <w:pPr>
              <w:jc w:val="left"/>
              <w:rPr>
                <w:rFonts w:cs="Times New Roman"/>
              </w:rPr>
            </w:pPr>
            <w:r w:rsidRPr="00B76053">
              <w:rPr>
                <w:rFonts w:cs="Times New Roman"/>
              </w:rPr>
              <w:t>No</w:t>
            </w:r>
          </w:p>
        </w:tc>
      </w:tr>
    </w:tbl>
    <w:p w14:paraId="78AFA458" w14:textId="77777777" w:rsidR="006046D2" w:rsidRPr="00B76053" w:rsidRDefault="00B04762" w:rsidP="001E0D54">
      <w:pPr>
        <w:pStyle w:val="Heading1"/>
        <w:rPr>
          <w:rFonts w:cs="Times New Roman"/>
        </w:rPr>
      </w:pPr>
      <w:bookmarkStart w:id="133" w:name="_Toc229599142"/>
      <w:r w:rsidRPr="00B76053">
        <w:rPr>
          <w:rFonts w:cs="Times New Roman"/>
        </w:rPr>
        <w:t>Appendix E. Supplementary Figures</w:t>
      </w:r>
      <w:bookmarkEnd w:id="133"/>
    </w:p>
    <w:p w14:paraId="0540C899" w14:textId="77777777" w:rsidR="006046D2" w:rsidRPr="00B76053" w:rsidRDefault="00B04762">
      <w:pPr>
        <w:pStyle w:val="Heading2"/>
        <w:rPr>
          <w:rFonts w:cs="Times New Roman"/>
        </w:rPr>
      </w:pPr>
      <w:bookmarkStart w:id="134" w:name="_Toc229599143"/>
      <w:r w:rsidRPr="00B76053">
        <w:rPr>
          <w:rFonts w:cs="Times New Roman"/>
        </w:rPr>
        <w:t>E.1 Operational Leverage Index</w:t>
      </w:r>
      <w:bookmarkEnd w:id="134"/>
    </w:p>
    <w:p w14:paraId="215C362E" w14:textId="77777777" w:rsidR="006046D2" w:rsidRPr="00B76053" w:rsidRDefault="00B04762">
      <w:pPr>
        <w:jc w:val="center"/>
        <w:rPr>
          <w:rFonts w:cs="Times New Roman"/>
        </w:rPr>
      </w:pPr>
      <w:r w:rsidRPr="00B76053">
        <w:rPr>
          <w:rFonts w:cs="Times New Roman"/>
          <w:noProof/>
        </w:rPr>
        <w:drawing>
          <wp:inline distT="0" distB="0" distL="0" distR="0" wp14:anchorId="6963BD31" wp14:editId="325DDF36">
            <wp:extent cx="5486400" cy="31198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_fig_fin_operational_leverage_index.png"/>
                    <pic:cNvPicPr/>
                  </pic:nvPicPr>
                  <pic:blipFill>
                    <a:blip r:embed="rId16"/>
                    <a:stretch>
                      <a:fillRect/>
                    </a:stretch>
                  </pic:blipFill>
                  <pic:spPr>
                    <a:xfrm>
                      <a:off x="0" y="0"/>
                      <a:ext cx="5486400" cy="3119871"/>
                    </a:xfrm>
                    <a:prstGeom prst="rect">
                      <a:avLst/>
                    </a:prstGeom>
                  </pic:spPr>
                </pic:pic>
              </a:graphicData>
            </a:graphic>
          </wp:inline>
        </w:drawing>
      </w:r>
    </w:p>
    <w:p w14:paraId="699736B5" w14:textId="77777777" w:rsidR="006046D2" w:rsidRPr="00B76053" w:rsidRDefault="00B04762">
      <w:pPr>
        <w:pStyle w:val="Caption"/>
        <w:rPr>
          <w:rFonts w:cs="Times New Roman"/>
        </w:rPr>
      </w:pPr>
      <w:r w:rsidRPr="00B76053">
        <w:rPr>
          <w:rFonts w:cs="Times New Roman"/>
        </w:rPr>
        <w:lastRenderedPageBreak/>
        <w:t>Figure E.1. Operational Leverage Index (OLI) for Better.com, fiscal years 2020–2025, with 2023 = 100. The composite is an equally-weighted average of three components: Revenue Growth Index, Revenue per Employee Index, and Inverse Expense Ratio Index. The index is illustrative; it is sensitive to baseline-year selection and to component weighting (see §3.6 and Appendix A.4).</w:t>
      </w:r>
    </w:p>
    <w:p w14:paraId="691AC034" w14:textId="77777777" w:rsidR="006046D2" w:rsidRPr="00B76053" w:rsidRDefault="00B04762">
      <w:pPr>
        <w:pStyle w:val="Heading2"/>
        <w:rPr>
          <w:rFonts w:cs="Times New Roman"/>
        </w:rPr>
      </w:pPr>
      <w:bookmarkStart w:id="135" w:name="_Toc229599144"/>
      <w:r w:rsidRPr="00B76053">
        <w:rPr>
          <w:rFonts w:cs="Times New Roman"/>
        </w:rPr>
        <w:t>E.2 BERTopic Topic Map</w:t>
      </w:r>
      <w:bookmarkEnd w:id="135"/>
    </w:p>
    <w:p w14:paraId="424C6DCC" w14:textId="77777777" w:rsidR="006046D2" w:rsidRPr="00B76053" w:rsidRDefault="00B04762">
      <w:pPr>
        <w:jc w:val="center"/>
        <w:rPr>
          <w:rFonts w:cs="Times New Roman"/>
        </w:rPr>
      </w:pPr>
      <w:r w:rsidRPr="00B76053">
        <w:rPr>
          <w:rFonts w:cs="Times New Roman"/>
          <w:noProof/>
        </w:rPr>
        <w:drawing>
          <wp:inline distT="0" distB="0" distL="0" distR="0" wp14:anchorId="5648EF5C" wp14:editId="471386F8">
            <wp:extent cx="5486400" cy="4114800"/>
            <wp:effectExtent l="0" t="0" r="127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_fig_nlp_topic_map.png"/>
                    <pic:cNvPicPr/>
                  </pic:nvPicPr>
                  <pic:blipFill>
                    <a:blip r:embed="rId17"/>
                    <a:stretch>
                      <a:fillRect/>
                    </a:stretch>
                  </pic:blipFill>
                  <pic:spPr>
                    <a:xfrm>
                      <a:off x="0" y="0"/>
                      <a:ext cx="5486400" cy="4114800"/>
                    </a:xfrm>
                    <a:prstGeom prst="rect">
                      <a:avLst/>
                    </a:prstGeom>
                  </pic:spPr>
                </pic:pic>
              </a:graphicData>
            </a:graphic>
          </wp:inline>
        </w:drawing>
      </w:r>
    </w:p>
    <w:p w14:paraId="091CFBF6" w14:textId="77777777" w:rsidR="006046D2" w:rsidRPr="00B76053" w:rsidRDefault="00B04762">
      <w:pPr>
        <w:pStyle w:val="Caption"/>
        <w:rPr>
          <w:rFonts w:cs="Times New Roman"/>
        </w:rPr>
      </w:pPr>
      <w:r w:rsidRPr="00B76053">
        <w:rPr>
          <w:rFonts w:cs="Times New Roman"/>
        </w:rPr>
        <w:t>Figure E.2. BERTopic two-dimensional topic map of the cleaned Trustpilot corpus (n = 1,915). Topics are positioned in a UMAP-projected embedding space; circle size indicates topic share. The map is descriptive and is provided for transparency; topic-share magnitudes should not be interpreted inferentially (see Appendix C.4 and §8.7).</w:t>
      </w:r>
    </w:p>
    <w:p w14:paraId="37FABF78" w14:textId="77777777" w:rsidR="006046D2" w:rsidRPr="00B76053" w:rsidRDefault="00B04762">
      <w:pPr>
        <w:pStyle w:val="Heading2"/>
        <w:rPr>
          <w:rFonts w:cs="Times New Roman"/>
        </w:rPr>
      </w:pPr>
      <w:bookmarkStart w:id="136" w:name="_Toc229599145"/>
      <w:r w:rsidRPr="00B76053">
        <w:rPr>
          <w:rFonts w:cs="Times New Roman"/>
        </w:rPr>
        <w:lastRenderedPageBreak/>
        <w:t>E.3 BERTopic Topic-Word Importance</w:t>
      </w:r>
      <w:bookmarkEnd w:id="136"/>
    </w:p>
    <w:p w14:paraId="299033CA" w14:textId="77777777" w:rsidR="006046D2" w:rsidRPr="00B76053" w:rsidRDefault="00B04762">
      <w:pPr>
        <w:jc w:val="center"/>
        <w:rPr>
          <w:rFonts w:cs="Times New Roman"/>
        </w:rPr>
      </w:pPr>
      <w:r w:rsidRPr="00B76053">
        <w:rPr>
          <w:rFonts w:cs="Times New Roman"/>
          <w:noProof/>
        </w:rPr>
        <w:drawing>
          <wp:inline distT="0" distB="0" distL="0" distR="0" wp14:anchorId="532DBD2C" wp14:editId="1CBF1C1A">
            <wp:extent cx="5486400" cy="35269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_fig_nlp_topic_word_importance.png"/>
                    <pic:cNvPicPr/>
                  </pic:nvPicPr>
                  <pic:blipFill>
                    <a:blip r:embed="rId18"/>
                    <a:stretch>
                      <a:fillRect/>
                    </a:stretch>
                  </pic:blipFill>
                  <pic:spPr>
                    <a:xfrm>
                      <a:off x="0" y="0"/>
                      <a:ext cx="5486400" cy="3526971"/>
                    </a:xfrm>
                    <a:prstGeom prst="rect">
                      <a:avLst/>
                    </a:prstGeom>
                  </pic:spPr>
                </pic:pic>
              </a:graphicData>
            </a:graphic>
          </wp:inline>
        </w:drawing>
      </w:r>
    </w:p>
    <w:p w14:paraId="1C1F9404" w14:textId="77777777" w:rsidR="006046D2" w:rsidRPr="00B76053" w:rsidRDefault="00B04762">
      <w:pPr>
        <w:pStyle w:val="Caption"/>
        <w:rPr>
          <w:rFonts w:cs="Times New Roman"/>
        </w:rPr>
      </w:pPr>
      <w:r w:rsidRPr="00B76053">
        <w:rPr>
          <w:rFonts w:cs="Times New Roman"/>
        </w:rPr>
        <w:t>Figure E.3. BERTopic topic-word importance heatmap for the top 20 topics by clustered-corpus share. Each row corresponds to a topic, and each column to a top c-TF-IDF term. Heatmap intensity reflects the per-topic c-TF-IDF score of the term. The figure is descriptive and is provided for transparency (see Appendix C.4).</w:t>
      </w:r>
    </w:p>
    <w:p w14:paraId="027E29CF" w14:textId="77777777" w:rsidR="006046D2" w:rsidRPr="00B76053" w:rsidRDefault="00B04762">
      <w:pPr>
        <w:pStyle w:val="Heading1"/>
        <w:pageBreakBefore/>
        <w:rPr>
          <w:rFonts w:cs="Times New Roman"/>
        </w:rPr>
      </w:pPr>
      <w:bookmarkStart w:id="137" w:name="_Toc229599146"/>
      <w:r w:rsidRPr="00B76053">
        <w:rPr>
          <w:rFonts w:cs="Times New Roman"/>
        </w:rPr>
        <w:lastRenderedPageBreak/>
        <w:t>Appendix F. Source Reliability and Citation Audit Summary</w:t>
      </w:r>
      <w:bookmarkEnd w:id="137"/>
    </w:p>
    <w:p w14:paraId="3D16A132" w14:textId="77777777" w:rsidR="006046D2" w:rsidRPr="00B76053" w:rsidRDefault="00B04762">
      <w:pPr>
        <w:pStyle w:val="Heading2"/>
        <w:rPr>
          <w:rFonts w:cs="Times New Roman"/>
        </w:rPr>
      </w:pPr>
      <w:bookmarkStart w:id="138" w:name="_Toc229599147"/>
      <w:r w:rsidRPr="00B76053">
        <w:rPr>
          <w:rFonts w:cs="Times New Roman"/>
        </w:rPr>
        <w:t>F.1 Source-Reliability Tier Counts</w:t>
      </w:r>
      <w:bookmarkEnd w:id="138"/>
    </w:p>
    <w:p w14:paraId="2832E172" w14:textId="77777777" w:rsidR="006046D2" w:rsidRPr="00B76053" w:rsidRDefault="00B04762">
      <w:pPr>
        <w:pStyle w:val="Caption"/>
        <w:rPr>
          <w:rFonts w:cs="Times New Roman"/>
        </w:rPr>
      </w:pPr>
      <w:r w:rsidRPr="00B76053">
        <w:rPr>
          <w:rFonts w:cs="Times New Roman"/>
        </w:rPr>
        <w:t>Table F.1. Source-reliability tier counts for sources used in this thesis, derived from the per-source classification in 10_Citation_Audit/F_Source_Reliability_Table.md.</w:t>
      </w:r>
    </w:p>
    <w:tbl>
      <w:tblPr>
        <w:tblStyle w:val="TableGrid"/>
        <w:tblW w:w="0" w:type="auto"/>
        <w:tblLook w:val="04A0" w:firstRow="1" w:lastRow="0" w:firstColumn="1" w:lastColumn="0" w:noHBand="0" w:noVBand="1"/>
      </w:tblPr>
      <w:tblGrid>
        <w:gridCol w:w="1728"/>
        <w:gridCol w:w="5940"/>
        <w:gridCol w:w="1692"/>
      </w:tblGrid>
      <w:tr w:rsidR="006046D2" w:rsidRPr="00B76053" w14:paraId="5EF77104" w14:textId="77777777" w:rsidTr="00DB1EAA">
        <w:tc>
          <w:tcPr>
            <w:tcW w:w="1728" w:type="dxa"/>
          </w:tcPr>
          <w:p w14:paraId="42FF9A92" w14:textId="77777777" w:rsidR="006046D2" w:rsidRPr="00B76053" w:rsidRDefault="00B04762">
            <w:pPr>
              <w:rPr>
                <w:rFonts w:cs="Times New Roman"/>
              </w:rPr>
            </w:pPr>
            <w:r w:rsidRPr="00B76053">
              <w:rPr>
                <w:rFonts w:cs="Times New Roman"/>
                <w:b/>
              </w:rPr>
              <w:t>Tier</w:t>
            </w:r>
          </w:p>
        </w:tc>
        <w:tc>
          <w:tcPr>
            <w:tcW w:w="5940" w:type="dxa"/>
          </w:tcPr>
          <w:p w14:paraId="62D9A9CE" w14:textId="77777777" w:rsidR="006046D2" w:rsidRPr="00B76053" w:rsidRDefault="00B04762">
            <w:pPr>
              <w:rPr>
                <w:rFonts w:cs="Times New Roman"/>
              </w:rPr>
            </w:pPr>
            <w:r w:rsidRPr="00B76053">
              <w:rPr>
                <w:rFonts w:cs="Times New Roman"/>
                <w:b/>
              </w:rPr>
              <w:t>Description</w:t>
            </w:r>
          </w:p>
        </w:tc>
        <w:tc>
          <w:tcPr>
            <w:tcW w:w="1692" w:type="dxa"/>
          </w:tcPr>
          <w:p w14:paraId="53542AB6" w14:textId="77777777" w:rsidR="006046D2" w:rsidRPr="00B76053" w:rsidRDefault="00B04762">
            <w:pPr>
              <w:rPr>
                <w:rFonts w:cs="Times New Roman"/>
              </w:rPr>
            </w:pPr>
            <w:r w:rsidRPr="00B76053">
              <w:rPr>
                <w:rFonts w:cs="Times New Roman"/>
                <w:b/>
              </w:rPr>
              <w:t># Sources used in this thesis</w:t>
            </w:r>
          </w:p>
        </w:tc>
      </w:tr>
      <w:tr w:rsidR="006046D2" w:rsidRPr="00B76053" w14:paraId="161DF3F7" w14:textId="77777777" w:rsidTr="00DB1EAA">
        <w:tc>
          <w:tcPr>
            <w:tcW w:w="1728" w:type="dxa"/>
          </w:tcPr>
          <w:p w14:paraId="55B78BAE" w14:textId="77777777" w:rsidR="006046D2" w:rsidRPr="00B76053" w:rsidRDefault="00B04762">
            <w:pPr>
              <w:rPr>
                <w:rFonts w:cs="Times New Roman"/>
              </w:rPr>
            </w:pPr>
            <w:r w:rsidRPr="00B76053">
              <w:rPr>
                <w:rFonts w:cs="Times New Roman"/>
              </w:rPr>
              <w:t>High</w:t>
            </w:r>
          </w:p>
        </w:tc>
        <w:tc>
          <w:tcPr>
            <w:tcW w:w="5940" w:type="dxa"/>
          </w:tcPr>
          <w:p w14:paraId="7D767B42" w14:textId="77777777" w:rsidR="006046D2" w:rsidRPr="00B76053" w:rsidRDefault="00B04762">
            <w:pPr>
              <w:rPr>
                <w:rFonts w:cs="Times New Roman"/>
              </w:rPr>
            </w:pPr>
            <w:r w:rsidRPr="00B76053">
              <w:rPr>
                <w:rFonts w:cs="Times New Roman"/>
              </w:rPr>
              <w:t>Audited financial statements (10-K, 10-Q, S-1).</w:t>
            </w:r>
          </w:p>
        </w:tc>
        <w:tc>
          <w:tcPr>
            <w:tcW w:w="1692" w:type="dxa"/>
          </w:tcPr>
          <w:p w14:paraId="45638624" w14:textId="77777777" w:rsidR="006046D2" w:rsidRPr="00B76053" w:rsidRDefault="00B04762">
            <w:pPr>
              <w:rPr>
                <w:rFonts w:cs="Times New Roman"/>
              </w:rPr>
            </w:pPr>
            <w:r w:rsidRPr="00B76053">
              <w:rPr>
                <w:rFonts w:cs="Times New Roman"/>
              </w:rPr>
              <w:t>10</w:t>
            </w:r>
          </w:p>
        </w:tc>
      </w:tr>
      <w:tr w:rsidR="006046D2" w:rsidRPr="00B76053" w14:paraId="43045C3D" w14:textId="77777777" w:rsidTr="00DB1EAA">
        <w:tc>
          <w:tcPr>
            <w:tcW w:w="1728" w:type="dxa"/>
          </w:tcPr>
          <w:p w14:paraId="1624F8E4" w14:textId="77777777" w:rsidR="006046D2" w:rsidRPr="00B76053" w:rsidRDefault="00B04762">
            <w:pPr>
              <w:rPr>
                <w:rFonts w:cs="Times New Roman"/>
              </w:rPr>
            </w:pPr>
            <w:r w:rsidRPr="00B76053">
              <w:rPr>
                <w:rFonts w:cs="Times New Roman"/>
              </w:rPr>
              <w:t>High</w:t>
            </w:r>
          </w:p>
        </w:tc>
        <w:tc>
          <w:tcPr>
            <w:tcW w:w="5940" w:type="dxa"/>
          </w:tcPr>
          <w:p w14:paraId="236CF21C" w14:textId="77777777" w:rsidR="006046D2" w:rsidRPr="00B76053" w:rsidRDefault="00B04762">
            <w:pPr>
              <w:rPr>
                <w:rFonts w:cs="Times New Roman"/>
              </w:rPr>
            </w:pPr>
            <w:r w:rsidRPr="00B76053">
              <w:rPr>
                <w:rFonts w:cs="Times New Roman"/>
              </w:rPr>
              <w:t>SEC-filed 8-K Exhibit 99.1 / earnings release.</w:t>
            </w:r>
          </w:p>
        </w:tc>
        <w:tc>
          <w:tcPr>
            <w:tcW w:w="1692" w:type="dxa"/>
          </w:tcPr>
          <w:p w14:paraId="2590E741" w14:textId="77777777" w:rsidR="006046D2" w:rsidRPr="00B76053" w:rsidRDefault="00B04762">
            <w:pPr>
              <w:rPr>
                <w:rFonts w:cs="Times New Roman"/>
              </w:rPr>
            </w:pPr>
            <w:r w:rsidRPr="00B76053">
              <w:rPr>
                <w:rFonts w:cs="Times New Roman"/>
              </w:rPr>
              <w:t>4</w:t>
            </w:r>
          </w:p>
        </w:tc>
      </w:tr>
      <w:tr w:rsidR="006046D2" w:rsidRPr="00B76053" w14:paraId="5B926D36" w14:textId="77777777" w:rsidTr="00DB1EAA">
        <w:tc>
          <w:tcPr>
            <w:tcW w:w="1728" w:type="dxa"/>
          </w:tcPr>
          <w:p w14:paraId="19536FC5" w14:textId="77777777" w:rsidR="006046D2" w:rsidRPr="00B76053" w:rsidRDefault="00B04762">
            <w:pPr>
              <w:rPr>
                <w:rFonts w:cs="Times New Roman"/>
              </w:rPr>
            </w:pPr>
            <w:r w:rsidRPr="00B76053">
              <w:rPr>
                <w:rFonts w:cs="Times New Roman"/>
              </w:rPr>
              <w:t>High</w:t>
            </w:r>
          </w:p>
        </w:tc>
        <w:tc>
          <w:tcPr>
            <w:tcW w:w="5940" w:type="dxa"/>
          </w:tcPr>
          <w:p w14:paraId="30F3A9B7" w14:textId="77777777" w:rsidR="006046D2" w:rsidRPr="00B76053" w:rsidRDefault="00B04762">
            <w:pPr>
              <w:rPr>
                <w:rFonts w:cs="Times New Roman"/>
              </w:rPr>
            </w:pPr>
            <w:r w:rsidRPr="00B76053">
              <w:rPr>
                <w:rFonts w:cs="Times New Roman"/>
              </w:rPr>
              <w:t>Peer-reviewed academic publication.</w:t>
            </w:r>
          </w:p>
        </w:tc>
        <w:tc>
          <w:tcPr>
            <w:tcW w:w="1692" w:type="dxa"/>
          </w:tcPr>
          <w:p w14:paraId="0EC2A075" w14:textId="77777777" w:rsidR="006046D2" w:rsidRPr="00B76053" w:rsidRDefault="00B04762">
            <w:pPr>
              <w:rPr>
                <w:rFonts w:cs="Times New Roman"/>
              </w:rPr>
            </w:pPr>
            <w:r w:rsidRPr="00B76053">
              <w:rPr>
                <w:rFonts w:cs="Times New Roman"/>
              </w:rPr>
              <w:t>26</w:t>
            </w:r>
          </w:p>
        </w:tc>
      </w:tr>
      <w:tr w:rsidR="006046D2" w:rsidRPr="00B76053" w14:paraId="3F34E27C" w14:textId="77777777" w:rsidTr="00DB1EAA">
        <w:tc>
          <w:tcPr>
            <w:tcW w:w="1728" w:type="dxa"/>
          </w:tcPr>
          <w:p w14:paraId="1B74A01D" w14:textId="77777777" w:rsidR="006046D2" w:rsidRPr="00B76053" w:rsidRDefault="00B04762">
            <w:pPr>
              <w:rPr>
                <w:rFonts w:cs="Times New Roman"/>
              </w:rPr>
            </w:pPr>
            <w:r w:rsidRPr="00B76053">
              <w:rPr>
                <w:rFonts w:cs="Times New Roman"/>
              </w:rPr>
              <w:t>Medium-High</w:t>
            </w:r>
          </w:p>
        </w:tc>
        <w:tc>
          <w:tcPr>
            <w:tcW w:w="5940" w:type="dxa"/>
          </w:tcPr>
          <w:p w14:paraId="642F36CC" w14:textId="77777777" w:rsidR="006046D2" w:rsidRPr="00B76053" w:rsidRDefault="00B04762">
            <w:pPr>
              <w:rPr>
                <w:rFonts w:cs="Times New Roman"/>
              </w:rPr>
            </w:pPr>
            <w:r w:rsidRPr="00B76053">
              <w:rPr>
                <w:rFonts w:cs="Times New Roman"/>
              </w:rPr>
              <w:t>Independent industry / government report.</w:t>
            </w:r>
          </w:p>
        </w:tc>
        <w:tc>
          <w:tcPr>
            <w:tcW w:w="1692" w:type="dxa"/>
          </w:tcPr>
          <w:p w14:paraId="02562E25" w14:textId="77777777" w:rsidR="006046D2" w:rsidRPr="00B76053" w:rsidRDefault="00B04762">
            <w:pPr>
              <w:rPr>
                <w:rFonts w:cs="Times New Roman"/>
              </w:rPr>
            </w:pPr>
            <w:r w:rsidRPr="00B76053">
              <w:rPr>
                <w:rFonts w:cs="Times New Roman"/>
              </w:rPr>
              <w:t>8</w:t>
            </w:r>
          </w:p>
        </w:tc>
      </w:tr>
      <w:tr w:rsidR="006046D2" w:rsidRPr="00B76053" w14:paraId="03E296F6" w14:textId="77777777" w:rsidTr="00DB1EAA">
        <w:tc>
          <w:tcPr>
            <w:tcW w:w="1728" w:type="dxa"/>
          </w:tcPr>
          <w:p w14:paraId="6AE18CDB" w14:textId="77777777" w:rsidR="006046D2" w:rsidRPr="00B76053" w:rsidRDefault="00B04762">
            <w:pPr>
              <w:rPr>
                <w:rFonts w:cs="Times New Roman"/>
              </w:rPr>
            </w:pPr>
            <w:r w:rsidRPr="00B76053">
              <w:rPr>
                <w:rFonts w:cs="Times New Roman"/>
              </w:rPr>
              <w:t>Medium</w:t>
            </w:r>
          </w:p>
        </w:tc>
        <w:tc>
          <w:tcPr>
            <w:tcW w:w="5940" w:type="dxa"/>
          </w:tcPr>
          <w:p w14:paraId="69E5AE48" w14:textId="77777777" w:rsidR="006046D2" w:rsidRPr="00B76053" w:rsidRDefault="00B04762">
            <w:pPr>
              <w:rPr>
                <w:rFonts w:cs="Times New Roman"/>
              </w:rPr>
            </w:pPr>
            <w:r w:rsidRPr="00B76053">
              <w:rPr>
                <w:rFonts w:cs="Times New Roman"/>
              </w:rPr>
              <w:t>Management-reported operating metric (unaudited).</w:t>
            </w:r>
          </w:p>
        </w:tc>
        <w:tc>
          <w:tcPr>
            <w:tcW w:w="1692" w:type="dxa"/>
          </w:tcPr>
          <w:p w14:paraId="2B5C02C2" w14:textId="77777777" w:rsidR="006046D2" w:rsidRPr="00B76053" w:rsidRDefault="00B04762">
            <w:pPr>
              <w:rPr>
                <w:rFonts w:cs="Times New Roman"/>
              </w:rPr>
            </w:pPr>
            <w:r w:rsidRPr="00B76053">
              <w:rPr>
                <w:rFonts w:cs="Times New Roman"/>
              </w:rPr>
              <w:t>5</w:t>
            </w:r>
          </w:p>
        </w:tc>
      </w:tr>
      <w:tr w:rsidR="006046D2" w:rsidRPr="00B76053" w14:paraId="391C372F" w14:textId="77777777" w:rsidTr="00DB1EAA">
        <w:tc>
          <w:tcPr>
            <w:tcW w:w="1728" w:type="dxa"/>
          </w:tcPr>
          <w:p w14:paraId="26C5FD9C" w14:textId="77777777" w:rsidR="006046D2" w:rsidRPr="00B76053" w:rsidRDefault="00B04762">
            <w:pPr>
              <w:rPr>
                <w:rFonts w:cs="Times New Roman"/>
              </w:rPr>
            </w:pPr>
            <w:r w:rsidRPr="00B76053">
              <w:rPr>
                <w:rFonts w:cs="Times New Roman"/>
              </w:rPr>
              <w:t>Medium</w:t>
            </w:r>
          </w:p>
        </w:tc>
        <w:tc>
          <w:tcPr>
            <w:tcW w:w="5940" w:type="dxa"/>
          </w:tcPr>
          <w:p w14:paraId="149F23E3" w14:textId="77777777" w:rsidR="006046D2" w:rsidRPr="00B76053" w:rsidRDefault="00B04762">
            <w:pPr>
              <w:rPr>
                <w:rFonts w:cs="Times New Roman"/>
              </w:rPr>
            </w:pPr>
            <w:r w:rsidRPr="00B76053">
              <w:rPr>
                <w:rFonts w:cs="Times New Roman"/>
              </w:rPr>
              <w:t>Vendor / case-study material.</w:t>
            </w:r>
          </w:p>
        </w:tc>
        <w:tc>
          <w:tcPr>
            <w:tcW w:w="1692" w:type="dxa"/>
          </w:tcPr>
          <w:p w14:paraId="3830899E" w14:textId="77777777" w:rsidR="006046D2" w:rsidRPr="00B76053" w:rsidRDefault="00B04762">
            <w:pPr>
              <w:rPr>
                <w:rFonts w:cs="Times New Roman"/>
              </w:rPr>
            </w:pPr>
            <w:r w:rsidRPr="00B76053">
              <w:rPr>
                <w:rFonts w:cs="Times New Roman"/>
              </w:rPr>
              <w:t>2</w:t>
            </w:r>
          </w:p>
        </w:tc>
      </w:tr>
      <w:tr w:rsidR="006046D2" w:rsidRPr="00B76053" w14:paraId="3AAEB0D0" w14:textId="77777777" w:rsidTr="00DB1EAA">
        <w:tc>
          <w:tcPr>
            <w:tcW w:w="1728" w:type="dxa"/>
          </w:tcPr>
          <w:p w14:paraId="0A7DD62D" w14:textId="77777777" w:rsidR="006046D2" w:rsidRPr="00B76053" w:rsidRDefault="00B04762">
            <w:pPr>
              <w:rPr>
                <w:rFonts w:cs="Times New Roman"/>
              </w:rPr>
            </w:pPr>
            <w:r w:rsidRPr="00B76053">
              <w:rPr>
                <w:rFonts w:cs="Times New Roman"/>
              </w:rPr>
              <w:t>Medium</w:t>
            </w:r>
          </w:p>
        </w:tc>
        <w:tc>
          <w:tcPr>
            <w:tcW w:w="5940" w:type="dxa"/>
          </w:tcPr>
          <w:p w14:paraId="188E367F" w14:textId="77777777" w:rsidR="006046D2" w:rsidRPr="00B76053" w:rsidRDefault="00B04762">
            <w:pPr>
              <w:rPr>
                <w:rFonts w:cs="Times New Roman"/>
              </w:rPr>
            </w:pPr>
            <w:r w:rsidRPr="00B76053">
              <w:rPr>
                <w:rFonts w:cs="Times New Roman"/>
              </w:rPr>
              <w:t>Independent self-selected user-generated content (Trustpilot).</w:t>
            </w:r>
          </w:p>
        </w:tc>
        <w:tc>
          <w:tcPr>
            <w:tcW w:w="1692" w:type="dxa"/>
          </w:tcPr>
          <w:p w14:paraId="22CD57D1" w14:textId="77777777" w:rsidR="006046D2" w:rsidRPr="00B76053" w:rsidRDefault="00B04762">
            <w:pPr>
              <w:rPr>
                <w:rFonts w:cs="Times New Roman"/>
              </w:rPr>
            </w:pPr>
            <w:r w:rsidRPr="00B76053">
              <w:rPr>
                <w:rFonts w:cs="Times New Roman"/>
              </w:rPr>
              <w:t>1</w:t>
            </w:r>
          </w:p>
        </w:tc>
      </w:tr>
      <w:tr w:rsidR="006046D2" w:rsidRPr="00B76053" w14:paraId="5F66F199" w14:textId="77777777" w:rsidTr="00DB1EAA">
        <w:tc>
          <w:tcPr>
            <w:tcW w:w="1728" w:type="dxa"/>
          </w:tcPr>
          <w:p w14:paraId="5AC1E4C4" w14:textId="77777777" w:rsidR="006046D2" w:rsidRPr="00B76053" w:rsidRDefault="00B04762">
            <w:pPr>
              <w:rPr>
                <w:rFonts w:cs="Times New Roman"/>
              </w:rPr>
            </w:pPr>
            <w:r w:rsidRPr="00B76053">
              <w:rPr>
                <w:rFonts w:cs="Times New Roman"/>
              </w:rPr>
              <w:t>Medium-Low</w:t>
            </w:r>
          </w:p>
        </w:tc>
        <w:tc>
          <w:tcPr>
            <w:tcW w:w="5940" w:type="dxa"/>
          </w:tcPr>
          <w:p w14:paraId="5B721ECC" w14:textId="77777777" w:rsidR="006046D2" w:rsidRPr="00B76053" w:rsidRDefault="00B04762">
            <w:pPr>
              <w:rPr>
                <w:rFonts w:cs="Times New Roman"/>
              </w:rPr>
            </w:pPr>
            <w:r w:rsidRPr="00B76053">
              <w:rPr>
                <w:rFonts w:cs="Times New Roman"/>
              </w:rPr>
              <w:t>News media (HousingWire, Axios).</w:t>
            </w:r>
          </w:p>
        </w:tc>
        <w:tc>
          <w:tcPr>
            <w:tcW w:w="1692" w:type="dxa"/>
          </w:tcPr>
          <w:p w14:paraId="44147205" w14:textId="77777777" w:rsidR="006046D2" w:rsidRPr="00B76053" w:rsidRDefault="00B04762">
            <w:pPr>
              <w:rPr>
                <w:rFonts w:cs="Times New Roman"/>
              </w:rPr>
            </w:pPr>
            <w:r w:rsidRPr="00B76053">
              <w:rPr>
                <w:rFonts w:cs="Times New Roman"/>
              </w:rPr>
              <w:t>3</w:t>
            </w:r>
          </w:p>
        </w:tc>
      </w:tr>
      <w:tr w:rsidR="006046D2" w:rsidRPr="00B76053" w14:paraId="417C2300" w14:textId="77777777" w:rsidTr="00DB1EAA">
        <w:tc>
          <w:tcPr>
            <w:tcW w:w="1728" w:type="dxa"/>
          </w:tcPr>
          <w:p w14:paraId="0B4F54E0" w14:textId="77777777" w:rsidR="006046D2" w:rsidRPr="00B76053" w:rsidRDefault="00B04762">
            <w:pPr>
              <w:rPr>
                <w:rFonts w:cs="Times New Roman"/>
              </w:rPr>
            </w:pPr>
            <w:r w:rsidRPr="00B76053">
              <w:rPr>
                <w:rFonts w:cs="Times New Roman"/>
              </w:rPr>
              <w:t>Low</w:t>
            </w:r>
          </w:p>
        </w:tc>
        <w:tc>
          <w:tcPr>
            <w:tcW w:w="5940" w:type="dxa"/>
          </w:tcPr>
          <w:p w14:paraId="7D77C420" w14:textId="77777777" w:rsidR="006046D2" w:rsidRPr="00B76053" w:rsidRDefault="00B04762">
            <w:pPr>
              <w:rPr>
                <w:rFonts w:cs="Times New Roman"/>
              </w:rPr>
            </w:pPr>
            <w:r w:rsidRPr="00B76053">
              <w:rPr>
                <w:rFonts w:cs="Times New Roman"/>
              </w:rPr>
              <w:t>Trade-press / vendor blog.</w:t>
            </w:r>
          </w:p>
        </w:tc>
        <w:tc>
          <w:tcPr>
            <w:tcW w:w="1692" w:type="dxa"/>
          </w:tcPr>
          <w:p w14:paraId="76AC0D03" w14:textId="77777777" w:rsidR="006046D2" w:rsidRPr="00B76053" w:rsidRDefault="00B04762">
            <w:pPr>
              <w:rPr>
                <w:rFonts w:cs="Times New Roman"/>
              </w:rPr>
            </w:pPr>
            <w:r w:rsidRPr="00B76053">
              <w:rPr>
                <w:rFonts w:cs="Times New Roman"/>
              </w:rPr>
              <w:t>0 (avoided)</w:t>
            </w:r>
          </w:p>
        </w:tc>
      </w:tr>
    </w:tbl>
    <w:p w14:paraId="52579B07" w14:textId="77777777" w:rsidR="006046D2" w:rsidRPr="00B76053" w:rsidRDefault="00B04762">
      <w:pPr>
        <w:pStyle w:val="Heading2"/>
        <w:rPr>
          <w:rFonts w:cs="Times New Roman"/>
        </w:rPr>
      </w:pPr>
      <w:bookmarkStart w:id="139" w:name="_Toc229599148"/>
      <w:r w:rsidRPr="00B76053">
        <w:rPr>
          <w:rFonts w:cs="Times New Roman"/>
        </w:rPr>
        <w:t>F.2 Citation-Audit Summary</w:t>
      </w:r>
      <w:bookmarkEnd w:id="139"/>
    </w:p>
    <w:p w14:paraId="05E34831" w14:textId="77777777" w:rsidR="006046D2" w:rsidRPr="00B76053" w:rsidRDefault="00B04762">
      <w:pPr>
        <w:rPr>
          <w:rFonts w:cs="Times New Roman"/>
        </w:rPr>
      </w:pPr>
      <w:r w:rsidRPr="00B76053">
        <w:rPr>
          <w:rFonts w:cs="Times New Roman"/>
        </w:rPr>
        <w:t>A full citation audit is provided in the project repository at 10_Citation_Audit/ and contains: (A) per-citation status table; (D) deduplicated APA 7 reference list; (F) source-reliability classification; (H) the QC checklist documenting the 37 issues fixed during the cleanup pass. Outstanding items at the time of writing (see 10_Citation_Audit/E_Outstanding_Items.md): the Qualtrics (2024) industry NPS-benchmark anchor is documented as a placeholder for a verifiable industry benchmark and is not used as a primary inferential anchor; the Hevner et al. (2004) design-science citation is placed once in Chapter 6 and is not reused; the two “Better 2022” anachronisms identified in the audit have been resolved by re-anchoring to Better HoldCo, Inc. (2021) and Better HoldCo, Inc. (2023); the two Rocket 2024 / 2025 references are the FY-2023 and FY-2024 10-K filings respectively (Rocket Companies, 2024, 2025).</w:t>
      </w:r>
    </w:p>
    <w:p w14:paraId="7B5541CF" w14:textId="77777777" w:rsidR="006046D2" w:rsidRPr="00B76053" w:rsidRDefault="00B04762">
      <w:pPr>
        <w:pStyle w:val="Heading1"/>
        <w:pageBreakBefore/>
        <w:rPr>
          <w:rFonts w:cs="Times New Roman"/>
        </w:rPr>
      </w:pPr>
      <w:bookmarkStart w:id="140" w:name="_Toc229599149"/>
      <w:r w:rsidRPr="00B76053">
        <w:rPr>
          <w:rFonts w:cs="Times New Roman"/>
        </w:rPr>
        <w:lastRenderedPageBreak/>
        <w:t>Appendix G. Reproducibility Notes</w:t>
      </w:r>
      <w:bookmarkEnd w:id="140"/>
    </w:p>
    <w:p w14:paraId="10CAA361" w14:textId="77777777" w:rsidR="00BD199A" w:rsidRPr="00B76053" w:rsidRDefault="004A2FB2">
      <w:pPr>
        <w:pStyle w:val="Heading2"/>
        <w:rPr>
          <w:rFonts w:cs="Times New Roman"/>
        </w:rPr>
      </w:pPr>
      <w:bookmarkStart w:id="141" w:name="_Toc229599150"/>
      <w:r w:rsidRPr="00B76053">
        <w:rPr>
          <w:rFonts w:cs="Times New Roman"/>
        </w:rPr>
        <w:t>G.0 Source Code Repository</w:t>
      </w:r>
      <w:bookmarkEnd w:id="141"/>
    </w:p>
    <w:p w14:paraId="48EA7969" w14:textId="77777777" w:rsidR="00BD199A" w:rsidRPr="00B76053" w:rsidRDefault="004A2FB2">
      <w:pPr>
        <w:spacing w:before="120" w:after="120"/>
        <w:rPr>
          <w:rFonts w:cs="Times New Roman"/>
        </w:rPr>
      </w:pPr>
      <w:r w:rsidRPr="00B76053">
        <w:rPr>
          <w:rFonts w:cs="Times New Roman"/>
        </w:rPr>
        <w:t xml:space="preserve">The full source code, raw and intermediate data, NLP pipeline notebooks, financial-metrics pipeline, build-out scripts, and revision history are openly available at </w:t>
      </w:r>
      <w:hyperlink r:id="rId19" w:history="1">
        <w:r w:rsidRPr="00B76053">
          <w:rPr>
            <w:rStyle w:val="Hyperlink"/>
            <w:rFonts w:cs="Times New Roman"/>
            <w:color w:val="0563C1"/>
          </w:rPr>
          <w:t>https://github.com/Mukhammad-Azim/Business-Value-of-AI-voice-agents</w:t>
        </w:r>
      </w:hyperlink>
      <w:r w:rsidRPr="00B76053">
        <w:rPr>
          <w:rFonts w:cs="Times New Roman"/>
        </w:rPr>
        <w:t>. The repository is structured to support end-to-end reproduction of every figure, table, and statistical test reported in this thesis from publicly available inputs.</w:t>
      </w:r>
    </w:p>
    <w:p w14:paraId="66407B52" w14:textId="77777777" w:rsidR="006046D2" w:rsidRPr="00B76053" w:rsidRDefault="00B04762">
      <w:pPr>
        <w:pStyle w:val="Heading2"/>
        <w:rPr>
          <w:rFonts w:cs="Times New Roman"/>
        </w:rPr>
      </w:pPr>
      <w:bookmarkStart w:id="142" w:name="_Toc229599151"/>
      <w:r w:rsidRPr="00B76053">
        <w:rPr>
          <w:rFonts w:cs="Times New Roman"/>
        </w:rPr>
        <w:t>G.1 Repository Structure</w:t>
      </w:r>
      <w:bookmarkEnd w:id="142"/>
    </w:p>
    <w:p w14:paraId="63A6AB8C" w14:textId="77777777" w:rsidR="00AA5457" w:rsidRPr="00B76053" w:rsidRDefault="00AA5457" w:rsidP="00AA5457">
      <w:pPr>
        <w:rPr>
          <w:rFonts w:cs="Times New Roman"/>
          <w:b/>
          <w:bCs/>
        </w:rPr>
      </w:pPr>
      <w:r w:rsidRPr="00B76053">
        <w:rPr>
          <w:rFonts w:cs="Times New Roman"/>
        </w:rPr>
        <w:t>The repository is organised into several top-level directories reflecting the structure of the research workflow. The 01_Literature/ directory contains literature-review materials, academic sources, and supporting theoretical references. The 02_Case_Study_Data/ directory contains Better.com case-study materials, SEC filings, Trustpilot exports, and related empirical source data. The 03_Drafts/ directory stores intermediate thesis drafts and manuscript versions, while 04_Notes/ contains research notes, planning materials, and working analytical documentation. The 05_Code/ directory contains the financial-analysis scripts, NLP pipelines, statistical notebooks, preprocessing utilities, and reproducibility scripts used throughout the empirical analysis. Processed analytical datasets are stored under 06_Data/, and generated visual outputs and thesis figures are stored under 07_Outputs/figures/. The 08_Cleanup_Report/ directory contains formatting and revision-cleanup documentation, 09_Citation_Audit/ contains citation-consistency and source-verification materials, and 10_Thesis_Improvement_Report/ contains revision tracking and quality-control documentation associated with the final refinement stages of the thesis. The repository also includes the .gitignore configuration file and a README.md file containing repository-level documentation and reproducibility guidance.</w:t>
      </w:r>
    </w:p>
    <w:p w14:paraId="5BA54595" w14:textId="3BA5D344" w:rsidR="006046D2" w:rsidRPr="00B76053" w:rsidRDefault="00B04762">
      <w:pPr>
        <w:pStyle w:val="Heading2"/>
        <w:rPr>
          <w:rFonts w:cs="Times New Roman"/>
        </w:rPr>
      </w:pPr>
      <w:bookmarkStart w:id="143" w:name="_Toc229599152"/>
      <w:r w:rsidRPr="00B76053">
        <w:rPr>
          <w:rFonts w:cs="Times New Roman"/>
        </w:rPr>
        <w:t>G.2 Run-Once-from-Clone Commands</w:t>
      </w:r>
      <w:bookmarkEnd w:id="143"/>
    </w:p>
    <w:p w14:paraId="308E1315" w14:textId="77777777" w:rsidR="00BA2F10" w:rsidRPr="00B76053" w:rsidRDefault="00BA2F10" w:rsidP="00BA2F10">
      <w:pPr>
        <w:rPr>
          <w:rFonts w:cs="Times New Roman"/>
          <w:b/>
          <w:bCs/>
        </w:rPr>
      </w:pPr>
      <w:r w:rsidRPr="00B76053">
        <w:rPr>
          <w:rFonts w:cs="Times New Roman"/>
        </w:rPr>
        <w:t xml:space="preserve">The repository contains the analytical workflows used for the financial analysis, NLP-based customer-review analysis, statistical processing, figure generation, and supplementary </w:t>
      </w:r>
      <w:r w:rsidRPr="00B76053">
        <w:rPr>
          <w:rFonts w:cs="Times New Roman"/>
        </w:rPr>
        <w:lastRenderedPageBreak/>
        <w:t>reproducibility tasks presented in this thesis. The principal analytical scripts and notebooks are located under 05_Code/ and include the financial-analysis workflows, NLP and sentiment-analysis pipelines, Trustpilot preprocessing scripts, topic-modelling procedures, statistical-analysis utilities, and figure-generation scripts used throughout the empirical chapters. Processed datasets supporting the analysis are stored under 06_Data/, while generated visual outputs are stored under 07_Outputs/figures/. The repository is intended primarily as a reproducibility and transparency archive supporting the empirical workflow of the thesis rather than as a standalone software package. Sensitive, proprietary, or platform-restricted materials are excluded where necessary.</w:t>
      </w:r>
    </w:p>
    <w:p w14:paraId="27215650" w14:textId="422F6DA4" w:rsidR="006046D2" w:rsidRPr="00B76053" w:rsidRDefault="00B04762">
      <w:pPr>
        <w:pStyle w:val="Heading2"/>
        <w:rPr>
          <w:rFonts w:cs="Times New Roman"/>
        </w:rPr>
      </w:pPr>
      <w:bookmarkStart w:id="144" w:name="_Toc229599153"/>
      <w:r w:rsidRPr="00B76053">
        <w:rPr>
          <w:rFonts w:cs="Times New Roman"/>
        </w:rPr>
        <w:t>G.3 Package Versions</w:t>
      </w:r>
      <w:bookmarkEnd w:id="144"/>
    </w:p>
    <w:p w14:paraId="44F91101" w14:textId="7F3CE3BF" w:rsidR="006046D2" w:rsidRPr="00B76053" w:rsidRDefault="00B04762">
      <w:pPr>
        <w:pStyle w:val="Caption"/>
        <w:rPr>
          <w:rFonts w:cs="Times New Roman"/>
        </w:rPr>
      </w:pPr>
      <w:r w:rsidRPr="00B76053">
        <w:rPr>
          <w:rFonts w:cs="Times New Roman"/>
        </w:rPr>
        <w:t xml:space="preserve">Table G.1. </w:t>
      </w:r>
      <w:r w:rsidR="00AB4EE3" w:rsidRPr="00B76053">
        <w:rPr>
          <w:rFonts w:cs="Times New Roman"/>
        </w:rPr>
        <w:t xml:space="preserve">The package versions and analytical dependencies used throughout the financial-analysis and NLP workflows are documented within the repository environment and dependency files located under </w:t>
      </w:r>
      <w:r w:rsidR="00AB4EE3" w:rsidRPr="00B76053">
        <w:rPr>
          <w:rStyle w:val="HTMLCode"/>
          <w:rFonts w:ascii="Times New Roman" w:eastAsiaTheme="minorEastAsia" w:hAnsi="Times New Roman" w:cs="Times New Roman"/>
        </w:rPr>
        <w:t>05_Code/</w:t>
      </w:r>
      <w:r w:rsidR="00AB4EE3" w:rsidRPr="00B76053">
        <w:rPr>
          <w:rFonts w:cs="Times New Roman"/>
        </w:rPr>
        <w:t>. These include the Python packages and libraries required for financial-data analysis, statistical modelling, NLP preprocessing, FinBERT sentiment classification, topic modelling, data visualisation, and reproducibility workflows. Where applicable, pinned dependency versions are recorded to improve reproducibility and analytical consistency across computational environments.</w:t>
      </w:r>
    </w:p>
    <w:tbl>
      <w:tblPr>
        <w:tblStyle w:val="TableGrid"/>
        <w:tblW w:w="0" w:type="auto"/>
        <w:tblLook w:val="04A0" w:firstRow="1" w:lastRow="0" w:firstColumn="1" w:lastColumn="0" w:noHBand="0" w:noVBand="1"/>
      </w:tblPr>
      <w:tblGrid>
        <w:gridCol w:w="3120"/>
        <w:gridCol w:w="3120"/>
        <w:gridCol w:w="3120"/>
      </w:tblGrid>
      <w:tr w:rsidR="006046D2" w:rsidRPr="00B76053" w14:paraId="06CB911B" w14:textId="77777777">
        <w:tc>
          <w:tcPr>
            <w:tcW w:w="3120" w:type="dxa"/>
          </w:tcPr>
          <w:p w14:paraId="220E3A51" w14:textId="77777777" w:rsidR="006046D2" w:rsidRPr="00B76053" w:rsidRDefault="00B04762">
            <w:pPr>
              <w:rPr>
                <w:rFonts w:cs="Times New Roman"/>
              </w:rPr>
            </w:pPr>
            <w:r w:rsidRPr="00B76053">
              <w:rPr>
                <w:rFonts w:cs="Times New Roman"/>
                <w:b/>
              </w:rPr>
              <w:t>Package</w:t>
            </w:r>
          </w:p>
        </w:tc>
        <w:tc>
          <w:tcPr>
            <w:tcW w:w="3120" w:type="dxa"/>
          </w:tcPr>
          <w:p w14:paraId="16DFFEEF" w14:textId="77777777" w:rsidR="006046D2" w:rsidRPr="00B76053" w:rsidRDefault="00B04762">
            <w:pPr>
              <w:rPr>
                <w:rFonts w:cs="Times New Roman"/>
              </w:rPr>
            </w:pPr>
            <w:r w:rsidRPr="00B76053">
              <w:rPr>
                <w:rFonts w:cs="Times New Roman"/>
                <w:b/>
              </w:rPr>
              <w:t>Version</w:t>
            </w:r>
          </w:p>
        </w:tc>
        <w:tc>
          <w:tcPr>
            <w:tcW w:w="3120" w:type="dxa"/>
          </w:tcPr>
          <w:p w14:paraId="2A43D192" w14:textId="77777777" w:rsidR="006046D2" w:rsidRPr="00B76053" w:rsidRDefault="00B04762">
            <w:pPr>
              <w:rPr>
                <w:rFonts w:cs="Times New Roman"/>
              </w:rPr>
            </w:pPr>
            <w:r w:rsidRPr="00B76053">
              <w:rPr>
                <w:rFonts w:cs="Times New Roman"/>
                <w:b/>
              </w:rPr>
              <w:t>Role</w:t>
            </w:r>
          </w:p>
        </w:tc>
      </w:tr>
      <w:tr w:rsidR="006046D2" w:rsidRPr="00B76053" w14:paraId="42C42437" w14:textId="77777777">
        <w:tc>
          <w:tcPr>
            <w:tcW w:w="3120" w:type="dxa"/>
          </w:tcPr>
          <w:p w14:paraId="4A8A5BBA" w14:textId="77777777" w:rsidR="006046D2" w:rsidRPr="00B76053" w:rsidRDefault="00B04762">
            <w:pPr>
              <w:rPr>
                <w:rFonts w:cs="Times New Roman"/>
              </w:rPr>
            </w:pPr>
            <w:r w:rsidRPr="00B76053">
              <w:rPr>
                <w:rFonts w:cs="Times New Roman"/>
              </w:rPr>
              <w:t>Python</w:t>
            </w:r>
          </w:p>
        </w:tc>
        <w:tc>
          <w:tcPr>
            <w:tcW w:w="3120" w:type="dxa"/>
          </w:tcPr>
          <w:p w14:paraId="38EDBAC6" w14:textId="77777777" w:rsidR="006046D2" w:rsidRPr="00B76053" w:rsidRDefault="00B04762">
            <w:pPr>
              <w:rPr>
                <w:rFonts w:cs="Times New Roman"/>
              </w:rPr>
            </w:pPr>
            <w:r w:rsidRPr="00B76053">
              <w:rPr>
                <w:rFonts w:cs="Times New Roman"/>
              </w:rPr>
              <w:t>3.11</w:t>
            </w:r>
          </w:p>
        </w:tc>
        <w:tc>
          <w:tcPr>
            <w:tcW w:w="3120" w:type="dxa"/>
          </w:tcPr>
          <w:p w14:paraId="13230D5B" w14:textId="77777777" w:rsidR="006046D2" w:rsidRPr="00B76053" w:rsidRDefault="00B04762">
            <w:pPr>
              <w:rPr>
                <w:rFonts w:cs="Times New Roman"/>
              </w:rPr>
            </w:pPr>
            <w:r w:rsidRPr="00B76053">
              <w:rPr>
                <w:rFonts w:cs="Times New Roman"/>
              </w:rPr>
              <w:t>Interpreter.</w:t>
            </w:r>
          </w:p>
        </w:tc>
      </w:tr>
      <w:tr w:rsidR="006046D2" w:rsidRPr="00B76053" w14:paraId="37B02E43" w14:textId="77777777">
        <w:tc>
          <w:tcPr>
            <w:tcW w:w="3120" w:type="dxa"/>
          </w:tcPr>
          <w:p w14:paraId="79AE28BF" w14:textId="77777777" w:rsidR="006046D2" w:rsidRPr="00B76053" w:rsidRDefault="00B04762">
            <w:pPr>
              <w:rPr>
                <w:rFonts w:cs="Times New Roman"/>
              </w:rPr>
            </w:pPr>
            <w:r w:rsidRPr="00B76053">
              <w:rPr>
                <w:rFonts w:cs="Times New Roman"/>
              </w:rPr>
              <w:t>python-docx</w:t>
            </w:r>
          </w:p>
        </w:tc>
        <w:tc>
          <w:tcPr>
            <w:tcW w:w="3120" w:type="dxa"/>
          </w:tcPr>
          <w:p w14:paraId="295E0E44" w14:textId="77777777" w:rsidR="006046D2" w:rsidRPr="00B76053" w:rsidRDefault="00B04762">
            <w:pPr>
              <w:rPr>
                <w:rFonts w:cs="Times New Roman"/>
              </w:rPr>
            </w:pPr>
            <w:r w:rsidRPr="00B76053">
              <w:rPr>
                <w:rFonts w:cs="Times New Roman"/>
              </w:rPr>
              <w:t>1.1.0</w:t>
            </w:r>
          </w:p>
        </w:tc>
        <w:tc>
          <w:tcPr>
            <w:tcW w:w="3120" w:type="dxa"/>
          </w:tcPr>
          <w:p w14:paraId="18560951" w14:textId="77777777" w:rsidR="006046D2" w:rsidRPr="00B76053" w:rsidRDefault="00B04762">
            <w:pPr>
              <w:rPr>
                <w:rFonts w:cs="Times New Roman"/>
              </w:rPr>
            </w:pPr>
            <w:r w:rsidRPr="00B76053">
              <w:rPr>
                <w:rFonts w:cs="Times New Roman"/>
              </w:rPr>
              <w:t>Document construction in 08_Code/buildout/.</w:t>
            </w:r>
          </w:p>
        </w:tc>
      </w:tr>
      <w:tr w:rsidR="006046D2" w:rsidRPr="00B76053" w14:paraId="62A8E482" w14:textId="77777777">
        <w:tc>
          <w:tcPr>
            <w:tcW w:w="3120" w:type="dxa"/>
          </w:tcPr>
          <w:p w14:paraId="7CEB7EE7" w14:textId="77777777" w:rsidR="006046D2" w:rsidRPr="00B76053" w:rsidRDefault="00B04762">
            <w:pPr>
              <w:rPr>
                <w:rFonts w:cs="Times New Roman"/>
              </w:rPr>
            </w:pPr>
            <w:r w:rsidRPr="00B76053">
              <w:rPr>
                <w:rFonts w:cs="Times New Roman"/>
              </w:rPr>
              <w:t>pdfplumber</w:t>
            </w:r>
          </w:p>
        </w:tc>
        <w:tc>
          <w:tcPr>
            <w:tcW w:w="3120" w:type="dxa"/>
          </w:tcPr>
          <w:p w14:paraId="71705774" w14:textId="77777777" w:rsidR="006046D2" w:rsidRPr="00B76053" w:rsidRDefault="00B04762">
            <w:pPr>
              <w:rPr>
                <w:rFonts w:cs="Times New Roman"/>
              </w:rPr>
            </w:pPr>
            <w:r w:rsidRPr="00B76053">
              <w:rPr>
                <w:rFonts w:cs="Times New Roman"/>
              </w:rPr>
              <w:t>0.11.0</w:t>
            </w:r>
          </w:p>
        </w:tc>
        <w:tc>
          <w:tcPr>
            <w:tcW w:w="3120" w:type="dxa"/>
          </w:tcPr>
          <w:p w14:paraId="7DD800F0" w14:textId="77777777" w:rsidR="006046D2" w:rsidRPr="00B76053" w:rsidRDefault="00B04762">
            <w:pPr>
              <w:rPr>
                <w:rFonts w:cs="Times New Roman"/>
              </w:rPr>
            </w:pPr>
            <w:r w:rsidRPr="00B76053">
              <w:rPr>
                <w:rFonts w:cs="Times New Roman"/>
              </w:rPr>
              <w:t>PDF extraction from SEC filings.</w:t>
            </w:r>
          </w:p>
        </w:tc>
      </w:tr>
      <w:tr w:rsidR="006046D2" w:rsidRPr="00B76053" w14:paraId="2347D28E" w14:textId="77777777">
        <w:tc>
          <w:tcPr>
            <w:tcW w:w="3120" w:type="dxa"/>
          </w:tcPr>
          <w:p w14:paraId="045329AB" w14:textId="77777777" w:rsidR="006046D2" w:rsidRPr="00B76053" w:rsidRDefault="00B04762">
            <w:pPr>
              <w:rPr>
                <w:rFonts w:cs="Times New Roman"/>
              </w:rPr>
            </w:pPr>
            <w:r w:rsidRPr="00B76053">
              <w:rPr>
                <w:rFonts w:cs="Times New Roman"/>
              </w:rPr>
              <w:t>pypdf</w:t>
            </w:r>
          </w:p>
        </w:tc>
        <w:tc>
          <w:tcPr>
            <w:tcW w:w="3120" w:type="dxa"/>
          </w:tcPr>
          <w:p w14:paraId="057241D1" w14:textId="77777777" w:rsidR="006046D2" w:rsidRPr="00B76053" w:rsidRDefault="00B04762">
            <w:pPr>
              <w:rPr>
                <w:rFonts w:cs="Times New Roman"/>
              </w:rPr>
            </w:pPr>
            <w:r w:rsidRPr="00B76053">
              <w:rPr>
                <w:rFonts w:cs="Times New Roman"/>
              </w:rPr>
              <w:t>4.0.1</w:t>
            </w:r>
          </w:p>
        </w:tc>
        <w:tc>
          <w:tcPr>
            <w:tcW w:w="3120" w:type="dxa"/>
          </w:tcPr>
          <w:p w14:paraId="0B53A75A" w14:textId="77777777" w:rsidR="006046D2" w:rsidRPr="00B76053" w:rsidRDefault="00B04762">
            <w:pPr>
              <w:rPr>
                <w:rFonts w:cs="Times New Roman"/>
              </w:rPr>
            </w:pPr>
            <w:r w:rsidRPr="00B76053">
              <w:rPr>
                <w:rFonts w:cs="Times New Roman"/>
              </w:rPr>
              <w:t>Cross-validation PDF extraction.</w:t>
            </w:r>
          </w:p>
        </w:tc>
      </w:tr>
      <w:tr w:rsidR="006046D2" w:rsidRPr="00B76053" w14:paraId="786C3242" w14:textId="77777777">
        <w:tc>
          <w:tcPr>
            <w:tcW w:w="3120" w:type="dxa"/>
          </w:tcPr>
          <w:p w14:paraId="15656788" w14:textId="77777777" w:rsidR="006046D2" w:rsidRPr="00B76053" w:rsidRDefault="00B04762">
            <w:pPr>
              <w:rPr>
                <w:rFonts w:cs="Times New Roman"/>
              </w:rPr>
            </w:pPr>
            <w:r w:rsidRPr="00B76053">
              <w:rPr>
                <w:rFonts w:cs="Times New Roman"/>
              </w:rPr>
              <w:t>pandas</w:t>
            </w:r>
          </w:p>
        </w:tc>
        <w:tc>
          <w:tcPr>
            <w:tcW w:w="3120" w:type="dxa"/>
          </w:tcPr>
          <w:p w14:paraId="6E418CFE" w14:textId="77777777" w:rsidR="006046D2" w:rsidRPr="00B76053" w:rsidRDefault="00B04762">
            <w:pPr>
              <w:rPr>
                <w:rFonts w:cs="Times New Roman"/>
              </w:rPr>
            </w:pPr>
            <w:r w:rsidRPr="00B76053">
              <w:rPr>
                <w:rFonts w:cs="Times New Roman"/>
              </w:rPr>
              <w:t>2.2.0</w:t>
            </w:r>
          </w:p>
        </w:tc>
        <w:tc>
          <w:tcPr>
            <w:tcW w:w="3120" w:type="dxa"/>
          </w:tcPr>
          <w:p w14:paraId="63CADC24" w14:textId="77777777" w:rsidR="006046D2" w:rsidRPr="00B76053" w:rsidRDefault="00B04762">
            <w:pPr>
              <w:rPr>
                <w:rFonts w:cs="Times New Roman"/>
              </w:rPr>
            </w:pPr>
            <w:r w:rsidRPr="00B76053">
              <w:rPr>
                <w:rFonts w:cs="Times New Roman"/>
              </w:rPr>
              <w:t>Tabular data handling.</w:t>
            </w:r>
          </w:p>
        </w:tc>
      </w:tr>
      <w:tr w:rsidR="006046D2" w:rsidRPr="00B76053" w14:paraId="5A5A57B7" w14:textId="77777777">
        <w:tc>
          <w:tcPr>
            <w:tcW w:w="3120" w:type="dxa"/>
          </w:tcPr>
          <w:p w14:paraId="69D0FE5E" w14:textId="77777777" w:rsidR="006046D2" w:rsidRPr="00B76053" w:rsidRDefault="00B04762">
            <w:pPr>
              <w:rPr>
                <w:rFonts w:cs="Times New Roman"/>
              </w:rPr>
            </w:pPr>
            <w:r w:rsidRPr="00B76053">
              <w:rPr>
                <w:rFonts w:cs="Times New Roman"/>
              </w:rPr>
              <w:t>numpy</w:t>
            </w:r>
          </w:p>
        </w:tc>
        <w:tc>
          <w:tcPr>
            <w:tcW w:w="3120" w:type="dxa"/>
          </w:tcPr>
          <w:p w14:paraId="11BB47AC" w14:textId="77777777" w:rsidR="006046D2" w:rsidRPr="00B76053" w:rsidRDefault="00B04762">
            <w:pPr>
              <w:rPr>
                <w:rFonts w:cs="Times New Roman"/>
              </w:rPr>
            </w:pPr>
            <w:r w:rsidRPr="00B76053">
              <w:rPr>
                <w:rFonts w:cs="Times New Roman"/>
              </w:rPr>
              <w:t>1.26.0</w:t>
            </w:r>
          </w:p>
        </w:tc>
        <w:tc>
          <w:tcPr>
            <w:tcW w:w="3120" w:type="dxa"/>
          </w:tcPr>
          <w:p w14:paraId="58B95E0F" w14:textId="77777777" w:rsidR="006046D2" w:rsidRPr="00B76053" w:rsidRDefault="00B04762">
            <w:pPr>
              <w:rPr>
                <w:rFonts w:cs="Times New Roman"/>
              </w:rPr>
            </w:pPr>
            <w:r w:rsidRPr="00B76053">
              <w:rPr>
                <w:rFonts w:cs="Times New Roman"/>
              </w:rPr>
              <w:t>Numerical operations.</w:t>
            </w:r>
          </w:p>
        </w:tc>
      </w:tr>
      <w:tr w:rsidR="006046D2" w:rsidRPr="00B76053" w14:paraId="228B028E" w14:textId="77777777">
        <w:tc>
          <w:tcPr>
            <w:tcW w:w="3120" w:type="dxa"/>
          </w:tcPr>
          <w:p w14:paraId="56E3E165" w14:textId="77777777" w:rsidR="006046D2" w:rsidRPr="00B76053" w:rsidRDefault="00B04762">
            <w:pPr>
              <w:rPr>
                <w:rFonts w:cs="Times New Roman"/>
              </w:rPr>
            </w:pPr>
            <w:r w:rsidRPr="00B76053">
              <w:rPr>
                <w:rFonts w:cs="Times New Roman"/>
              </w:rPr>
              <w:t>matplotlib</w:t>
            </w:r>
          </w:p>
        </w:tc>
        <w:tc>
          <w:tcPr>
            <w:tcW w:w="3120" w:type="dxa"/>
          </w:tcPr>
          <w:p w14:paraId="7F4AB854" w14:textId="77777777" w:rsidR="006046D2" w:rsidRPr="00B76053" w:rsidRDefault="00B04762">
            <w:pPr>
              <w:rPr>
                <w:rFonts w:cs="Times New Roman"/>
              </w:rPr>
            </w:pPr>
            <w:r w:rsidRPr="00B76053">
              <w:rPr>
                <w:rFonts w:cs="Times New Roman"/>
              </w:rPr>
              <w:t>3.8.0</w:t>
            </w:r>
          </w:p>
        </w:tc>
        <w:tc>
          <w:tcPr>
            <w:tcW w:w="3120" w:type="dxa"/>
          </w:tcPr>
          <w:p w14:paraId="708E6A25" w14:textId="77777777" w:rsidR="006046D2" w:rsidRPr="00B76053" w:rsidRDefault="00B04762">
            <w:pPr>
              <w:rPr>
                <w:rFonts w:cs="Times New Roman"/>
              </w:rPr>
            </w:pPr>
            <w:r w:rsidRPr="00B76053">
              <w:rPr>
                <w:rFonts w:cs="Times New Roman"/>
              </w:rPr>
              <w:t>Figure generation.</w:t>
            </w:r>
          </w:p>
        </w:tc>
      </w:tr>
      <w:tr w:rsidR="006046D2" w:rsidRPr="00B76053" w14:paraId="73C7A2FE" w14:textId="77777777">
        <w:tc>
          <w:tcPr>
            <w:tcW w:w="3120" w:type="dxa"/>
          </w:tcPr>
          <w:p w14:paraId="49EDD7D4" w14:textId="77777777" w:rsidR="006046D2" w:rsidRPr="00B76053" w:rsidRDefault="00B04762">
            <w:pPr>
              <w:rPr>
                <w:rFonts w:cs="Times New Roman"/>
              </w:rPr>
            </w:pPr>
            <w:r w:rsidRPr="00B76053">
              <w:rPr>
                <w:rFonts w:cs="Times New Roman"/>
              </w:rPr>
              <w:t>seaborn</w:t>
            </w:r>
          </w:p>
        </w:tc>
        <w:tc>
          <w:tcPr>
            <w:tcW w:w="3120" w:type="dxa"/>
          </w:tcPr>
          <w:p w14:paraId="447DBC7A" w14:textId="77777777" w:rsidR="006046D2" w:rsidRPr="00B76053" w:rsidRDefault="00B04762">
            <w:pPr>
              <w:rPr>
                <w:rFonts w:cs="Times New Roman"/>
              </w:rPr>
            </w:pPr>
            <w:r w:rsidRPr="00B76053">
              <w:rPr>
                <w:rFonts w:cs="Times New Roman"/>
              </w:rPr>
              <w:t>0.13.0</w:t>
            </w:r>
          </w:p>
        </w:tc>
        <w:tc>
          <w:tcPr>
            <w:tcW w:w="3120" w:type="dxa"/>
          </w:tcPr>
          <w:p w14:paraId="26B473B5" w14:textId="77777777" w:rsidR="006046D2" w:rsidRPr="00B76053" w:rsidRDefault="00B04762">
            <w:pPr>
              <w:rPr>
                <w:rFonts w:cs="Times New Roman"/>
              </w:rPr>
            </w:pPr>
            <w:r w:rsidRPr="00B76053">
              <w:rPr>
                <w:rFonts w:cs="Times New Roman"/>
              </w:rPr>
              <w:t>Statistical figure styling.</w:t>
            </w:r>
          </w:p>
        </w:tc>
      </w:tr>
      <w:tr w:rsidR="006046D2" w:rsidRPr="00B76053" w14:paraId="57FFCDEE" w14:textId="77777777">
        <w:tc>
          <w:tcPr>
            <w:tcW w:w="3120" w:type="dxa"/>
          </w:tcPr>
          <w:p w14:paraId="4CC4EBF9" w14:textId="77777777" w:rsidR="006046D2" w:rsidRPr="00B76053" w:rsidRDefault="00B04762">
            <w:pPr>
              <w:rPr>
                <w:rFonts w:cs="Times New Roman"/>
              </w:rPr>
            </w:pPr>
            <w:r w:rsidRPr="00B76053">
              <w:rPr>
                <w:rFonts w:cs="Times New Roman"/>
              </w:rPr>
              <w:t>scipy</w:t>
            </w:r>
          </w:p>
        </w:tc>
        <w:tc>
          <w:tcPr>
            <w:tcW w:w="3120" w:type="dxa"/>
          </w:tcPr>
          <w:p w14:paraId="399D997B" w14:textId="77777777" w:rsidR="006046D2" w:rsidRPr="00B76053" w:rsidRDefault="00B04762">
            <w:pPr>
              <w:rPr>
                <w:rFonts w:cs="Times New Roman"/>
              </w:rPr>
            </w:pPr>
            <w:r w:rsidRPr="00B76053">
              <w:rPr>
                <w:rFonts w:cs="Times New Roman"/>
              </w:rPr>
              <w:t>1.12.0</w:t>
            </w:r>
          </w:p>
        </w:tc>
        <w:tc>
          <w:tcPr>
            <w:tcW w:w="3120" w:type="dxa"/>
          </w:tcPr>
          <w:p w14:paraId="6E15DE58" w14:textId="77777777" w:rsidR="006046D2" w:rsidRPr="00B76053" w:rsidRDefault="00B04762">
            <w:pPr>
              <w:rPr>
                <w:rFonts w:cs="Times New Roman"/>
              </w:rPr>
            </w:pPr>
            <w:r w:rsidRPr="00B76053">
              <w:rPr>
                <w:rFonts w:cs="Times New Roman"/>
              </w:rPr>
              <w:t>Welch's t, chi-square, Fisher's exact tests.</w:t>
            </w:r>
          </w:p>
        </w:tc>
      </w:tr>
      <w:tr w:rsidR="006046D2" w:rsidRPr="00B76053" w14:paraId="0D0DA23D" w14:textId="77777777">
        <w:tc>
          <w:tcPr>
            <w:tcW w:w="3120" w:type="dxa"/>
          </w:tcPr>
          <w:p w14:paraId="0B8BF5F6" w14:textId="77777777" w:rsidR="006046D2" w:rsidRPr="00B76053" w:rsidRDefault="00B04762">
            <w:pPr>
              <w:rPr>
                <w:rFonts w:cs="Times New Roman"/>
              </w:rPr>
            </w:pPr>
            <w:r w:rsidRPr="00B76053">
              <w:rPr>
                <w:rFonts w:cs="Times New Roman"/>
              </w:rPr>
              <w:t>scikit-learn</w:t>
            </w:r>
          </w:p>
        </w:tc>
        <w:tc>
          <w:tcPr>
            <w:tcW w:w="3120" w:type="dxa"/>
          </w:tcPr>
          <w:p w14:paraId="13679152" w14:textId="77777777" w:rsidR="006046D2" w:rsidRPr="00B76053" w:rsidRDefault="00B04762">
            <w:pPr>
              <w:rPr>
                <w:rFonts w:cs="Times New Roman"/>
              </w:rPr>
            </w:pPr>
            <w:r w:rsidRPr="00B76053">
              <w:rPr>
                <w:rFonts w:cs="Times New Roman"/>
              </w:rPr>
              <w:t>1.3.0</w:t>
            </w:r>
          </w:p>
        </w:tc>
        <w:tc>
          <w:tcPr>
            <w:tcW w:w="3120" w:type="dxa"/>
          </w:tcPr>
          <w:p w14:paraId="073EBE0D" w14:textId="77777777" w:rsidR="006046D2" w:rsidRPr="00B76053" w:rsidRDefault="00B04762">
            <w:pPr>
              <w:rPr>
                <w:rFonts w:cs="Times New Roman"/>
              </w:rPr>
            </w:pPr>
            <w:r w:rsidRPr="00B76053">
              <w:rPr>
                <w:rFonts w:cs="Times New Roman"/>
              </w:rPr>
              <w:t>TF-IDF, normalisation.</w:t>
            </w:r>
          </w:p>
        </w:tc>
      </w:tr>
      <w:tr w:rsidR="006046D2" w:rsidRPr="00B76053" w14:paraId="3F168542" w14:textId="77777777">
        <w:tc>
          <w:tcPr>
            <w:tcW w:w="3120" w:type="dxa"/>
          </w:tcPr>
          <w:p w14:paraId="5F15A366" w14:textId="77777777" w:rsidR="006046D2" w:rsidRPr="00B76053" w:rsidRDefault="00B04762">
            <w:pPr>
              <w:rPr>
                <w:rFonts w:cs="Times New Roman"/>
              </w:rPr>
            </w:pPr>
            <w:r w:rsidRPr="00B76053">
              <w:rPr>
                <w:rFonts w:cs="Times New Roman"/>
              </w:rPr>
              <w:lastRenderedPageBreak/>
              <w:t>sentence-transformers</w:t>
            </w:r>
          </w:p>
        </w:tc>
        <w:tc>
          <w:tcPr>
            <w:tcW w:w="3120" w:type="dxa"/>
          </w:tcPr>
          <w:p w14:paraId="5C2A6475" w14:textId="77777777" w:rsidR="006046D2" w:rsidRPr="00B76053" w:rsidRDefault="00B04762">
            <w:pPr>
              <w:rPr>
                <w:rFonts w:cs="Times New Roman"/>
              </w:rPr>
            </w:pPr>
            <w:r w:rsidRPr="00B76053">
              <w:rPr>
                <w:rFonts w:cs="Times New Roman"/>
              </w:rPr>
              <w:t>2.2.2</w:t>
            </w:r>
          </w:p>
        </w:tc>
        <w:tc>
          <w:tcPr>
            <w:tcW w:w="3120" w:type="dxa"/>
          </w:tcPr>
          <w:p w14:paraId="615CC5A0" w14:textId="77777777" w:rsidR="006046D2" w:rsidRPr="00B76053" w:rsidRDefault="00B04762">
            <w:pPr>
              <w:rPr>
                <w:rFonts w:cs="Times New Roman"/>
              </w:rPr>
            </w:pPr>
            <w:r w:rsidRPr="00B76053">
              <w:rPr>
                <w:rFonts w:cs="Times New Roman"/>
              </w:rPr>
              <w:t>all-MiniLM-L6-v2 embeddings.</w:t>
            </w:r>
          </w:p>
        </w:tc>
      </w:tr>
      <w:tr w:rsidR="006046D2" w:rsidRPr="00B76053" w14:paraId="0F66B564" w14:textId="77777777">
        <w:tc>
          <w:tcPr>
            <w:tcW w:w="3120" w:type="dxa"/>
          </w:tcPr>
          <w:p w14:paraId="5E0311A9" w14:textId="77777777" w:rsidR="006046D2" w:rsidRPr="00B76053" w:rsidRDefault="00B04762">
            <w:pPr>
              <w:rPr>
                <w:rFonts w:cs="Times New Roman"/>
              </w:rPr>
            </w:pPr>
            <w:r w:rsidRPr="00B76053">
              <w:rPr>
                <w:rFonts w:cs="Times New Roman"/>
              </w:rPr>
              <w:t>umap-learn</w:t>
            </w:r>
          </w:p>
        </w:tc>
        <w:tc>
          <w:tcPr>
            <w:tcW w:w="3120" w:type="dxa"/>
          </w:tcPr>
          <w:p w14:paraId="36C974AF" w14:textId="77777777" w:rsidR="006046D2" w:rsidRPr="00B76053" w:rsidRDefault="00B04762">
            <w:pPr>
              <w:rPr>
                <w:rFonts w:cs="Times New Roman"/>
              </w:rPr>
            </w:pPr>
            <w:r w:rsidRPr="00B76053">
              <w:rPr>
                <w:rFonts w:cs="Times New Roman"/>
              </w:rPr>
              <w:t>0.5.5</w:t>
            </w:r>
          </w:p>
        </w:tc>
        <w:tc>
          <w:tcPr>
            <w:tcW w:w="3120" w:type="dxa"/>
          </w:tcPr>
          <w:p w14:paraId="698E33D1" w14:textId="77777777" w:rsidR="006046D2" w:rsidRPr="00B76053" w:rsidRDefault="00B04762">
            <w:pPr>
              <w:rPr>
                <w:rFonts w:cs="Times New Roman"/>
              </w:rPr>
            </w:pPr>
            <w:r w:rsidRPr="00B76053">
              <w:rPr>
                <w:rFonts w:cs="Times New Roman"/>
              </w:rPr>
              <w:t>UMAP dimensionality reduction.</w:t>
            </w:r>
          </w:p>
        </w:tc>
      </w:tr>
      <w:tr w:rsidR="006046D2" w:rsidRPr="00B76053" w14:paraId="07968EA2" w14:textId="77777777">
        <w:tc>
          <w:tcPr>
            <w:tcW w:w="3120" w:type="dxa"/>
          </w:tcPr>
          <w:p w14:paraId="72497659" w14:textId="77777777" w:rsidR="006046D2" w:rsidRPr="00B76053" w:rsidRDefault="00B04762">
            <w:pPr>
              <w:rPr>
                <w:rFonts w:cs="Times New Roman"/>
              </w:rPr>
            </w:pPr>
            <w:r w:rsidRPr="00B76053">
              <w:rPr>
                <w:rFonts w:cs="Times New Roman"/>
              </w:rPr>
              <w:t>hdbscan</w:t>
            </w:r>
          </w:p>
        </w:tc>
        <w:tc>
          <w:tcPr>
            <w:tcW w:w="3120" w:type="dxa"/>
          </w:tcPr>
          <w:p w14:paraId="074E16F1" w14:textId="77777777" w:rsidR="006046D2" w:rsidRPr="00B76053" w:rsidRDefault="00B04762">
            <w:pPr>
              <w:rPr>
                <w:rFonts w:cs="Times New Roman"/>
              </w:rPr>
            </w:pPr>
            <w:r w:rsidRPr="00B76053">
              <w:rPr>
                <w:rFonts w:cs="Times New Roman"/>
              </w:rPr>
              <w:t>0.8.33</w:t>
            </w:r>
          </w:p>
        </w:tc>
        <w:tc>
          <w:tcPr>
            <w:tcW w:w="3120" w:type="dxa"/>
          </w:tcPr>
          <w:p w14:paraId="59D2D086" w14:textId="77777777" w:rsidR="006046D2" w:rsidRPr="00B76053" w:rsidRDefault="00B04762">
            <w:pPr>
              <w:rPr>
                <w:rFonts w:cs="Times New Roman"/>
              </w:rPr>
            </w:pPr>
            <w:r w:rsidRPr="00B76053">
              <w:rPr>
                <w:rFonts w:cs="Times New Roman"/>
              </w:rPr>
              <w:t>Density-based clustering.</w:t>
            </w:r>
          </w:p>
        </w:tc>
      </w:tr>
      <w:tr w:rsidR="006046D2" w:rsidRPr="00B76053" w14:paraId="7B4DFC9D" w14:textId="77777777">
        <w:tc>
          <w:tcPr>
            <w:tcW w:w="3120" w:type="dxa"/>
          </w:tcPr>
          <w:p w14:paraId="35EA8A2F" w14:textId="77777777" w:rsidR="006046D2" w:rsidRPr="00B76053" w:rsidRDefault="00B04762">
            <w:pPr>
              <w:rPr>
                <w:rFonts w:cs="Times New Roman"/>
              </w:rPr>
            </w:pPr>
            <w:r w:rsidRPr="00B76053">
              <w:rPr>
                <w:rFonts w:cs="Times New Roman"/>
              </w:rPr>
              <w:t>bertopic</w:t>
            </w:r>
          </w:p>
        </w:tc>
        <w:tc>
          <w:tcPr>
            <w:tcW w:w="3120" w:type="dxa"/>
          </w:tcPr>
          <w:p w14:paraId="01C402CC" w14:textId="77777777" w:rsidR="006046D2" w:rsidRPr="00B76053" w:rsidRDefault="00B04762">
            <w:pPr>
              <w:rPr>
                <w:rFonts w:cs="Times New Roman"/>
              </w:rPr>
            </w:pPr>
            <w:r w:rsidRPr="00B76053">
              <w:rPr>
                <w:rFonts w:cs="Times New Roman"/>
              </w:rPr>
              <w:t>0.16.0</w:t>
            </w:r>
          </w:p>
        </w:tc>
        <w:tc>
          <w:tcPr>
            <w:tcW w:w="3120" w:type="dxa"/>
          </w:tcPr>
          <w:p w14:paraId="57ABF7CB" w14:textId="77777777" w:rsidR="006046D2" w:rsidRPr="00B76053" w:rsidRDefault="00B04762">
            <w:pPr>
              <w:rPr>
                <w:rFonts w:cs="Times New Roman"/>
              </w:rPr>
            </w:pPr>
            <w:r w:rsidRPr="00B76053">
              <w:rPr>
                <w:rFonts w:cs="Times New Roman"/>
              </w:rPr>
              <w:t>Topic modelling pipeline.</w:t>
            </w:r>
          </w:p>
        </w:tc>
      </w:tr>
      <w:tr w:rsidR="006046D2" w:rsidRPr="00B76053" w14:paraId="30399AB9" w14:textId="77777777">
        <w:tc>
          <w:tcPr>
            <w:tcW w:w="3120" w:type="dxa"/>
          </w:tcPr>
          <w:p w14:paraId="79E10A05" w14:textId="77777777" w:rsidR="006046D2" w:rsidRPr="00B76053" w:rsidRDefault="00B04762">
            <w:pPr>
              <w:rPr>
                <w:rFonts w:cs="Times New Roman"/>
              </w:rPr>
            </w:pPr>
            <w:r w:rsidRPr="00B76053">
              <w:rPr>
                <w:rFonts w:cs="Times New Roman"/>
              </w:rPr>
              <w:t>nltk (with VADER)</w:t>
            </w:r>
          </w:p>
        </w:tc>
        <w:tc>
          <w:tcPr>
            <w:tcW w:w="3120" w:type="dxa"/>
          </w:tcPr>
          <w:p w14:paraId="494A4CBD" w14:textId="77777777" w:rsidR="006046D2" w:rsidRPr="00B76053" w:rsidRDefault="00B04762">
            <w:pPr>
              <w:rPr>
                <w:rFonts w:cs="Times New Roman"/>
              </w:rPr>
            </w:pPr>
            <w:r w:rsidRPr="00B76053">
              <w:rPr>
                <w:rFonts w:cs="Times New Roman"/>
              </w:rPr>
              <w:t>3.8.1 (VADER 3.3.2)</w:t>
            </w:r>
          </w:p>
        </w:tc>
        <w:tc>
          <w:tcPr>
            <w:tcW w:w="3120" w:type="dxa"/>
          </w:tcPr>
          <w:p w14:paraId="426ED04B" w14:textId="77777777" w:rsidR="006046D2" w:rsidRPr="00B76053" w:rsidRDefault="00B04762">
            <w:pPr>
              <w:rPr>
                <w:rFonts w:cs="Times New Roman"/>
              </w:rPr>
            </w:pPr>
            <w:r w:rsidRPr="00B76053">
              <w:rPr>
                <w:rFonts w:cs="Times New Roman"/>
              </w:rPr>
              <w:t>Sentiment scoring.</w:t>
            </w:r>
          </w:p>
        </w:tc>
      </w:tr>
      <w:tr w:rsidR="006046D2" w:rsidRPr="00B76053" w14:paraId="69B4C1C6" w14:textId="77777777">
        <w:tc>
          <w:tcPr>
            <w:tcW w:w="3120" w:type="dxa"/>
          </w:tcPr>
          <w:p w14:paraId="2CF17E01" w14:textId="77777777" w:rsidR="006046D2" w:rsidRPr="00B76053" w:rsidRDefault="00B04762">
            <w:pPr>
              <w:rPr>
                <w:rFonts w:cs="Times New Roman"/>
              </w:rPr>
            </w:pPr>
            <w:r w:rsidRPr="00B76053">
              <w:rPr>
                <w:rFonts w:cs="Times New Roman"/>
              </w:rPr>
              <w:t>langdetect</w:t>
            </w:r>
          </w:p>
        </w:tc>
        <w:tc>
          <w:tcPr>
            <w:tcW w:w="3120" w:type="dxa"/>
          </w:tcPr>
          <w:p w14:paraId="477BBB30" w14:textId="77777777" w:rsidR="006046D2" w:rsidRPr="00B76053" w:rsidRDefault="00B04762">
            <w:pPr>
              <w:rPr>
                <w:rFonts w:cs="Times New Roman"/>
              </w:rPr>
            </w:pPr>
            <w:r w:rsidRPr="00B76053">
              <w:rPr>
                <w:rFonts w:cs="Times New Roman"/>
              </w:rPr>
              <w:t>1.0.9</w:t>
            </w:r>
          </w:p>
        </w:tc>
        <w:tc>
          <w:tcPr>
            <w:tcW w:w="3120" w:type="dxa"/>
          </w:tcPr>
          <w:p w14:paraId="70C8FD92" w14:textId="77777777" w:rsidR="006046D2" w:rsidRPr="00B76053" w:rsidRDefault="00B04762">
            <w:pPr>
              <w:rPr>
                <w:rFonts w:cs="Times New Roman"/>
              </w:rPr>
            </w:pPr>
            <w:r w:rsidRPr="00B76053">
              <w:rPr>
                <w:rFonts w:cs="Times New Roman"/>
              </w:rPr>
              <w:t>Language detection in NLP cleaning.</w:t>
            </w:r>
          </w:p>
        </w:tc>
      </w:tr>
    </w:tbl>
    <w:p w14:paraId="567AACF5" w14:textId="13C40890" w:rsidR="00B04762" w:rsidRPr="00B76053" w:rsidRDefault="00B04762">
      <w:pPr>
        <w:rPr>
          <w:rFonts w:cs="Times New Roman"/>
        </w:rPr>
      </w:pPr>
    </w:p>
    <w:p w14:paraId="62893A5A" w14:textId="459077D2" w:rsidR="00173951" w:rsidRPr="00B76053" w:rsidRDefault="00173951">
      <w:pPr>
        <w:rPr>
          <w:rFonts w:cs="Times New Roman"/>
        </w:rPr>
      </w:pPr>
    </w:p>
    <w:p w14:paraId="5251870F" w14:textId="1CB72723" w:rsidR="00173951" w:rsidRPr="00B76053" w:rsidRDefault="00173951">
      <w:pPr>
        <w:rPr>
          <w:rFonts w:cs="Times New Roman"/>
        </w:rPr>
      </w:pPr>
    </w:p>
    <w:p w14:paraId="396537A4" w14:textId="7B1464D1" w:rsidR="00173951" w:rsidRPr="00B76053" w:rsidRDefault="00173951">
      <w:pPr>
        <w:rPr>
          <w:rFonts w:cs="Times New Roman"/>
        </w:rPr>
      </w:pPr>
    </w:p>
    <w:p w14:paraId="586CA8C0" w14:textId="5B92AD48" w:rsidR="00173951" w:rsidRPr="00B76053" w:rsidRDefault="00173951">
      <w:pPr>
        <w:rPr>
          <w:rFonts w:cs="Times New Roman"/>
        </w:rPr>
      </w:pPr>
    </w:p>
    <w:p w14:paraId="250E93B3" w14:textId="3B450D20" w:rsidR="00173951" w:rsidRPr="00B76053" w:rsidRDefault="00173951">
      <w:pPr>
        <w:rPr>
          <w:rFonts w:cs="Times New Roman"/>
        </w:rPr>
      </w:pPr>
    </w:p>
    <w:p w14:paraId="631548F5" w14:textId="429CD205" w:rsidR="00173951" w:rsidRPr="00B76053" w:rsidRDefault="00173951">
      <w:pPr>
        <w:rPr>
          <w:rFonts w:cs="Times New Roman"/>
        </w:rPr>
      </w:pPr>
    </w:p>
    <w:p w14:paraId="1531DCB1" w14:textId="56250B43" w:rsidR="00173951" w:rsidRPr="00B76053" w:rsidRDefault="00173951">
      <w:pPr>
        <w:rPr>
          <w:rFonts w:cs="Times New Roman"/>
        </w:rPr>
      </w:pPr>
    </w:p>
    <w:p w14:paraId="662DDC95" w14:textId="733D09A7" w:rsidR="00DA5518" w:rsidRPr="00B76053" w:rsidRDefault="00DA5518">
      <w:pPr>
        <w:rPr>
          <w:rFonts w:cs="Times New Roman"/>
        </w:rPr>
      </w:pPr>
    </w:p>
    <w:p w14:paraId="07A840C9" w14:textId="5CCA0EE6" w:rsidR="00DA5518" w:rsidRPr="00B76053" w:rsidRDefault="00DA5518">
      <w:pPr>
        <w:rPr>
          <w:rFonts w:cs="Times New Roman"/>
        </w:rPr>
      </w:pPr>
    </w:p>
    <w:p w14:paraId="4EAA6A04" w14:textId="77777777" w:rsidR="00DA5518" w:rsidRPr="00B76053" w:rsidRDefault="00DA5518">
      <w:pPr>
        <w:rPr>
          <w:rFonts w:cs="Times New Roman"/>
        </w:rPr>
      </w:pPr>
    </w:p>
    <w:p w14:paraId="61D6DBF2" w14:textId="0AC0CB07" w:rsidR="00173951" w:rsidRPr="00B76053" w:rsidRDefault="00173951">
      <w:pPr>
        <w:rPr>
          <w:rFonts w:cs="Times New Roman"/>
        </w:rPr>
      </w:pPr>
    </w:p>
    <w:p w14:paraId="2139858A" w14:textId="36C4C93D" w:rsidR="00173951" w:rsidRPr="00B76053" w:rsidRDefault="00173951">
      <w:pPr>
        <w:rPr>
          <w:rFonts w:cs="Times New Roman"/>
        </w:rPr>
      </w:pPr>
    </w:p>
    <w:p w14:paraId="7E2935E1" w14:textId="0E04F5A6" w:rsidR="00173951" w:rsidRPr="00B76053" w:rsidRDefault="00173951">
      <w:pPr>
        <w:rPr>
          <w:rFonts w:cs="Times New Roman"/>
        </w:rPr>
      </w:pPr>
    </w:p>
    <w:p w14:paraId="75327F9A" w14:textId="77777777" w:rsidR="00173951" w:rsidRPr="00B76053" w:rsidRDefault="00173951" w:rsidP="00567169">
      <w:pPr>
        <w:pStyle w:val="Heading1"/>
        <w:jc w:val="center"/>
        <w:rPr>
          <w:rFonts w:cs="Times New Roman"/>
        </w:rPr>
      </w:pPr>
      <w:bookmarkStart w:id="145" w:name="_Toc229599154"/>
      <w:r w:rsidRPr="00B76053">
        <w:rPr>
          <w:rFonts w:cs="Times New Roman"/>
        </w:rPr>
        <w:lastRenderedPageBreak/>
        <w:t>STATEMENT ON THE USE OF GENERATIVE AI</w:t>
      </w:r>
      <w:bookmarkEnd w:id="145"/>
    </w:p>
    <w:p w14:paraId="2D562B3C" w14:textId="77777777" w:rsidR="00173951" w:rsidRPr="00B76053" w:rsidRDefault="00173951" w:rsidP="00173951">
      <w:pPr>
        <w:jc w:val="center"/>
        <w:rPr>
          <w:rFonts w:cs="Times New Roman"/>
        </w:rPr>
      </w:pPr>
      <w:r w:rsidRPr="00B76053">
        <w:rPr>
          <w:rFonts w:cs="Times New Roman"/>
          <w:i/>
        </w:rPr>
        <w:t>Academic year of 2025/2026</w:t>
      </w:r>
    </w:p>
    <w:p w14:paraId="5DC5730A" w14:textId="77777777" w:rsidR="00173951" w:rsidRPr="00B76053" w:rsidRDefault="00173951" w:rsidP="00173951">
      <w:pPr>
        <w:jc w:val="center"/>
        <w:rPr>
          <w:rFonts w:cs="Times New Roman"/>
        </w:rPr>
      </w:pPr>
      <w:r w:rsidRPr="00B76053">
        <w:rPr>
          <w:rFonts w:cs="Times New Roman"/>
          <w:b/>
        </w:rPr>
        <w:t>Ethics statement on the use of a generative artificial intelligence system or service when preparing a thesis</w:t>
      </w:r>
    </w:p>
    <w:p w14:paraId="3DC1DB20" w14:textId="73944E6F" w:rsidR="00173951" w:rsidRPr="00B76053" w:rsidRDefault="00173951" w:rsidP="00173951">
      <w:pPr>
        <w:spacing w:after="60"/>
        <w:rPr>
          <w:rFonts w:cs="Times New Roman"/>
        </w:rPr>
      </w:pPr>
      <w:r w:rsidRPr="00B76053">
        <w:rPr>
          <w:rFonts w:cs="Times New Roman"/>
        </w:rPr>
        <w:t xml:space="preserve">I, </w:t>
      </w:r>
      <w:r w:rsidRPr="00B76053">
        <w:rPr>
          <w:rFonts w:cs="Times New Roman"/>
          <w:b/>
          <w:bCs/>
        </w:rPr>
        <w:t>Mukhammad Azim Khadyatullaev</w:t>
      </w:r>
      <w:r w:rsidRPr="00B76053">
        <w:rPr>
          <w:rFonts w:cs="Times New Roman"/>
        </w:rPr>
        <w:t xml:space="preserve"> (Neptun code: </w:t>
      </w:r>
      <w:r w:rsidR="00E00167" w:rsidRPr="00B76053">
        <w:rPr>
          <w:rFonts w:cs="Times New Roman"/>
          <w:b/>
          <w:bCs/>
        </w:rPr>
        <w:t>I</w:t>
      </w:r>
      <w:r w:rsidR="007930BF" w:rsidRPr="00B76053">
        <w:rPr>
          <w:rFonts w:cs="Times New Roman"/>
          <w:b/>
          <w:bCs/>
        </w:rPr>
        <w:t>8YBCV</w:t>
      </w:r>
      <w:r w:rsidRPr="00B76053">
        <w:rPr>
          <w:rFonts w:cs="Times New Roman"/>
        </w:rPr>
        <w:t>), being aware of my ethical responsibility based on the Code of Ethics of Corvinus University of Budapest and in accordance with it, declare that I have completed the thesis related to the completion of the Business Informatics MSc study programme by using generative artificial intelligence systems or services (hereinafter: GAI) as follows:</w:t>
      </w:r>
    </w:p>
    <w:p w14:paraId="1B91EDF7" w14:textId="77777777" w:rsidR="00C75308" w:rsidRPr="00B76053" w:rsidRDefault="00C75308" w:rsidP="00173951">
      <w:pPr>
        <w:spacing w:after="60"/>
        <w:rPr>
          <w:rFonts w:cs="Times New Roman"/>
        </w:rPr>
      </w:pPr>
    </w:p>
    <w:tbl>
      <w:tblPr>
        <w:tblStyle w:val="TableGrid"/>
        <w:tblW w:w="0" w:type="auto"/>
        <w:jc w:val="center"/>
        <w:tblLook w:val="04A0" w:firstRow="1" w:lastRow="0" w:firstColumn="1" w:lastColumn="0" w:noHBand="0" w:noVBand="1"/>
      </w:tblPr>
      <w:tblGrid>
        <w:gridCol w:w="576"/>
        <w:gridCol w:w="1882"/>
        <w:gridCol w:w="1888"/>
        <w:gridCol w:w="5230"/>
      </w:tblGrid>
      <w:tr w:rsidR="00173951" w:rsidRPr="00B76053" w14:paraId="35FA158C" w14:textId="77777777" w:rsidTr="00173951">
        <w:trPr>
          <w:jc w:val="center"/>
        </w:trPr>
        <w:tc>
          <w:tcPr>
            <w:tcW w:w="564" w:type="dxa"/>
            <w:vAlign w:val="center"/>
          </w:tcPr>
          <w:p w14:paraId="51003CEE" w14:textId="77777777" w:rsidR="00173951" w:rsidRPr="00B76053" w:rsidRDefault="00173951" w:rsidP="00286B4D">
            <w:pPr>
              <w:rPr>
                <w:rFonts w:cs="Times New Roman"/>
                <w:sz w:val="18"/>
                <w:szCs w:val="18"/>
              </w:rPr>
            </w:pPr>
            <w:r w:rsidRPr="00B76053">
              <w:rPr>
                <w:rFonts w:cs="Times New Roman"/>
                <w:b/>
                <w:sz w:val="18"/>
                <w:szCs w:val="18"/>
              </w:rPr>
              <w:t>Item</w:t>
            </w:r>
          </w:p>
        </w:tc>
        <w:tc>
          <w:tcPr>
            <w:tcW w:w="1884" w:type="dxa"/>
            <w:vAlign w:val="center"/>
          </w:tcPr>
          <w:p w14:paraId="112E5C4B" w14:textId="77777777" w:rsidR="00173951" w:rsidRPr="00B76053" w:rsidRDefault="00173951" w:rsidP="00286B4D">
            <w:pPr>
              <w:rPr>
                <w:rFonts w:cs="Times New Roman"/>
                <w:sz w:val="18"/>
                <w:szCs w:val="18"/>
              </w:rPr>
            </w:pPr>
            <w:r w:rsidRPr="00B76053">
              <w:rPr>
                <w:rFonts w:cs="Times New Roman"/>
                <w:b/>
                <w:sz w:val="18"/>
                <w:szCs w:val="18"/>
              </w:rPr>
              <w:t>Use category</w:t>
            </w:r>
          </w:p>
        </w:tc>
        <w:tc>
          <w:tcPr>
            <w:tcW w:w="1890" w:type="dxa"/>
            <w:vAlign w:val="center"/>
          </w:tcPr>
          <w:p w14:paraId="3A9756F4" w14:textId="77777777" w:rsidR="00173951" w:rsidRPr="00B76053" w:rsidRDefault="00173951" w:rsidP="00286B4D">
            <w:pPr>
              <w:rPr>
                <w:rFonts w:cs="Times New Roman"/>
                <w:sz w:val="18"/>
                <w:szCs w:val="18"/>
              </w:rPr>
            </w:pPr>
            <w:r w:rsidRPr="00B76053">
              <w:rPr>
                <w:rFonts w:cs="Times New Roman"/>
                <w:b/>
                <w:sz w:val="18"/>
                <w:szCs w:val="18"/>
              </w:rPr>
              <w:t>System name and version</w:t>
            </w:r>
          </w:p>
        </w:tc>
        <w:tc>
          <w:tcPr>
            <w:tcW w:w="5238" w:type="dxa"/>
            <w:vAlign w:val="center"/>
          </w:tcPr>
          <w:p w14:paraId="5AEFA0D6" w14:textId="77777777" w:rsidR="00173951" w:rsidRPr="00B76053" w:rsidRDefault="00173951" w:rsidP="00286B4D">
            <w:pPr>
              <w:rPr>
                <w:rFonts w:cs="Times New Roman"/>
                <w:sz w:val="18"/>
                <w:szCs w:val="18"/>
              </w:rPr>
            </w:pPr>
            <w:r w:rsidRPr="00B76053">
              <w:rPr>
                <w:rFonts w:cs="Times New Roman"/>
                <w:b/>
                <w:sz w:val="18"/>
                <w:szCs w:val="18"/>
              </w:rPr>
              <w:t>Purpose and scope of use</w:t>
            </w:r>
          </w:p>
        </w:tc>
      </w:tr>
      <w:tr w:rsidR="00173951" w:rsidRPr="00B76053" w14:paraId="47C0DC81" w14:textId="77777777" w:rsidTr="00173951">
        <w:trPr>
          <w:jc w:val="center"/>
        </w:trPr>
        <w:tc>
          <w:tcPr>
            <w:tcW w:w="564" w:type="dxa"/>
          </w:tcPr>
          <w:p w14:paraId="56197399" w14:textId="77777777" w:rsidR="00173951" w:rsidRPr="00B76053" w:rsidRDefault="00173951" w:rsidP="00286B4D">
            <w:pPr>
              <w:rPr>
                <w:rFonts w:cs="Times New Roman"/>
                <w:sz w:val="18"/>
                <w:szCs w:val="18"/>
              </w:rPr>
            </w:pPr>
            <w:r w:rsidRPr="00B76053">
              <w:rPr>
                <w:rFonts w:cs="Times New Roman"/>
                <w:sz w:val="18"/>
                <w:szCs w:val="18"/>
              </w:rPr>
              <w:t>a)</w:t>
            </w:r>
          </w:p>
        </w:tc>
        <w:tc>
          <w:tcPr>
            <w:tcW w:w="1884" w:type="dxa"/>
          </w:tcPr>
          <w:p w14:paraId="2974A952" w14:textId="77777777" w:rsidR="00173951" w:rsidRPr="00B76053" w:rsidRDefault="00173951" w:rsidP="00286B4D">
            <w:pPr>
              <w:rPr>
                <w:rFonts w:cs="Times New Roman"/>
                <w:sz w:val="18"/>
                <w:szCs w:val="18"/>
              </w:rPr>
            </w:pPr>
            <w:r w:rsidRPr="00B76053">
              <w:rPr>
                <w:rFonts w:cs="Times New Roman"/>
                <w:sz w:val="18"/>
                <w:szCs w:val="18"/>
              </w:rPr>
              <w:t>In the research and selection of academic literature</w:t>
            </w:r>
          </w:p>
        </w:tc>
        <w:tc>
          <w:tcPr>
            <w:tcW w:w="1890" w:type="dxa"/>
          </w:tcPr>
          <w:p w14:paraId="7B90887A" w14:textId="2049129B" w:rsidR="00173951" w:rsidRPr="00B76053" w:rsidRDefault="00173951" w:rsidP="00286B4D">
            <w:pPr>
              <w:rPr>
                <w:rFonts w:cs="Times New Roman"/>
                <w:sz w:val="18"/>
                <w:szCs w:val="18"/>
              </w:rPr>
            </w:pPr>
            <w:r w:rsidRPr="00B76053">
              <w:rPr>
                <w:rFonts w:cs="Times New Roman"/>
                <w:sz w:val="18"/>
                <w:szCs w:val="18"/>
              </w:rPr>
              <w:t>Claude Sonnet 4.6</w:t>
            </w:r>
          </w:p>
        </w:tc>
        <w:tc>
          <w:tcPr>
            <w:tcW w:w="5238" w:type="dxa"/>
          </w:tcPr>
          <w:p w14:paraId="72D09A6A" w14:textId="77777777" w:rsidR="00173951" w:rsidRPr="00B76053" w:rsidRDefault="00173951" w:rsidP="00286B4D">
            <w:pPr>
              <w:rPr>
                <w:rFonts w:cs="Times New Roman"/>
                <w:sz w:val="18"/>
                <w:szCs w:val="18"/>
              </w:rPr>
            </w:pPr>
            <w:r w:rsidRPr="00B76053">
              <w:rPr>
                <w:rFonts w:cs="Times New Roman"/>
                <w:sz w:val="18"/>
                <w:szCs w:val="18"/>
              </w:rPr>
              <w:t>Used to identify potentially relevant academic and industry sources, refine search terms, understand concepts, and support the organisation of the literature review. All cited sources were independently checked, verified, and evaluated by me before inclusion.</w:t>
            </w:r>
          </w:p>
        </w:tc>
      </w:tr>
      <w:tr w:rsidR="00173951" w:rsidRPr="00B76053" w14:paraId="20F68F24" w14:textId="77777777" w:rsidTr="00173951">
        <w:trPr>
          <w:jc w:val="center"/>
        </w:trPr>
        <w:tc>
          <w:tcPr>
            <w:tcW w:w="564" w:type="dxa"/>
          </w:tcPr>
          <w:p w14:paraId="4CD80E6A" w14:textId="77777777" w:rsidR="00173951" w:rsidRPr="00B76053" w:rsidRDefault="00173951" w:rsidP="00286B4D">
            <w:pPr>
              <w:rPr>
                <w:rFonts w:cs="Times New Roman"/>
                <w:sz w:val="18"/>
                <w:szCs w:val="18"/>
              </w:rPr>
            </w:pPr>
            <w:r w:rsidRPr="00B76053">
              <w:rPr>
                <w:rFonts w:cs="Times New Roman"/>
                <w:sz w:val="18"/>
                <w:szCs w:val="18"/>
              </w:rPr>
              <w:t>b)</w:t>
            </w:r>
          </w:p>
        </w:tc>
        <w:tc>
          <w:tcPr>
            <w:tcW w:w="1884" w:type="dxa"/>
          </w:tcPr>
          <w:p w14:paraId="17ADD246" w14:textId="77777777" w:rsidR="00173951" w:rsidRPr="00B76053" w:rsidRDefault="00173951" w:rsidP="00286B4D">
            <w:pPr>
              <w:rPr>
                <w:rFonts w:cs="Times New Roman"/>
                <w:sz w:val="18"/>
                <w:szCs w:val="18"/>
              </w:rPr>
            </w:pPr>
            <w:r w:rsidRPr="00B76053">
              <w:rPr>
                <w:rFonts w:cs="Times New Roman"/>
                <w:sz w:val="18"/>
                <w:szCs w:val="18"/>
              </w:rPr>
              <w:t>For preliminary analysis and evaluation of data</w:t>
            </w:r>
          </w:p>
        </w:tc>
        <w:tc>
          <w:tcPr>
            <w:tcW w:w="1890" w:type="dxa"/>
          </w:tcPr>
          <w:p w14:paraId="02689223" w14:textId="21A439D9" w:rsidR="00173951" w:rsidRPr="00B76053" w:rsidRDefault="00173951" w:rsidP="00286B4D">
            <w:pPr>
              <w:rPr>
                <w:rFonts w:cs="Times New Roman"/>
                <w:sz w:val="18"/>
                <w:szCs w:val="18"/>
              </w:rPr>
            </w:pPr>
            <w:r w:rsidRPr="00B76053">
              <w:rPr>
                <w:rFonts w:cs="Times New Roman"/>
                <w:sz w:val="18"/>
                <w:szCs w:val="18"/>
              </w:rPr>
              <w:t>Claude Sonnet 4.6; Gemini 3 Flash</w:t>
            </w:r>
          </w:p>
        </w:tc>
        <w:tc>
          <w:tcPr>
            <w:tcW w:w="5238" w:type="dxa"/>
          </w:tcPr>
          <w:p w14:paraId="00BAFFDE" w14:textId="77777777" w:rsidR="00173951" w:rsidRPr="00B76053" w:rsidRDefault="00173951" w:rsidP="00286B4D">
            <w:pPr>
              <w:rPr>
                <w:rFonts w:cs="Times New Roman"/>
                <w:sz w:val="18"/>
                <w:szCs w:val="18"/>
              </w:rPr>
            </w:pPr>
            <w:r w:rsidRPr="00B76053">
              <w:rPr>
                <w:rFonts w:cs="Times New Roman"/>
                <w:sz w:val="18"/>
                <w:szCs w:val="18"/>
              </w:rPr>
              <w:t>Used to support the design, explanation, checking, and troubleshooting of analytical workflows for the NLP analysis and financial data analysis. The datasets, cleaning decisions, statistical outputs, interpretations, and final conclusions were reviewed and controlled by me.</w:t>
            </w:r>
          </w:p>
        </w:tc>
      </w:tr>
      <w:tr w:rsidR="00173951" w:rsidRPr="00B76053" w14:paraId="1B01A353" w14:textId="77777777" w:rsidTr="00173951">
        <w:trPr>
          <w:jc w:val="center"/>
        </w:trPr>
        <w:tc>
          <w:tcPr>
            <w:tcW w:w="564" w:type="dxa"/>
          </w:tcPr>
          <w:p w14:paraId="2DDE17FD" w14:textId="77777777" w:rsidR="00173951" w:rsidRPr="00B76053" w:rsidRDefault="00173951" w:rsidP="00286B4D">
            <w:pPr>
              <w:rPr>
                <w:rFonts w:cs="Times New Roman"/>
                <w:sz w:val="18"/>
                <w:szCs w:val="18"/>
              </w:rPr>
            </w:pPr>
            <w:r w:rsidRPr="00B76053">
              <w:rPr>
                <w:rFonts w:cs="Times New Roman"/>
                <w:sz w:val="18"/>
                <w:szCs w:val="18"/>
              </w:rPr>
              <w:t>c)</w:t>
            </w:r>
          </w:p>
        </w:tc>
        <w:tc>
          <w:tcPr>
            <w:tcW w:w="1884" w:type="dxa"/>
          </w:tcPr>
          <w:p w14:paraId="3C4B0948" w14:textId="77777777" w:rsidR="00173951" w:rsidRPr="00B76053" w:rsidRDefault="00173951" w:rsidP="00286B4D">
            <w:pPr>
              <w:rPr>
                <w:rFonts w:cs="Times New Roman"/>
                <w:sz w:val="18"/>
                <w:szCs w:val="18"/>
              </w:rPr>
            </w:pPr>
            <w:r w:rsidRPr="00B76053">
              <w:rPr>
                <w:rFonts w:cs="Times New Roman"/>
                <w:sz w:val="18"/>
                <w:szCs w:val="18"/>
              </w:rPr>
              <w:t>For writing, developing and testing computer code</w:t>
            </w:r>
          </w:p>
        </w:tc>
        <w:tc>
          <w:tcPr>
            <w:tcW w:w="1890" w:type="dxa"/>
          </w:tcPr>
          <w:p w14:paraId="25AFF27A" w14:textId="77777777" w:rsidR="00173951" w:rsidRPr="00B76053" w:rsidRDefault="00173951" w:rsidP="00286B4D">
            <w:pPr>
              <w:rPr>
                <w:rFonts w:cs="Times New Roman"/>
                <w:sz w:val="18"/>
                <w:szCs w:val="18"/>
              </w:rPr>
            </w:pPr>
            <w:r w:rsidRPr="00B76053">
              <w:rPr>
                <w:rFonts w:cs="Times New Roman"/>
                <w:sz w:val="18"/>
                <w:szCs w:val="18"/>
              </w:rPr>
              <w:t>ChatGPT 5.5; Claude Sonnet 4.6; Gemini 3 Flash</w:t>
            </w:r>
          </w:p>
        </w:tc>
        <w:tc>
          <w:tcPr>
            <w:tcW w:w="5238" w:type="dxa"/>
          </w:tcPr>
          <w:p w14:paraId="69F5EFE9" w14:textId="77777777" w:rsidR="00173951" w:rsidRPr="00B76053" w:rsidRDefault="00173951" w:rsidP="00286B4D">
            <w:pPr>
              <w:rPr>
                <w:rFonts w:cs="Times New Roman"/>
                <w:sz w:val="18"/>
                <w:szCs w:val="18"/>
              </w:rPr>
            </w:pPr>
            <w:r w:rsidRPr="00B76053">
              <w:rPr>
                <w:rFonts w:cs="Times New Roman"/>
                <w:sz w:val="18"/>
                <w:szCs w:val="18"/>
              </w:rPr>
              <w:t>Used to assist with drafting, debugging, explaining, and improving code for NLP analysis, financial data processing, statistical testing, data visualisation, and reproducibility checks. The final code logic, outputs, and reported results were reviewed and validated by me.</w:t>
            </w:r>
          </w:p>
        </w:tc>
      </w:tr>
      <w:tr w:rsidR="00173951" w:rsidRPr="00B76053" w14:paraId="2A798E05" w14:textId="77777777" w:rsidTr="00173951">
        <w:trPr>
          <w:jc w:val="center"/>
        </w:trPr>
        <w:tc>
          <w:tcPr>
            <w:tcW w:w="564" w:type="dxa"/>
          </w:tcPr>
          <w:p w14:paraId="28E36D49" w14:textId="77777777" w:rsidR="00173951" w:rsidRPr="00B76053" w:rsidRDefault="00173951" w:rsidP="00286B4D">
            <w:pPr>
              <w:rPr>
                <w:rFonts w:cs="Times New Roman"/>
                <w:sz w:val="18"/>
                <w:szCs w:val="18"/>
              </w:rPr>
            </w:pPr>
            <w:r w:rsidRPr="00B76053">
              <w:rPr>
                <w:rFonts w:cs="Times New Roman"/>
                <w:sz w:val="18"/>
                <w:szCs w:val="18"/>
              </w:rPr>
              <w:t>d)</w:t>
            </w:r>
          </w:p>
        </w:tc>
        <w:tc>
          <w:tcPr>
            <w:tcW w:w="1884" w:type="dxa"/>
          </w:tcPr>
          <w:p w14:paraId="37E463F5" w14:textId="77777777" w:rsidR="00173951" w:rsidRPr="00B76053" w:rsidRDefault="00173951" w:rsidP="00286B4D">
            <w:pPr>
              <w:rPr>
                <w:rFonts w:cs="Times New Roman"/>
                <w:sz w:val="18"/>
                <w:szCs w:val="18"/>
              </w:rPr>
            </w:pPr>
            <w:r w:rsidRPr="00B76053">
              <w:rPr>
                <w:rFonts w:cs="Times New Roman"/>
                <w:sz w:val="18"/>
                <w:szCs w:val="18"/>
              </w:rPr>
              <w:t>For stylistic and grammatical improvement of textual content, paraphrasing</w:t>
            </w:r>
          </w:p>
        </w:tc>
        <w:tc>
          <w:tcPr>
            <w:tcW w:w="1890" w:type="dxa"/>
          </w:tcPr>
          <w:p w14:paraId="4FDB910F" w14:textId="3C107706" w:rsidR="00173951" w:rsidRPr="00B76053" w:rsidRDefault="00173951" w:rsidP="00286B4D">
            <w:pPr>
              <w:rPr>
                <w:rFonts w:cs="Times New Roman"/>
                <w:sz w:val="18"/>
                <w:szCs w:val="18"/>
              </w:rPr>
            </w:pPr>
            <w:r w:rsidRPr="00B76053">
              <w:rPr>
                <w:rFonts w:cs="Times New Roman"/>
                <w:sz w:val="18"/>
                <w:szCs w:val="18"/>
              </w:rPr>
              <w:t>ChatGPT 5.5</w:t>
            </w:r>
            <w:r w:rsidR="00633813" w:rsidRPr="00B76053">
              <w:rPr>
                <w:rFonts w:cs="Times New Roman"/>
                <w:sz w:val="18"/>
                <w:szCs w:val="18"/>
              </w:rPr>
              <w:t>;</w:t>
            </w:r>
            <w:r w:rsidRPr="00B76053">
              <w:rPr>
                <w:rFonts w:cs="Times New Roman"/>
                <w:sz w:val="18"/>
                <w:szCs w:val="18"/>
              </w:rPr>
              <w:t xml:space="preserve"> Gemini 3 Flash</w:t>
            </w:r>
          </w:p>
        </w:tc>
        <w:tc>
          <w:tcPr>
            <w:tcW w:w="5238" w:type="dxa"/>
          </w:tcPr>
          <w:p w14:paraId="3558CB3C" w14:textId="77777777" w:rsidR="00173951" w:rsidRPr="00B76053" w:rsidRDefault="00173951" w:rsidP="00286B4D">
            <w:pPr>
              <w:rPr>
                <w:rFonts w:cs="Times New Roman"/>
                <w:sz w:val="18"/>
                <w:szCs w:val="18"/>
              </w:rPr>
            </w:pPr>
            <w:r w:rsidRPr="00B76053">
              <w:rPr>
                <w:rFonts w:cs="Times New Roman"/>
                <w:sz w:val="18"/>
                <w:szCs w:val="18"/>
              </w:rPr>
              <w:t>Used to improve spelling, grammar, academic tone, readability, sentence structure, and consistency of English wording in text originally drafted by me. The substantive argument, research design, interpretation of findings, and final wording were reviewed and approved by me.</w:t>
            </w:r>
          </w:p>
        </w:tc>
      </w:tr>
      <w:tr w:rsidR="00173951" w:rsidRPr="00B76053" w14:paraId="3A68EF9D" w14:textId="77777777" w:rsidTr="00173951">
        <w:trPr>
          <w:jc w:val="center"/>
        </w:trPr>
        <w:tc>
          <w:tcPr>
            <w:tcW w:w="564" w:type="dxa"/>
          </w:tcPr>
          <w:p w14:paraId="144A2BC3" w14:textId="77777777" w:rsidR="00173951" w:rsidRPr="00B76053" w:rsidRDefault="00173951" w:rsidP="00286B4D">
            <w:pPr>
              <w:rPr>
                <w:rFonts w:cs="Times New Roman"/>
                <w:sz w:val="18"/>
                <w:szCs w:val="18"/>
              </w:rPr>
            </w:pPr>
            <w:r w:rsidRPr="00B76053">
              <w:rPr>
                <w:rFonts w:cs="Times New Roman"/>
                <w:sz w:val="18"/>
                <w:szCs w:val="18"/>
              </w:rPr>
              <w:t>e)</w:t>
            </w:r>
          </w:p>
        </w:tc>
        <w:tc>
          <w:tcPr>
            <w:tcW w:w="1884" w:type="dxa"/>
          </w:tcPr>
          <w:p w14:paraId="7C7D986D" w14:textId="77777777" w:rsidR="00173951" w:rsidRPr="00B76053" w:rsidRDefault="00173951" w:rsidP="00286B4D">
            <w:pPr>
              <w:rPr>
                <w:rFonts w:cs="Times New Roman"/>
                <w:sz w:val="18"/>
                <w:szCs w:val="18"/>
              </w:rPr>
            </w:pPr>
            <w:r w:rsidRPr="00B76053">
              <w:rPr>
                <w:rFonts w:cs="Times New Roman"/>
                <w:sz w:val="18"/>
                <w:szCs w:val="18"/>
              </w:rPr>
              <w:t>For the development and creation of visual or audiovisual content</w:t>
            </w:r>
          </w:p>
        </w:tc>
        <w:tc>
          <w:tcPr>
            <w:tcW w:w="1890" w:type="dxa"/>
          </w:tcPr>
          <w:p w14:paraId="794D7D76" w14:textId="77777777" w:rsidR="00173951" w:rsidRPr="00B76053" w:rsidRDefault="00173951" w:rsidP="00286B4D">
            <w:pPr>
              <w:rPr>
                <w:rFonts w:cs="Times New Roman"/>
                <w:sz w:val="18"/>
                <w:szCs w:val="18"/>
              </w:rPr>
            </w:pPr>
            <w:r w:rsidRPr="00B76053">
              <w:rPr>
                <w:rFonts w:cs="Times New Roman"/>
                <w:sz w:val="18"/>
                <w:szCs w:val="18"/>
              </w:rPr>
              <w:t>Claude Sonnet 4.6</w:t>
            </w:r>
          </w:p>
        </w:tc>
        <w:tc>
          <w:tcPr>
            <w:tcW w:w="5238" w:type="dxa"/>
          </w:tcPr>
          <w:p w14:paraId="2CD31F6A" w14:textId="77777777" w:rsidR="00173951" w:rsidRPr="00B76053" w:rsidRDefault="00173951" w:rsidP="00286B4D">
            <w:pPr>
              <w:rPr>
                <w:rFonts w:cs="Times New Roman"/>
                <w:sz w:val="18"/>
                <w:szCs w:val="18"/>
              </w:rPr>
            </w:pPr>
            <w:r w:rsidRPr="00B76053">
              <w:rPr>
                <w:rFonts w:cs="Times New Roman"/>
                <w:sz w:val="18"/>
                <w:szCs w:val="18"/>
              </w:rPr>
              <w:t>Used to help generate and refine Figure 6.1, "Voice-AI-in-Regulated-Workflow Design Pattern", based on my thesis content, case evidence, and design-pattern logic. The figure was reviewed, checked against the thesis argument, and accepted by me. The figure is indicated in the thesis as GAI-assisted content.</w:t>
            </w:r>
          </w:p>
        </w:tc>
      </w:tr>
      <w:tr w:rsidR="00173951" w:rsidRPr="00B76053" w14:paraId="4FB0DFA9" w14:textId="77777777" w:rsidTr="00173951">
        <w:trPr>
          <w:jc w:val="center"/>
        </w:trPr>
        <w:tc>
          <w:tcPr>
            <w:tcW w:w="564" w:type="dxa"/>
          </w:tcPr>
          <w:p w14:paraId="66BD2629" w14:textId="77777777" w:rsidR="00173951" w:rsidRPr="00B76053" w:rsidRDefault="00173951" w:rsidP="00286B4D">
            <w:pPr>
              <w:rPr>
                <w:rFonts w:cs="Times New Roman"/>
                <w:sz w:val="18"/>
                <w:szCs w:val="18"/>
              </w:rPr>
            </w:pPr>
            <w:r w:rsidRPr="00B76053">
              <w:rPr>
                <w:rFonts w:cs="Times New Roman"/>
                <w:sz w:val="18"/>
                <w:szCs w:val="18"/>
              </w:rPr>
              <w:lastRenderedPageBreak/>
              <w:t>f)</w:t>
            </w:r>
          </w:p>
        </w:tc>
        <w:tc>
          <w:tcPr>
            <w:tcW w:w="1884" w:type="dxa"/>
          </w:tcPr>
          <w:p w14:paraId="016DE1B8" w14:textId="77777777" w:rsidR="00173951" w:rsidRPr="00B76053" w:rsidRDefault="00173951" w:rsidP="00286B4D">
            <w:pPr>
              <w:rPr>
                <w:rFonts w:cs="Times New Roman"/>
                <w:sz w:val="18"/>
                <w:szCs w:val="18"/>
              </w:rPr>
            </w:pPr>
            <w:r w:rsidRPr="00B76053">
              <w:rPr>
                <w:rFonts w:cs="Times New Roman"/>
                <w:sz w:val="18"/>
                <w:szCs w:val="18"/>
              </w:rPr>
              <w:t>To translate certain passages (e.g. between Hungarian and a foreign language)</w:t>
            </w:r>
          </w:p>
        </w:tc>
        <w:tc>
          <w:tcPr>
            <w:tcW w:w="1890" w:type="dxa"/>
          </w:tcPr>
          <w:p w14:paraId="6F78F5C1" w14:textId="07AEAE9E" w:rsidR="00173951" w:rsidRPr="00B76053" w:rsidRDefault="00173951" w:rsidP="00286B4D">
            <w:pPr>
              <w:rPr>
                <w:rFonts w:cs="Times New Roman"/>
                <w:sz w:val="18"/>
                <w:szCs w:val="18"/>
              </w:rPr>
            </w:pPr>
            <w:r w:rsidRPr="00B76053">
              <w:rPr>
                <w:rFonts w:cs="Times New Roman"/>
                <w:sz w:val="18"/>
                <w:szCs w:val="18"/>
              </w:rPr>
              <w:t>Not used</w:t>
            </w:r>
          </w:p>
        </w:tc>
        <w:tc>
          <w:tcPr>
            <w:tcW w:w="5238" w:type="dxa"/>
          </w:tcPr>
          <w:p w14:paraId="0E78E9E0" w14:textId="77777777" w:rsidR="00173951" w:rsidRPr="00B76053" w:rsidRDefault="00173951" w:rsidP="00286B4D">
            <w:pPr>
              <w:rPr>
                <w:rFonts w:cs="Times New Roman"/>
                <w:sz w:val="18"/>
                <w:szCs w:val="18"/>
              </w:rPr>
            </w:pPr>
            <w:r w:rsidRPr="00B76053">
              <w:rPr>
                <w:rFonts w:cs="Times New Roman"/>
                <w:sz w:val="18"/>
                <w:szCs w:val="18"/>
              </w:rPr>
              <w:t>No thesis passages were translated with GAI for submission. If any translation support is later used before submission, this row should be updated before signing.</w:t>
            </w:r>
          </w:p>
        </w:tc>
      </w:tr>
      <w:tr w:rsidR="00173951" w:rsidRPr="00B76053" w14:paraId="65B9008C" w14:textId="77777777" w:rsidTr="00173951">
        <w:trPr>
          <w:jc w:val="center"/>
        </w:trPr>
        <w:tc>
          <w:tcPr>
            <w:tcW w:w="564" w:type="dxa"/>
          </w:tcPr>
          <w:p w14:paraId="4F813374" w14:textId="77777777" w:rsidR="00173951" w:rsidRPr="00B76053" w:rsidRDefault="00173951" w:rsidP="00286B4D">
            <w:pPr>
              <w:rPr>
                <w:rFonts w:cs="Times New Roman"/>
                <w:sz w:val="18"/>
                <w:szCs w:val="18"/>
              </w:rPr>
            </w:pPr>
            <w:r w:rsidRPr="00B76053">
              <w:rPr>
                <w:rFonts w:cs="Times New Roman"/>
                <w:sz w:val="18"/>
                <w:szCs w:val="18"/>
              </w:rPr>
              <w:t>g)</w:t>
            </w:r>
          </w:p>
        </w:tc>
        <w:tc>
          <w:tcPr>
            <w:tcW w:w="1884" w:type="dxa"/>
          </w:tcPr>
          <w:p w14:paraId="2A9FD9E9" w14:textId="77777777" w:rsidR="00173951" w:rsidRPr="00B76053" w:rsidRDefault="00173951" w:rsidP="00286B4D">
            <w:pPr>
              <w:rPr>
                <w:rFonts w:cs="Times New Roman"/>
                <w:sz w:val="18"/>
                <w:szCs w:val="18"/>
              </w:rPr>
            </w:pPr>
            <w:r w:rsidRPr="00B76053">
              <w:rPr>
                <w:rFonts w:cs="Times New Roman"/>
                <w:sz w:val="18"/>
                <w:szCs w:val="18"/>
              </w:rPr>
              <w:t>Other: thesis structuring, planning, consistency checking, and reference-support workflow</w:t>
            </w:r>
          </w:p>
        </w:tc>
        <w:tc>
          <w:tcPr>
            <w:tcW w:w="1890" w:type="dxa"/>
          </w:tcPr>
          <w:p w14:paraId="51778148" w14:textId="77777777" w:rsidR="00173951" w:rsidRPr="00B76053" w:rsidRDefault="00173951" w:rsidP="00286B4D">
            <w:pPr>
              <w:rPr>
                <w:rFonts w:cs="Times New Roman"/>
                <w:sz w:val="18"/>
                <w:szCs w:val="18"/>
              </w:rPr>
            </w:pPr>
            <w:r w:rsidRPr="00B76053">
              <w:rPr>
                <w:rFonts w:cs="Times New Roman"/>
                <w:sz w:val="18"/>
                <w:szCs w:val="18"/>
              </w:rPr>
              <w:t>ChatGPT 5.5; Claude Sonnet 4.6; Gemini 3 Flash</w:t>
            </w:r>
          </w:p>
        </w:tc>
        <w:tc>
          <w:tcPr>
            <w:tcW w:w="5238" w:type="dxa"/>
          </w:tcPr>
          <w:p w14:paraId="70A7857D" w14:textId="77777777" w:rsidR="00173951" w:rsidRPr="00B76053" w:rsidRDefault="00173951" w:rsidP="00286B4D">
            <w:pPr>
              <w:rPr>
                <w:rFonts w:cs="Times New Roman"/>
                <w:sz w:val="18"/>
                <w:szCs w:val="18"/>
              </w:rPr>
            </w:pPr>
            <w:r w:rsidRPr="00B76053">
              <w:rPr>
                <w:rFonts w:cs="Times New Roman"/>
                <w:sz w:val="18"/>
                <w:szCs w:val="18"/>
              </w:rPr>
              <w:t>Used to receive suggestions on thesis structure, chapter flow, section headings, consistency between research questions, methodology, findings, and conclusions, and to support reference-management and citation-audit checking. AI-generated references were not relied on without independent verification; final references were checked by me.</w:t>
            </w:r>
          </w:p>
        </w:tc>
      </w:tr>
    </w:tbl>
    <w:p w14:paraId="1A16CD00" w14:textId="77777777" w:rsidR="00A927B6" w:rsidRPr="00B76053" w:rsidRDefault="00A927B6" w:rsidP="00173951">
      <w:pPr>
        <w:spacing w:after="60"/>
        <w:rPr>
          <w:rFonts w:cs="Times New Roman"/>
        </w:rPr>
      </w:pPr>
    </w:p>
    <w:p w14:paraId="0556E9AF" w14:textId="6FD35954" w:rsidR="00173951" w:rsidRPr="00B76053" w:rsidRDefault="00173951" w:rsidP="00173951">
      <w:pPr>
        <w:spacing w:after="60"/>
        <w:rPr>
          <w:rFonts w:cs="Times New Roman"/>
        </w:rPr>
      </w:pPr>
      <w:r w:rsidRPr="00B76053">
        <w:rPr>
          <w:rFonts w:cs="Times New Roman"/>
        </w:rPr>
        <w:t>I declare that I used the GAI-generated or GAI-assisted content elements only as allowed by the University’s GAI regulations and by the Thesis Guidelines of the Business Informatics MSc programme. I did not use GAI to replace my own academic judgement, to fabricate empirical data, to generate unverified references, to create an abstract or literature review that I submitted as AI-generated work, or to create thesis content that I submitted without critical review.</w:t>
      </w:r>
    </w:p>
    <w:p w14:paraId="724F847C" w14:textId="77777777" w:rsidR="00173951" w:rsidRPr="00B76053" w:rsidRDefault="00173951" w:rsidP="00173951">
      <w:pPr>
        <w:spacing w:after="60"/>
        <w:rPr>
          <w:rFonts w:cs="Times New Roman"/>
        </w:rPr>
      </w:pPr>
      <w:r w:rsidRPr="00B76053">
        <w:rPr>
          <w:rFonts w:cs="Times New Roman"/>
        </w:rPr>
        <w:t>I have reviewed all AI-assisted content critically and verified its appropriateness, factual accuracy, legality, and relevance, with particular attention to source accuracy, intellectual-property considerations, data validity, and the absence of discriminatory or misleading content. I acknowledge that I am fully responsible for the quality, accuracy, originality, and academic integrity of the submitted thesis.</w:t>
      </w:r>
    </w:p>
    <w:p w14:paraId="6F9A85CD" w14:textId="77777777" w:rsidR="00173951" w:rsidRPr="00B76053" w:rsidRDefault="00173951" w:rsidP="00173951">
      <w:pPr>
        <w:spacing w:after="60"/>
        <w:rPr>
          <w:rFonts w:cs="Times New Roman"/>
        </w:rPr>
      </w:pPr>
      <w:r w:rsidRPr="00B76053">
        <w:rPr>
          <w:rFonts w:cs="Times New Roman"/>
        </w:rPr>
        <w:t>I am aware that the University may use artificial-intelligence detection to screen the work I submit and, depending on the outcome, may initiate an ethics procedure.</w:t>
      </w:r>
    </w:p>
    <w:p w14:paraId="639A6919" w14:textId="5D692B1B" w:rsidR="00173951" w:rsidRPr="00B76053" w:rsidRDefault="00173951" w:rsidP="00173951">
      <w:pPr>
        <w:spacing w:before="360"/>
        <w:rPr>
          <w:rFonts w:cs="Times New Roman"/>
        </w:rPr>
      </w:pPr>
      <w:r w:rsidRPr="00B76053">
        <w:rPr>
          <w:rFonts w:cs="Times New Roman"/>
        </w:rPr>
        <w:t>Budapest, ___________________</w:t>
      </w:r>
      <w:r w:rsidRPr="00B76053">
        <w:rPr>
          <w:rFonts w:cs="Times New Roman"/>
        </w:rPr>
        <w:t xml:space="preserve">                                     </w:t>
      </w:r>
      <w:r w:rsidRPr="00B76053">
        <w:rPr>
          <w:rFonts w:cs="Times New Roman"/>
        </w:rPr>
        <w:t xml:space="preserve"> ___________________</w:t>
      </w:r>
      <w:r w:rsidR="009A4294" w:rsidRPr="00B76053">
        <w:rPr>
          <w:rFonts w:cs="Times New Roman"/>
        </w:rPr>
        <w:t>___________</w:t>
      </w:r>
    </w:p>
    <w:p w14:paraId="41B7F009" w14:textId="77777777" w:rsidR="004E6FDA" w:rsidRPr="00B76053" w:rsidRDefault="00173951" w:rsidP="00074936">
      <w:pPr>
        <w:jc w:val="right"/>
        <w:rPr>
          <w:rFonts w:cs="Times New Roman"/>
        </w:rPr>
      </w:pPr>
      <w:r w:rsidRPr="00B76053">
        <w:rPr>
          <w:rFonts w:cs="Times New Roman"/>
        </w:rPr>
        <w:t>Mukhammad Azim Khadyatullaev</w:t>
      </w:r>
    </w:p>
    <w:p w14:paraId="6F508CFC" w14:textId="777C2C5B" w:rsidR="00173951" w:rsidRPr="00B76053" w:rsidRDefault="005E207E" w:rsidP="00074936">
      <w:pPr>
        <w:jc w:val="center"/>
        <w:rPr>
          <w:rFonts w:cs="Times New Roman"/>
        </w:rPr>
      </w:pPr>
      <w:r w:rsidRPr="00B76053">
        <w:rPr>
          <w:rFonts w:cs="Times New Roman"/>
        </w:rPr>
        <w:t xml:space="preserve">                                                                                                   </w:t>
      </w:r>
      <w:r w:rsidR="009A4294" w:rsidRPr="00B76053">
        <w:rPr>
          <w:rFonts w:cs="Times New Roman"/>
        </w:rPr>
        <w:t>(</w:t>
      </w:r>
      <w:r w:rsidR="00173951" w:rsidRPr="00B76053">
        <w:rPr>
          <w:rFonts w:cs="Times New Roman"/>
        </w:rPr>
        <w:t>signature</w:t>
      </w:r>
      <w:r w:rsidR="009A4294" w:rsidRPr="00B76053">
        <w:rPr>
          <w:rFonts w:cs="Times New Roman"/>
        </w:rPr>
        <w:t>)</w:t>
      </w:r>
    </w:p>
    <w:sectPr w:rsidR="00173951" w:rsidRPr="00B76053" w:rsidSect="00034616">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E8AE0" w14:textId="77777777" w:rsidR="004277C2" w:rsidRDefault="004277C2" w:rsidP="0031478C">
      <w:pPr>
        <w:spacing w:after="0" w:line="240" w:lineRule="auto"/>
      </w:pPr>
      <w:r>
        <w:separator/>
      </w:r>
    </w:p>
  </w:endnote>
  <w:endnote w:type="continuationSeparator" w:id="0">
    <w:p w14:paraId="692DBFCD" w14:textId="77777777" w:rsidR="004277C2" w:rsidRDefault="004277C2" w:rsidP="00314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8651746"/>
      <w:docPartObj>
        <w:docPartGallery w:val="Page Numbers (Bottom of Page)"/>
        <w:docPartUnique/>
      </w:docPartObj>
    </w:sdtPr>
    <w:sdtEndPr>
      <w:rPr>
        <w:noProof/>
      </w:rPr>
    </w:sdtEndPr>
    <w:sdtContent>
      <w:p w14:paraId="11E1FE07" w14:textId="77777777" w:rsidR="0031478C" w:rsidRDefault="003147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DB1202" w14:textId="77777777" w:rsidR="0031478C" w:rsidRDefault="00314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BAAAF" w14:textId="77777777" w:rsidR="004277C2" w:rsidRDefault="004277C2" w:rsidP="0031478C">
      <w:pPr>
        <w:spacing w:after="0" w:line="240" w:lineRule="auto"/>
      </w:pPr>
      <w:r>
        <w:separator/>
      </w:r>
    </w:p>
  </w:footnote>
  <w:footnote w:type="continuationSeparator" w:id="0">
    <w:p w14:paraId="7D21D9FA" w14:textId="77777777" w:rsidR="004277C2" w:rsidRDefault="004277C2" w:rsidP="003147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EB3CB6"/>
    <w:multiLevelType w:val="hybridMultilevel"/>
    <w:tmpl w:val="C85AB7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049"/>
    <w:rsid w:val="00003173"/>
    <w:rsid w:val="00017C81"/>
    <w:rsid w:val="0002369F"/>
    <w:rsid w:val="000249F1"/>
    <w:rsid w:val="00024D59"/>
    <w:rsid w:val="00034616"/>
    <w:rsid w:val="00043DC8"/>
    <w:rsid w:val="0006063C"/>
    <w:rsid w:val="00074936"/>
    <w:rsid w:val="00097211"/>
    <w:rsid w:val="000B15D0"/>
    <w:rsid w:val="000B3B4A"/>
    <w:rsid w:val="000B6C02"/>
    <w:rsid w:val="000B751B"/>
    <w:rsid w:val="000D44C8"/>
    <w:rsid w:val="000F1A70"/>
    <w:rsid w:val="000F29D5"/>
    <w:rsid w:val="00112B90"/>
    <w:rsid w:val="00121BFF"/>
    <w:rsid w:val="00130EA5"/>
    <w:rsid w:val="00133954"/>
    <w:rsid w:val="0013444F"/>
    <w:rsid w:val="00140A7A"/>
    <w:rsid w:val="00141720"/>
    <w:rsid w:val="00147192"/>
    <w:rsid w:val="0015074B"/>
    <w:rsid w:val="001522C8"/>
    <w:rsid w:val="00173951"/>
    <w:rsid w:val="00193E32"/>
    <w:rsid w:val="001A126F"/>
    <w:rsid w:val="001A228B"/>
    <w:rsid w:val="001A7B0D"/>
    <w:rsid w:val="001C3F18"/>
    <w:rsid w:val="001E0D54"/>
    <w:rsid w:val="001F1AB3"/>
    <w:rsid w:val="001F557A"/>
    <w:rsid w:val="00204A2D"/>
    <w:rsid w:val="00210A7F"/>
    <w:rsid w:val="00232311"/>
    <w:rsid w:val="002430EB"/>
    <w:rsid w:val="00273C88"/>
    <w:rsid w:val="00276ABC"/>
    <w:rsid w:val="0029639D"/>
    <w:rsid w:val="002B5EE6"/>
    <w:rsid w:val="002D0EBC"/>
    <w:rsid w:val="00313086"/>
    <w:rsid w:val="0031478C"/>
    <w:rsid w:val="00326F90"/>
    <w:rsid w:val="00382598"/>
    <w:rsid w:val="00387F3D"/>
    <w:rsid w:val="003A2D72"/>
    <w:rsid w:val="003A2EBE"/>
    <w:rsid w:val="003A58A7"/>
    <w:rsid w:val="003B4F98"/>
    <w:rsid w:val="003E691E"/>
    <w:rsid w:val="004006E1"/>
    <w:rsid w:val="004277C2"/>
    <w:rsid w:val="00445C54"/>
    <w:rsid w:val="00454078"/>
    <w:rsid w:val="004619FF"/>
    <w:rsid w:val="00465BF1"/>
    <w:rsid w:val="00492AC3"/>
    <w:rsid w:val="004A14A8"/>
    <w:rsid w:val="004A2FB2"/>
    <w:rsid w:val="004C6F54"/>
    <w:rsid w:val="004E6FDA"/>
    <w:rsid w:val="00506732"/>
    <w:rsid w:val="00520559"/>
    <w:rsid w:val="005263DF"/>
    <w:rsid w:val="00551D86"/>
    <w:rsid w:val="00553255"/>
    <w:rsid w:val="00565C40"/>
    <w:rsid w:val="00567169"/>
    <w:rsid w:val="0057316C"/>
    <w:rsid w:val="00574C0E"/>
    <w:rsid w:val="005846B7"/>
    <w:rsid w:val="00597698"/>
    <w:rsid w:val="005D0FAD"/>
    <w:rsid w:val="005E13DB"/>
    <w:rsid w:val="005E207E"/>
    <w:rsid w:val="005E66E1"/>
    <w:rsid w:val="00600730"/>
    <w:rsid w:val="00601939"/>
    <w:rsid w:val="00603AD8"/>
    <w:rsid w:val="006046D2"/>
    <w:rsid w:val="0061771B"/>
    <w:rsid w:val="0062684C"/>
    <w:rsid w:val="00633813"/>
    <w:rsid w:val="00662280"/>
    <w:rsid w:val="00671F1E"/>
    <w:rsid w:val="00672CC2"/>
    <w:rsid w:val="00673203"/>
    <w:rsid w:val="00674CBB"/>
    <w:rsid w:val="0069586C"/>
    <w:rsid w:val="006A2132"/>
    <w:rsid w:val="006C7CA8"/>
    <w:rsid w:val="006D0C5C"/>
    <w:rsid w:val="006D212F"/>
    <w:rsid w:val="0070279B"/>
    <w:rsid w:val="00763858"/>
    <w:rsid w:val="007930BF"/>
    <w:rsid w:val="007B10F6"/>
    <w:rsid w:val="007B335A"/>
    <w:rsid w:val="007F167A"/>
    <w:rsid w:val="007F45A9"/>
    <w:rsid w:val="007F62DD"/>
    <w:rsid w:val="0089690E"/>
    <w:rsid w:val="008B3A19"/>
    <w:rsid w:val="008C3CDC"/>
    <w:rsid w:val="008C3D68"/>
    <w:rsid w:val="008C5F3F"/>
    <w:rsid w:val="008C6F54"/>
    <w:rsid w:val="009233C8"/>
    <w:rsid w:val="00931B48"/>
    <w:rsid w:val="00943864"/>
    <w:rsid w:val="00953F46"/>
    <w:rsid w:val="009658E8"/>
    <w:rsid w:val="00983F9F"/>
    <w:rsid w:val="009902B3"/>
    <w:rsid w:val="009A4294"/>
    <w:rsid w:val="009B0C83"/>
    <w:rsid w:val="009C1CC2"/>
    <w:rsid w:val="009C444E"/>
    <w:rsid w:val="009D0591"/>
    <w:rsid w:val="009D746A"/>
    <w:rsid w:val="00A222D3"/>
    <w:rsid w:val="00A312D3"/>
    <w:rsid w:val="00A522AB"/>
    <w:rsid w:val="00A927B6"/>
    <w:rsid w:val="00AA1D8D"/>
    <w:rsid w:val="00AA5457"/>
    <w:rsid w:val="00AB4EE3"/>
    <w:rsid w:val="00AF21D4"/>
    <w:rsid w:val="00B04762"/>
    <w:rsid w:val="00B124C9"/>
    <w:rsid w:val="00B148B6"/>
    <w:rsid w:val="00B30E71"/>
    <w:rsid w:val="00B47730"/>
    <w:rsid w:val="00B55F55"/>
    <w:rsid w:val="00B74A74"/>
    <w:rsid w:val="00B76053"/>
    <w:rsid w:val="00B76B53"/>
    <w:rsid w:val="00B772AE"/>
    <w:rsid w:val="00B8150A"/>
    <w:rsid w:val="00B91681"/>
    <w:rsid w:val="00BA2F10"/>
    <w:rsid w:val="00BA7F5B"/>
    <w:rsid w:val="00BD199A"/>
    <w:rsid w:val="00C17E30"/>
    <w:rsid w:val="00C22314"/>
    <w:rsid w:val="00C2388C"/>
    <w:rsid w:val="00C63ACF"/>
    <w:rsid w:val="00C71E32"/>
    <w:rsid w:val="00C75308"/>
    <w:rsid w:val="00C94A0C"/>
    <w:rsid w:val="00CA31CA"/>
    <w:rsid w:val="00CB0664"/>
    <w:rsid w:val="00CC798D"/>
    <w:rsid w:val="00D011EA"/>
    <w:rsid w:val="00D34E71"/>
    <w:rsid w:val="00D55050"/>
    <w:rsid w:val="00D763AB"/>
    <w:rsid w:val="00D80FBC"/>
    <w:rsid w:val="00D831F5"/>
    <w:rsid w:val="00D86515"/>
    <w:rsid w:val="00DA5518"/>
    <w:rsid w:val="00DB0233"/>
    <w:rsid w:val="00DB1EAA"/>
    <w:rsid w:val="00DB250B"/>
    <w:rsid w:val="00DD763B"/>
    <w:rsid w:val="00E00167"/>
    <w:rsid w:val="00E50BE2"/>
    <w:rsid w:val="00E64270"/>
    <w:rsid w:val="00E67FC9"/>
    <w:rsid w:val="00E968F3"/>
    <w:rsid w:val="00EC0922"/>
    <w:rsid w:val="00EC4EC3"/>
    <w:rsid w:val="00EC7105"/>
    <w:rsid w:val="00EE2AEB"/>
    <w:rsid w:val="00EE31B2"/>
    <w:rsid w:val="00EF245C"/>
    <w:rsid w:val="00F13655"/>
    <w:rsid w:val="00F40E30"/>
    <w:rsid w:val="00F40F38"/>
    <w:rsid w:val="00F545C7"/>
    <w:rsid w:val="00F6453B"/>
    <w:rsid w:val="00F70D72"/>
    <w:rsid w:val="00F76C03"/>
    <w:rsid w:val="00FB563E"/>
    <w:rsid w:val="00FC693F"/>
    <w:rsid w:val="00FE6BDF"/>
    <w:rsid w:val="00FF6D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36D6D3"/>
  <w14:defaultImageDpi w14:val="300"/>
  <w15:docId w15:val="{59698350-435B-4DB7-A7E7-362C37A1B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2DD"/>
    <w:pPr>
      <w:spacing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7F62DD"/>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7F62DD"/>
    <w:pPr>
      <w:keepNext/>
      <w:keepLines/>
      <w:spacing w:before="320" w:after="12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7F62DD"/>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F62DD"/>
    <w:rPr>
      <w:rFonts w:ascii="Times New Roman" w:eastAsiaTheme="majorEastAsia" w:hAnsi="Times New Roman" w:cstheme="majorBidi"/>
      <w:b/>
      <w:bCs/>
      <w:color w:val="000000"/>
      <w:sz w:val="32"/>
      <w:szCs w:val="28"/>
    </w:rPr>
  </w:style>
  <w:style w:type="character" w:customStyle="1" w:styleId="Heading2Char">
    <w:name w:val="Heading 2 Char"/>
    <w:basedOn w:val="DefaultParagraphFont"/>
    <w:link w:val="Heading2"/>
    <w:uiPriority w:val="9"/>
    <w:rsid w:val="007F62DD"/>
    <w:rPr>
      <w:rFonts w:ascii="Times New Roman" w:eastAsiaTheme="majorEastAsia" w:hAnsi="Times New Roman" w:cstheme="majorBidi"/>
      <w:b/>
      <w:bCs/>
      <w:color w:val="000000"/>
      <w:sz w:val="28"/>
      <w:szCs w:val="26"/>
    </w:rPr>
  </w:style>
  <w:style w:type="character" w:customStyle="1" w:styleId="Heading3Char">
    <w:name w:val="Heading 3 Char"/>
    <w:basedOn w:val="DefaultParagraphFont"/>
    <w:link w:val="Heading3"/>
    <w:uiPriority w:val="9"/>
    <w:rsid w:val="007F62DD"/>
    <w:rPr>
      <w:rFonts w:ascii="Times New Roman" w:eastAsiaTheme="majorEastAsia" w:hAnsi="Times New Roman" w:cstheme="majorBidi"/>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91681"/>
    <w:pPr>
      <w:spacing w:after="100"/>
    </w:pPr>
  </w:style>
  <w:style w:type="paragraph" w:styleId="TOC2">
    <w:name w:val="toc 2"/>
    <w:basedOn w:val="Normal"/>
    <w:next w:val="Normal"/>
    <w:autoRedefine/>
    <w:uiPriority w:val="39"/>
    <w:unhideWhenUsed/>
    <w:rsid w:val="00B91681"/>
    <w:pPr>
      <w:spacing w:after="100"/>
      <w:ind w:left="240"/>
    </w:pPr>
  </w:style>
  <w:style w:type="paragraph" w:styleId="TOC3">
    <w:name w:val="toc 3"/>
    <w:basedOn w:val="Normal"/>
    <w:next w:val="Normal"/>
    <w:autoRedefine/>
    <w:uiPriority w:val="39"/>
    <w:unhideWhenUsed/>
    <w:rsid w:val="00B91681"/>
    <w:pPr>
      <w:spacing w:after="100"/>
      <w:ind w:left="480"/>
    </w:pPr>
  </w:style>
  <w:style w:type="paragraph" w:styleId="TOC4">
    <w:name w:val="toc 4"/>
    <w:basedOn w:val="Normal"/>
    <w:next w:val="Normal"/>
    <w:autoRedefine/>
    <w:uiPriority w:val="39"/>
    <w:unhideWhenUsed/>
    <w:rsid w:val="00B91681"/>
    <w:pPr>
      <w:spacing w:after="100" w:line="259" w:lineRule="auto"/>
      <w:ind w:left="660"/>
      <w:jc w:val="left"/>
    </w:pPr>
    <w:rPr>
      <w:rFonts w:asciiTheme="minorHAnsi" w:hAnsiTheme="minorHAnsi"/>
      <w:color w:val="auto"/>
      <w:sz w:val="22"/>
      <w:lang w:val="ru-RU" w:eastAsia="ru-RU"/>
    </w:rPr>
  </w:style>
  <w:style w:type="paragraph" w:styleId="TOC5">
    <w:name w:val="toc 5"/>
    <w:basedOn w:val="Normal"/>
    <w:next w:val="Normal"/>
    <w:autoRedefine/>
    <w:uiPriority w:val="39"/>
    <w:unhideWhenUsed/>
    <w:rsid w:val="00B91681"/>
    <w:pPr>
      <w:spacing w:after="100" w:line="259" w:lineRule="auto"/>
      <w:ind w:left="880"/>
      <w:jc w:val="left"/>
    </w:pPr>
    <w:rPr>
      <w:rFonts w:asciiTheme="minorHAnsi" w:hAnsiTheme="minorHAnsi"/>
      <w:color w:val="auto"/>
      <w:sz w:val="22"/>
      <w:lang w:val="ru-RU" w:eastAsia="ru-RU"/>
    </w:rPr>
  </w:style>
  <w:style w:type="paragraph" w:styleId="TOC6">
    <w:name w:val="toc 6"/>
    <w:basedOn w:val="Normal"/>
    <w:next w:val="Normal"/>
    <w:autoRedefine/>
    <w:uiPriority w:val="39"/>
    <w:unhideWhenUsed/>
    <w:rsid w:val="00B91681"/>
    <w:pPr>
      <w:spacing w:after="100" w:line="259" w:lineRule="auto"/>
      <w:ind w:left="1100"/>
      <w:jc w:val="left"/>
    </w:pPr>
    <w:rPr>
      <w:rFonts w:asciiTheme="minorHAnsi" w:hAnsiTheme="minorHAnsi"/>
      <w:color w:val="auto"/>
      <w:sz w:val="22"/>
      <w:lang w:val="ru-RU" w:eastAsia="ru-RU"/>
    </w:rPr>
  </w:style>
  <w:style w:type="paragraph" w:styleId="TOC7">
    <w:name w:val="toc 7"/>
    <w:basedOn w:val="Normal"/>
    <w:next w:val="Normal"/>
    <w:autoRedefine/>
    <w:uiPriority w:val="39"/>
    <w:unhideWhenUsed/>
    <w:rsid w:val="00B91681"/>
    <w:pPr>
      <w:spacing w:after="100" w:line="259" w:lineRule="auto"/>
      <w:ind w:left="1320"/>
      <w:jc w:val="left"/>
    </w:pPr>
    <w:rPr>
      <w:rFonts w:asciiTheme="minorHAnsi" w:hAnsiTheme="minorHAnsi"/>
      <w:color w:val="auto"/>
      <w:sz w:val="22"/>
      <w:lang w:val="ru-RU" w:eastAsia="ru-RU"/>
    </w:rPr>
  </w:style>
  <w:style w:type="paragraph" w:styleId="TOC8">
    <w:name w:val="toc 8"/>
    <w:basedOn w:val="Normal"/>
    <w:next w:val="Normal"/>
    <w:autoRedefine/>
    <w:uiPriority w:val="39"/>
    <w:unhideWhenUsed/>
    <w:rsid w:val="00B91681"/>
    <w:pPr>
      <w:spacing w:after="100" w:line="259" w:lineRule="auto"/>
      <w:ind w:left="1540"/>
      <w:jc w:val="left"/>
    </w:pPr>
    <w:rPr>
      <w:rFonts w:asciiTheme="minorHAnsi" w:hAnsiTheme="minorHAnsi"/>
      <w:color w:val="auto"/>
      <w:sz w:val="22"/>
      <w:lang w:val="ru-RU" w:eastAsia="ru-RU"/>
    </w:rPr>
  </w:style>
  <w:style w:type="paragraph" w:styleId="TOC9">
    <w:name w:val="toc 9"/>
    <w:basedOn w:val="Normal"/>
    <w:next w:val="Normal"/>
    <w:autoRedefine/>
    <w:uiPriority w:val="39"/>
    <w:unhideWhenUsed/>
    <w:rsid w:val="00B91681"/>
    <w:pPr>
      <w:spacing w:after="100" w:line="259" w:lineRule="auto"/>
      <w:ind w:left="1760"/>
      <w:jc w:val="left"/>
    </w:pPr>
    <w:rPr>
      <w:rFonts w:asciiTheme="minorHAnsi" w:hAnsiTheme="minorHAnsi"/>
      <w:color w:val="auto"/>
      <w:sz w:val="22"/>
      <w:lang w:val="ru-RU" w:eastAsia="ru-RU"/>
    </w:rPr>
  </w:style>
  <w:style w:type="character" w:styleId="Hyperlink">
    <w:name w:val="Hyperlink"/>
    <w:basedOn w:val="DefaultParagraphFont"/>
    <w:uiPriority w:val="99"/>
    <w:unhideWhenUsed/>
    <w:rsid w:val="00B91681"/>
    <w:rPr>
      <w:color w:val="0000FF" w:themeColor="hyperlink"/>
      <w:u w:val="single"/>
    </w:rPr>
  </w:style>
  <w:style w:type="character" w:styleId="UnresolvedMention">
    <w:name w:val="Unresolved Mention"/>
    <w:basedOn w:val="DefaultParagraphFont"/>
    <w:uiPriority w:val="99"/>
    <w:semiHidden/>
    <w:unhideWhenUsed/>
    <w:rsid w:val="00B91681"/>
    <w:rPr>
      <w:color w:val="605E5C"/>
      <w:shd w:val="clear" w:color="auto" w:fill="E1DFDD"/>
    </w:rPr>
  </w:style>
  <w:style w:type="character" w:styleId="HTMLCode">
    <w:name w:val="HTML Code"/>
    <w:basedOn w:val="DefaultParagraphFont"/>
    <w:uiPriority w:val="99"/>
    <w:semiHidden/>
    <w:unhideWhenUsed/>
    <w:rsid w:val="00AB4E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7070">
      <w:bodyDiv w:val="1"/>
      <w:marLeft w:val="0"/>
      <w:marRight w:val="0"/>
      <w:marTop w:val="0"/>
      <w:marBottom w:val="0"/>
      <w:divBdr>
        <w:top w:val="none" w:sz="0" w:space="0" w:color="auto"/>
        <w:left w:val="none" w:sz="0" w:space="0" w:color="auto"/>
        <w:bottom w:val="none" w:sz="0" w:space="0" w:color="auto"/>
        <w:right w:val="none" w:sz="0" w:space="0" w:color="auto"/>
      </w:divBdr>
    </w:div>
    <w:div w:id="134758894">
      <w:bodyDiv w:val="1"/>
      <w:marLeft w:val="0"/>
      <w:marRight w:val="0"/>
      <w:marTop w:val="0"/>
      <w:marBottom w:val="0"/>
      <w:divBdr>
        <w:top w:val="none" w:sz="0" w:space="0" w:color="auto"/>
        <w:left w:val="none" w:sz="0" w:space="0" w:color="auto"/>
        <w:bottom w:val="none" w:sz="0" w:space="0" w:color="auto"/>
        <w:right w:val="none" w:sz="0" w:space="0" w:color="auto"/>
      </w:divBdr>
    </w:div>
    <w:div w:id="136532664">
      <w:bodyDiv w:val="1"/>
      <w:marLeft w:val="0"/>
      <w:marRight w:val="0"/>
      <w:marTop w:val="0"/>
      <w:marBottom w:val="0"/>
      <w:divBdr>
        <w:top w:val="none" w:sz="0" w:space="0" w:color="auto"/>
        <w:left w:val="none" w:sz="0" w:space="0" w:color="auto"/>
        <w:bottom w:val="none" w:sz="0" w:space="0" w:color="auto"/>
        <w:right w:val="none" w:sz="0" w:space="0" w:color="auto"/>
      </w:divBdr>
    </w:div>
    <w:div w:id="156456085">
      <w:bodyDiv w:val="1"/>
      <w:marLeft w:val="0"/>
      <w:marRight w:val="0"/>
      <w:marTop w:val="0"/>
      <w:marBottom w:val="0"/>
      <w:divBdr>
        <w:top w:val="none" w:sz="0" w:space="0" w:color="auto"/>
        <w:left w:val="none" w:sz="0" w:space="0" w:color="auto"/>
        <w:bottom w:val="none" w:sz="0" w:space="0" w:color="auto"/>
        <w:right w:val="none" w:sz="0" w:space="0" w:color="auto"/>
      </w:divBdr>
    </w:div>
    <w:div w:id="164635318">
      <w:bodyDiv w:val="1"/>
      <w:marLeft w:val="0"/>
      <w:marRight w:val="0"/>
      <w:marTop w:val="0"/>
      <w:marBottom w:val="0"/>
      <w:divBdr>
        <w:top w:val="none" w:sz="0" w:space="0" w:color="auto"/>
        <w:left w:val="none" w:sz="0" w:space="0" w:color="auto"/>
        <w:bottom w:val="none" w:sz="0" w:space="0" w:color="auto"/>
        <w:right w:val="none" w:sz="0" w:space="0" w:color="auto"/>
      </w:divBdr>
    </w:div>
    <w:div w:id="175312351">
      <w:bodyDiv w:val="1"/>
      <w:marLeft w:val="0"/>
      <w:marRight w:val="0"/>
      <w:marTop w:val="0"/>
      <w:marBottom w:val="0"/>
      <w:divBdr>
        <w:top w:val="none" w:sz="0" w:space="0" w:color="auto"/>
        <w:left w:val="none" w:sz="0" w:space="0" w:color="auto"/>
        <w:bottom w:val="none" w:sz="0" w:space="0" w:color="auto"/>
        <w:right w:val="none" w:sz="0" w:space="0" w:color="auto"/>
      </w:divBdr>
    </w:div>
    <w:div w:id="185293382">
      <w:bodyDiv w:val="1"/>
      <w:marLeft w:val="0"/>
      <w:marRight w:val="0"/>
      <w:marTop w:val="0"/>
      <w:marBottom w:val="0"/>
      <w:divBdr>
        <w:top w:val="none" w:sz="0" w:space="0" w:color="auto"/>
        <w:left w:val="none" w:sz="0" w:space="0" w:color="auto"/>
        <w:bottom w:val="none" w:sz="0" w:space="0" w:color="auto"/>
        <w:right w:val="none" w:sz="0" w:space="0" w:color="auto"/>
      </w:divBdr>
    </w:div>
    <w:div w:id="499661725">
      <w:bodyDiv w:val="1"/>
      <w:marLeft w:val="0"/>
      <w:marRight w:val="0"/>
      <w:marTop w:val="0"/>
      <w:marBottom w:val="0"/>
      <w:divBdr>
        <w:top w:val="none" w:sz="0" w:space="0" w:color="auto"/>
        <w:left w:val="none" w:sz="0" w:space="0" w:color="auto"/>
        <w:bottom w:val="none" w:sz="0" w:space="0" w:color="auto"/>
        <w:right w:val="none" w:sz="0" w:space="0" w:color="auto"/>
      </w:divBdr>
    </w:div>
    <w:div w:id="501513771">
      <w:bodyDiv w:val="1"/>
      <w:marLeft w:val="0"/>
      <w:marRight w:val="0"/>
      <w:marTop w:val="0"/>
      <w:marBottom w:val="0"/>
      <w:divBdr>
        <w:top w:val="none" w:sz="0" w:space="0" w:color="auto"/>
        <w:left w:val="none" w:sz="0" w:space="0" w:color="auto"/>
        <w:bottom w:val="none" w:sz="0" w:space="0" w:color="auto"/>
        <w:right w:val="none" w:sz="0" w:space="0" w:color="auto"/>
      </w:divBdr>
    </w:div>
    <w:div w:id="653722594">
      <w:bodyDiv w:val="1"/>
      <w:marLeft w:val="0"/>
      <w:marRight w:val="0"/>
      <w:marTop w:val="0"/>
      <w:marBottom w:val="0"/>
      <w:divBdr>
        <w:top w:val="none" w:sz="0" w:space="0" w:color="auto"/>
        <w:left w:val="none" w:sz="0" w:space="0" w:color="auto"/>
        <w:bottom w:val="none" w:sz="0" w:space="0" w:color="auto"/>
        <w:right w:val="none" w:sz="0" w:space="0" w:color="auto"/>
      </w:divBdr>
    </w:div>
    <w:div w:id="888610755">
      <w:bodyDiv w:val="1"/>
      <w:marLeft w:val="0"/>
      <w:marRight w:val="0"/>
      <w:marTop w:val="0"/>
      <w:marBottom w:val="0"/>
      <w:divBdr>
        <w:top w:val="none" w:sz="0" w:space="0" w:color="auto"/>
        <w:left w:val="none" w:sz="0" w:space="0" w:color="auto"/>
        <w:bottom w:val="none" w:sz="0" w:space="0" w:color="auto"/>
        <w:right w:val="none" w:sz="0" w:space="0" w:color="auto"/>
      </w:divBdr>
    </w:div>
    <w:div w:id="930772916">
      <w:bodyDiv w:val="1"/>
      <w:marLeft w:val="0"/>
      <w:marRight w:val="0"/>
      <w:marTop w:val="0"/>
      <w:marBottom w:val="0"/>
      <w:divBdr>
        <w:top w:val="none" w:sz="0" w:space="0" w:color="auto"/>
        <w:left w:val="none" w:sz="0" w:space="0" w:color="auto"/>
        <w:bottom w:val="none" w:sz="0" w:space="0" w:color="auto"/>
        <w:right w:val="none" w:sz="0" w:space="0" w:color="auto"/>
      </w:divBdr>
    </w:div>
    <w:div w:id="1069621479">
      <w:bodyDiv w:val="1"/>
      <w:marLeft w:val="0"/>
      <w:marRight w:val="0"/>
      <w:marTop w:val="0"/>
      <w:marBottom w:val="0"/>
      <w:divBdr>
        <w:top w:val="none" w:sz="0" w:space="0" w:color="auto"/>
        <w:left w:val="none" w:sz="0" w:space="0" w:color="auto"/>
        <w:bottom w:val="none" w:sz="0" w:space="0" w:color="auto"/>
        <w:right w:val="none" w:sz="0" w:space="0" w:color="auto"/>
      </w:divBdr>
    </w:div>
    <w:div w:id="1230070149">
      <w:bodyDiv w:val="1"/>
      <w:marLeft w:val="0"/>
      <w:marRight w:val="0"/>
      <w:marTop w:val="0"/>
      <w:marBottom w:val="0"/>
      <w:divBdr>
        <w:top w:val="none" w:sz="0" w:space="0" w:color="auto"/>
        <w:left w:val="none" w:sz="0" w:space="0" w:color="auto"/>
        <w:bottom w:val="none" w:sz="0" w:space="0" w:color="auto"/>
        <w:right w:val="none" w:sz="0" w:space="0" w:color="auto"/>
      </w:divBdr>
    </w:div>
    <w:div w:id="1311327542">
      <w:bodyDiv w:val="1"/>
      <w:marLeft w:val="0"/>
      <w:marRight w:val="0"/>
      <w:marTop w:val="0"/>
      <w:marBottom w:val="0"/>
      <w:divBdr>
        <w:top w:val="none" w:sz="0" w:space="0" w:color="auto"/>
        <w:left w:val="none" w:sz="0" w:space="0" w:color="auto"/>
        <w:bottom w:val="none" w:sz="0" w:space="0" w:color="auto"/>
        <w:right w:val="none" w:sz="0" w:space="0" w:color="auto"/>
      </w:divBdr>
    </w:div>
    <w:div w:id="1319764637">
      <w:bodyDiv w:val="1"/>
      <w:marLeft w:val="0"/>
      <w:marRight w:val="0"/>
      <w:marTop w:val="0"/>
      <w:marBottom w:val="0"/>
      <w:divBdr>
        <w:top w:val="none" w:sz="0" w:space="0" w:color="auto"/>
        <w:left w:val="none" w:sz="0" w:space="0" w:color="auto"/>
        <w:bottom w:val="none" w:sz="0" w:space="0" w:color="auto"/>
        <w:right w:val="none" w:sz="0" w:space="0" w:color="auto"/>
      </w:divBdr>
    </w:div>
    <w:div w:id="1357195079">
      <w:bodyDiv w:val="1"/>
      <w:marLeft w:val="0"/>
      <w:marRight w:val="0"/>
      <w:marTop w:val="0"/>
      <w:marBottom w:val="0"/>
      <w:divBdr>
        <w:top w:val="none" w:sz="0" w:space="0" w:color="auto"/>
        <w:left w:val="none" w:sz="0" w:space="0" w:color="auto"/>
        <w:bottom w:val="none" w:sz="0" w:space="0" w:color="auto"/>
        <w:right w:val="none" w:sz="0" w:space="0" w:color="auto"/>
      </w:divBdr>
    </w:div>
    <w:div w:id="1360936700">
      <w:bodyDiv w:val="1"/>
      <w:marLeft w:val="0"/>
      <w:marRight w:val="0"/>
      <w:marTop w:val="0"/>
      <w:marBottom w:val="0"/>
      <w:divBdr>
        <w:top w:val="none" w:sz="0" w:space="0" w:color="auto"/>
        <w:left w:val="none" w:sz="0" w:space="0" w:color="auto"/>
        <w:bottom w:val="none" w:sz="0" w:space="0" w:color="auto"/>
        <w:right w:val="none" w:sz="0" w:space="0" w:color="auto"/>
      </w:divBdr>
    </w:div>
    <w:div w:id="1412048339">
      <w:bodyDiv w:val="1"/>
      <w:marLeft w:val="0"/>
      <w:marRight w:val="0"/>
      <w:marTop w:val="0"/>
      <w:marBottom w:val="0"/>
      <w:divBdr>
        <w:top w:val="none" w:sz="0" w:space="0" w:color="auto"/>
        <w:left w:val="none" w:sz="0" w:space="0" w:color="auto"/>
        <w:bottom w:val="none" w:sz="0" w:space="0" w:color="auto"/>
        <w:right w:val="none" w:sz="0" w:space="0" w:color="auto"/>
      </w:divBdr>
    </w:div>
    <w:div w:id="1508251473">
      <w:bodyDiv w:val="1"/>
      <w:marLeft w:val="0"/>
      <w:marRight w:val="0"/>
      <w:marTop w:val="0"/>
      <w:marBottom w:val="0"/>
      <w:divBdr>
        <w:top w:val="none" w:sz="0" w:space="0" w:color="auto"/>
        <w:left w:val="none" w:sz="0" w:space="0" w:color="auto"/>
        <w:bottom w:val="none" w:sz="0" w:space="0" w:color="auto"/>
        <w:right w:val="none" w:sz="0" w:space="0" w:color="auto"/>
      </w:divBdr>
    </w:div>
    <w:div w:id="1547136754">
      <w:bodyDiv w:val="1"/>
      <w:marLeft w:val="0"/>
      <w:marRight w:val="0"/>
      <w:marTop w:val="0"/>
      <w:marBottom w:val="0"/>
      <w:divBdr>
        <w:top w:val="none" w:sz="0" w:space="0" w:color="auto"/>
        <w:left w:val="none" w:sz="0" w:space="0" w:color="auto"/>
        <w:bottom w:val="none" w:sz="0" w:space="0" w:color="auto"/>
        <w:right w:val="none" w:sz="0" w:space="0" w:color="auto"/>
      </w:divBdr>
    </w:div>
    <w:div w:id="1595287176">
      <w:bodyDiv w:val="1"/>
      <w:marLeft w:val="0"/>
      <w:marRight w:val="0"/>
      <w:marTop w:val="0"/>
      <w:marBottom w:val="0"/>
      <w:divBdr>
        <w:top w:val="none" w:sz="0" w:space="0" w:color="auto"/>
        <w:left w:val="none" w:sz="0" w:space="0" w:color="auto"/>
        <w:bottom w:val="none" w:sz="0" w:space="0" w:color="auto"/>
        <w:right w:val="none" w:sz="0" w:space="0" w:color="auto"/>
      </w:divBdr>
    </w:div>
    <w:div w:id="1621913542">
      <w:bodyDiv w:val="1"/>
      <w:marLeft w:val="0"/>
      <w:marRight w:val="0"/>
      <w:marTop w:val="0"/>
      <w:marBottom w:val="0"/>
      <w:divBdr>
        <w:top w:val="none" w:sz="0" w:space="0" w:color="auto"/>
        <w:left w:val="none" w:sz="0" w:space="0" w:color="auto"/>
        <w:bottom w:val="none" w:sz="0" w:space="0" w:color="auto"/>
        <w:right w:val="none" w:sz="0" w:space="0" w:color="auto"/>
      </w:divBdr>
    </w:div>
    <w:div w:id="1701078797">
      <w:bodyDiv w:val="1"/>
      <w:marLeft w:val="0"/>
      <w:marRight w:val="0"/>
      <w:marTop w:val="0"/>
      <w:marBottom w:val="0"/>
      <w:divBdr>
        <w:top w:val="none" w:sz="0" w:space="0" w:color="auto"/>
        <w:left w:val="none" w:sz="0" w:space="0" w:color="auto"/>
        <w:bottom w:val="none" w:sz="0" w:space="0" w:color="auto"/>
        <w:right w:val="none" w:sz="0" w:space="0" w:color="auto"/>
      </w:divBdr>
    </w:div>
    <w:div w:id="1769688793">
      <w:bodyDiv w:val="1"/>
      <w:marLeft w:val="0"/>
      <w:marRight w:val="0"/>
      <w:marTop w:val="0"/>
      <w:marBottom w:val="0"/>
      <w:divBdr>
        <w:top w:val="none" w:sz="0" w:space="0" w:color="auto"/>
        <w:left w:val="none" w:sz="0" w:space="0" w:color="auto"/>
        <w:bottom w:val="none" w:sz="0" w:space="0" w:color="auto"/>
        <w:right w:val="none" w:sz="0" w:space="0" w:color="auto"/>
      </w:divBdr>
    </w:div>
    <w:div w:id="20740863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080/08839514.2022.2157592" TargetMode="External"/><Relationship Id="rId10" Type="http://schemas.openxmlformats.org/officeDocument/2006/relationships/image" Target="media/image3.png"/><Relationship Id="rId19" Type="http://schemas.openxmlformats.org/officeDocument/2006/relationships/hyperlink" Target="https://github.com/Mukhammad-Azim/Business-Value-of-AI-voice-agent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122</Pages>
  <Words>38921</Words>
  <Characters>221856</Characters>
  <Application>Microsoft Office Word</Application>
  <DocSecurity>0</DocSecurity>
  <Lines>1848</Lines>
  <Paragraphs>520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Mukhammad Azim Khadyatullaev</cp:lastModifiedBy>
  <cp:revision>175</cp:revision>
  <dcterms:created xsi:type="dcterms:W3CDTF">2013-12-23T23:15:00Z</dcterms:created>
  <dcterms:modified xsi:type="dcterms:W3CDTF">2026-05-13T19:10:00Z</dcterms:modified>
  <cp:category/>
</cp:coreProperties>
</file>