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EE32F" w14:textId="77777777" w:rsidR="00CC798D" w:rsidRPr="00B76053" w:rsidRDefault="00CC798D" w:rsidP="00CC798D">
      <w:pPr>
        <w:rPr>
          <w:rFonts w:cs="Times New Roman"/>
        </w:rPr>
      </w:pPr>
    </w:p>
    <w:p w14:paraId="254E6DAC" w14:textId="77777777" w:rsidR="00CC798D" w:rsidRPr="00B76053" w:rsidRDefault="00CC798D" w:rsidP="00CC798D">
      <w:pPr>
        <w:rPr>
          <w:rFonts w:cs="Times New Roman"/>
        </w:rPr>
      </w:pPr>
    </w:p>
    <w:p w14:paraId="4CD23307" w14:textId="77777777" w:rsidR="00CC798D" w:rsidRPr="00B76053" w:rsidRDefault="00CC798D" w:rsidP="00CC798D">
      <w:pPr>
        <w:rPr>
          <w:rFonts w:cs="Times New Roman"/>
        </w:rPr>
      </w:pPr>
    </w:p>
    <w:p w14:paraId="36FC81B0" w14:textId="77777777" w:rsidR="00CC798D" w:rsidRPr="00B76053" w:rsidRDefault="00CC798D" w:rsidP="00CC798D">
      <w:pPr>
        <w:rPr>
          <w:rFonts w:cs="Times New Roman"/>
        </w:rPr>
      </w:pPr>
    </w:p>
    <w:p w14:paraId="1008173B" w14:textId="77777777" w:rsidR="00CC798D" w:rsidRPr="00B76053" w:rsidRDefault="00CC798D" w:rsidP="00CC798D">
      <w:pPr>
        <w:rPr>
          <w:rFonts w:cs="Times New Roman"/>
        </w:rPr>
      </w:pPr>
    </w:p>
    <w:p w14:paraId="216FE131" w14:textId="77777777" w:rsidR="00CC798D" w:rsidRPr="00B76053" w:rsidRDefault="00CC798D" w:rsidP="00CC798D">
      <w:pPr>
        <w:rPr>
          <w:rFonts w:cs="Times New Roman"/>
        </w:rPr>
      </w:pPr>
    </w:p>
    <w:p w14:paraId="5C1ED576" w14:textId="77777777" w:rsidR="00CC798D" w:rsidRPr="00B76053" w:rsidRDefault="00CC798D" w:rsidP="00CC798D">
      <w:pPr>
        <w:rPr>
          <w:rFonts w:cs="Times New Roman"/>
        </w:rPr>
      </w:pPr>
    </w:p>
    <w:p w14:paraId="25F006B5" w14:textId="77777777" w:rsidR="00CC798D" w:rsidRPr="00B76053" w:rsidRDefault="00CC798D" w:rsidP="00CC798D">
      <w:pPr>
        <w:rPr>
          <w:rFonts w:cs="Times New Roman"/>
        </w:rPr>
      </w:pPr>
    </w:p>
    <w:p w14:paraId="043E0461" w14:textId="77777777" w:rsidR="001F1AB3" w:rsidRPr="00B76053" w:rsidRDefault="001F1AB3" w:rsidP="001F1AB3">
      <w:pPr>
        <w:jc w:val="center"/>
        <w:rPr>
          <w:rFonts w:cs="Times New Roman"/>
          <w:sz w:val="64"/>
          <w:szCs w:val="64"/>
        </w:rPr>
      </w:pPr>
      <w:r w:rsidRPr="00B76053">
        <w:rPr>
          <w:rFonts w:cs="Times New Roman"/>
          <w:b/>
          <w:sz w:val="64"/>
          <w:szCs w:val="64"/>
        </w:rPr>
        <w:t>THESIS</w:t>
      </w:r>
      <w:r w:rsidR="008B3A19" w:rsidRPr="00B76053">
        <w:rPr>
          <w:rFonts w:cs="Times New Roman"/>
          <w:b/>
          <w:sz w:val="64"/>
          <w:szCs w:val="64"/>
        </w:rPr>
        <w:t xml:space="preserve"> WORK</w:t>
      </w:r>
    </w:p>
    <w:p w14:paraId="5A3AC0AC" w14:textId="77777777" w:rsidR="001F1AB3" w:rsidRPr="00B76053" w:rsidRDefault="001F1AB3">
      <w:pPr>
        <w:jc w:val="center"/>
        <w:rPr>
          <w:rFonts w:cs="Times New Roman"/>
          <w:b/>
          <w:sz w:val="28"/>
        </w:rPr>
      </w:pPr>
    </w:p>
    <w:p w14:paraId="1AFE729C" w14:textId="77777777" w:rsidR="001F1AB3" w:rsidRPr="00B76053" w:rsidRDefault="001F1AB3">
      <w:pPr>
        <w:jc w:val="center"/>
        <w:rPr>
          <w:rFonts w:cs="Times New Roman"/>
          <w:b/>
          <w:sz w:val="28"/>
        </w:rPr>
      </w:pPr>
    </w:p>
    <w:p w14:paraId="2E7F8245" w14:textId="77777777" w:rsidR="001F1AB3" w:rsidRPr="00B76053" w:rsidRDefault="001F1AB3">
      <w:pPr>
        <w:jc w:val="center"/>
        <w:rPr>
          <w:rFonts w:cs="Times New Roman"/>
          <w:b/>
          <w:sz w:val="28"/>
        </w:rPr>
      </w:pPr>
    </w:p>
    <w:p w14:paraId="6CB5625C" w14:textId="77777777" w:rsidR="00CC798D" w:rsidRPr="00B76053" w:rsidRDefault="00CC798D" w:rsidP="005846B7">
      <w:pPr>
        <w:rPr>
          <w:rFonts w:cs="Times New Roman"/>
          <w:b/>
          <w:sz w:val="28"/>
        </w:rPr>
      </w:pPr>
    </w:p>
    <w:p w14:paraId="058B66B3" w14:textId="77777777" w:rsidR="00CC798D" w:rsidRPr="00B76053" w:rsidRDefault="00CC798D" w:rsidP="005846B7">
      <w:pPr>
        <w:rPr>
          <w:rFonts w:cs="Times New Roman"/>
          <w:b/>
          <w:sz w:val="28"/>
        </w:rPr>
      </w:pPr>
    </w:p>
    <w:p w14:paraId="4FEF9D7E" w14:textId="77777777" w:rsidR="00CC798D" w:rsidRPr="00B76053" w:rsidRDefault="00CC798D" w:rsidP="005846B7">
      <w:pPr>
        <w:rPr>
          <w:rFonts w:cs="Times New Roman"/>
          <w:b/>
          <w:sz w:val="28"/>
        </w:rPr>
      </w:pPr>
    </w:p>
    <w:p w14:paraId="3679DB04" w14:textId="77777777" w:rsidR="00CC798D" w:rsidRPr="00B76053" w:rsidRDefault="00CC798D" w:rsidP="005846B7">
      <w:pPr>
        <w:rPr>
          <w:rFonts w:cs="Times New Roman"/>
          <w:b/>
          <w:sz w:val="28"/>
        </w:rPr>
      </w:pPr>
    </w:p>
    <w:p w14:paraId="7BD40609" w14:textId="77777777" w:rsidR="001F1AB3" w:rsidRPr="00B76053" w:rsidRDefault="001F1AB3" w:rsidP="001F1AB3">
      <w:pPr>
        <w:spacing w:after="0"/>
        <w:jc w:val="right"/>
        <w:rPr>
          <w:rFonts w:cs="Times New Roman"/>
          <w:b/>
          <w:sz w:val="40"/>
          <w:szCs w:val="40"/>
        </w:rPr>
      </w:pPr>
      <w:r w:rsidRPr="00B76053">
        <w:rPr>
          <w:rFonts w:cs="Times New Roman"/>
          <w:b/>
          <w:sz w:val="40"/>
          <w:szCs w:val="40"/>
        </w:rPr>
        <w:t>Mukhammad Azim Khadyatullaev</w:t>
      </w:r>
    </w:p>
    <w:p w14:paraId="0FF88274" w14:textId="77777777" w:rsidR="001F1AB3" w:rsidRPr="00B76053" w:rsidRDefault="001F1AB3" w:rsidP="001F1AB3">
      <w:pPr>
        <w:spacing w:after="0"/>
        <w:jc w:val="right"/>
        <w:rPr>
          <w:rFonts w:cs="Times New Roman"/>
          <w:b/>
          <w:sz w:val="40"/>
          <w:szCs w:val="40"/>
        </w:rPr>
      </w:pPr>
      <w:r w:rsidRPr="00B76053">
        <w:rPr>
          <w:rFonts w:cs="Times New Roman"/>
          <w:b/>
          <w:sz w:val="40"/>
          <w:szCs w:val="40"/>
        </w:rPr>
        <w:t>2026</w:t>
      </w:r>
    </w:p>
    <w:p w14:paraId="4BB1674B" w14:textId="77777777" w:rsidR="00101BCC" w:rsidRDefault="00101BCC" w:rsidP="00EF245C">
      <w:pPr>
        <w:spacing w:after="0"/>
        <w:jc w:val="left"/>
        <w:rPr>
          <w:rFonts w:cs="Times New Roman"/>
          <w:sz w:val="32"/>
          <w:szCs w:val="32"/>
        </w:rPr>
      </w:pPr>
    </w:p>
    <w:p w14:paraId="6FD48933" w14:textId="77777777" w:rsidR="00EF245C" w:rsidRPr="00B76053" w:rsidRDefault="00EF245C" w:rsidP="00EF245C">
      <w:pPr>
        <w:spacing w:after="0"/>
        <w:jc w:val="left"/>
        <w:rPr>
          <w:rFonts w:cs="Times New Roman"/>
          <w:sz w:val="32"/>
          <w:szCs w:val="32"/>
        </w:rPr>
      </w:pPr>
      <w:r w:rsidRPr="00B76053">
        <w:rPr>
          <w:rFonts w:cs="Times New Roman"/>
          <w:sz w:val="32"/>
          <w:szCs w:val="32"/>
        </w:rPr>
        <w:lastRenderedPageBreak/>
        <w:t>Corvinus University of Budapest</w:t>
      </w:r>
    </w:p>
    <w:p w14:paraId="47A06B61" w14:textId="77777777" w:rsidR="001F1AB3" w:rsidRPr="00B76053" w:rsidRDefault="00EF245C" w:rsidP="00EF245C">
      <w:pPr>
        <w:spacing w:after="0"/>
        <w:jc w:val="left"/>
        <w:rPr>
          <w:rFonts w:cs="Times New Roman"/>
          <w:b/>
          <w:sz w:val="32"/>
          <w:szCs w:val="32"/>
        </w:rPr>
      </w:pPr>
      <w:r w:rsidRPr="00B76053">
        <w:rPr>
          <w:rFonts w:cs="Times New Roman"/>
          <w:sz w:val="32"/>
          <w:szCs w:val="32"/>
        </w:rPr>
        <w:t>Institute of Data Analytics and Information Systems</w:t>
      </w:r>
    </w:p>
    <w:p w14:paraId="704439D5" w14:textId="77777777" w:rsidR="001F1AB3" w:rsidRPr="00B76053" w:rsidRDefault="001F1AB3" w:rsidP="00506732">
      <w:pPr>
        <w:rPr>
          <w:rFonts w:cs="Times New Roman"/>
          <w:b/>
          <w:sz w:val="28"/>
        </w:rPr>
      </w:pPr>
    </w:p>
    <w:p w14:paraId="046B992B" w14:textId="77777777" w:rsidR="00B148B6" w:rsidRPr="00B76053" w:rsidRDefault="00B148B6">
      <w:pPr>
        <w:jc w:val="center"/>
        <w:rPr>
          <w:rFonts w:cs="Times New Roman"/>
          <w:b/>
          <w:sz w:val="28"/>
        </w:rPr>
      </w:pPr>
    </w:p>
    <w:p w14:paraId="2EDFB29B" w14:textId="77777777" w:rsidR="00B148B6" w:rsidRPr="00B76053" w:rsidRDefault="00B148B6">
      <w:pPr>
        <w:jc w:val="center"/>
        <w:rPr>
          <w:rFonts w:cs="Times New Roman"/>
          <w:b/>
          <w:sz w:val="28"/>
        </w:rPr>
      </w:pPr>
    </w:p>
    <w:p w14:paraId="56D3AFAF" w14:textId="77777777" w:rsidR="005263DF" w:rsidRPr="00B76053" w:rsidRDefault="006A2132" w:rsidP="00D62242">
      <w:pPr>
        <w:spacing w:after="0"/>
        <w:jc w:val="center"/>
        <w:rPr>
          <w:rFonts w:cs="Times New Roman"/>
          <w:b/>
          <w:sz w:val="48"/>
          <w:szCs w:val="48"/>
        </w:rPr>
      </w:pPr>
      <w:r w:rsidRPr="00B76053">
        <w:rPr>
          <w:rFonts w:cs="Times New Roman"/>
          <w:b/>
          <w:sz w:val="48"/>
          <w:szCs w:val="48"/>
        </w:rPr>
        <w:t>Business Value of Voice LLM Agents</w:t>
      </w:r>
      <w:r w:rsidR="005263DF" w:rsidRPr="00B76053">
        <w:rPr>
          <w:rFonts w:cs="Times New Roman"/>
          <w:b/>
          <w:sz w:val="48"/>
          <w:szCs w:val="48"/>
        </w:rPr>
        <w:t xml:space="preserve"> </w:t>
      </w:r>
      <w:r w:rsidRPr="00B76053">
        <w:rPr>
          <w:rFonts w:cs="Times New Roman"/>
          <w:b/>
          <w:sz w:val="48"/>
          <w:szCs w:val="48"/>
        </w:rPr>
        <w:t>in Financial Services</w:t>
      </w:r>
      <w:r w:rsidR="00043DC8" w:rsidRPr="00B76053">
        <w:rPr>
          <w:rFonts w:cs="Times New Roman"/>
          <w:b/>
          <w:sz w:val="48"/>
          <w:szCs w:val="48"/>
        </w:rPr>
        <w:t>:</w:t>
      </w:r>
    </w:p>
    <w:p w14:paraId="1207C271" w14:textId="77777777" w:rsidR="00A222D3" w:rsidRPr="00B76053" w:rsidRDefault="006A2132" w:rsidP="00D62242">
      <w:pPr>
        <w:spacing w:after="0"/>
        <w:jc w:val="center"/>
        <w:rPr>
          <w:rFonts w:cs="Times New Roman"/>
          <w:b/>
          <w:sz w:val="48"/>
          <w:szCs w:val="48"/>
        </w:rPr>
      </w:pPr>
      <w:r w:rsidRPr="00B76053">
        <w:rPr>
          <w:rFonts w:cs="Times New Roman"/>
          <w:b/>
          <w:sz w:val="48"/>
          <w:szCs w:val="48"/>
        </w:rPr>
        <w:t>Evidence from Better.com</w:t>
      </w:r>
    </w:p>
    <w:p w14:paraId="4EBB11D0" w14:textId="77777777" w:rsidR="007F167A" w:rsidRPr="00B76053" w:rsidRDefault="007F167A">
      <w:pPr>
        <w:jc w:val="center"/>
        <w:rPr>
          <w:rFonts w:cs="Times New Roman"/>
        </w:rPr>
      </w:pPr>
    </w:p>
    <w:p w14:paraId="79A72B35" w14:textId="77777777" w:rsidR="008C5F3F" w:rsidRPr="00B76053" w:rsidRDefault="008C5F3F">
      <w:pPr>
        <w:jc w:val="center"/>
        <w:rPr>
          <w:rFonts w:cs="Times New Roman"/>
        </w:rPr>
      </w:pPr>
    </w:p>
    <w:p w14:paraId="1D317782" w14:textId="77777777" w:rsidR="008C5F3F" w:rsidRPr="00B76053" w:rsidRDefault="008C5F3F">
      <w:pPr>
        <w:jc w:val="center"/>
        <w:rPr>
          <w:rFonts w:cs="Times New Roman"/>
        </w:rPr>
      </w:pPr>
    </w:p>
    <w:p w14:paraId="0DC27565" w14:textId="77777777" w:rsidR="008C5F3F" w:rsidRPr="00B76053" w:rsidRDefault="008C5F3F">
      <w:pPr>
        <w:jc w:val="center"/>
        <w:rPr>
          <w:rFonts w:cs="Times New Roman"/>
        </w:rPr>
      </w:pPr>
    </w:p>
    <w:p w14:paraId="781E5BE2" w14:textId="77777777" w:rsidR="008C5F3F" w:rsidRPr="00B76053" w:rsidRDefault="008C5F3F">
      <w:pPr>
        <w:jc w:val="center"/>
        <w:rPr>
          <w:rFonts w:cs="Times New Roman"/>
        </w:rPr>
      </w:pPr>
    </w:p>
    <w:p w14:paraId="3FB7F625" w14:textId="5A381A61" w:rsidR="008C5F3F" w:rsidRDefault="008C5F3F">
      <w:pPr>
        <w:jc w:val="center"/>
        <w:rPr>
          <w:rFonts w:cs="Times New Roman"/>
        </w:rPr>
      </w:pPr>
    </w:p>
    <w:p w14:paraId="3558D7C7" w14:textId="77777777" w:rsidR="00E02D27" w:rsidRPr="00B76053" w:rsidRDefault="00E02D27">
      <w:pPr>
        <w:jc w:val="center"/>
        <w:rPr>
          <w:rFonts w:cs="Times New Roman"/>
        </w:rPr>
      </w:pPr>
    </w:p>
    <w:p w14:paraId="0F6ACBD3" w14:textId="77777777" w:rsidR="008C5F3F" w:rsidRPr="00B76053" w:rsidRDefault="008C5F3F">
      <w:pPr>
        <w:jc w:val="center"/>
        <w:rPr>
          <w:rFonts w:cs="Times New Roman"/>
        </w:rPr>
      </w:pPr>
    </w:p>
    <w:p w14:paraId="0F1A2417" w14:textId="77777777" w:rsidR="00A222D3" w:rsidRPr="00B76053" w:rsidRDefault="006A2132" w:rsidP="008C5F3F">
      <w:pPr>
        <w:spacing w:after="0"/>
        <w:jc w:val="right"/>
        <w:rPr>
          <w:rFonts w:cs="Times New Roman"/>
          <w:bCs/>
          <w:sz w:val="32"/>
          <w:szCs w:val="32"/>
        </w:rPr>
      </w:pPr>
      <w:r w:rsidRPr="00B76053">
        <w:rPr>
          <w:rFonts w:cs="Times New Roman"/>
          <w:bCs/>
          <w:sz w:val="32"/>
          <w:szCs w:val="32"/>
        </w:rPr>
        <w:t>Mukhammad Azim Khadyatullaev</w:t>
      </w:r>
    </w:p>
    <w:p w14:paraId="78E72FF0" w14:textId="77777777" w:rsidR="008C5F3F" w:rsidRPr="00B76053" w:rsidRDefault="005E13DB" w:rsidP="008C5F3F">
      <w:pPr>
        <w:spacing w:after="0"/>
        <w:jc w:val="right"/>
        <w:rPr>
          <w:rFonts w:cs="Times New Roman"/>
          <w:bCs/>
          <w:sz w:val="32"/>
          <w:szCs w:val="32"/>
        </w:rPr>
      </w:pPr>
      <w:r w:rsidRPr="00B76053">
        <w:rPr>
          <w:rFonts w:cs="Times New Roman"/>
          <w:bCs/>
          <w:sz w:val="32"/>
          <w:szCs w:val="32"/>
        </w:rPr>
        <w:t>Business Informatics MSc Programme</w:t>
      </w:r>
    </w:p>
    <w:p w14:paraId="5827031F" w14:textId="77777777" w:rsidR="008C5F3F" w:rsidRPr="00B76053" w:rsidRDefault="008C5F3F" w:rsidP="008C5F3F">
      <w:pPr>
        <w:spacing w:after="0"/>
        <w:jc w:val="right"/>
        <w:rPr>
          <w:rFonts w:cs="Times New Roman"/>
          <w:bCs/>
          <w:sz w:val="32"/>
          <w:szCs w:val="32"/>
        </w:rPr>
      </w:pPr>
      <w:r w:rsidRPr="00B76053">
        <w:rPr>
          <w:rFonts w:cs="Times New Roman"/>
          <w:bCs/>
          <w:sz w:val="32"/>
          <w:szCs w:val="32"/>
        </w:rPr>
        <w:t>2026</w:t>
      </w:r>
    </w:p>
    <w:p w14:paraId="392A8C23" w14:textId="2C5AAD49" w:rsidR="00967CE9" w:rsidRPr="00E02D27" w:rsidRDefault="005E13DB" w:rsidP="00E02D27">
      <w:pPr>
        <w:spacing w:after="0"/>
        <w:jc w:val="right"/>
        <w:rPr>
          <w:rFonts w:cs="Times New Roman"/>
          <w:bCs/>
          <w:sz w:val="28"/>
          <w:szCs w:val="28"/>
        </w:rPr>
      </w:pPr>
      <w:r w:rsidRPr="00B76053">
        <w:rPr>
          <w:rFonts w:cs="Times New Roman"/>
          <w:bCs/>
          <w:sz w:val="32"/>
          <w:szCs w:val="32"/>
        </w:rPr>
        <w:t xml:space="preserve">Thesis Supervisor: </w:t>
      </w:r>
      <w:r w:rsidR="003A0DB7" w:rsidRPr="003A0DB7">
        <w:rPr>
          <w:rFonts w:cs="Times New Roman"/>
          <w:bCs/>
          <w:sz w:val="32"/>
          <w:szCs w:val="32"/>
        </w:rPr>
        <w:t>Mike Nimród</w:t>
      </w:r>
    </w:p>
    <w:p w14:paraId="2F8ECBB2" w14:textId="79FB4F9F" w:rsidR="00D004B7" w:rsidRPr="00967CE9" w:rsidRDefault="00E02397" w:rsidP="00967CE9">
      <w:pPr>
        <w:jc w:val="center"/>
        <w:rPr>
          <w:b/>
          <w:bCs/>
          <w:sz w:val="32"/>
          <w:szCs w:val="32"/>
        </w:rPr>
      </w:pPr>
      <w:r w:rsidRPr="00967CE9">
        <w:rPr>
          <w:b/>
          <w:bCs/>
          <w:sz w:val="32"/>
          <w:szCs w:val="32"/>
        </w:rPr>
        <w:lastRenderedPageBreak/>
        <w:t>Acknowledgements</w:t>
      </w:r>
    </w:p>
    <w:p w14:paraId="14292C55" w14:textId="636243A1" w:rsidR="00D004B7" w:rsidRDefault="00E02397">
      <w:r>
        <w:t xml:space="preserve">I would like to thank my supervisor, </w:t>
      </w:r>
      <w:r w:rsidR="00101BCC">
        <w:t xml:space="preserve">Professor </w:t>
      </w:r>
      <w:r>
        <w:t>Mike Nimrod, for his guidance, critical questions, and patience throughout the development of this thesis. I also thank the faculty of the Business Informatics MSc programme at the Institute of Data Analytics and Information Systems, Corvinus University of Budapest, for the academic foundation that made this work possible. I am grateful to my family and friends for their support during the research and writing process.</w:t>
      </w:r>
    </w:p>
    <w:p w14:paraId="0A9662FE" w14:textId="3A5F1FAE" w:rsidR="00D004B7" w:rsidRDefault="00E02397">
      <w:r>
        <w:t>I chose this topic because the deployment of voice-based Large Language Model agents in regulated financial workflows seemed to me an early but consequential case of generative AI moving from laboratory benchmarks to live, audited business operations. As a Business Informatics student, I wanted to study a single deployment carefully enough to say something concrete about the architectural and organisational conditions under which voice AI begins to generate observable business value</w:t>
      </w:r>
      <w:r w:rsidR="00853401">
        <w:t xml:space="preserve">, </w:t>
      </w:r>
      <w:r>
        <w:t>and to do so on the basis of public, auditable evidence rather than vendor claims. The Better.com case offered the rare combination of a publicly listed digital-first lender, a documented voice-AI launch, and pre- and post-deployment audited disclosures that made such an analysis tractable.</w:t>
      </w:r>
    </w:p>
    <w:p w14:paraId="6EF9A968" w14:textId="49D1B0CA" w:rsidR="00D004B7" w:rsidRDefault="00D004B7"/>
    <w:p w14:paraId="0C7824E1" w14:textId="782B8A00" w:rsidR="00041D22" w:rsidRDefault="00041D22"/>
    <w:p w14:paraId="395A2008" w14:textId="518B9A76" w:rsidR="00041D22" w:rsidRDefault="00041D22"/>
    <w:p w14:paraId="73B18C9C" w14:textId="7D6C4483" w:rsidR="00041D22" w:rsidRDefault="00041D22"/>
    <w:p w14:paraId="3D8D61EE" w14:textId="73F2C98A" w:rsidR="00041D22" w:rsidRDefault="00041D22"/>
    <w:p w14:paraId="442AAA6B" w14:textId="33D8AB4E" w:rsidR="00041D22" w:rsidRDefault="00041D22"/>
    <w:p w14:paraId="1A30A069" w14:textId="5686A426" w:rsidR="00041D22" w:rsidRDefault="00041D22"/>
    <w:p w14:paraId="06543501" w14:textId="678209C1" w:rsidR="00041D22" w:rsidRDefault="00041D22"/>
    <w:p w14:paraId="02BD1945" w14:textId="2B7F0B9D" w:rsidR="00041D22" w:rsidRDefault="00041D22"/>
    <w:p w14:paraId="43ED4B92" w14:textId="77777777" w:rsidR="00041D22" w:rsidRDefault="00041D22"/>
    <w:p w14:paraId="7AE4F36A" w14:textId="77777777" w:rsidR="00A222D3" w:rsidRPr="00B76053" w:rsidRDefault="006A2132" w:rsidP="009658E8">
      <w:pPr>
        <w:jc w:val="center"/>
        <w:rPr>
          <w:rFonts w:cs="Times New Roman"/>
          <w:b/>
          <w:bCs/>
          <w:sz w:val="32"/>
          <w:szCs w:val="32"/>
        </w:rPr>
      </w:pPr>
      <w:r w:rsidRPr="00B76053">
        <w:rPr>
          <w:rFonts w:cs="Times New Roman"/>
          <w:b/>
          <w:bCs/>
          <w:sz w:val="32"/>
          <w:szCs w:val="32"/>
        </w:rPr>
        <w:lastRenderedPageBreak/>
        <w:t>Abstract</w:t>
      </w:r>
    </w:p>
    <w:p w14:paraId="3C5B146E" w14:textId="77777777" w:rsidR="00A222D3" w:rsidRPr="00B76053" w:rsidRDefault="006A2132">
      <w:pPr>
        <w:spacing w:after="120"/>
        <w:rPr>
          <w:rFonts w:cs="Times New Roman"/>
        </w:rPr>
      </w:pPr>
      <w:r w:rsidRPr="00B76053">
        <w:rPr>
          <w:rFonts w:cs="Times New Roman"/>
        </w:rPr>
        <w:t>This thesis examines the business value of voice-based Large Language Model (LLM) agents in regulated financial services through a single, revelatory case study of Better.com's 2024 deployment of Betsy, a voice-AI loan assistant built with ElevenLabs voice infrastructure on Better's proprietary Tinman platform. The research addresses two gaps in the existing literature: a disciplinary gap, in which voice-AI evaluation remains concentrated in computer-science and human-computer-interaction venues rather than in management research; and an empirical gap, in which the business-value implications of voice LLM agents in regulated financial workflows remain under-documented despite rapid commercial adoption.</w:t>
      </w:r>
    </w:p>
    <w:p w14:paraId="0D2BA199" w14:textId="77777777" w:rsidR="00A222D3" w:rsidRPr="00B76053" w:rsidRDefault="006A2132">
      <w:pPr>
        <w:spacing w:after="120"/>
        <w:rPr>
          <w:rFonts w:cs="Times New Roman"/>
        </w:rPr>
      </w:pPr>
      <w:r w:rsidRPr="00B76053">
        <w:rPr>
          <w:rFonts w:cs="Times New Roman"/>
        </w:rPr>
        <w:t>The study adopts a convergent-parallel mixed-methods design. Audited annual financial statements anchor a descriptive operational-leverage analysis: Better Home &amp; Finance Holding Company for fiscal years 2021–2025 and Rocket Companies for fiscal years 2018–2025. An independent NLP pipeline applied to a cleaned corpus of 1,915 Trustpilot reviews (1,746 pre-Betsy; 169 post-Betsy) provides customer-discourse evidence through VADER sentiment, Welch's t-tests, BERTopic topic modelling, and Bonferroni-corrected keyword-prevalence analysis. Qualitative process tracing reconstructs the integration mechanism from SEC filings, vendor materials, and industry sources, classified under a four-tier source-reliability hierarchy.</w:t>
      </w:r>
    </w:p>
    <w:p w14:paraId="5DE311B1" w14:textId="77777777" w:rsidR="00A222D3" w:rsidRPr="00B76053" w:rsidRDefault="006A2132">
      <w:pPr>
        <w:spacing w:after="120"/>
        <w:rPr>
          <w:rFonts w:cs="Times New Roman"/>
        </w:rPr>
      </w:pPr>
      <w:r w:rsidRPr="00B76053">
        <w:rPr>
          <w:rFonts w:cs="Times New Roman"/>
        </w:rPr>
        <w:t>The triangulated findings are consistent with AI-enabled operational leverage on the financial-operational dimension (expense ratio improving from 4.79 in 2023 to 2.01 in 2025; revenue per employee recovering from $0.094M to $0.124M; net losses narrowing from −$536.4M to −$165.9M), while customer-experience evidence is mixed: management-reported NPS rises from 39 to 64 over the same window, yet independent Trustpilot star ratings decline from 4.28 to 3.86 (p = 0.0019) and VADER sentiment declines from 0.64 to 0.52 (p = 0.0057). Explicit AI attribution in customer discourse remains near 1.15% pre-Betsy and 1.18% post-Betsy, consistent with voice AI operating as invisible infrastructure. The findings are descriptive and associative, not causal: the single-case design cannot isolate Betsy's specific contribution from concurrent macroeconomic recovery, post-IPO restructuring, and Tinman-platform maturation.</w:t>
      </w:r>
    </w:p>
    <w:p w14:paraId="6B2AAC75" w14:textId="77777777" w:rsidR="00A222D3" w:rsidRPr="00B76053" w:rsidRDefault="006A2132">
      <w:pPr>
        <w:spacing w:after="120"/>
        <w:rPr>
          <w:rFonts w:cs="Times New Roman"/>
        </w:rPr>
      </w:pPr>
      <w:r w:rsidRPr="00B76053">
        <w:rPr>
          <w:rFonts w:cs="Times New Roman"/>
        </w:rPr>
        <w:t xml:space="preserve">The thesis contributes empirically by triangulating audited financial, independent customer-discourse, and qualitative integration-architecture evidence on a single regulated voice-AI </w:t>
      </w:r>
      <w:r w:rsidRPr="00B76053">
        <w:rPr>
          <w:rFonts w:cs="Times New Roman"/>
        </w:rPr>
        <w:lastRenderedPageBreak/>
        <w:t>deployment; methodologically by combining a four-tier source-reliability hierarchy with mixed-methods triangulation that accommodates divergent customer-experience signals; and practically by formalising a four-prerequisite design pattern — a process-aware operating platform, a coordination-layer agent scope, low-latency voice infrastructure, and an auditable human-AI escalation model — for voice LLM agents in regulated, communication-intensive financial workflows.</w:t>
      </w:r>
    </w:p>
    <w:p w14:paraId="5F26F9B1" w14:textId="77777777" w:rsidR="00F70D72" w:rsidRPr="00B76053" w:rsidRDefault="006A2132" w:rsidP="00F70D72">
      <w:pPr>
        <w:spacing w:after="120"/>
        <w:rPr>
          <w:rFonts w:cs="Times New Roman"/>
        </w:rPr>
      </w:pPr>
      <w:r w:rsidRPr="00B76053">
        <w:rPr>
          <w:rFonts w:cs="Times New Roman"/>
        </w:rPr>
        <w:t>Keywords: voice AI, Large Language Models, conversational agents, financial services, mortgage origination, business value, operational leverage, Better.com, Betsy, design pattern, mixed methods, NLP, BERTopic, case study.</w:t>
      </w:r>
    </w:p>
    <w:p w14:paraId="7545D86F" w14:textId="77777777" w:rsidR="00F70D72" w:rsidRPr="00B76053" w:rsidRDefault="00F70D72" w:rsidP="00F70D72">
      <w:pPr>
        <w:spacing w:after="120"/>
        <w:rPr>
          <w:rFonts w:cs="Times New Roman"/>
        </w:rPr>
      </w:pPr>
    </w:p>
    <w:p w14:paraId="138D1210" w14:textId="77777777" w:rsidR="00F70D72" w:rsidRPr="00B76053" w:rsidRDefault="00F70D72" w:rsidP="00F70D72">
      <w:pPr>
        <w:spacing w:after="120"/>
        <w:rPr>
          <w:rFonts w:cs="Times New Roman"/>
        </w:rPr>
      </w:pPr>
    </w:p>
    <w:p w14:paraId="25FAAD7B" w14:textId="77777777" w:rsidR="00F70D72" w:rsidRPr="00B76053" w:rsidRDefault="00F70D72" w:rsidP="00F70D72">
      <w:pPr>
        <w:spacing w:after="120"/>
        <w:rPr>
          <w:rFonts w:cs="Times New Roman"/>
        </w:rPr>
      </w:pPr>
    </w:p>
    <w:p w14:paraId="1CDE0DF8" w14:textId="77777777" w:rsidR="00F70D72" w:rsidRPr="00B76053" w:rsidRDefault="00F70D72" w:rsidP="00F70D72">
      <w:pPr>
        <w:spacing w:after="120"/>
        <w:rPr>
          <w:rFonts w:cs="Times New Roman"/>
        </w:rPr>
      </w:pPr>
    </w:p>
    <w:p w14:paraId="0DCAA51C" w14:textId="77777777" w:rsidR="00F70D72" w:rsidRPr="00B76053" w:rsidRDefault="00F70D72" w:rsidP="00F70D72">
      <w:pPr>
        <w:spacing w:after="120"/>
        <w:rPr>
          <w:rFonts w:cs="Times New Roman"/>
        </w:rPr>
      </w:pPr>
    </w:p>
    <w:p w14:paraId="322CD79F" w14:textId="77777777" w:rsidR="00F70D72" w:rsidRPr="00B76053" w:rsidRDefault="00F70D72" w:rsidP="00F70D72">
      <w:pPr>
        <w:spacing w:after="120"/>
        <w:rPr>
          <w:rFonts w:cs="Times New Roman"/>
        </w:rPr>
      </w:pPr>
    </w:p>
    <w:p w14:paraId="7D58CE4B" w14:textId="77777777" w:rsidR="00F70D72" w:rsidRPr="00B76053" w:rsidRDefault="00F70D72" w:rsidP="00F70D72">
      <w:pPr>
        <w:spacing w:after="120"/>
        <w:rPr>
          <w:rFonts w:cs="Times New Roman"/>
        </w:rPr>
      </w:pPr>
    </w:p>
    <w:p w14:paraId="52EF03CA" w14:textId="77777777" w:rsidR="00F70D72" w:rsidRPr="00B76053" w:rsidRDefault="00F70D72" w:rsidP="00F70D72">
      <w:pPr>
        <w:spacing w:after="120"/>
        <w:rPr>
          <w:rFonts w:cs="Times New Roman"/>
        </w:rPr>
      </w:pPr>
    </w:p>
    <w:p w14:paraId="36712FA1" w14:textId="77777777" w:rsidR="00F70D72" w:rsidRPr="00B76053" w:rsidRDefault="00F70D72" w:rsidP="00F70D72">
      <w:pPr>
        <w:spacing w:after="120"/>
        <w:rPr>
          <w:rFonts w:cs="Times New Roman"/>
        </w:rPr>
      </w:pPr>
    </w:p>
    <w:p w14:paraId="2F3D05C3" w14:textId="77777777" w:rsidR="00F70D72" w:rsidRPr="00B76053" w:rsidRDefault="00F70D72" w:rsidP="00F70D72">
      <w:pPr>
        <w:spacing w:after="120"/>
        <w:rPr>
          <w:rFonts w:cs="Times New Roman"/>
        </w:rPr>
      </w:pPr>
    </w:p>
    <w:p w14:paraId="5312CE40" w14:textId="77777777" w:rsidR="00F70D72" w:rsidRPr="00B76053" w:rsidRDefault="00F70D72" w:rsidP="00F70D72">
      <w:pPr>
        <w:spacing w:after="120"/>
        <w:rPr>
          <w:rFonts w:cs="Times New Roman"/>
        </w:rPr>
      </w:pPr>
    </w:p>
    <w:p w14:paraId="137F40DF" w14:textId="77777777" w:rsidR="00F70D72" w:rsidRPr="00B76053" w:rsidRDefault="00F70D72" w:rsidP="00F70D72">
      <w:pPr>
        <w:spacing w:after="120"/>
        <w:rPr>
          <w:rFonts w:cs="Times New Roman"/>
        </w:rPr>
      </w:pPr>
    </w:p>
    <w:p w14:paraId="13E879C4" w14:textId="77777777" w:rsidR="00F70D72" w:rsidRPr="00B76053" w:rsidRDefault="00F70D72" w:rsidP="00F70D72">
      <w:pPr>
        <w:spacing w:after="120"/>
        <w:rPr>
          <w:rFonts w:cs="Times New Roman"/>
        </w:rPr>
      </w:pPr>
    </w:p>
    <w:p w14:paraId="58940402" w14:textId="77777777" w:rsidR="00F70D72" w:rsidRPr="00B76053" w:rsidRDefault="00F70D72" w:rsidP="00F70D72">
      <w:pPr>
        <w:spacing w:after="120"/>
        <w:rPr>
          <w:rFonts w:cs="Times New Roman"/>
        </w:rPr>
      </w:pPr>
    </w:p>
    <w:p w14:paraId="416A9638" w14:textId="77777777" w:rsidR="00F70D72" w:rsidRPr="00B76053" w:rsidRDefault="00F70D72" w:rsidP="00F70D72">
      <w:pPr>
        <w:spacing w:after="120"/>
        <w:rPr>
          <w:rFonts w:cs="Times New Roman"/>
        </w:rPr>
      </w:pPr>
    </w:p>
    <w:sdt>
      <w:sdtPr>
        <w:rPr>
          <w:rFonts w:eastAsiaTheme="minorEastAsia" w:cs="Times New Roman"/>
          <w:b w:val="0"/>
          <w:bCs w:val="0"/>
          <w:sz w:val="24"/>
          <w:szCs w:val="22"/>
        </w:rPr>
        <w:id w:val="-245416176"/>
        <w:docPartObj>
          <w:docPartGallery w:val="Table of Contents"/>
          <w:docPartUnique/>
        </w:docPartObj>
      </w:sdtPr>
      <w:sdtEndPr>
        <w:rPr>
          <w:noProof/>
        </w:rPr>
      </w:sdtEndPr>
      <w:sdtContent>
        <w:p w14:paraId="3111C5DA" w14:textId="77777777" w:rsidR="00F70D72" w:rsidRPr="00B76053" w:rsidRDefault="00F70D72" w:rsidP="00FE6BDF">
          <w:pPr>
            <w:pStyle w:val="TOCHeading"/>
            <w:jc w:val="center"/>
            <w:rPr>
              <w:rFonts w:cs="Times New Roman"/>
            </w:rPr>
          </w:pPr>
          <w:r w:rsidRPr="00B76053">
            <w:rPr>
              <w:rFonts w:cs="Times New Roman"/>
            </w:rPr>
            <w:t>Table of Contents</w:t>
          </w:r>
        </w:p>
        <w:p w14:paraId="4C63CB1E" w14:textId="7BD5E839" w:rsidR="004558FA" w:rsidRDefault="00F70D72">
          <w:pPr>
            <w:pStyle w:val="TOC1"/>
            <w:tabs>
              <w:tab w:val="right" w:leader="dot" w:pos="9350"/>
            </w:tabs>
            <w:rPr>
              <w:rFonts w:asciiTheme="minorHAnsi" w:hAnsiTheme="minorHAnsi"/>
              <w:noProof/>
              <w:color w:val="auto"/>
              <w:sz w:val="22"/>
              <w:lang w:val="ru-RU" w:eastAsia="ru-RU"/>
            </w:rPr>
          </w:pPr>
          <w:r w:rsidRPr="00B76053">
            <w:rPr>
              <w:rFonts w:cs="Times New Roman"/>
            </w:rPr>
            <w:fldChar w:fldCharType="begin"/>
          </w:r>
          <w:r w:rsidRPr="00B76053">
            <w:rPr>
              <w:rFonts w:cs="Times New Roman"/>
            </w:rPr>
            <w:instrText xml:space="preserve"> TOC \o "1-3" \h \z \u </w:instrText>
          </w:r>
          <w:r w:rsidRPr="00B76053">
            <w:rPr>
              <w:rFonts w:cs="Times New Roman"/>
            </w:rPr>
            <w:fldChar w:fldCharType="separate"/>
          </w:r>
          <w:hyperlink w:anchor="_Toc229755267" w:history="1">
            <w:r w:rsidR="004558FA" w:rsidRPr="001F246B">
              <w:rPr>
                <w:rStyle w:val="Hyperlink"/>
                <w:rFonts w:cs="Times New Roman"/>
                <w:noProof/>
              </w:rPr>
              <w:t>1. Introduction</w:t>
            </w:r>
            <w:r w:rsidR="004558FA">
              <w:rPr>
                <w:noProof/>
                <w:webHidden/>
              </w:rPr>
              <w:tab/>
            </w:r>
            <w:r w:rsidR="004558FA">
              <w:rPr>
                <w:noProof/>
                <w:webHidden/>
              </w:rPr>
              <w:fldChar w:fldCharType="begin"/>
            </w:r>
            <w:r w:rsidR="004558FA">
              <w:rPr>
                <w:noProof/>
                <w:webHidden/>
              </w:rPr>
              <w:instrText xml:space="preserve"> PAGEREF _Toc229755267 \h </w:instrText>
            </w:r>
            <w:r w:rsidR="004558FA">
              <w:rPr>
                <w:noProof/>
                <w:webHidden/>
              </w:rPr>
            </w:r>
            <w:r w:rsidR="004558FA">
              <w:rPr>
                <w:noProof/>
                <w:webHidden/>
              </w:rPr>
              <w:fldChar w:fldCharType="separate"/>
            </w:r>
            <w:r w:rsidR="004558FA">
              <w:rPr>
                <w:noProof/>
                <w:webHidden/>
              </w:rPr>
              <w:t>14</w:t>
            </w:r>
            <w:r w:rsidR="004558FA">
              <w:rPr>
                <w:noProof/>
                <w:webHidden/>
              </w:rPr>
              <w:fldChar w:fldCharType="end"/>
            </w:r>
          </w:hyperlink>
        </w:p>
        <w:p w14:paraId="2B742C1F" w14:textId="7787C8D4" w:rsidR="004558FA" w:rsidRDefault="004558FA">
          <w:pPr>
            <w:pStyle w:val="TOC2"/>
            <w:tabs>
              <w:tab w:val="right" w:leader="dot" w:pos="9350"/>
            </w:tabs>
            <w:rPr>
              <w:rFonts w:asciiTheme="minorHAnsi" w:hAnsiTheme="minorHAnsi"/>
              <w:noProof/>
              <w:color w:val="auto"/>
              <w:sz w:val="22"/>
              <w:lang w:val="ru-RU" w:eastAsia="ru-RU"/>
            </w:rPr>
          </w:pPr>
          <w:hyperlink w:anchor="_Toc229755268" w:history="1">
            <w:r w:rsidRPr="001F246B">
              <w:rPr>
                <w:rStyle w:val="Hyperlink"/>
                <w:rFonts w:cs="Times New Roman"/>
                <w:noProof/>
              </w:rPr>
              <w:t>1.1 From Automation to Intelligent Customer Engagement</w:t>
            </w:r>
            <w:r>
              <w:rPr>
                <w:noProof/>
                <w:webHidden/>
              </w:rPr>
              <w:tab/>
            </w:r>
            <w:r>
              <w:rPr>
                <w:noProof/>
                <w:webHidden/>
              </w:rPr>
              <w:fldChar w:fldCharType="begin"/>
            </w:r>
            <w:r>
              <w:rPr>
                <w:noProof/>
                <w:webHidden/>
              </w:rPr>
              <w:instrText xml:space="preserve"> PAGEREF _Toc229755268 \h </w:instrText>
            </w:r>
            <w:r>
              <w:rPr>
                <w:noProof/>
                <w:webHidden/>
              </w:rPr>
            </w:r>
            <w:r>
              <w:rPr>
                <w:noProof/>
                <w:webHidden/>
              </w:rPr>
              <w:fldChar w:fldCharType="separate"/>
            </w:r>
            <w:r>
              <w:rPr>
                <w:noProof/>
                <w:webHidden/>
              </w:rPr>
              <w:t>14</w:t>
            </w:r>
            <w:r>
              <w:rPr>
                <w:noProof/>
                <w:webHidden/>
              </w:rPr>
              <w:fldChar w:fldCharType="end"/>
            </w:r>
          </w:hyperlink>
        </w:p>
        <w:p w14:paraId="22CD5C28" w14:textId="4FAC58D3" w:rsidR="004558FA" w:rsidRDefault="004558FA">
          <w:pPr>
            <w:pStyle w:val="TOC2"/>
            <w:tabs>
              <w:tab w:val="right" w:leader="dot" w:pos="9350"/>
            </w:tabs>
            <w:rPr>
              <w:rFonts w:asciiTheme="minorHAnsi" w:hAnsiTheme="minorHAnsi"/>
              <w:noProof/>
              <w:color w:val="auto"/>
              <w:sz w:val="22"/>
              <w:lang w:val="ru-RU" w:eastAsia="ru-RU"/>
            </w:rPr>
          </w:pPr>
          <w:hyperlink w:anchor="_Toc229755269" w:history="1">
            <w:r w:rsidRPr="001F246B">
              <w:rPr>
                <w:rStyle w:val="Hyperlink"/>
                <w:rFonts w:cs="Times New Roman"/>
                <w:noProof/>
              </w:rPr>
              <w:t>1.2 The Financial Services Context</w:t>
            </w:r>
            <w:r>
              <w:rPr>
                <w:noProof/>
                <w:webHidden/>
              </w:rPr>
              <w:tab/>
            </w:r>
            <w:r>
              <w:rPr>
                <w:noProof/>
                <w:webHidden/>
              </w:rPr>
              <w:fldChar w:fldCharType="begin"/>
            </w:r>
            <w:r>
              <w:rPr>
                <w:noProof/>
                <w:webHidden/>
              </w:rPr>
              <w:instrText xml:space="preserve"> PAGEREF _Toc229755269 \h </w:instrText>
            </w:r>
            <w:r>
              <w:rPr>
                <w:noProof/>
                <w:webHidden/>
              </w:rPr>
            </w:r>
            <w:r>
              <w:rPr>
                <w:noProof/>
                <w:webHidden/>
              </w:rPr>
              <w:fldChar w:fldCharType="separate"/>
            </w:r>
            <w:r>
              <w:rPr>
                <w:noProof/>
                <w:webHidden/>
              </w:rPr>
              <w:t>14</w:t>
            </w:r>
            <w:r>
              <w:rPr>
                <w:noProof/>
                <w:webHidden/>
              </w:rPr>
              <w:fldChar w:fldCharType="end"/>
            </w:r>
          </w:hyperlink>
        </w:p>
        <w:p w14:paraId="3B553B88" w14:textId="101D69A4" w:rsidR="004558FA" w:rsidRDefault="004558FA">
          <w:pPr>
            <w:pStyle w:val="TOC2"/>
            <w:tabs>
              <w:tab w:val="right" w:leader="dot" w:pos="9350"/>
            </w:tabs>
            <w:rPr>
              <w:rFonts w:asciiTheme="minorHAnsi" w:hAnsiTheme="minorHAnsi"/>
              <w:noProof/>
              <w:color w:val="auto"/>
              <w:sz w:val="22"/>
              <w:lang w:val="ru-RU" w:eastAsia="ru-RU"/>
            </w:rPr>
          </w:pPr>
          <w:hyperlink w:anchor="_Toc229755270" w:history="1">
            <w:r w:rsidRPr="001F246B">
              <w:rPr>
                <w:rStyle w:val="Hyperlink"/>
                <w:rFonts w:cs="Times New Roman"/>
                <w:noProof/>
              </w:rPr>
              <w:t>1.3 The Emergence of Voice AI and LLM Agents</w:t>
            </w:r>
            <w:r>
              <w:rPr>
                <w:noProof/>
                <w:webHidden/>
              </w:rPr>
              <w:tab/>
            </w:r>
            <w:r>
              <w:rPr>
                <w:noProof/>
                <w:webHidden/>
              </w:rPr>
              <w:fldChar w:fldCharType="begin"/>
            </w:r>
            <w:r>
              <w:rPr>
                <w:noProof/>
                <w:webHidden/>
              </w:rPr>
              <w:instrText xml:space="preserve"> PAGEREF _Toc229755270 \h </w:instrText>
            </w:r>
            <w:r>
              <w:rPr>
                <w:noProof/>
                <w:webHidden/>
              </w:rPr>
            </w:r>
            <w:r>
              <w:rPr>
                <w:noProof/>
                <w:webHidden/>
              </w:rPr>
              <w:fldChar w:fldCharType="separate"/>
            </w:r>
            <w:r>
              <w:rPr>
                <w:noProof/>
                <w:webHidden/>
              </w:rPr>
              <w:t>14</w:t>
            </w:r>
            <w:r>
              <w:rPr>
                <w:noProof/>
                <w:webHidden/>
              </w:rPr>
              <w:fldChar w:fldCharType="end"/>
            </w:r>
          </w:hyperlink>
        </w:p>
        <w:p w14:paraId="4FD99172" w14:textId="6924F087" w:rsidR="004558FA" w:rsidRDefault="004558FA">
          <w:pPr>
            <w:pStyle w:val="TOC2"/>
            <w:tabs>
              <w:tab w:val="right" w:leader="dot" w:pos="9350"/>
            </w:tabs>
            <w:rPr>
              <w:rFonts w:asciiTheme="minorHAnsi" w:hAnsiTheme="minorHAnsi"/>
              <w:noProof/>
              <w:color w:val="auto"/>
              <w:sz w:val="22"/>
              <w:lang w:val="ru-RU" w:eastAsia="ru-RU"/>
            </w:rPr>
          </w:pPr>
          <w:hyperlink w:anchor="_Toc229755271" w:history="1">
            <w:r w:rsidRPr="001F246B">
              <w:rPr>
                <w:rStyle w:val="Hyperlink"/>
                <w:rFonts w:cs="Times New Roman"/>
                <w:noProof/>
              </w:rPr>
              <w:t>1.4 The Research Gap</w:t>
            </w:r>
            <w:r>
              <w:rPr>
                <w:noProof/>
                <w:webHidden/>
              </w:rPr>
              <w:tab/>
            </w:r>
            <w:r>
              <w:rPr>
                <w:noProof/>
                <w:webHidden/>
              </w:rPr>
              <w:fldChar w:fldCharType="begin"/>
            </w:r>
            <w:r>
              <w:rPr>
                <w:noProof/>
                <w:webHidden/>
              </w:rPr>
              <w:instrText xml:space="preserve"> PAGEREF _Toc229755271 \h </w:instrText>
            </w:r>
            <w:r>
              <w:rPr>
                <w:noProof/>
                <w:webHidden/>
              </w:rPr>
            </w:r>
            <w:r>
              <w:rPr>
                <w:noProof/>
                <w:webHidden/>
              </w:rPr>
              <w:fldChar w:fldCharType="separate"/>
            </w:r>
            <w:r>
              <w:rPr>
                <w:noProof/>
                <w:webHidden/>
              </w:rPr>
              <w:t>15</w:t>
            </w:r>
            <w:r>
              <w:rPr>
                <w:noProof/>
                <w:webHidden/>
              </w:rPr>
              <w:fldChar w:fldCharType="end"/>
            </w:r>
          </w:hyperlink>
        </w:p>
        <w:p w14:paraId="68AD8F5D" w14:textId="6EB37633" w:rsidR="004558FA" w:rsidRDefault="004558FA">
          <w:pPr>
            <w:pStyle w:val="TOC2"/>
            <w:tabs>
              <w:tab w:val="right" w:leader="dot" w:pos="9350"/>
            </w:tabs>
            <w:rPr>
              <w:rFonts w:asciiTheme="minorHAnsi" w:hAnsiTheme="minorHAnsi"/>
              <w:noProof/>
              <w:color w:val="auto"/>
              <w:sz w:val="22"/>
              <w:lang w:val="ru-RU" w:eastAsia="ru-RU"/>
            </w:rPr>
          </w:pPr>
          <w:hyperlink w:anchor="_Toc229755272" w:history="1">
            <w:r w:rsidRPr="001F246B">
              <w:rPr>
                <w:rStyle w:val="Hyperlink"/>
                <w:rFonts w:cs="Times New Roman"/>
                <w:noProof/>
              </w:rPr>
              <w:t>1.5 Research Aim and Questions</w:t>
            </w:r>
            <w:r>
              <w:rPr>
                <w:noProof/>
                <w:webHidden/>
              </w:rPr>
              <w:tab/>
            </w:r>
            <w:r>
              <w:rPr>
                <w:noProof/>
                <w:webHidden/>
              </w:rPr>
              <w:fldChar w:fldCharType="begin"/>
            </w:r>
            <w:r>
              <w:rPr>
                <w:noProof/>
                <w:webHidden/>
              </w:rPr>
              <w:instrText xml:space="preserve"> PAGEREF _Toc229755272 \h </w:instrText>
            </w:r>
            <w:r>
              <w:rPr>
                <w:noProof/>
                <w:webHidden/>
              </w:rPr>
            </w:r>
            <w:r>
              <w:rPr>
                <w:noProof/>
                <w:webHidden/>
              </w:rPr>
              <w:fldChar w:fldCharType="separate"/>
            </w:r>
            <w:r>
              <w:rPr>
                <w:noProof/>
                <w:webHidden/>
              </w:rPr>
              <w:t>15</w:t>
            </w:r>
            <w:r>
              <w:rPr>
                <w:noProof/>
                <w:webHidden/>
              </w:rPr>
              <w:fldChar w:fldCharType="end"/>
            </w:r>
          </w:hyperlink>
        </w:p>
        <w:p w14:paraId="6561D187" w14:textId="0A1B35D5" w:rsidR="004558FA" w:rsidRDefault="004558FA">
          <w:pPr>
            <w:pStyle w:val="TOC2"/>
            <w:tabs>
              <w:tab w:val="right" w:leader="dot" w:pos="9350"/>
            </w:tabs>
            <w:rPr>
              <w:rFonts w:asciiTheme="minorHAnsi" w:hAnsiTheme="minorHAnsi"/>
              <w:noProof/>
              <w:color w:val="auto"/>
              <w:sz w:val="22"/>
              <w:lang w:val="ru-RU" w:eastAsia="ru-RU"/>
            </w:rPr>
          </w:pPr>
          <w:hyperlink w:anchor="_Toc229755273" w:history="1">
            <w:r w:rsidRPr="001F246B">
              <w:rPr>
                <w:rStyle w:val="Hyperlink"/>
                <w:rFonts w:cs="Times New Roman"/>
                <w:noProof/>
              </w:rPr>
              <w:t>1.6 Research Contributions</w:t>
            </w:r>
            <w:r>
              <w:rPr>
                <w:noProof/>
                <w:webHidden/>
              </w:rPr>
              <w:tab/>
            </w:r>
            <w:r>
              <w:rPr>
                <w:noProof/>
                <w:webHidden/>
              </w:rPr>
              <w:fldChar w:fldCharType="begin"/>
            </w:r>
            <w:r>
              <w:rPr>
                <w:noProof/>
                <w:webHidden/>
              </w:rPr>
              <w:instrText xml:space="preserve"> PAGEREF _Toc229755273 \h </w:instrText>
            </w:r>
            <w:r>
              <w:rPr>
                <w:noProof/>
                <w:webHidden/>
              </w:rPr>
            </w:r>
            <w:r>
              <w:rPr>
                <w:noProof/>
                <w:webHidden/>
              </w:rPr>
              <w:fldChar w:fldCharType="separate"/>
            </w:r>
            <w:r>
              <w:rPr>
                <w:noProof/>
                <w:webHidden/>
              </w:rPr>
              <w:t>16</w:t>
            </w:r>
            <w:r>
              <w:rPr>
                <w:noProof/>
                <w:webHidden/>
              </w:rPr>
              <w:fldChar w:fldCharType="end"/>
            </w:r>
          </w:hyperlink>
        </w:p>
        <w:p w14:paraId="74B013B6" w14:textId="7D7910D3" w:rsidR="004558FA" w:rsidRDefault="004558FA">
          <w:pPr>
            <w:pStyle w:val="TOC2"/>
            <w:tabs>
              <w:tab w:val="right" w:leader="dot" w:pos="9350"/>
            </w:tabs>
            <w:rPr>
              <w:rFonts w:asciiTheme="minorHAnsi" w:hAnsiTheme="minorHAnsi"/>
              <w:noProof/>
              <w:color w:val="auto"/>
              <w:sz w:val="22"/>
              <w:lang w:val="ru-RU" w:eastAsia="ru-RU"/>
            </w:rPr>
          </w:pPr>
          <w:hyperlink w:anchor="_Toc229755274" w:history="1">
            <w:r w:rsidRPr="001F246B">
              <w:rPr>
                <w:rStyle w:val="Hyperlink"/>
                <w:rFonts w:cs="Times New Roman"/>
                <w:noProof/>
              </w:rPr>
              <w:t>1.7 Scope and Boundaries</w:t>
            </w:r>
            <w:r>
              <w:rPr>
                <w:noProof/>
                <w:webHidden/>
              </w:rPr>
              <w:tab/>
            </w:r>
            <w:r>
              <w:rPr>
                <w:noProof/>
                <w:webHidden/>
              </w:rPr>
              <w:fldChar w:fldCharType="begin"/>
            </w:r>
            <w:r>
              <w:rPr>
                <w:noProof/>
                <w:webHidden/>
              </w:rPr>
              <w:instrText xml:space="preserve"> PAGEREF _Toc229755274 \h </w:instrText>
            </w:r>
            <w:r>
              <w:rPr>
                <w:noProof/>
                <w:webHidden/>
              </w:rPr>
            </w:r>
            <w:r>
              <w:rPr>
                <w:noProof/>
                <w:webHidden/>
              </w:rPr>
              <w:fldChar w:fldCharType="separate"/>
            </w:r>
            <w:r>
              <w:rPr>
                <w:noProof/>
                <w:webHidden/>
              </w:rPr>
              <w:t>17</w:t>
            </w:r>
            <w:r>
              <w:rPr>
                <w:noProof/>
                <w:webHidden/>
              </w:rPr>
              <w:fldChar w:fldCharType="end"/>
            </w:r>
          </w:hyperlink>
        </w:p>
        <w:p w14:paraId="21F12DFF" w14:textId="4AE45022" w:rsidR="004558FA" w:rsidRDefault="004558FA">
          <w:pPr>
            <w:pStyle w:val="TOC2"/>
            <w:tabs>
              <w:tab w:val="right" w:leader="dot" w:pos="9350"/>
            </w:tabs>
            <w:rPr>
              <w:rFonts w:asciiTheme="minorHAnsi" w:hAnsiTheme="minorHAnsi"/>
              <w:noProof/>
              <w:color w:val="auto"/>
              <w:sz w:val="22"/>
              <w:lang w:val="ru-RU" w:eastAsia="ru-RU"/>
            </w:rPr>
          </w:pPr>
          <w:hyperlink w:anchor="_Toc229755275" w:history="1">
            <w:r w:rsidRPr="001F246B">
              <w:rPr>
                <w:rStyle w:val="Hyperlink"/>
                <w:rFonts w:cs="Times New Roman"/>
                <w:noProof/>
              </w:rPr>
              <w:t>1.8 Structure of the Thesis</w:t>
            </w:r>
            <w:r>
              <w:rPr>
                <w:noProof/>
                <w:webHidden/>
              </w:rPr>
              <w:tab/>
            </w:r>
            <w:r>
              <w:rPr>
                <w:noProof/>
                <w:webHidden/>
              </w:rPr>
              <w:fldChar w:fldCharType="begin"/>
            </w:r>
            <w:r>
              <w:rPr>
                <w:noProof/>
                <w:webHidden/>
              </w:rPr>
              <w:instrText xml:space="preserve"> PAGEREF _Toc229755275 \h </w:instrText>
            </w:r>
            <w:r>
              <w:rPr>
                <w:noProof/>
                <w:webHidden/>
              </w:rPr>
            </w:r>
            <w:r>
              <w:rPr>
                <w:noProof/>
                <w:webHidden/>
              </w:rPr>
              <w:fldChar w:fldCharType="separate"/>
            </w:r>
            <w:r>
              <w:rPr>
                <w:noProof/>
                <w:webHidden/>
              </w:rPr>
              <w:t>17</w:t>
            </w:r>
            <w:r>
              <w:rPr>
                <w:noProof/>
                <w:webHidden/>
              </w:rPr>
              <w:fldChar w:fldCharType="end"/>
            </w:r>
          </w:hyperlink>
        </w:p>
        <w:p w14:paraId="3C7E534C" w14:textId="641EF8BA" w:rsidR="004558FA" w:rsidRDefault="004558FA">
          <w:pPr>
            <w:pStyle w:val="TOC1"/>
            <w:tabs>
              <w:tab w:val="right" w:leader="dot" w:pos="9350"/>
            </w:tabs>
            <w:rPr>
              <w:rFonts w:asciiTheme="minorHAnsi" w:hAnsiTheme="minorHAnsi"/>
              <w:noProof/>
              <w:color w:val="auto"/>
              <w:sz w:val="22"/>
              <w:lang w:val="ru-RU" w:eastAsia="ru-RU"/>
            </w:rPr>
          </w:pPr>
          <w:hyperlink w:anchor="_Toc229755276" w:history="1">
            <w:r w:rsidRPr="001F246B">
              <w:rPr>
                <w:rStyle w:val="Hyperlink"/>
                <w:rFonts w:cs="Times New Roman"/>
                <w:noProof/>
              </w:rPr>
              <w:t>2. Literature Review</w:t>
            </w:r>
            <w:r>
              <w:rPr>
                <w:noProof/>
                <w:webHidden/>
              </w:rPr>
              <w:tab/>
            </w:r>
            <w:r>
              <w:rPr>
                <w:noProof/>
                <w:webHidden/>
              </w:rPr>
              <w:fldChar w:fldCharType="begin"/>
            </w:r>
            <w:r>
              <w:rPr>
                <w:noProof/>
                <w:webHidden/>
              </w:rPr>
              <w:instrText xml:space="preserve"> PAGEREF _Toc229755276 \h </w:instrText>
            </w:r>
            <w:r>
              <w:rPr>
                <w:noProof/>
                <w:webHidden/>
              </w:rPr>
            </w:r>
            <w:r>
              <w:rPr>
                <w:noProof/>
                <w:webHidden/>
              </w:rPr>
              <w:fldChar w:fldCharType="separate"/>
            </w:r>
            <w:r>
              <w:rPr>
                <w:noProof/>
                <w:webHidden/>
              </w:rPr>
              <w:t>18</w:t>
            </w:r>
            <w:r>
              <w:rPr>
                <w:noProof/>
                <w:webHidden/>
              </w:rPr>
              <w:fldChar w:fldCharType="end"/>
            </w:r>
          </w:hyperlink>
        </w:p>
        <w:p w14:paraId="554E6546" w14:textId="332689E4" w:rsidR="004558FA" w:rsidRDefault="004558FA">
          <w:pPr>
            <w:pStyle w:val="TOC2"/>
            <w:tabs>
              <w:tab w:val="right" w:leader="dot" w:pos="9350"/>
            </w:tabs>
            <w:rPr>
              <w:rFonts w:asciiTheme="minorHAnsi" w:hAnsiTheme="minorHAnsi"/>
              <w:noProof/>
              <w:color w:val="auto"/>
              <w:sz w:val="22"/>
              <w:lang w:val="ru-RU" w:eastAsia="ru-RU"/>
            </w:rPr>
          </w:pPr>
          <w:hyperlink w:anchor="_Toc229755277" w:history="1">
            <w:r w:rsidRPr="001F246B">
              <w:rPr>
                <w:rStyle w:val="Hyperlink"/>
                <w:rFonts w:cs="Times New Roman"/>
                <w:noProof/>
              </w:rPr>
              <w:t>2.1 Artificial Intelligence in Financial Services</w:t>
            </w:r>
            <w:r>
              <w:rPr>
                <w:noProof/>
                <w:webHidden/>
              </w:rPr>
              <w:tab/>
            </w:r>
            <w:r>
              <w:rPr>
                <w:noProof/>
                <w:webHidden/>
              </w:rPr>
              <w:fldChar w:fldCharType="begin"/>
            </w:r>
            <w:r>
              <w:rPr>
                <w:noProof/>
                <w:webHidden/>
              </w:rPr>
              <w:instrText xml:space="preserve"> PAGEREF _Toc229755277 \h </w:instrText>
            </w:r>
            <w:r>
              <w:rPr>
                <w:noProof/>
                <w:webHidden/>
              </w:rPr>
            </w:r>
            <w:r>
              <w:rPr>
                <w:noProof/>
                <w:webHidden/>
              </w:rPr>
              <w:fldChar w:fldCharType="separate"/>
            </w:r>
            <w:r>
              <w:rPr>
                <w:noProof/>
                <w:webHidden/>
              </w:rPr>
              <w:t>18</w:t>
            </w:r>
            <w:r>
              <w:rPr>
                <w:noProof/>
                <w:webHidden/>
              </w:rPr>
              <w:fldChar w:fldCharType="end"/>
            </w:r>
          </w:hyperlink>
        </w:p>
        <w:p w14:paraId="3B900007" w14:textId="05B1AB9F" w:rsidR="004558FA" w:rsidRDefault="004558FA">
          <w:pPr>
            <w:pStyle w:val="TOC2"/>
            <w:tabs>
              <w:tab w:val="right" w:leader="dot" w:pos="9350"/>
            </w:tabs>
            <w:rPr>
              <w:rFonts w:asciiTheme="minorHAnsi" w:hAnsiTheme="minorHAnsi"/>
              <w:noProof/>
              <w:color w:val="auto"/>
              <w:sz w:val="22"/>
              <w:lang w:val="ru-RU" w:eastAsia="ru-RU"/>
            </w:rPr>
          </w:pPr>
          <w:hyperlink w:anchor="_Toc229755278" w:history="1">
            <w:r w:rsidRPr="001F246B">
              <w:rPr>
                <w:rStyle w:val="Hyperlink"/>
                <w:rFonts w:cs="Times New Roman"/>
                <w:noProof/>
              </w:rPr>
              <w:t>2.2 Conversational AI in Customer Service</w:t>
            </w:r>
            <w:r>
              <w:rPr>
                <w:noProof/>
                <w:webHidden/>
              </w:rPr>
              <w:tab/>
            </w:r>
            <w:r>
              <w:rPr>
                <w:noProof/>
                <w:webHidden/>
              </w:rPr>
              <w:fldChar w:fldCharType="begin"/>
            </w:r>
            <w:r>
              <w:rPr>
                <w:noProof/>
                <w:webHidden/>
              </w:rPr>
              <w:instrText xml:space="preserve"> PAGEREF _Toc229755278 \h </w:instrText>
            </w:r>
            <w:r>
              <w:rPr>
                <w:noProof/>
                <w:webHidden/>
              </w:rPr>
            </w:r>
            <w:r>
              <w:rPr>
                <w:noProof/>
                <w:webHidden/>
              </w:rPr>
              <w:fldChar w:fldCharType="separate"/>
            </w:r>
            <w:r>
              <w:rPr>
                <w:noProof/>
                <w:webHidden/>
              </w:rPr>
              <w:t>20</w:t>
            </w:r>
            <w:r>
              <w:rPr>
                <w:noProof/>
                <w:webHidden/>
              </w:rPr>
              <w:fldChar w:fldCharType="end"/>
            </w:r>
          </w:hyperlink>
        </w:p>
        <w:p w14:paraId="1E5DDEF7" w14:textId="6196407B" w:rsidR="004558FA" w:rsidRDefault="004558FA">
          <w:pPr>
            <w:pStyle w:val="TOC2"/>
            <w:tabs>
              <w:tab w:val="right" w:leader="dot" w:pos="9350"/>
            </w:tabs>
            <w:rPr>
              <w:rFonts w:asciiTheme="minorHAnsi" w:hAnsiTheme="minorHAnsi"/>
              <w:noProof/>
              <w:color w:val="auto"/>
              <w:sz w:val="22"/>
              <w:lang w:val="ru-RU" w:eastAsia="ru-RU"/>
            </w:rPr>
          </w:pPr>
          <w:hyperlink w:anchor="_Toc229755279" w:history="1">
            <w:r w:rsidRPr="001F246B">
              <w:rPr>
                <w:rStyle w:val="Hyperlink"/>
                <w:rFonts w:cs="Times New Roman"/>
                <w:noProof/>
              </w:rPr>
              <w:t>2.3 Voice AI and LLM Agents</w:t>
            </w:r>
            <w:r>
              <w:rPr>
                <w:noProof/>
                <w:webHidden/>
              </w:rPr>
              <w:tab/>
            </w:r>
            <w:r>
              <w:rPr>
                <w:noProof/>
                <w:webHidden/>
              </w:rPr>
              <w:fldChar w:fldCharType="begin"/>
            </w:r>
            <w:r>
              <w:rPr>
                <w:noProof/>
                <w:webHidden/>
              </w:rPr>
              <w:instrText xml:space="preserve"> PAGEREF _Toc229755279 \h </w:instrText>
            </w:r>
            <w:r>
              <w:rPr>
                <w:noProof/>
                <w:webHidden/>
              </w:rPr>
            </w:r>
            <w:r>
              <w:rPr>
                <w:noProof/>
                <w:webHidden/>
              </w:rPr>
              <w:fldChar w:fldCharType="separate"/>
            </w:r>
            <w:r>
              <w:rPr>
                <w:noProof/>
                <w:webHidden/>
              </w:rPr>
              <w:t>24</w:t>
            </w:r>
            <w:r>
              <w:rPr>
                <w:noProof/>
                <w:webHidden/>
              </w:rPr>
              <w:fldChar w:fldCharType="end"/>
            </w:r>
          </w:hyperlink>
        </w:p>
        <w:p w14:paraId="123F7C14" w14:textId="0F9EA35E" w:rsidR="004558FA" w:rsidRDefault="004558FA">
          <w:pPr>
            <w:pStyle w:val="TOC2"/>
            <w:tabs>
              <w:tab w:val="right" w:leader="dot" w:pos="9350"/>
            </w:tabs>
            <w:rPr>
              <w:rFonts w:asciiTheme="minorHAnsi" w:hAnsiTheme="minorHAnsi"/>
              <w:noProof/>
              <w:color w:val="auto"/>
              <w:sz w:val="22"/>
              <w:lang w:val="ru-RU" w:eastAsia="ru-RU"/>
            </w:rPr>
          </w:pPr>
          <w:hyperlink w:anchor="_Toc229755280" w:history="1">
            <w:r w:rsidRPr="001F246B">
              <w:rPr>
                <w:rStyle w:val="Hyperlink"/>
                <w:rFonts w:cs="Times New Roman"/>
                <w:noProof/>
              </w:rPr>
              <w:t>2.4 Business Value of Artificial Intelligence in Customer Service</w:t>
            </w:r>
            <w:r>
              <w:rPr>
                <w:noProof/>
                <w:webHidden/>
              </w:rPr>
              <w:tab/>
            </w:r>
            <w:r>
              <w:rPr>
                <w:noProof/>
                <w:webHidden/>
              </w:rPr>
              <w:fldChar w:fldCharType="begin"/>
            </w:r>
            <w:r>
              <w:rPr>
                <w:noProof/>
                <w:webHidden/>
              </w:rPr>
              <w:instrText xml:space="preserve"> PAGEREF _Toc229755280 \h </w:instrText>
            </w:r>
            <w:r>
              <w:rPr>
                <w:noProof/>
                <w:webHidden/>
              </w:rPr>
            </w:r>
            <w:r>
              <w:rPr>
                <w:noProof/>
                <w:webHidden/>
              </w:rPr>
              <w:fldChar w:fldCharType="separate"/>
            </w:r>
            <w:r>
              <w:rPr>
                <w:noProof/>
                <w:webHidden/>
              </w:rPr>
              <w:t>28</w:t>
            </w:r>
            <w:r>
              <w:rPr>
                <w:noProof/>
                <w:webHidden/>
              </w:rPr>
              <w:fldChar w:fldCharType="end"/>
            </w:r>
          </w:hyperlink>
        </w:p>
        <w:p w14:paraId="2887D6A5" w14:textId="187BAF09" w:rsidR="004558FA" w:rsidRDefault="004558FA">
          <w:pPr>
            <w:pStyle w:val="TOC3"/>
            <w:tabs>
              <w:tab w:val="right" w:leader="dot" w:pos="9350"/>
            </w:tabs>
            <w:rPr>
              <w:rFonts w:asciiTheme="minorHAnsi" w:hAnsiTheme="minorHAnsi"/>
              <w:noProof/>
              <w:color w:val="auto"/>
              <w:sz w:val="22"/>
              <w:lang w:val="ru-RU" w:eastAsia="ru-RU"/>
            </w:rPr>
          </w:pPr>
          <w:hyperlink w:anchor="_Toc229755281" w:history="1">
            <w:r w:rsidRPr="001F246B">
              <w:rPr>
                <w:rStyle w:val="Hyperlink"/>
                <w:rFonts w:cs="Times New Roman"/>
                <w:noProof/>
              </w:rPr>
              <w:t>2.4.1 Operational, Customer-Experience, and Scalability Evidence</w:t>
            </w:r>
            <w:r>
              <w:rPr>
                <w:noProof/>
                <w:webHidden/>
              </w:rPr>
              <w:tab/>
            </w:r>
            <w:r>
              <w:rPr>
                <w:noProof/>
                <w:webHidden/>
              </w:rPr>
              <w:fldChar w:fldCharType="begin"/>
            </w:r>
            <w:r>
              <w:rPr>
                <w:noProof/>
                <w:webHidden/>
              </w:rPr>
              <w:instrText xml:space="preserve"> PAGEREF _Toc229755281 \h </w:instrText>
            </w:r>
            <w:r>
              <w:rPr>
                <w:noProof/>
                <w:webHidden/>
              </w:rPr>
            </w:r>
            <w:r>
              <w:rPr>
                <w:noProof/>
                <w:webHidden/>
              </w:rPr>
              <w:fldChar w:fldCharType="separate"/>
            </w:r>
            <w:r>
              <w:rPr>
                <w:noProof/>
                <w:webHidden/>
              </w:rPr>
              <w:t>28</w:t>
            </w:r>
            <w:r>
              <w:rPr>
                <w:noProof/>
                <w:webHidden/>
              </w:rPr>
              <w:fldChar w:fldCharType="end"/>
            </w:r>
          </w:hyperlink>
        </w:p>
        <w:p w14:paraId="7E424770" w14:textId="78FF014B" w:rsidR="004558FA" w:rsidRDefault="004558FA">
          <w:pPr>
            <w:pStyle w:val="TOC3"/>
            <w:tabs>
              <w:tab w:val="right" w:leader="dot" w:pos="9350"/>
            </w:tabs>
            <w:rPr>
              <w:rFonts w:asciiTheme="minorHAnsi" w:hAnsiTheme="minorHAnsi"/>
              <w:noProof/>
              <w:color w:val="auto"/>
              <w:sz w:val="22"/>
              <w:lang w:val="ru-RU" w:eastAsia="ru-RU"/>
            </w:rPr>
          </w:pPr>
          <w:hyperlink w:anchor="_Toc229755282" w:history="1">
            <w:r w:rsidRPr="001F246B">
              <w:rPr>
                <w:rStyle w:val="Hyperlink"/>
                <w:rFonts w:cs="Times New Roman"/>
                <w:noProof/>
              </w:rPr>
              <w:t>2.4.2 Firm Value and Investor Perception</w:t>
            </w:r>
            <w:r>
              <w:rPr>
                <w:noProof/>
                <w:webHidden/>
              </w:rPr>
              <w:tab/>
            </w:r>
            <w:r>
              <w:rPr>
                <w:noProof/>
                <w:webHidden/>
              </w:rPr>
              <w:fldChar w:fldCharType="begin"/>
            </w:r>
            <w:r>
              <w:rPr>
                <w:noProof/>
                <w:webHidden/>
              </w:rPr>
              <w:instrText xml:space="preserve"> PAGEREF _Toc229755282 \h </w:instrText>
            </w:r>
            <w:r>
              <w:rPr>
                <w:noProof/>
                <w:webHidden/>
              </w:rPr>
            </w:r>
            <w:r>
              <w:rPr>
                <w:noProof/>
                <w:webHidden/>
              </w:rPr>
              <w:fldChar w:fldCharType="separate"/>
            </w:r>
            <w:r>
              <w:rPr>
                <w:noProof/>
                <w:webHidden/>
              </w:rPr>
              <w:t>30</w:t>
            </w:r>
            <w:r>
              <w:rPr>
                <w:noProof/>
                <w:webHidden/>
              </w:rPr>
              <w:fldChar w:fldCharType="end"/>
            </w:r>
          </w:hyperlink>
        </w:p>
        <w:p w14:paraId="4FBB892D" w14:textId="44C824AA" w:rsidR="004558FA" w:rsidRDefault="004558FA">
          <w:pPr>
            <w:pStyle w:val="TOC2"/>
            <w:tabs>
              <w:tab w:val="right" w:leader="dot" w:pos="9350"/>
            </w:tabs>
            <w:rPr>
              <w:rFonts w:asciiTheme="minorHAnsi" w:hAnsiTheme="minorHAnsi"/>
              <w:noProof/>
              <w:color w:val="auto"/>
              <w:sz w:val="22"/>
              <w:lang w:val="ru-RU" w:eastAsia="ru-RU"/>
            </w:rPr>
          </w:pPr>
          <w:hyperlink w:anchor="_Toc229755283" w:history="1">
            <w:r w:rsidRPr="001F246B">
              <w:rPr>
                <w:rStyle w:val="Hyperlink"/>
                <w:rFonts w:cs="Times New Roman"/>
                <w:noProof/>
              </w:rPr>
              <w:t>2.5 Consumer Behaviour and AI Interaction</w:t>
            </w:r>
            <w:r>
              <w:rPr>
                <w:noProof/>
                <w:webHidden/>
              </w:rPr>
              <w:tab/>
            </w:r>
            <w:r>
              <w:rPr>
                <w:noProof/>
                <w:webHidden/>
              </w:rPr>
              <w:fldChar w:fldCharType="begin"/>
            </w:r>
            <w:r>
              <w:rPr>
                <w:noProof/>
                <w:webHidden/>
              </w:rPr>
              <w:instrText xml:space="preserve"> PAGEREF _Toc229755283 \h </w:instrText>
            </w:r>
            <w:r>
              <w:rPr>
                <w:noProof/>
                <w:webHidden/>
              </w:rPr>
            </w:r>
            <w:r>
              <w:rPr>
                <w:noProof/>
                <w:webHidden/>
              </w:rPr>
              <w:fldChar w:fldCharType="separate"/>
            </w:r>
            <w:r>
              <w:rPr>
                <w:noProof/>
                <w:webHidden/>
              </w:rPr>
              <w:t>30</w:t>
            </w:r>
            <w:r>
              <w:rPr>
                <w:noProof/>
                <w:webHidden/>
              </w:rPr>
              <w:fldChar w:fldCharType="end"/>
            </w:r>
          </w:hyperlink>
        </w:p>
        <w:p w14:paraId="688A55FE" w14:textId="30C47241" w:rsidR="004558FA" w:rsidRDefault="004558FA">
          <w:pPr>
            <w:pStyle w:val="TOC2"/>
            <w:tabs>
              <w:tab w:val="right" w:leader="dot" w:pos="9350"/>
            </w:tabs>
            <w:rPr>
              <w:rFonts w:asciiTheme="minorHAnsi" w:hAnsiTheme="minorHAnsi"/>
              <w:noProof/>
              <w:color w:val="auto"/>
              <w:sz w:val="22"/>
              <w:lang w:val="ru-RU" w:eastAsia="ru-RU"/>
            </w:rPr>
          </w:pPr>
          <w:hyperlink w:anchor="_Toc229755284" w:history="1">
            <w:r w:rsidRPr="001F246B">
              <w:rPr>
                <w:rStyle w:val="Hyperlink"/>
                <w:rFonts w:cs="Times New Roman"/>
                <w:noProof/>
              </w:rPr>
              <w:t>2.6 Conceptual Framework: Three Complementary Lenses</w:t>
            </w:r>
            <w:r>
              <w:rPr>
                <w:noProof/>
                <w:webHidden/>
              </w:rPr>
              <w:tab/>
            </w:r>
            <w:r>
              <w:rPr>
                <w:noProof/>
                <w:webHidden/>
              </w:rPr>
              <w:fldChar w:fldCharType="begin"/>
            </w:r>
            <w:r>
              <w:rPr>
                <w:noProof/>
                <w:webHidden/>
              </w:rPr>
              <w:instrText xml:space="preserve"> PAGEREF _Toc229755284 \h </w:instrText>
            </w:r>
            <w:r>
              <w:rPr>
                <w:noProof/>
                <w:webHidden/>
              </w:rPr>
            </w:r>
            <w:r>
              <w:rPr>
                <w:noProof/>
                <w:webHidden/>
              </w:rPr>
              <w:fldChar w:fldCharType="separate"/>
            </w:r>
            <w:r>
              <w:rPr>
                <w:noProof/>
                <w:webHidden/>
              </w:rPr>
              <w:t>32</w:t>
            </w:r>
            <w:r>
              <w:rPr>
                <w:noProof/>
                <w:webHidden/>
              </w:rPr>
              <w:fldChar w:fldCharType="end"/>
            </w:r>
          </w:hyperlink>
        </w:p>
        <w:p w14:paraId="1E11D887" w14:textId="424F55FD" w:rsidR="004558FA" w:rsidRDefault="004558FA">
          <w:pPr>
            <w:pStyle w:val="TOC1"/>
            <w:tabs>
              <w:tab w:val="right" w:leader="dot" w:pos="9350"/>
            </w:tabs>
            <w:rPr>
              <w:rFonts w:asciiTheme="minorHAnsi" w:hAnsiTheme="minorHAnsi"/>
              <w:noProof/>
              <w:color w:val="auto"/>
              <w:sz w:val="22"/>
              <w:lang w:val="ru-RU" w:eastAsia="ru-RU"/>
            </w:rPr>
          </w:pPr>
          <w:hyperlink w:anchor="_Toc229755285" w:history="1">
            <w:r w:rsidRPr="001F246B">
              <w:rPr>
                <w:rStyle w:val="Hyperlink"/>
                <w:rFonts w:cs="Times New Roman"/>
                <w:noProof/>
              </w:rPr>
              <w:t>3. Research Methodology</w:t>
            </w:r>
            <w:r>
              <w:rPr>
                <w:noProof/>
                <w:webHidden/>
              </w:rPr>
              <w:tab/>
            </w:r>
            <w:r>
              <w:rPr>
                <w:noProof/>
                <w:webHidden/>
              </w:rPr>
              <w:fldChar w:fldCharType="begin"/>
            </w:r>
            <w:r>
              <w:rPr>
                <w:noProof/>
                <w:webHidden/>
              </w:rPr>
              <w:instrText xml:space="preserve"> PAGEREF _Toc229755285 \h </w:instrText>
            </w:r>
            <w:r>
              <w:rPr>
                <w:noProof/>
                <w:webHidden/>
              </w:rPr>
            </w:r>
            <w:r>
              <w:rPr>
                <w:noProof/>
                <w:webHidden/>
              </w:rPr>
              <w:fldChar w:fldCharType="separate"/>
            </w:r>
            <w:r>
              <w:rPr>
                <w:noProof/>
                <w:webHidden/>
              </w:rPr>
              <w:t>34</w:t>
            </w:r>
            <w:r>
              <w:rPr>
                <w:noProof/>
                <w:webHidden/>
              </w:rPr>
              <w:fldChar w:fldCharType="end"/>
            </w:r>
          </w:hyperlink>
        </w:p>
        <w:p w14:paraId="2DAC720F" w14:textId="42DEB286" w:rsidR="004558FA" w:rsidRDefault="004558FA">
          <w:pPr>
            <w:pStyle w:val="TOC2"/>
            <w:tabs>
              <w:tab w:val="right" w:leader="dot" w:pos="9350"/>
            </w:tabs>
            <w:rPr>
              <w:rFonts w:asciiTheme="minorHAnsi" w:hAnsiTheme="minorHAnsi"/>
              <w:noProof/>
              <w:color w:val="auto"/>
              <w:sz w:val="22"/>
              <w:lang w:val="ru-RU" w:eastAsia="ru-RU"/>
            </w:rPr>
          </w:pPr>
          <w:hyperlink w:anchor="_Toc229755286" w:history="1">
            <w:r w:rsidRPr="001F246B">
              <w:rPr>
                <w:rStyle w:val="Hyperlink"/>
                <w:rFonts w:cs="Times New Roman"/>
                <w:noProof/>
              </w:rPr>
              <w:t>3.1 Research Philosophy</w:t>
            </w:r>
            <w:r>
              <w:rPr>
                <w:noProof/>
                <w:webHidden/>
              </w:rPr>
              <w:tab/>
            </w:r>
            <w:r>
              <w:rPr>
                <w:noProof/>
                <w:webHidden/>
              </w:rPr>
              <w:fldChar w:fldCharType="begin"/>
            </w:r>
            <w:r>
              <w:rPr>
                <w:noProof/>
                <w:webHidden/>
              </w:rPr>
              <w:instrText xml:space="preserve"> PAGEREF _Toc229755286 \h </w:instrText>
            </w:r>
            <w:r>
              <w:rPr>
                <w:noProof/>
                <w:webHidden/>
              </w:rPr>
            </w:r>
            <w:r>
              <w:rPr>
                <w:noProof/>
                <w:webHidden/>
              </w:rPr>
              <w:fldChar w:fldCharType="separate"/>
            </w:r>
            <w:r>
              <w:rPr>
                <w:noProof/>
                <w:webHidden/>
              </w:rPr>
              <w:t>34</w:t>
            </w:r>
            <w:r>
              <w:rPr>
                <w:noProof/>
                <w:webHidden/>
              </w:rPr>
              <w:fldChar w:fldCharType="end"/>
            </w:r>
          </w:hyperlink>
        </w:p>
        <w:p w14:paraId="4BA07A12" w14:textId="4431E491" w:rsidR="004558FA" w:rsidRDefault="004558FA">
          <w:pPr>
            <w:pStyle w:val="TOC2"/>
            <w:tabs>
              <w:tab w:val="right" w:leader="dot" w:pos="9350"/>
            </w:tabs>
            <w:rPr>
              <w:rFonts w:asciiTheme="minorHAnsi" w:hAnsiTheme="minorHAnsi"/>
              <w:noProof/>
              <w:color w:val="auto"/>
              <w:sz w:val="22"/>
              <w:lang w:val="ru-RU" w:eastAsia="ru-RU"/>
            </w:rPr>
          </w:pPr>
          <w:hyperlink w:anchor="_Toc229755287" w:history="1">
            <w:r w:rsidRPr="001F246B">
              <w:rPr>
                <w:rStyle w:val="Hyperlink"/>
                <w:rFonts w:cs="Times New Roman"/>
                <w:noProof/>
              </w:rPr>
              <w:t>3.2 Research Design: Convergent Parallel Mixed Methods</w:t>
            </w:r>
            <w:r>
              <w:rPr>
                <w:noProof/>
                <w:webHidden/>
              </w:rPr>
              <w:tab/>
            </w:r>
            <w:r>
              <w:rPr>
                <w:noProof/>
                <w:webHidden/>
              </w:rPr>
              <w:fldChar w:fldCharType="begin"/>
            </w:r>
            <w:r>
              <w:rPr>
                <w:noProof/>
                <w:webHidden/>
              </w:rPr>
              <w:instrText xml:space="preserve"> PAGEREF _Toc229755287 \h </w:instrText>
            </w:r>
            <w:r>
              <w:rPr>
                <w:noProof/>
                <w:webHidden/>
              </w:rPr>
            </w:r>
            <w:r>
              <w:rPr>
                <w:noProof/>
                <w:webHidden/>
              </w:rPr>
              <w:fldChar w:fldCharType="separate"/>
            </w:r>
            <w:r>
              <w:rPr>
                <w:noProof/>
                <w:webHidden/>
              </w:rPr>
              <w:t>35</w:t>
            </w:r>
            <w:r>
              <w:rPr>
                <w:noProof/>
                <w:webHidden/>
              </w:rPr>
              <w:fldChar w:fldCharType="end"/>
            </w:r>
          </w:hyperlink>
        </w:p>
        <w:p w14:paraId="6677EF76" w14:textId="39028126" w:rsidR="004558FA" w:rsidRDefault="004558FA">
          <w:pPr>
            <w:pStyle w:val="TOC2"/>
            <w:tabs>
              <w:tab w:val="right" w:leader="dot" w:pos="9350"/>
            </w:tabs>
            <w:rPr>
              <w:rFonts w:asciiTheme="minorHAnsi" w:hAnsiTheme="minorHAnsi"/>
              <w:noProof/>
              <w:color w:val="auto"/>
              <w:sz w:val="22"/>
              <w:lang w:val="ru-RU" w:eastAsia="ru-RU"/>
            </w:rPr>
          </w:pPr>
          <w:hyperlink w:anchor="_Toc229755288" w:history="1">
            <w:r w:rsidRPr="001F246B">
              <w:rPr>
                <w:rStyle w:val="Hyperlink"/>
                <w:rFonts w:cs="Times New Roman"/>
                <w:noProof/>
              </w:rPr>
              <w:t>3.3 Case Selection</w:t>
            </w:r>
            <w:r>
              <w:rPr>
                <w:noProof/>
                <w:webHidden/>
              </w:rPr>
              <w:tab/>
            </w:r>
            <w:r>
              <w:rPr>
                <w:noProof/>
                <w:webHidden/>
              </w:rPr>
              <w:fldChar w:fldCharType="begin"/>
            </w:r>
            <w:r>
              <w:rPr>
                <w:noProof/>
                <w:webHidden/>
              </w:rPr>
              <w:instrText xml:space="preserve"> PAGEREF _Toc229755288 \h </w:instrText>
            </w:r>
            <w:r>
              <w:rPr>
                <w:noProof/>
                <w:webHidden/>
              </w:rPr>
            </w:r>
            <w:r>
              <w:rPr>
                <w:noProof/>
                <w:webHidden/>
              </w:rPr>
              <w:fldChar w:fldCharType="separate"/>
            </w:r>
            <w:r>
              <w:rPr>
                <w:noProof/>
                <w:webHidden/>
              </w:rPr>
              <w:t>35</w:t>
            </w:r>
            <w:r>
              <w:rPr>
                <w:noProof/>
                <w:webHidden/>
              </w:rPr>
              <w:fldChar w:fldCharType="end"/>
            </w:r>
          </w:hyperlink>
        </w:p>
        <w:p w14:paraId="222A636D" w14:textId="4BE474EA" w:rsidR="004558FA" w:rsidRDefault="004558FA">
          <w:pPr>
            <w:pStyle w:val="TOC2"/>
            <w:tabs>
              <w:tab w:val="right" w:leader="dot" w:pos="9350"/>
            </w:tabs>
            <w:rPr>
              <w:rFonts w:asciiTheme="minorHAnsi" w:hAnsiTheme="minorHAnsi"/>
              <w:noProof/>
              <w:color w:val="auto"/>
              <w:sz w:val="22"/>
              <w:lang w:val="ru-RU" w:eastAsia="ru-RU"/>
            </w:rPr>
          </w:pPr>
          <w:hyperlink w:anchor="_Toc229755289" w:history="1">
            <w:r w:rsidRPr="001F246B">
              <w:rPr>
                <w:rStyle w:val="Hyperlink"/>
                <w:rFonts w:cs="Times New Roman"/>
                <w:noProof/>
              </w:rPr>
              <w:t>3.4 Data Collection</w:t>
            </w:r>
            <w:r>
              <w:rPr>
                <w:noProof/>
                <w:webHidden/>
              </w:rPr>
              <w:tab/>
            </w:r>
            <w:r>
              <w:rPr>
                <w:noProof/>
                <w:webHidden/>
              </w:rPr>
              <w:fldChar w:fldCharType="begin"/>
            </w:r>
            <w:r>
              <w:rPr>
                <w:noProof/>
                <w:webHidden/>
              </w:rPr>
              <w:instrText xml:space="preserve"> PAGEREF _Toc229755289 \h </w:instrText>
            </w:r>
            <w:r>
              <w:rPr>
                <w:noProof/>
                <w:webHidden/>
              </w:rPr>
            </w:r>
            <w:r>
              <w:rPr>
                <w:noProof/>
                <w:webHidden/>
              </w:rPr>
              <w:fldChar w:fldCharType="separate"/>
            </w:r>
            <w:r>
              <w:rPr>
                <w:noProof/>
                <w:webHidden/>
              </w:rPr>
              <w:t>36</w:t>
            </w:r>
            <w:r>
              <w:rPr>
                <w:noProof/>
                <w:webHidden/>
              </w:rPr>
              <w:fldChar w:fldCharType="end"/>
            </w:r>
          </w:hyperlink>
        </w:p>
        <w:p w14:paraId="4F35131B" w14:textId="5219A968" w:rsidR="004558FA" w:rsidRDefault="004558FA">
          <w:pPr>
            <w:pStyle w:val="TOC3"/>
            <w:tabs>
              <w:tab w:val="right" w:leader="dot" w:pos="9350"/>
            </w:tabs>
            <w:rPr>
              <w:rFonts w:asciiTheme="minorHAnsi" w:hAnsiTheme="minorHAnsi"/>
              <w:noProof/>
              <w:color w:val="auto"/>
              <w:sz w:val="22"/>
              <w:lang w:val="ru-RU" w:eastAsia="ru-RU"/>
            </w:rPr>
          </w:pPr>
          <w:hyperlink w:anchor="_Toc229755290" w:history="1">
            <w:r w:rsidRPr="001F246B">
              <w:rPr>
                <w:rStyle w:val="Hyperlink"/>
                <w:rFonts w:cs="Times New Roman"/>
                <w:noProof/>
              </w:rPr>
              <w:t>3.4.1 SEC Financial Filings</w:t>
            </w:r>
            <w:r>
              <w:rPr>
                <w:noProof/>
                <w:webHidden/>
              </w:rPr>
              <w:tab/>
            </w:r>
            <w:r>
              <w:rPr>
                <w:noProof/>
                <w:webHidden/>
              </w:rPr>
              <w:fldChar w:fldCharType="begin"/>
            </w:r>
            <w:r>
              <w:rPr>
                <w:noProof/>
                <w:webHidden/>
              </w:rPr>
              <w:instrText xml:space="preserve"> PAGEREF _Toc229755290 \h </w:instrText>
            </w:r>
            <w:r>
              <w:rPr>
                <w:noProof/>
                <w:webHidden/>
              </w:rPr>
            </w:r>
            <w:r>
              <w:rPr>
                <w:noProof/>
                <w:webHidden/>
              </w:rPr>
              <w:fldChar w:fldCharType="separate"/>
            </w:r>
            <w:r>
              <w:rPr>
                <w:noProof/>
                <w:webHidden/>
              </w:rPr>
              <w:t>36</w:t>
            </w:r>
            <w:r>
              <w:rPr>
                <w:noProof/>
                <w:webHidden/>
              </w:rPr>
              <w:fldChar w:fldCharType="end"/>
            </w:r>
          </w:hyperlink>
        </w:p>
        <w:p w14:paraId="422AC9BA" w14:textId="4296F1B3" w:rsidR="004558FA" w:rsidRDefault="004558FA">
          <w:pPr>
            <w:pStyle w:val="TOC3"/>
            <w:tabs>
              <w:tab w:val="right" w:leader="dot" w:pos="9350"/>
            </w:tabs>
            <w:rPr>
              <w:rFonts w:asciiTheme="minorHAnsi" w:hAnsiTheme="minorHAnsi"/>
              <w:noProof/>
              <w:color w:val="auto"/>
              <w:sz w:val="22"/>
              <w:lang w:val="ru-RU" w:eastAsia="ru-RU"/>
            </w:rPr>
          </w:pPr>
          <w:hyperlink w:anchor="_Toc229755291" w:history="1">
            <w:r w:rsidRPr="001F246B">
              <w:rPr>
                <w:rStyle w:val="Hyperlink"/>
                <w:rFonts w:cs="Times New Roman"/>
                <w:noProof/>
              </w:rPr>
              <w:t>3.4.2 Trustpilot Customer Reviews</w:t>
            </w:r>
            <w:r>
              <w:rPr>
                <w:noProof/>
                <w:webHidden/>
              </w:rPr>
              <w:tab/>
            </w:r>
            <w:r>
              <w:rPr>
                <w:noProof/>
                <w:webHidden/>
              </w:rPr>
              <w:fldChar w:fldCharType="begin"/>
            </w:r>
            <w:r>
              <w:rPr>
                <w:noProof/>
                <w:webHidden/>
              </w:rPr>
              <w:instrText xml:space="preserve"> PAGEREF _Toc229755291 \h </w:instrText>
            </w:r>
            <w:r>
              <w:rPr>
                <w:noProof/>
                <w:webHidden/>
              </w:rPr>
            </w:r>
            <w:r>
              <w:rPr>
                <w:noProof/>
                <w:webHidden/>
              </w:rPr>
              <w:fldChar w:fldCharType="separate"/>
            </w:r>
            <w:r>
              <w:rPr>
                <w:noProof/>
                <w:webHidden/>
              </w:rPr>
              <w:t>37</w:t>
            </w:r>
            <w:r>
              <w:rPr>
                <w:noProof/>
                <w:webHidden/>
              </w:rPr>
              <w:fldChar w:fldCharType="end"/>
            </w:r>
          </w:hyperlink>
        </w:p>
        <w:p w14:paraId="7E89B304" w14:textId="1BD3FF1A" w:rsidR="004558FA" w:rsidRDefault="004558FA">
          <w:pPr>
            <w:pStyle w:val="TOC3"/>
            <w:tabs>
              <w:tab w:val="right" w:leader="dot" w:pos="9350"/>
            </w:tabs>
            <w:rPr>
              <w:rFonts w:asciiTheme="minorHAnsi" w:hAnsiTheme="minorHAnsi"/>
              <w:noProof/>
              <w:color w:val="auto"/>
              <w:sz w:val="22"/>
              <w:lang w:val="ru-RU" w:eastAsia="ru-RU"/>
            </w:rPr>
          </w:pPr>
          <w:hyperlink w:anchor="_Toc229755292" w:history="1">
            <w:r w:rsidRPr="001F246B">
              <w:rPr>
                <w:rStyle w:val="Hyperlink"/>
                <w:rFonts w:cs="Times New Roman"/>
                <w:noProof/>
              </w:rPr>
              <w:t>3.4.3 Supplementary Qualitative Sources</w:t>
            </w:r>
            <w:r>
              <w:rPr>
                <w:noProof/>
                <w:webHidden/>
              </w:rPr>
              <w:tab/>
            </w:r>
            <w:r>
              <w:rPr>
                <w:noProof/>
                <w:webHidden/>
              </w:rPr>
              <w:fldChar w:fldCharType="begin"/>
            </w:r>
            <w:r>
              <w:rPr>
                <w:noProof/>
                <w:webHidden/>
              </w:rPr>
              <w:instrText xml:space="preserve"> PAGEREF _Toc229755292 \h </w:instrText>
            </w:r>
            <w:r>
              <w:rPr>
                <w:noProof/>
                <w:webHidden/>
              </w:rPr>
            </w:r>
            <w:r>
              <w:rPr>
                <w:noProof/>
                <w:webHidden/>
              </w:rPr>
              <w:fldChar w:fldCharType="separate"/>
            </w:r>
            <w:r>
              <w:rPr>
                <w:noProof/>
                <w:webHidden/>
              </w:rPr>
              <w:t>37</w:t>
            </w:r>
            <w:r>
              <w:rPr>
                <w:noProof/>
                <w:webHidden/>
              </w:rPr>
              <w:fldChar w:fldCharType="end"/>
            </w:r>
          </w:hyperlink>
        </w:p>
        <w:p w14:paraId="03A5A77A" w14:textId="386D4FC3" w:rsidR="004558FA" w:rsidRDefault="004558FA">
          <w:pPr>
            <w:pStyle w:val="TOC2"/>
            <w:tabs>
              <w:tab w:val="right" w:leader="dot" w:pos="9350"/>
            </w:tabs>
            <w:rPr>
              <w:rFonts w:asciiTheme="minorHAnsi" w:hAnsiTheme="minorHAnsi"/>
              <w:noProof/>
              <w:color w:val="auto"/>
              <w:sz w:val="22"/>
              <w:lang w:val="ru-RU" w:eastAsia="ru-RU"/>
            </w:rPr>
          </w:pPr>
          <w:hyperlink w:anchor="_Toc229755293" w:history="1">
            <w:r w:rsidRPr="001F246B">
              <w:rPr>
                <w:rStyle w:val="Hyperlink"/>
                <w:rFonts w:cs="Times New Roman"/>
                <w:noProof/>
              </w:rPr>
              <w:t>3.5 Data Analysis</w:t>
            </w:r>
            <w:r>
              <w:rPr>
                <w:noProof/>
                <w:webHidden/>
              </w:rPr>
              <w:tab/>
            </w:r>
            <w:r>
              <w:rPr>
                <w:noProof/>
                <w:webHidden/>
              </w:rPr>
              <w:fldChar w:fldCharType="begin"/>
            </w:r>
            <w:r>
              <w:rPr>
                <w:noProof/>
                <w:webHidden/>
              </w:rPr>
              <w:instrText xml:space="preserve"> PAGEREF _Toc229755293 \h </w:instrText>
            </w:r>
            <w:r>
              <w:rPr>
                <w:noProof/>
                <w:webHidden/>
              </w:rPr>
            </w:r>
            <w:r>
              <w:rPr>
                <w:noProof/>
                <w:webHidden/>
              </w:rPr>
              <w:fldChar w:fldCharType="separate"/>
            </w:r>
            <w:r>
              <w:rPr>
                <w:noProof/>
                <w:webHidden/>
              </w:rPr>
              <w:t>37</w:t>
            </w:r>
            <w:r>
              <w:rPr>
                <w:noProof/>
                <w:webHidden/>
              </w:rPr>
              <w:fldChar w:fldCharType="end"/>
            </w:r>
          </w:hyperlink>
        </w:p>
        <w:p w14:paraId="0516B317" w14:textId="44343A5A" w:rsidR="004558FA" w:rsidRDefault="004558FA">
          <w:pPr>
            <w:pStyle w:val="TOC3"/>
            <w:tabs>
              <w:tab w:val="right" w:leader="dot" w:pos="9350"/>
            </w:tabs>
            <w:rPr>
              <w:rFonts w:asciiTheme="minorHAnsi" w:hAnsiTheme="minorHAnsi"/>
              <w:noProof/>
              <w:color w:val="auto"/>
              <w:sz w:val="22"/>
              <w:lang w:val="ru-RU" w:eastAsia="ru-RU"/>
            </w:rPr>
          </w:pPr>
          <w:hyperlink w:anchor="_Toc229755294" w:history="1">
            <w:r w:rsidRPr="001F246B">
              <w:rPr>
                <w:rStyle w:val="Hyperlink"/>
                <w:rFonts w:cs="Times New Roman"/>
                <w:noProof/>
              </w:rPr>
              <w:t>3.5.1 Financial Ratio and Operational Leverage Analysis</w:t>
            </w:r>
            <w:r>
              <w:rPr>
                <w:noProof/>
                <w:webHidden/>
              </w:rPr>
              <w:tab/>
            </w:r>
            <w:r>
              <w:rPr>
                <w:noProof/>
                <w:webHidden/>
              </w:rPr>
              <w:fldChar w:fldCharType="begin"/>
            </w:r>
            <w:r>
              <w:rPr>
                <w:noProof/>
                <w:webHidden/>
              </w:rPr>
              <w:instrText xml:space="preserve"> PAGEREF _Toc229755294 \h </w:instrText>
            </w:r>
            <w:r>
              <w:rPr>
                <w:noProof/>
                <w:webHidden/>
              </w:rPr>
            </w:r>
            <w:r>
              <w:rPr>
                <w:noProof/>
                <w:webHidden/>
              </w:rPr>
              <w:fldChar w:fldCharType="separate"/>
            </w:r>
            <w:r>
              <w:rPr>
                <w:noProof/>
                <w:webHidden/>
              </w:rPr>
              <w:t>37</w:t>
            </w:r>
            <w:r>
              <w:rPr>
                <w:noProof/>
                <w:webHidden/>
              </w:rPr>
              <w:fldChar w:fldCharType="end"/>
            </w:r>
          </w:hyperlink>
        </w:p>
        <w:p w14:paraId="52E11C92" w14:textId="5B4F33F7" w:rsidR="004558FA" w:rsidRDefault="004558FA">
          <w:pPr>
            <w:pStyle w:val="TOC3"/>
            <w:tabs>
              <w:tab w:val="right" w:leader="dot" w:pos="9350"/>
            </w:tabs>
            <w:rPr>
              <w:rFonts w:asciiTheme="minorHAnsi" w:hAnsiTheme="minorHAnsi"/>
              <w:noProof/>
              <w:color w:val="auto"/>
              <w:sz w:val="22"/>
              <w:lang w:val="ru-RU" w:eastAsia="ru-RU"/>
            </w:rPr>
          </w:pPr>
          <w:hyperlink w:anchor="_Toc229755295" w:history="1">
            <w:r w:rsidRPr="001F246B">
              <w:rPr>
                <w:rStyle w:val="Hyperlink"/>
                <w:rFonts w:cs="Times New Roman"/>
                <w:noProof/>
              </w:rPr>
              <w:t>3.5.2 NLP Text Mining: Joint Topic-Sentiment Modelling</w:t>
            </w:r>
            <w:r>
              <w:rPr>
                <w:noProof/>
                <w:webHidden/>
              </w:rPr>
              <w:tab/>
            </w:r>
            <w:r>
              <w:rPr>
                <w:noProof/>
                <w:webHidden/>
              </w:rPr>
              <w:fldChar w:fldCharType="begin"/>
            </w:r>
            <w:r>
              <w:rPr>
                <w:noProof/>
                <w:webHidden/>
              </w:rPr>
              <w:instrText xml:space="preserve"> PAGEREF _Toc229755295 \h </w:instrText>
            </w:r>
            <w:r>
              <w:rPr>
                <w:noProof/>
                <w:webHidden/>
              </w:rPr>
            </w:r>
            <w:r>
              <w:rPr>
                <w:noProof/>
                <w:webHidden/>
              </w:rPr>
              <w:fldChar w:fldCharType="separate"/>
            </w:r>
            <w:r>
              <w:rPr>
                <w:noProof/>
                <w:webHidden/>
              </w:rPr>
              <w:t>38</w:t>
            </w:r>
            <w:r>
              <w:rPr>
                <w:noProof/>
                <w:webHidden/>
              </w:rPr>
              <w:fldChar w:fldCharType="end"/>
            </w:r>
          </w:hyperlink>
        </w:p>
        <w:p w14:paraId="2111F51E" w14:textId="66A55483" w:rsidR="004558FA" w:rsidRDefault="004558FA">
          <w:pPr>
            <w:pStyle w:val="TOC3"/>
            <w:tabs>
              <w:tab w:val="right" w:leader="dot" w:pos="9350"/>
            </w:tabs>
            <w:rPr>
              <w:rFonts w:asciiTheme="minorHAnsi" w:hAnsiTheme="minorHAnsi"/>
              <w:noProof/>
              <w:color w:val="auto"/>
              <w:sz w:val="22"/>
              <w:lang w:val="ru-RU" w:eastAsia="ru-RU"/>
            </w:rPr>
          </w:pPr>
          <w:hyperlink w:anchor="_Toc229755296" w:history="1">
            <w:r w:rsidRPr="001F246B">
              <w:rPr>
                <w:rStyle w:val="Hyperlink"/>
                <w:rFonts w:cs="Times New Roman"/>
                <w:noProof/>
              </w:rPr>
              <w:t>3.5.3 Qualitative Process Tracing</w:t>
            </w:r>
            <w:r>
              <w:rPr>
                <w:noProof/>
                <w:webHidden/>
              </w:rPr>
              <w:tab/>
            </w:r>
            <w:r>
              <w:rPr>
                <w:noProof/>
                <w:webHidden/>
              </w:rPr>
              <w:fldChar w:fldCharType="begin"/>
            </w:r>
            <w:r>
              <w:rPr>
                <w:noProof/>
                <w:webHidden/>
              </w:rPr>
              <w:instrText xml:space="preserve"> PAGEREF _Toc229755296 \h </w:instrText>
            </w:r>
            <w:r>
              <w:rPr>
                <w:noProof/>
                <w:webHidden/>
              </w:rPr>
            </w:r>
            <w:r>
              <w:rPr>
                <w:noProof/>
                <w:webHidden/>
              </w:rPr>
              <w:fldChar w:fldCharType="separate"/>
            </w:r>
            <w:r>
              <w:rPr>
                <w:noProof/>
                <w:webHidden/>
              </w:rPr>
              <w:t>38</w:t>
            </w:r>
            <w:r>
              <w:rPr>
                <w:noProof/>
                <w:webHidden/>
              </w:rPr>
              <w:fldChar w:fldCharType="end"/>
            </w:r>
          </w:hyperlink>
        </w:p>
        <w:p w14:paraId="48F53ED7" w14:textId="4FCB9059" w:rsidR="004558FA" w:rsidRDefault="004558FA">
          <w:pPr>
            <w:pStyle w:val="TOC2"/>
            <w:tabs>
              <w:tab w:val="right" w:leader="dot" w:pos="9350"/>
            </w:tabs>
            <w:rPr>
              <w:rFonts w:asciiTheme="minorHAnsi" w:hAnsiTheme="minorHAnsi"/>
              <w:noProof/>
              <w:color w:val="auto"/>
              <w:sz w:val="22"/>
              <w:lang w:val="ru-RU" w:eastAsia="ru-RU"/>
            </w:rPr>
          </w:pPr>
          <w:hyperlink w:anchor="_Toc229755297" w:history="1">
            <w:r w:rsidRPr="001F246B">
              <w:rPr>
                <w:rStyle w:val="Hyperlink"/>
                <w:rFonts w:cs="Times New Roman"/>
                <w:noProof/>
              </w:rPr>
              <w:t>3.6 Operationalisation of Business Value</w:t>
            </w:r>
            <w:r>
              <w:rPr>
                <w:noProof/>
                <w:webHidden/>
              </w:rPr>
              <w:tab/>
            </w:r>
            <w:r>
              <w:rPr>
                <w:noProof/>
                <w:webHidden/>
              </w:rPr>
              <w:fldChar w:fldCharType="begin"/>
            </w:r>
            <w:r>
              <w:rPr>
                <w:noProof/>
                <w:webHidden/>
              </w:rPr>
              <w:instrText xml:space="preserve"> PAGEREF _Toc229755297 \h </w:instrText>
            </w:r>
            <w:r>
              <w:rPr>
                <w:noProof/>
                <w:webHidden/>
              </w:rPr>
            </w:r>
            <w:r>
              <w:rPr>
                <w:noProof/>
                <w:webHidden/>
              </w:rPr>
              <w:fldChar w:fldCharType="separate"/>
            </w:r>
            <w:r>
              <w:rPr>
                <w:noProof/>
                <w:webHidden/>
              </w:rPr>
              <w:t>38</w:t>
            </w:r>
            <w:r>
              <w:rPr>
                <w:noProof/>
                <w:webHidden/>
              </w:rPr>
              <w:fldChar w:fldCharType="end"/>
            </w:r>
          </w:hyperlink>
        </w:p>
        <w:p w14:paraId="037887C4" w14:textId="1F26A263" w:rsidR="004558FA" w:rsidRDefault="004558FA">
          <w:pPr>
            <w:pStyle w:val="TOC2"/>
            <w:tabs>
              <w:tab w:val="right" w:leader="dot" w:pos="9350"/>
            </w:tabs>
            <w:rPr>
              <w:rFonts w:asciiTheme="minorHAnsi" w:hAnsiTheme="minorHAnsi"/>
              <w:noProof/>
              <w:color w:val="auto"/>
              <w:sz w:val="22"/>
              <w:lang w:val="ru-RU" w:eastAsia="ru-RU"/>
            </w:rPr>
          </w:pPr>
          <w:hyperlink w:anchor="_Toc229755298" w:history="1">
            <w:r w:rsidRPr="001F246B">
              <w:rPr>
                <w:rStyle w:val="Hyperlink"/>
                <w:rFonts w:cs="Times New Roman"/>
                <w:noProof/>
              </w:rPr>
              <w:t>3.7 Source Reliability and Data Provenance</w:t>
            </w:r>
            <w:r>
              <w:rPr>
                <w:noProof/>
                <w:webHidden/>
              </w:rPr>
              <w:tab/>
            </w:r>
            <w:r>
              <w:rPr>
                <w:noProof/>
                <w:webHidden/>
              </w:rPr>
              <w:fldChar w:fldCharType="begin"/>
            </w:r>
            <w:r>
              <w:rPr>
                <w:noProof/>
                <w:webHidden/>
              </w:rPr>
              <w:instrText xml:space="preserve"> PAGEREF _Toc229755298 \h </w:instrText>
            </w:r>
            <w:r>
              <w:rPr>
                <w:noProof/>
                <w:webHidden/>
              </w:rPr>
            </w:r>
            <w:r>
              <w:rPr>
                <w:noProof/>
                <w:webHidden/>
              </w:rPr>
              <w:fldChar w:fldCharType="separate"/>
            </w:r>
            <w:r>
              <w:rPr>
                <w:noProof/>
                <w:webHidden/>
              </w:rPr>
              <w:t>40</w:t>
            </w:r>
            <w:r>
              <w:rPr>
                <w:noProof/>
                <w:webHidden/>
              </w:rPr>
              <w:fldChar w:fldCharType="end"/>
            </w:r>
          </w:hyperlink>
        </w:p>
        <w:p w14:paraId="41FD0C85" w14:textId="3FCCE53E" w:rsidR="004558FA" w:rsidRDefault="004558FA">
          <w:pPr>
            <w:pStyle w:val="TOC2"/>
            <w:tabs>
              <w:tab w:val="right" w:leader="dot" w:pos="9350"/>
            </w:tabs>
            <w:rPr>
              <w:rFonts w:asciiTheme="minorHAnsi" w:hAnsiTheme="minorHAnsi"/>
              <w:noProof/>
              <w:color w:val="auto"/>
              <w:sz w:val="22"/>
              <w:lang w:val="ru-RU" w:eastAsia="ru-RU"/>
            </w:rPr>
          </w:pPr>
          <w:hyperlink w:anchor="_Toc229755299" w:history="1">
            <w:r w:rsidRPr="001F246B">
              <w:rPr>
                <w:rStyle w:val="Hyperlink"/>
                <w:rFonts w:cs="Times New Roman"/>
                <w:noProof/>
              </w:rPr>
              <w:t>3.8 Triangulation Logic</w:t>
            </w:r>
            <w:r>
              <w:rPr>
                <w:noProof/>
                <w:webHidden/>
              </w:rPr>
              <w:tab/>
            </w:r>
            <w:r>
              <w:rPr>
                <w:noProof/>
                <w:webHidden/>
              </w:rPr>
              <w:fldChar w:fldCharType="begin"/>
            </w:r>
            <w:r>
              <w:rPr>
                <w:noProof/>
                <w:webHidden/>
              </w:rPr>
              <w:instrText xml:space="preserve"> PAGEREF _Toc229755299 \h </w:instrText>
            </w:r>
            <w:r>
              <w:rPr>
                <w:noProof/>
                <w:webHidden/>
              </w:rPr>
            </w:r>
            <w:r>
              <w:rPr>
                <w:noProof/>
                <w:webHidden/>
              </w:rPr>
              <w:fldChar w:fldCharType="separate"/>
            </w:r>
            <w:r>
              <w:rPr>
                <w:noProof/>
                <w:webHidden/>
              </w:rPr>
              <w:t>42</w:t>
            </w:r>
            <w:r>
              <w:rPr>
                <w:noProof/>
                <w:webHidden/>
              </w:rPr>
              <w:fldChar w:fldCharType="end"/>
            </w:r>
          </w:hyperlink>
        </w:p>
        <w:p w14:paraId="23D62B80" w14:textId="12018F8C" w:rsidR="004558FA" w:rsidRDefault="004558FA">
          <w:pPr>
            <w:pStyle w:val="TOC2"/>
            <w:tabs>
              <w:tab w:val="right" w:leader="dot" w:pos="9350"/>
            </w:tabs>
            <w:rPr>
              <w:rFonts w:asciiTheme="minorHAnsi" w:hAnsiTheme="minorHAnsi"/>
              <w:noProof/>
              <w:color w:val="auto"/>
              <w:sz w:val="22"/>
              <w:lang w:val="ru-RU" w:eastAsia="ru-RU"/>
            </w:rPr>
          </w:pPr>
          <w:hyperlink w:anchor="_Toc229755300" w:history="1">
            <w:r w:rsidRPr="001F246B">
              <w:rPr>
                <w:rStyle w:val="Hyperlink"/>
                <w:rFonts w:cs="Times New Roman"/>
                <w:noProof/>
              </w:rPr>
              <w:t>3.9 Methodological Limitations</w:t>
            </w:r>
            <w:r>
              <w:rPr>
                <w:noProof/>
                <w:webHidden/>
              </w:rPr>
              <w:tab/>
            </w:r>
            <w:r>
              <w:rPr>
                <w:noProof/>
                <w:webHidden/>
              </w:rPr>
              <w:fldChar w:fldCharType="begin"/>
            </w:r>
            <w:r>
              <w:rPr>
                <w:noProof/>
                <w:webHidden/>
              </w:rPr>
              <w:instrText xml:space="preserve"> PAGEREF _Toc229755300 \h </w:instrText>
            </w:r>
            <w:r>
              <w:rPr>
                <w:noProof/>
                <w:webHidden/>
              </w:rPr>
            </w:r>
            <w:r>
              <w:rPr>
                <w:noProof/>
                <w:webHidden/>
              </w:rPr>
              <w:fldChar w:fldCharType="separate"/>
            </w:r>
            <w:r>
              <w:rPr>
                <w:noProof/>
                <w:webHidden/>
              </w:rPr>
              <w:t>43</w:t>
            </w:r>
            <w:r>
              <w:rPr>
                <w:noProof/>
                <w:webHidden/>
              </w:rPr>
              <w:fldChar w:fldCharType="end"/>
            </w:r>
          </w:hyperlink>
        </w:p>
        <w:p w14:paraId="6A4F9787" w14:textId="14E67750" w:rsidR="004558FA" w:rsidRDefault="004558FA">
          <w:pPr>
            <w:pStyle w:val="TOC2"/>
            <w:tabs>
              <w:tab w:val="right" w:leader="dot" w:pos="9350"/>
            </w:tabs>
            <w:rPr>
              <w:rFonts w:asciiTheme="minorHAnsi" w:hAnsiTheme="minorHAnsi"/>
              <w:noProof/>
              <w:color w:val="auto"/>
              <w:sz w:val="22"/>
              <w:lang w:val="ru-RU" w:eastAsia="ru-RU"/>
            </w:rPr>
          </w:pPr>
          <w:hyperlink w:anchor="_Toc229755301" w:history="1">
            <w:r w:rsidRPr="001F246B">
              <w:rPr>
                <w:rStyle w:val="Hyperlink"/>
                <w:rFonts w:cs="Times New Roman"/>
                <w:noProof/>
              </w:rPr>
              <w:t>3.10 Research Rigor and Reproducibility</w:t>
            </w:r>
            <w:r>
              <w:rPr>
                <w:noProof/>
                <w:webHidden/>
              </w:rPr>
              <w:tab/>
            </w:r>
            <w:r>
              <w:rPr>
                <w:noProof/>
                <w:webHidden/>
              </w:rPr>
              <w:fldChar w:fldCharType="begin"/>
            </w:r>
            <w:r>
              <w:rPr>
                <w:noProof/>
                <w:webHidden/>
              </w:rPr>
              <w:instrText xml:space="preserve"> PAGEREF _Toc229755301 \h </w:instrText>
            </w:r>
            <w:r>
              <w:rPr>
                <w:noProof/>
                <w:webHidden/>
              </w:rPr>
            </w:r>
            <w:r>
              <w:rPr>
                <w:noProof/>
                <w:webHidden/>
              </w:rPr>
              <w:fldChar w:fldCharType="separate"/>
            </w:r>
            <w:r>
              <w:rPr>
                <w:noProof/>
                <w:webHidden/>
              </w:rPr>
              <w:t>44</w:t>
            </w:r>
            <w:r>
              <w:rPr>
                <w:noProof/>
                <w:webHidden/>
              </w:rPr>
              <w:fldChar w:fldCharType="end"/>
            </w:r>
          </w:hyperlink>
        </w:p>
        <w:p w14:paraId="0A750192" w14:textId="3E2F81EF" w:rsidR="004558FA" w:rsidRDefault="004558FA">
          <w:pPr>
            <w:pStyle w:val="TOC2"/>
            <w:tabs>
              <w:tab w:val="right" w:leader="dot" w:pos="9350"/>
            </w:tabs>
            <w:rPr>
              <w:rFonts w:asciiTheme="minorHAnsi" w:hAnsiTheme="minorHAnsi"/>
              <w:noProof/>
              <w:color w:val="auto"/>
              <w:sz w:val="22"/>
              <w:lang w:val="ru-RU" w:eastAsia="ru-RU"/>
            </w:rPr>
          </w:pPr>
          <w:hyperlink w:anchor="_Toc229755302" w:history="1">
            <w:r w:rsidRPr="001F246B">
              <w:rPr>
                <w:rStyle w:val="Hyperlink"/>
                <w:rFonts w:cs="Times New Roman"/>
                <w:noProof/>
              </w:rPr>
              <w:t>3.11 Ethical Considerations</w:t>
            </w:r>
            <w:r>
              <w:rPr>
                <w:noProof/>
                <w:webHidden/>
              </w:rPr>
              <w:tab/>
            </w:r>
            <w:r>
              <w:rPr>
                <w:noProof/>
                <w:webHidden/>
              </w:rPr>
              <w:fldChar w:fldCharType="begin"/>
            </w:r>
            <w:r>
              <w:rPr>
                <w:noProof/>
                <w:webHidden/>
              </w:rPr>
              <w:instrText xml:space="preserve"> PAGEREF _Toc229755302 \h </w:instrText>
            </w:r>
            <w:r>
              <w:rPr>
                <w:noProof/>
                <w:webHidden/>
              </w:rPr>
            </w:r>
            <w:r>
              <w:rPr>
                <w:noProof/>
                <w:webHidden/>
              </w:rPr>
              <w:fldChar w:fldCharType="separate"/>
            </w:r>
            <w:r>
              <w:rPr>
                <w:noProof/>
                <w:webHidden/>
              </w:rPr>
              <w:t>44</w:t>
            </w:r>
            <w:r>
              <w:rPr>
                <w:noProof/>
                <w:webHidden/>
              </w:rPr>
              <w:fldChar w:fldCharType="end"/>
            </w:r>
          </w:hyperlink>
        </w:p>
        <w:p w14:paraId="45C9E441" w14:textId="7FB9100B" w:rsidR="004558FA" w:rsidRDefault="004558FA">
          <w:pPr>
            <w:pStyle w:val="TOC1"/>
            <w:tabs>
              <w:tab w:val="right" w:leader="dot" w:pos="9350"/>
            </w:tabs>
            <w:rPr>
              <w:rFonts w:asciiTheme="minorHAnsi" w:hAnsiTheme="minorHAnsi"/>
              <w:noProof/>
              <w:color w:val="auto"/>
              <w:sz w:val="22"/>
              <w:lang w:val="ru-RU" w:eastAsia="ru-RU"/>
            </w:rPr>
          </w:pPr>
          <w:hyperlink w:anchor="_Toc229755303" w:history="1">
            <w:r w:rsidRPr="001F246B">
              <w:rPr>
                <w:rStyle w:val="Hyperlink"/>
                <w:rFonts w:cs="Times New Roman"/>
                <w:noProof/>
              </w:rPr>
              <w:t>4. Case Study Description: Better.com and the Deployment of Voice AI in Mortgage Origination</w:t>
            </w:r>
            <w:r>
              <w:rPr>
                <w:noProof/>
                <w:webHidden/>
              </w:rPr>
              <w:tab/>
            </w:r>
            <w:r>
              <w:rPr>
                <w:noProof/>
                <w:webHidden/>
              </w:rPr>
              <w:fldChar w:fldCharType="begin"/>
            </w:r>
            <w:r>
              <w:rPr>
                <w:noProof/>
                <w:webHidden/>
              </w:rPr>
              <w:instrText xml:space="preserve"> PAGEREF _Toc229755303 \h </w:instrText>
            </w:r>
            <w:r>
              <w:rPr>
                <w:noProof/>
                <w:webHidden/>
              </w:rPr>
            </w:r>
            <w:r>
              <w:rPr>
                <w:noProof/>
                <w:webHidden/>
              </w:rPr>
              <w:fldChar w:fldCharType="separate"/>
            </w:r>
            <w:r>
              <w:rPr>
                <w:noProof/>
                <w:webHidden/>
              </w:rPr>
              <w:t>45</w:t>
            </w:r>
            <w:r>
              <w:rPr>
                <w:noProof/>
                <w:webHidden/>
              </w:rPr>
              <w:fldChar w:fldCharType="end"/>
            </w:r>
          </w:hyperlink>
        </w:p>
        <w:p w14:paraId="6D465D83" w14:textId="153F434B" w:rsidR="004558FA" w:rsidRDefault="004558FA">
          <w:pPr>
            <w:pStyle w:val="TOC2"/>
            <w:tabs>
              <w:tab w:val="right" w:leader="dot" w:pos="9350"/>
            </w:tabs>
            <w:rPr>
              <w:rFonts w:asciiTheme="minorHAnsi" w:hAnsiTheme="minorHAnsi"/>
              <w:noProof/>
              <w:color w:val="auto"/>
              <w:sz w:val="22"/>
              <w:lang w:val="ru-RU" w:eastAsia="ru-RU"/>
            </w:rPr>
          </w:pPr>
          <w:hyperlink w:anchor="_Toc229755304" w:history="1">
            <w:r w:rsidRPr="001F246B">
              <w:rPr>
                <w:rStyle w:val="Hyperlink"/>
                <w:rFonts w:cs="Times New Roman"/>
                <w:noProof/>
              </w:rPr>
              <w:t>4.1 Introduction</w:t>
            </w:r>
            <w:r>
              <w:rPr>
                <w:noProof/>
                <w:webHidden/>
              </w:rPr>
              <w:tab/>
            </w:r>
            <w:r>
              <w:rPr>
                <w:noProof/>
                <w:webHidden/>
              </w:rPr>
              <w:fldChar w:fldCharType="begin"/>
            </w:r>
            <w:r>
              <w:rPr>
                <w:noProof/>
                <w:webHidden/>
              </w:rPr>
              <w:instrText xml:space="preserve"> PAGEREF _Toc229755304 \h </w:instrText>
            </w:r>
            <w:r>
              <w:rPr>
                <w:noProof/>
                <w:webHidden/>
              </w:rPr>
            </w:r>
            <w:r>
              <w:rPr>
                <w:noProof/>
                <w:webHidden/>
              </w:rPr>
              <w:fldChar w:fldCharType="separate"/>
            </w:r>
            <w:r>
              <w:rPr>
                <w:noProof/>
                <w:webHidden/>
              </w:rPr>
              <w:t>45</w:t>
            </w:r>
            <w:r>
              <w:rPr>
                <w:noProof/>
                <w:webHidden/>
              </w:rPr>
              <w:fldChar w:fldCharType="end"/>
            </w:r>
          </w:hyperlink>
        </w:p>
        <w:p w14:paraId="3F7E6ADE" w14:textId="24C004A6" w:rsidR="004558FA" w:rsidRDefault="004558FA">
          <w:pPr>
            <w:pStyle w:val="TOC2"/>
            <w:tabs>
              <w:tab w:val="right" w:leader="dot" w:pos="9350"/>
            </w:tabs>
            <w:rPr>
              <w:rFonts w:asciiTheme="minorHAnsi" w:hAnsiTheme="minorHAnsi"/>
              <w:noProof/>
              <w:color w:val="auto"/>
              <w:sz w:val="22"/>
              <w:lang w:val="ru-RU" w:eastAsia="ru-RU"/>
            </w:rPr>
          </w:pPr>
          <w:hyperlink w:anchor="_Toc229755305" w:history="1">
            <w:r w:rsidRPr="001F246B">
              <w:rPr>
                <w:rStyle w:val="Hyperlink"/>
                <w:rFonts w:cs="Times New Roman"/>
                <w:noProof/>
              </w:rPr>
              <w:t>4.2 Better.com: Company Profile and Strategic Context</w:t>
            </w:r>
            <w:r>
              <w:rPr>
                <w:noProof/>
                <w:webHidden/>
              </w:rPr>
              <w:tab/>
            </w:r>
            <w:r>
              <w:rPr>
                <w:noProof/>
                <w:webHidden/>
              </w:rPr>
              <w:fldChar w:fldCharType="begin"/>
            </w:r>
            <w:r>
              <w:rPr>
                <w:noProof/>
                <w:webHidden/>
              </w:rPr>
              <w:instrText xml:space="preserve"> PAGEREF _Toc229755305 \h </w:instrText>
            </w:r>
            <w:r>
              <w:rPr>
                <w:noProof/>
                <w:webHidden/>
              </w:rPr>
            </w:r>
            <w:r>
              <w:rPr>
                <w:noProof/>
                <w:webHidden/>
              </w:rPr>
              <w:fldChar w:fldCharType="separate"/>
            </w:r>
            <w:r>
              <w:rPr>
                <w:noProof/>
                <w:webHidden/>
              </w:rPr>
              <w:t>45</w:t>
            </w:r>
            <w:r>
              <w:rPr>
                <w:noProof/>
                <w:webHidden/>
              </w:rPr>
              <w:fldChar w:fldCharType="end"/>
            </w:r>
          </w:hyperlink>
        </w:p>
        <w:p w14:paraId="6FD69F49" w14:textId="2DDBBC83" w:rsidR="004558FA" w:rsidRDefault="004558FA">
          <w:pPr>
            <w:pStyle w:val="TOC3"/>
            <w:tabs>
              <w:tab w:val="right" w:leader="dot" w:pos="9350"/>
            </w:tabs>
            <w:rPr>
              <w:rFonts w:asciiTheme="minorHAnsi" w:hAnsiTheme="minorHAnsi"/>
              <w:noProof/>
              <w:color w:val="auto"/>
              <w:sz w:val="22"/>
              <w:lang w:val="ru-RU" w:eastAsia="ru-RU"/>
            </w:rPr>
          </w:pPr>
          <w:hyperlink w:anchor="_Toc229755306" w:history="1">
            <w:r w:rsidRPr="001F246B">
              <w:rPr>
                <w:rStyle w:val="Hyperlink"/>
                <w:rFonts w:cs="Times New Roman"/>
                <w:noProof/>
              </w:rPr>
              <w:t>4.2.1 Founding Logic and Digital-First Model</w:t>
            </w:r>
            <w:r>
              <w:rPr>
                <w:noProof/>
                <w:webHidden/>
              </w:rPr>
              <w:tab/>
            </w:r>
            <w:r>
              <w:rPr>
                <w:noProof/>
                <w:webHidden/>
              </w:rPr>
              <w:fldChar w:fldCharType="begin"/>
            </w:r>
            <w:r>
              <w:rPr>
                <w:noProof/>
                <w:webHidden/>
              </w:rPr>
              <w:instrText xml:space="preserve"> PAGEREF _Toc229755306 \h </w:instrText>
            </w:r>
            <w:r>
              <w:rPr>
                <w:noProof/>
                <w:webHidden/>
              </w:rPr>
            </w:r>
            <w:r>
              <w:rPr>
                <w:noProof/>
                <w:webHidden/>
              </w:rPr>
              <w:fldChar w:fldCharType="separate"/>
            </w:r>
            <w:r>
              <w:rPr>
                <w:noProof/>
                <w:webHidden/>
              </w:rPr>
              <w:t>45</w:t>
            </w:r>
            <w:r>
              <w:rPr>
                <w:noProof/>
                <w:webHidden/>
              </w:rPr>
              <w:fldChar w:fldCharType="end"/>
            </w:r>
          </w:hyperlink>
        </w:p>
        <w:p w14:paraId="17A9AF27" w14:textId="3CEA5160" w:rsidR="004558FA" w:rsidRDefault="004558FA">
          <w:pPr>
            <w:pStyle w:val="TOC3"/>
            <w:tabs>
              <w:tab w:val="right" w:leader="dot" w:pos="9350"/>
            </w:tabs>
            <w:rPr>
              <w:rFonts w:asciiTheme="minorHAnsi" w:hAnsiTheme="minorHAnsi"/>
              <w:noProof/>
              <w:color w:val="auto"/>
              <w:sz w:val="22"/>
              <w:lang w:val="ru-RU" w:eastAsia="ru-RU"/>
            </w:rPr>
          </w:pPr>
          <w:hyperlink w:anchor="_Toc229755307" w:history="1">
            <w:r w:rsidRPr="001F246B">
              <w:rPr>
                <w:rStyle w:val="Hyperlink"/>
                <w:rFonts w:cs="Times New Roman"/>
                <w:noProof/>
              </w:rPr>
              <w:t>4.2.2 Growth, Contraction, and the Strategic Case for Automation</w:t>
            </w:r>
            <w:r>
              <w:rPr>
                <w:noProof/>
                <w:webHidden/>
              </w:rPr>
              <w:tab/>
            </w:r>
            <w:r>
              <w:rPr>
                <w:noProof/>
                <w:webHidden/>
              </w:rPr>
              <w:fldChar w:fldCharType="begin"/>
            </w:r>
            <w:r>
              <w:rPr>
                <w:noProof/>
                <w:webHidden/>
              </w:rPr>
              <w:instrText xml:space="preserve"> PAGEREF _Toc229755307 \h </w:instrText>
            </w:r>
            <w:r>
              <w:rPr>
                <w:noProof/>
                <w:webHidden/>
              </w:rPr>
            </w:r>
            <w:r>
              <w:rPr>
                <w:noProof/>
                <w:webHidden/>
              </w:rPr>
              <w:fldChar w:fldCharType="separate"/>
            </w:r>
            <w:r>
              <w:rPr>
                <w:noProof/>
                <w:webHidden/>
              </w:rPr>
              <w:t>46</w:t>
            </w:r>
            <w:r>
              <w:rPr>
                <w:noProof/>
                <w:webHidden/>
              </w:rPr>
              <w:fldChar w:fldCharType="end"/>
            </w:r>
          </w:hyperlink>
        </w:p>
        <w:p w14:paraId="63B139EA" w14:textId="31A1AA7A" w:rsidR="004558FA" w:rsidRDefault="004558FA">
          <w:pPr>
            <w:pStyle w:val="TOC2"/>
            <w:tabs>
              <w:tab w:val="right" w:leader="dot" w:pos="9350"/>
            </w:tabs>
            <w:rPr>
              <w:rFonts w:asciiTheme="minorHAnsi" w:hAnsiTheme="minorHAnsi"/>
              <w:noProof/>
              <w:color w:val="auto"/>
              <w:sz w:val="22"/>
              <w:lang w:val="ru-RU" w:eastAsia="ru-RU"/>
            </w:rPr>
          </w:pPr>
          <w:hyperlink w:anchor="_Toc229755308" w:history="1">
            <w:r w:rsidRPr="001F246B">
              <w:rPr>
                <w:rStyle w:val="Hyperlink"/>
                <w:rFonts w:cs="Times New Roman"/>
                <w:noProof/>
              </w:rPr>
              <w:t>4.3 The Mortgage Origination Process as the Operational Context</w:t>
            </w:r>
            <w:r>
              <w:rPr>
                <w:noProof/>
                <w:webHidden/>
              </w:rPr>
              <w:tab/>
            </w:r>
            <w:r>
              <w:rPr>
                <w:noProof/>
                <w:webHidden/>
              </w:rPr>
              <w:fldChar w:fldCharType="begin"/>
            </w:r>
            <w:r>
              <w:rPr>
                <w:noProof/>
                <w:webHidden/>
              </w:rPr>
              <w:instrText xml:space="preserve"> PAGEREF _Toc229755308 \h </w:instrText>
            </w:r>
            <w:r>
              <w:rPr>
                <w:noProof/>
                <w:webHidden/>
              </w:rPr>
            </w:r>
            <w:r>
              <w:rPr>
                <w:noProof/>
                <w:webHidden/>
              </w:rPr>
              <w:fldChar w:fldCharType="separate"/>
            </w:r>
            <w:r>
              <w:rPr>
                <w:noProof/>
                <w:webHidden/>
              </w:rPr>
              <w:t>47</w:t>
            </w:r>
            <w:r>
              <w:rPr>
                <w:noProof/>
                <w:webHidden/>
              </w:rPr>
              <w:fldChar w:fldCharType="end"/>
            </w:r>
          </w:hyperlink>
        </w:p>
        <w:p w14:paraId="2107C28A" w14:textId="594F8F92" w:rsidR="004558FA" w:rsidRDefault="004558FA">
          <w:pPr>
            <w:pStyle w:val="TOC2"/>
            <w:tabs>
              <w:tab w:val="right" w:leader="dot" w:pos="9350"/>
            </w:tabs>
            <w:rPr>
              <w:rFonts w:asciiTheme="minorHAnsi" w:hAnsiTheme="minorHAnsi"/>
              <w:noProof/>
              <w:color w:val="auto"/>
              <w:sz w:val="22"/>
              <w:lang w:val="ru-RU" w:eastAsia="ru-RU"/>
            </w:rPr>
          </w:pPr>
          <w:hyperlink w:anchor="_Toc229755309" w:history="1">
            <w:r w:rsidRPr="001F246B">
              <w:rPr>
                <w:rStyle w:val="Hyperlink"/>
                <w:rFonts w:cs="Times New Roman"/>
                <w:noProof/>
              </w:rPr>
              <w:t>4.4 The Tinman Platform: Technological Foundation for Voice AI</w:t>
            </w:r>
            <w:r>
              <w:rPr>
                <w:noProof/>
                <w:webHidden/>
              </w:rPr>
              <w:tab/>
            </w:r>
            <w:r>
              <w:rPr>
                <w:noProof/>
                <w:webHidden/>
              </w:rPr>
              <w:fldChar w:fldCharType="begin"/>
            </w:r>
            <w:r>
              <w:rPr>
                <w:noProof/>
                <w:webHidden/>
              </w:rPr>
              <w:instrText xml:space="preserve"> PAGEREF _Toc229755309 \h </w:instrText>
            </w:r>
            <w:r>
              <w:rPr>
                <w:noProof/>
                <w:webHidden/>
              </w:rPr>
            </w:r>
            <w:r>
              <w:rPr>
                <w:noProof/>
                <w:webHidden/>
              </w:rPr>
              <w:fldChar w:fldCharType="separate"/>
            </w:r>
            <w:r>
              <w:rPr>
                <w:noProof/>
                <w:webHidden/>
              </w:rPr>
              <w:t>49</w:t>
            </w:r>
            <w:r>
              <w:rPr>
                <w:noProof/>
                <w:webHidden/>
              </w:rPr>
              <w:fldChar w:fldCharType="end"/>
            </w:r>
          </w:hyperlink>
        </w:p>
        <w:p w14:paraId="41BEFDA0" w14:textId="5EFB6DE6" w:rsidR="004558FA" w:rsidRDefault="004558FA">
          <w:pPr>
            <w:pStyle w:val="TOC2"/>
            <w:tabs>
              <w:tab w:val="right" w:leader="dot" w:pos="9350"/>
            </w:tabs>
            <w:rPr>
              <w:rFonts w:asciiTheme="minorHAnsi" w:hAnsiTheme="minorHAnsi"/>
              <w:noProof/>
              <w:color w:val="auto"/>
              <w:sz w:val="22"/>
              <w:lang w:val="ru-RU" w:eastAsia="ru-RU"/>
            </w:rPr>
          </w:pPr>
          <w:hyperlink w:anchor="_Toc229755310" w:history="1">
            <w:r w:rsidRPr="001F246B">
              <w:rPr>
                <w:rStyle w:val="Hyperlink"/>
                <w:rFonts w:cs="Times New Roman"/>
                <w:noProof/>
              </w:rPr>
              <w:t>4.5 Betsy: Better.com’s Voice AI Loan Assistant</w:t>
            </w:r>
            <w:r>
              <w:rPr>
                <w:noProof/>
                <w:webHidden/>
              </w:rPr>
              <w:tab/>
            </w:r>
            <w:r>
              <w:rPr>
                <w:noProof/>
                <w:webHidden/>
              </w:rPr>
              <w:fldChar w:fldCharType="begin"/>
            </w:r>
            <w:r>
              <w:rPr>
                <w:noProof/>
                <w:webHidden/>
              </w:rPr>
              <w:instrText xml:space="preserve"> PAGEREF _Toc229755310 \h </w:instrText>
            </w:r>
            <w:r>
              <w:rPr>
                <w:noProof/>
                <w:webHidden/>
              </w:rPr>
            </w:r>
            <w:r>
              <w:rPr>
                <w:noProof/>
                <w:webHidden/>
              </w:rPr>
              <w:fldChar w:fldCharType="separate"/>
            </w:r>
            <w:r>
              <w:rPr>
                <w:noProof/>
                <w:webHidden/>
              </w:rPr>
              <w:t>50</w:t>
            </w:r>
            <w:r>
              <w:rPr>
                <w:noProof/>
                <w:webHidden/>
              </w:rPr>
              <w:fldChar w:fldCharType="end"/>
            </w:r>
          </w:hyperlink>
        </w:p>
        <w:p w14:paraId="5714C6A1" w14:textId="10075356" w:rsidR="004558FA" w:rsidRDefault="004558FA">
          <w:pPr>
            <w:pStyle w:val="TOC3"/>
            <w:tabs>
              <w:tab w:val="right" w:leader="dot" w:pos="9350"/>
            </w:tabs>
            <w:rPr>
              <w:rFonts w:asciiTheme="minorHAnsi" w:hAnsiTheme="minorHAnsi"/>
              <w:noProof/>
              <w:color w:val="auto"/>
              <w:sz w:val="22"/>
              <w:lang w:val="ru-RU" w:eastAsia="ru-RU"/>
            </w:rPr>
          </w:pPr>
          <w:hyperlink w:anchor="_Toc229755311" w:history="1">
            <w:r w:rsidRPr="001F246B">
              <w:rPr>
                <w:rStyle w:val="Hyperlink"/>
                <w:rFonts w:cs="Times New Roman"/>
                <w:noProof/>
              </w:rPr>
              <w:t>4.5.1 Launch, Purpose, and Functional Role</w:t>
            </w:r>
            <w:r>
              <w:rPr>
                <w:noProof/>
                <w:webHidden/>
              </w:rPr>
              <w:tab/>
            </w:r>
            <w:r>
              <w:rPr>
                <w:noProof/>
                <w:webHidden/>
              </w:rPr>
              <w:fldChar w:fldCharType="begin"/>
            </w:r>
            <w:r>
              <w:rPr>
                <w:noProof/>
                <w:webHidden/>
              </w:rPr>
              <w:instrText xml:space="preserve"> PAGEREF _Toc229755311 \h </w:instrText>
            </w:r>
            <w:r>
              <w:rPr>
                <w:noProof/>
                <w:webHidden/>
              </w:rPr>
            </w:r>
            <w:r>
              <w:rPr>
                <w:noProof/>
                <w:webHidden/>
              </w:rPr>
              <w:fldChar w:fldCharType="separate"/>
            </w:r>
            <w:r>
              <w:rPr>
                <w:noProof/>
                <w:webHidden/>
              </w:rPr>
              <w:t>50</w:t>
            </w:r>
            <w:r>
              <w:rPr>
                <w:noProof/>
                <w:webHidden/>
              </w:rPr>
              <w:fldChar w:fldCharType="end"/>
            </w:r>
          </w:hyperlink>
        </w:p>
        <w:p w14:paraId="5314F0B8" w14:textId="71C18B01" w:rsidR="004558FA" w:rsidRDefault="004558FA">
          <w:pPr>
            <w:pStyle w:val="TOC3"/>
            <w:tabs>
              <w:tab w:val="right" w:leader="dot" w:pos="9350"/>
            </w:tabs>
            <w:rPr>
              <w:rFonts w:asciiTheme="minorHAnsi" w:hAnsiTheme="minorHAnsi"/>
              <w:noProof/>
              <w:color w:val="auto"/>
              <w:sz w:val="22"/>
              <w:lang w:val="ru-RU" w:eastAsia="ru-RU"/>
            </w:rPr>
          </w:pPr>
          <w:hyperlink w:anchor="_Toc229755312" w:history="1">
            <w:r w:rsidRPr="001F246B">
              <w:rPr>
                <w:rStyle w:val="Hyperlink"/>
                <w:rFonts w:cs="Times New Roman"/>
                <w:noProof/>
              </w:rPr>
              <w:t>4.5.2 Human-AI Collaboration Model</w:t>
            </w:r>
            <w:r>
              <w:rPr>
                <w:noProof/>
                <w:webHidden/>
              </w:rPr>
              <w:tab/>
            </w:r>
            <w:r>
              <w:rPr>
                <w:noProof/>
                <w:webHidden/>
              </w:rPr>
              <w:fldChar w:fldCharType="begin"/>
            </w:r>
            <w:r>
              <w:rPr>
                <w:noProof/>
                <w:webHidden/>
              </w:rPr>
              <w:instrText xml:space="preserve"> PAGEREF _Toc229755312 \h </w:instrText>
            </w:r>
            <w:r>
              <w:rPr>
                <w:noProof/>
                <w:webHidden/>
              </w:rPr>
            </w:r>
            <w:r>
              <w:rPr>
                <w:noProof/>
                <w:webHidden/>
              </w:rPr>
              <w:fldChar w:fldCharType="separate"/>
            </w:r>
            <w:r>
              <w:rPr>
                <w:noProof/>
                <w:webHidden/>
              </w:rPr>
              <w:t>52</w:t>
            </w:r>
            <w:r>
              <w:rPr>
                <w:noProof/>
                <w:webHidden/>
              </w:rPr>
              <w:fldChar w:fldCharType="end"/>
            </w:r>
          </w:hyperlink>
        </w:p>
        <w:p w14:paraId="6563A1B3" w14:textId="19FC2FEF" w:rsidR="004558FA" w:rsidRDefault="004558FA">
          <w:pPr>
            <w:pStyle w:val="TOC2"/>
            <w:tabs>
              <w:tab w:val="right" w:leader="dot" w:pos="9350"/>
            </w:tabs>
            <w:rPr>
              <w:rFonts w:asciiTheme="minorHAnsi" w:hAnsiTheme="minorHAnsi"/>
              <w:noProof/>
              <w:color w:val="auto"/>
              <w:sz w:val="22"/>
              <w:lang w:val="ru-RU" w:eastAsia="ru-RU"/>
            </w:rPr>
          </w:pPr>
          <w:hyperlink w:anchor="_Toc229755313" w:history="1">
            <w:r w:rsidRPr="001F246B">
              <w:rPr>
                <w:rStyle w:val="Hyperlink"/>
                <w:rFonts w:cs="Times New Roman"/>
                <w:noProof/>
              </w:rPr>
              <w:t>4.6 ElevenLabs as Voice Infrastructure Provider</w:t>
            </w:r>
            <w:r>
              <w:rPr>
                <w:noProof/>
                <w:webHidden/>
              </w:rPr>
              <w:tab/>
            </w:r>
            <w:r>
              <w:rPr>
                <w:noProof/>
                <w:webHidden/>
              </w:rPr>
              <w:fldChar w:fldCharType="begin"/>
            </w:r>
            <w:r>
              <w:rPr>
                <w:noProof/>
                <w:webHidden/>
              </w:rPr>
              <w:instrText xml:space="preserve"> PAGEREF _Toc229755313 \h </w:instrText>
            </w:r>
            <w:r>
              <w:rPr>
                <w:noProof/>
                <w:webHidden/>
              </w:rPr>
            </w:r>
            <w:r>
              <w:rPr>
                <w:noProof/>
                <w:webHidden/>
              </w:rPr>
              <w:fldChar w:fldCharType="separate"/>
            </w:r>
            <w:r>
              <w:rPr>
                <w:noProof/>
                <w:webHidden/>
              </w:rPr>
              <w:t>52</w:t>
            </w:r>
            <w:r>
              <w:rPr>
                <w:noProof/>
                <w:webHidden/>
              </w:rPr>
              <w:fldChar w:fldCharType="end"/>
            </w:r>
          </w:hyperlink>
        </w:p>
        <w:p w14:paraId="3A3F4E95" w14:textId="546476B9" w:rsidR="004558FA" w:rsidRDefault="004558FA">
          <w:pPr>
            <w:pStyle w:val="TOC2"/>
            <w:tabs>
              <w:tab w:val="right" w:leader="dot" w:pos="9350"/>
            </w:tabs>
            <w:rPr>
              <w:rFonts w:asciiTheme="minorHAnsi" w:hAnsiTheme="minorHAnsi"/>
              <w:noProof/>
              <w:color w:val="auto"/>
              <w:sz w:val="22"/>
              <w:lang w:val="ru-RU" w:eastAsia="ru-RU"/>
            </w:rPr>
          </w:pPr>
          <w:hyperlink w:anchor="_Toc229755314" w:history="1">
            <w:r w:rsidRPr="001F246B">
              <w:rPr>
                <w:rStyle w:val="Hyperlink"/>
                <w:rFonts w:cs="Times New Roman"/>
                <w:noProof/>
              </w:rPr>
              <w:t>4.7 Implementation Timeline</w:t>
            </w:r>
            <w:r>
              <w:rPr>
                <w:noProof/>
                <w:webHidden/>
              </w:rPr>
              <w:tab/>
            </w:r>
            <w:r>
              <w:rPr>
                <w:noProof/>
                <w:webHidden/>
              </w:rPr>
              <w:fldChar w:fldCharType="begin"/>
            </w:r>
            <w:r>
              <w:rPr>
                <w:noProof/>
                <w:webHidden/>
              </w:rPr>
              <w:instrText xml:space="preserve"> PAGEREF _Toc229755314 \h </w:instrText>
            </w:r>
            <w:r>
              <w:rPr>
                <w:noProof/>
                <w:webHidden/>
              </w:rPr>
            </w:r>
            <w:r>
              <w:rPr>
                <w:noProof/>
                <w:webHidden/>
              </w:rPr>
              <w:fldChar w:fldCharType="separate"/>
            </w:r>
            <w:r>
              <w:rPr>
                <w:noProof/>
                <w:webHidden/>
              </w:rPr>
              <w:t>54</w:t>
            </w:r>
            <w:r>
              <w:rPr>
                <w:noProof/>
                <w:webHidden/>
              </w:rPr>
              <w:fldChar w:fldCharType="end"/>
            </w:r>
          </w:hyperlink>
        </w:p>
        <w:p w14:paraId="29B67BF4" w14:textId="25C90072" w:rsidR="004558FA" w:rsidRDefault="004558FA">
          <w:pPr>
            <w:pStyle w:val="TOC2"/>
            <w:tabs>
              <w:tab w:val="right" w:leader="dot" w:pos="9350"/>
            </w:tabs>
            <w:rPr>
              <w:rFonts w:asciiTheme="minorHAnsi" w:hAnsiTheme="minorHAnsi"/>
              <w:noProof/>
              <w:color w:val="auto"/>
              <w:sz w:val="22"/>
              <w:lang w:val="ru-RU" w:eastAsia="ru-RU"/>
            </w:rPr>
          </w:pPr>
          <w:hyperlink w:anchor="_Toc229755315" w:history="1">
            <w:r w:rsidRPr="001F246B">
              <w:rPr>
                <w:rStyle w:val="Hyperlink"/>
                <w:rFonts w:cs="Times New Roman"/>
                <w:noProof/>
              </w:rPr>
              <w:t>4.8 Chapter Summary</w:t>
            </w:r>
            <w:r>
              <w:rPr>
                <w:noProof/>
                <w:webHidden/>
              </w:rPr>
              <w:tab/>
            </w:r>
            <w:r>
              <w:rPr>
                <w:noProof/>
                <w:webHidden/>
              </w:rPr>
              <w:fldChar w:fldCharType="begin"/>
            </w:r>
            <w:r>
              <w:rPr>
                <w:noProof/>
                <w:webHidden/>
              </w:rPr>
              <w:instrText xml:space="preserve"> PAGEREF _Toc229755315 \h </w:instrText>
            </w:r>
            <w:r>
              <w:rPr>
                <w:noProof/>
                <w:webHidden/>
              </w:rPr>
            </w:r>
            <w:r>
              <w:rPr>
                <w:noProof/>
                <w:webHidden/>
              </w:rPr>
              <w:fldChar w:fldCharType="separate"/>
            </w:r>
            <w:r>
              <w:rPr>
                <w:noProof/>
                <w:webHidden/>
              </w:rPr>
              <w:t>56</w:t>
            </w:r>
            <w:r>
              <w:rPr>
                <w:noProof/>
                <w:webHidden/>
              </w:rPr>
              <w:fldChar w:fldCharType="end"/>
            </w:r>
          </w:hyperlink>
        </w:p>
        <w:p w14:paraId="58BE009A" w14:textId="109C1250" w:rsidR="004558FA" w:rsidRDefault="004558FA">
          <w:pPr>
            <w:pStyle w:val="TOC1"/>
            <w:tabs>
              <w:tab w:val="right" w:leader="dot" w:pos="9350"/>
            </w:tabs>
            <w:rPr>
              <w:rFonts w:asciiTheme="minorHAnsi" w:hAnsiTheme="minorHAnsi"/>
              <w:noProof/>
              <w:color w:val="auto"/>
              <w:sz w:val="22"/>
              <w:lang w:val="ru-RU" w:eastAsia="ru-RU"/>
            </w:rPr>
          </w:pPr>
          <w:hyperlink w:anchor="_Toc229755316" w:history="1">
            <w:r w:rsidRPr="001F246B">
              <w:rPr>
                <w:rStyle w:val="Hyperlink"/>
                <w:rFonts w:cs="Times New Roman"/>
                <w:noProof/>
              </w:rPr>
              <w:t>5. Empirical Findings: Triangulated Evidence on the Business Value of Voice AI at Better.com</w:t>
            </w:r>
            <w:r>
              <w:rPr>
                <w:noProof/>
                <w:webHidden/>
              </w:rPr>
              <w:tab/>
            </w:r>
            <w:r>
              <w:rPr>
                <w:noProof/>
                <w:webHidden/>
              </w:rPr>
              <w:fldChar w:fldCharType="begin"/>
            </w:r>
            <w:r>
              <w:rPr>
                <w:noProof/>
                <w:webHidden/>
              </w:rPr>
              <w:instrText xml:space="preserve"> PAGEREF _Toc229755316 \h </w:instrText>
            </w:r>
            <w:r>
              <w:rPr>
                <w:noProof/>
                <w:webHidden/>
              </w:rPr>
            </w:r>
            <w:r>
              <w:rPr>
                <w:noProof/>
                <w:webHidden/>
              </w:rPr>
              <w:fldChar w:fldCharType="separate"/>
            </w:r>
            <w:r>
              <w:rPr>
                <w:noProof/>
                <w:webHidden/>
              </w:rPr>
              <w:t>57</w:t>
            </w:r>
            <w:r>
              <w:rPr>
                <w:noProof/>
                <w:webHidden/>
              </w:rPr>
              <w:fldChar w:fldCharType="end"/>
            </w:r>
          </w:hyperlink>
        </w:p>
        <w:p w14:paraId="0C2A004C" w14:textId="3F698AAD" w:rsidR="004558FA" w:rsidRDefault="004558FA">
          <w:pPr>
            <w:pStyle w:val="TOC2"/>
            <w:tabs>
              <w:tab w:val="right" w:leader="dot" w:pos="9350"/>
            </w:tabs>
            <w:rPr>
              <w:rFonts w:asciiTheme="minorHAnsi" w:hAnsiTheme="minorHAnsi"/>
              <w:noProof/>
              <w:color w:val="auto"/>
              <w:sz w:val="22"/>
              <w:lang w:val="ru-RU" w:eastAsia="ru-RU"/>
            </w:rPr>
          </w:pPr>
          <w:hyperlink w:anchor="_Toc229755317" w:history="1">
            <w:r w:rsidRPr="001F246B">
              <w:rPr>
                <w:rStyle w:val="Hyperlink"/>
                <w:rFonts w:cs="Times New Roman"/>
                <w:noProof/>
              </w:rPr>
              <w:t>5.1 Introduction to Empirical Findings</w:t>
            </w:r>
            <w:r>
              <w:rPr>
                <w:noProof/>
                <w:webHidden/>
              </w:rPr>
              <w:tab/>
            </w:r>
            <w:r>
              <w:rPr>
                <w:noProof/>
                <w:webHidden/>
              </w:rPr>
              <w:fldChar w:fldCharType="begin"/>
            </w:r>
            <w:r>
              <w:rPr>
                <w:noProof/>
                <w:webHidden/>
              </w:rPr>
              <w:instrText xml:space="preserve"> PAGEREF _Toc229755317 \h </w:instrText>
            </w:r>
            <w:r>
              <w:rPr>
                <w:noProof/>
                <w:webHidden/>
              </w:rPr>
            </w:r>
            <w:r>
              <w:rPr>
                <w:noProof/>
                <w:webHidden/>
              </w:rPr>
              <w:fldChar w:fldCharType="separate"/>
            </w:r>
            <w:r>
              <w:rPr>
                <w:noProof/>
                <w:webHidden/>
              </w:rPr>
              <w:t>57</w:t>
            </w:r>
            <w:r>
              <w:rPr>
                <w:noProof/>
                <w:webHidden/>
              </w:rPr>
              <w:fldChar w:fldCharType="end"/>
            </w:r>
          </w:hyperlink>
        </w:p>
        <w:p w14:paraId="425A09C0" w14:textId="43D0C55F" w:rsidR="004558FA" w:rsidRDefault="004558FA">
          <w:pPr>
            <w:pStyle w:val="TOC2"/>
            <w:tabs>
              <w:tab w:val="right" w:leader="dot" w:pos="9350"/>
            </w:tabs>
            <w:rPr>
              <w:rFonts w:asciiTheme="minorHAnsi" w:hAnsiTheme="minorHAnsi"/>
              <w:noProof/>
              <w:color w:val="auto"/>
              <w:sz w:val="22"/>
              <w:lang w:val="ru-RU" w:eastAsia="ru-RU"/>
            </w:rPr>
          </w:pPr>
          <w:hyperlink w:anchor="_Toc229755318" w:history="1">
            <w:r w:rsidRPr="001F246B">
              <w:rPr>
                <w:rStyle w:val="Hyperlink"/>
                <w:rFonts w:cs="Times New Roman"/>
                <w:noProof/>
              </w:rPr>
              <w:t>5.2 RQ1: Integration of Voice LLM Agents into Mortgage Origination</w:t>
            </w:r>
            <w:r>
              <w:rPr>
                <w:noProof/>
                <w:webHidden/>
              </w:rPr>
              <w:tab/>
            </w:r>
            <w:r>
              <w:rPr>
                <w:noProof/>
                <w:webHidden/>
              </w:rPr>
              <w:fldChar w:fldCharType="begin"/>
            </w:r>
            <w:r>
              <w:rPr>
                <w:noProof/>
                <w:webHidden/>
              </w:rPr>
              <w:instrText xml:space="preserve"> PAGEREF _Toc229755318 \h </w:instrText>
            </w:r>
            <w:r>
              <w:rPr>
                <w:noProof/>
                <w:webHidden/>
              </w:rPr>
            </w:r>
            <w:r>
              <w:rPr>
                <w:noProof/>
                <w:webHidden/>
              </w:rPr>
              <w:fldChar w:fldCharType="separate"/>
            </w:r>
            <w:r>
              <w:rPr>
                <w:noProof/>
                <w:webHidden/>
              </w:rPr>
              <w:t>58</w:t>
            </w:r>
            <w:r>
              <w:rPr>
                <w:noProof/>
                <w:webHidden/>
              </w:rPr>
              <w:fldChar w:fldCharType="end"/>
            </w:r>
          </w:hyperlink>
        </w:p>
        <w:p w14:paraId="1334CFB0" w14:textId="6EAC5D83" w:rsidR="004558FA" w:rsidRDefault="004558FA">
          <w:pPr>
            <w:pStyle w:val="TOC3"/>
            <w:tabs>
              <w:tab w:val="right" w:leader="dot" w:pos="9350"/>
            </w:tabs>
            <w:rPr>
              <w:rFonts w:asciiTheme="minorHAnsi" w:hAnsiTheme="minorHAnsi"/>
              <w:noProof/>
              <w:color w:val="auto"/>
              <w:sz w:val="22"/>
              <w:lang w:val="ru-RU" w:eastAsia="ru-RU"/>
            </w:rPr>
          </w:pPr>
          <w:hyperlink w:anchor="_Toc229755319" w:history="1">
            <w:r w:rsidRPr="001F246B">
              <w:rPr>
                <w:rStyle w:val="Hyperlink"/>
                <w:rFonts w:cs="Times New Roman"/>
                <w:noProof/>
              </w:rPr>
              <w:t>5.2.1 Tinman as the Architectural Prerequisite</w:t>
            </w:r>
            <w:r>
              <w:rPr>
                <w:noProof/>
                <w:webHidden/>
              </w:rPr>
              <w:tab/>
            </w:r>
            <w:r>
              <w:rPr>
                <w:noProof/>
                <w:webHidden/>
              </w:rPr>
              <w:fldChar w:fldCharType="begin"/>
            </w:r>
            <w:r>
              <w:rPr>
                <w:noProof/>
                <w:webHidden/>
              </w:rPr>
              <w:instrText xml:space="preserve"> PAGEREF _Toc229755319 \h </w:instrText>
            </w:r>
            <w:r>
              <w:rPr>
                <w:noProof/>
                <w:webHidden/>
              </w:rPr>
            </w:r>
            <w:r>
              <w:rPr>
                <w:noProof/>
                <w:webHidden/>
              </w:rPr>
              <w:fldChar w:fldCharType="separate"/>
            </w:r>
            <w:r>
              <w:rPr>
                <w:noProof/>
                <w:webHidden/>
              </w:rPr>
              <w:t>58</w:t>
            </w:r>
            <w:r>
              <w:rPr>
                <w:noProof/>
                <w:webHidden/>
              </w:rPr>
              <w:fldChar w:fldCharType="end"/>
            </w:r>
          </w:hyperlink>
        </w:p>
        <w:p w14:paraId="6C104A9B" w14:textId="21004979" w:rsidR="004558FA" w:rsidRDefault="004558FA">
          <w:pPr>
            <w:pStyle w:val="TOC3"/>
            <w:tabs>
              <w:tab w:val="right" w:leader="dot" w:pos="9350"/>
            </w:tabs>
            <w:rPr>
              <w:rFonts w:asciiTheme="minorHAnsi" w:hAnsiTheme="minorHAnsi"/>
              <w:noProof/>
              <w:color w:val="auto"/>
              <w:sz w:val="22"/>
              <w:lang w:val="ru-RU" w:eastAsia="ru-RU"/>
            </w:rPr>
          </w:pPr>
          <w:hyperlink w:anchor="_Toc229755320" w:history="1">
            <w:r w:rsidRPr="001F246B">
              <w:rPr>
                <w:rStyle w:val="Hyperlink"/>
                <w:rFonts w:cs="Times New Roman"/>
                <w:noProof/>
              </w:rPr>
              <w:t>5.2.2 Betsy as a Conversational Coordination Layer</w:t>
            </w:r>
            <w:r>
              <w:rPr>
                <w:noProof/>
                <w:webHidden/>
              </w:rPr>
              <w:tab/>
            </w:r>
            <w:r>
              <w:rPr>
                <w:noProof/>
                <w:webHidden/>
              </w:rPr>
              <w:fldChar w:fldCharType="begin"/>
            </w:r>
            <w:r>
              <w:rPr>
                <w:noProof/>
                <w:webHidden/>
              </w:rPr>
              <w:instrText xml:space="preserve"> PAGEREF _Toc229755320 \h </w:instrText>
            </w:r>
            <w:r>
              <w:rPr>
                <w:noProof/>
                <w:webHidden/>
              </w:rPr>
            </w:r>
            <w:r>
              <w:rPr>
                <w:noProof/>
                <w:webHidden/>
              </w:rPr>
              <w:fldChar w:fldCharType="separate"/>
            </w:r>
            <w:r>
              <w:rPr>
                <w:noProof/>
                <w:webHidden/>
              </w:rPr>
              <w:t>59</w:t>
            </w:r>
            <w:r>
              <w:rPr>
                <w:noProof/>
                <w:webHidden/>
              </w:rPr>
              <w:fldChar w:fldCharType="end"/>
            </w:r>
          </w:hyperlink>
        </w:p>
        <w:p w14:paraId="480B1AF0" w14:textId="4DCEE8FB" w:rsidR="004558FA" w:rsidRDefault="004558FA">
          <w:pPr>
            <w:pStyle w:val="TOC3"/>
            <w:tabs>
              <w:tab w:val="right" w:leader="dot" w:pos="9350"/>
            </w:tabs>
            <w:rPr>
              <w:rFonts w:asciiTheme="minorHAnsi" w:hAnsiTheme="minorHAnsi"/>
              <w:noProof/>
              <w:color w:val="auto"/>
              <w:sz w:val="22"/>
              <w:lang w:val="ru-RU" w:eastAsia="ru-RU"/>
            </w:rPr>
          </w:pPr>
          <w:hyperlink w:anchor="_Toc229755321" w:history="1">
            <w:r w:rsidRPr="001F246B">
              <w:rPr>
                <w:rStyle w:val="Hyperlink"/>
                <w:rFonts w:cs="Times New Roman"/>
                <w:noProof/>
              </w:rPr>
              <w:t>5.2.3 ElevenLabs as Voice Infrastructure</w:t>
            </w:r>
            <w:r>
              <w:rPr>
                <w:noProof/>
                <w:webHidden/>
              </w:rPr>
              <w:tab/>
            </w:r>
            <w:r>
              <w:rPr>
                <w:noProof/>
                <w:webHidden/>
              </w:rPr>
              <w:fldChar w:fldCharType="begin"/>
            </w:r>
            <w:r>
              <w:rPr>
                <w:noProof/>
                <w:webHidden/>
              </w:rPr>
              <w:instrText xml:space="preserve"> PAGEREF _Toc229755321 \h </w:instrText>
            </w:r>
            <w:r>
              <w:rPr>
                <w:noProof/>
                <w:webHidden/>
              </w:rPr>
            </w:r>
            <w:r>
              <w:rPr>
                <w:noProof/>
                <w:webHidden/>
              </w:rPr>
              <w:fldChar w:fldCharType="separate"/>
            </w:r>
            <w:r>
              <w:rPr>
                <w:noProof/>
                <w:webHidden/>
              </w:rPr>
              <w:t>60</w:t>
            </w:r>
            <w:r>
              <w:rPr>
                <w:noProof/>
                <w:webHidden/>
              </w:rPr>
              <w:fldChar w:fldCharType="end"/>
            </w:r>
          </w:hyperlink>
        </w:p>
        <w:p w14:paraId="6D154220" w14:textId="360CD6BD" w:rsidR="004558FA" w:rsidRDefault="004558FA">
          <w:pPr>
            <w:pStyle w:val="TOC3"/>
            <w:tabs>
              <w:tab w:val="right" w:leader="dot" w:pos="9350"/>
            </w:tabs>
            <w:rPr>
              <w:rFonts w:asciiTheme="minorHAnsi" w:hAnsiTheme="minorHAnsi"/>
              <w:noProof/>
              <w:color w:val="auto"/>
              <w:sz w:val="22"/>
              <w:lang w:val="ru-RU" w:eastAsia="ru-RU"/>
            </w:rPr>
          </w:pPr>
          <w:hyperlink w:anchor="_Toc229755322" w:history="1">
            <w:r w:rsidRPr="001F246B">
              <w:rPr>
                <w:rStyle w:val="Hyperlink"/>
                <w:rFonts w:cs="Times New Roman"/>
                <w:noProof/>
              </w:rPr>
              <w:t>5.2.4 Human-AI Collaboration and Regulated Task Boundaries</w:t>
            </w:r>
            <w:r>
              <w:rPr>
                <w:noProof/>
                <w:webHidden/>
              </w:rPr>
              <w:tab/>
            </w:r>
            <w:r>
              <w:rPr>
                <w:noProof/>
                <w:webHidden/>
              </w:rPr>
              <w:fldChar w:fldCharType="begin"/>
            </w:r>
            <w:r>
              <w:rPr>
                <w:noProof/>
                <w:webHidden/>
              </w:rPr>
              <w:instrText xml:space="preserve"> PAGEREF _Toc229755322 \h </w:instrText>
            </w:r>
            <w:r>
              <w:rPr>
                <w:noProof/>
                <w:webHidden/>
              </w:rPr>
            </w:r>
            <w:r>
              <w:rPr>
                <w:noProof/>
                <w:webHidden/>
              </w:rPr>
              <w:fldChar w:fldCharType="separate"/>
            </w:r>
            <w:r>
              <w:rPr>
                <w:noProof/>
                <w:webHidden/>
              </w:rPr>
              <w:t>61</w:t>
            </w:r>
            <w:r>
              <w:rPr>
                <w:noProof/>
                <w:webHidden/>
              </w:rPr>
              <w:fldChar w:fldCharType="end"/>
            </w:r>
          </w:hyperlink>
        </w:p>
        <w:p w14:paraId="6396B6C4" w14:textId="069FF3AF" w:rsidR="004558FA" w:rsidRDefault="004558FA">
          <w:pPr>
            <w:pStyle w:val="TOC2"/>
            <w:tabs>
              <w:tab w:val="right" w:leader="dot" w:pos="9350"/>
            </w:tabs>
            <w:rPr>
              <w:rFonts w:asciiTheme="minorHAnsi" w:hAnsiTheme="minorHAnsi"/>
              <w:noProof/>
              <w:color w:val="auto"/>
              <w:sz w:val="22"/>
              <w:lang w:val="ru-RU" w:eastAsia="ru-RU"/>
            </w:rPr>
          </w:pPr>
          <w:hyperlink w:anchor="_Toc229755323" w:history="1">
            <w:r w:rsidRPr="001F246B">
              <w:rPr>
                <w:rStyle w:val="Hyperlink"/>
                <w:rFonts w:cs="Times New Roman"/>
                <w:noProof/>
              </w:rPr>
              <w:t>5.3 RQ2: Operational and Financial Business Value</w:t>
            </w:r>
            <w:r>
              <w:rPr>
                <w:noProof/>
                <w:webHidden/>
              </w:rPr>
              <w:tab/>
            </w:r>
            <w:r>
              <w:rPr>
                <w:noProof/>
                <w:webHidden/>
              </w:rPr>
              <w:fldChar w:fldCharType="begin"/>
            </w:r>
            <w:r>
              <w:rPr>
                <w:noProof/>
                <w:webHidden/>
              </w:rPr>
              <w:instrText xml:space="preserve"> PAGEREF _Toc229755323 \h </w:instrText>
            </w:r>
            <w:r>
              <w:rPr>
                <w:noProof/>
                <w:webHidden/>
              </w:rPr>
            </w:r>
            <w:r>
              <w:rPr>
                <w:noProof/>
                <w:webHidden/>
              </w:rPr>
              <w:fldChar w:fldCharType="separate"/>
            </w:r>
            <w:r>
              <w:rPr>
                <w:noProof/>
                <w:webHidden/>
              </w:rPr>
              <w:t>61</w:t>
            </w:r>
            <w:r>
              <w:rPr>
                <w:noProof/>
                <w:webHidden/>
              </w:rPr>
              <w:fldChar w:fldCharType="end"/>
            </w:r>
          </w:hyperlink>
        </w:p>
        <w:p w14:paraId="27EE61D5" w14:textId="62DAEF24" w:rsidR="004558FA" w:rsidRDefault="004558FA">
          <w:pPr>
            <w:pStyle w:val="TOC3"/>
            <w:tabs>
              <w:tab w:val="right" w:leader="dot" w:pos="9350"/>
            </w:tabs>
            <w:rPr>
              <w:rFonts w:asciiTheme="minorHAnsi" w:hAnsiTheme="minorHAnsi"/>
              <w:noProof/>
              <w:color w:val="auto"/>
              <w:sz w:val="22"/>
              <w:lang w:val="ru-RU" w:eastAsia="ru-RU"/>
            </w:rPr>
          </w:pPr>
          <w:hyperlink w:anchor="_Toc229755324" w:history="1">
            <w:r w:rsidRPr="001F246B">
              <w:rPr>
                <w:rStyle w:val="Hyperlink"/>
                <w:rFonts w:cs="Times New Roman"/>
                <w:noProof/>
              </w:rPr>
              <w:t>5.3.1 Revenue Recovery and Post-Transition Growth</w:t>
            </w:r>
            <w:r>
              <w:rPr>
                <w:noProof/>
                <w:webHidden/>
              </w:rPr>
              <w:tab/>
            </w:r>
            <w:r>
              <w:rPr>
                <w:noProof/>
                <w:webHidden/>
              </w:rPr>
              <w:fldChar w:fldCharType="begin"/>
            </w:r>
            <w:r>
              <w:rPr>
                <w:noProof/>
                <w:webHidden/>
              </w:rPr>
              <w:instrText xml:space="preserve"> PAGEREF _Toc229755324 \h </w:instrText>
            </w:r>
            <w:r>
              <w:rPr>
                <w:noProof/>
                <w:webHidden/>
              </w:rPr>
            </w:r>
            <w:r>
              <w:rPr>
                <w:noProof/>
                <w:webHidden/>
              </w:rPr>
              <w:fldChar w:fldCharType="separate"/>
            </w:r>
            <w:r>
              <w:rPr>
                <w:noProof/>
                <w:webHidden/>
              </w:rPr>
              <w:t>63</w:t>
            </w:r>
            <w:r>
              <w:rPr>
                <w:noProof/>
                <w:webHidden/>
              </w:rPr>
              <w:fldChar w:fldCharType="end"/>
            </w:r>
          </w:hyperlink>
        </w:p>
        <w:p w14:paraId="7F2C000B" w14:textId="16DEEB78" w:rsidR="004558FA" w:rsidRDefault="004558FA">
          <w:pPr>
            <w:pStyle w:val="TOC3"/>
            <w:tabs>
              <w:tab w:val="right" w:leader="dot" w:pos="9350"/>
            </w:tabs>
            <w:rPr>
              <w:rFonts w:asciiTheme="minorHAnsi" w:hAnsiTheme="minorHAnsi"/>
              <w:noProof/>
              <w:color w:val="auto"/>
              <w:sz w:val="22"/>
              <w:lang w:val="ru-RU" w:eastAsia="ru-RU"/>
            </w:rPr>
          </w:pPr>
          <w:hyperlink w:anchor="_Toc229755325" w:history="1">
            <w:r w:rsidRPr="001F246B">
              <w:rPr>
                <w:rStyle w:val="Hyperlink"/>
                <w:rFonts w:cs="Times New Roman"/>
                <w:noProof/>
              </w:rPr>
              <w:t>5.3.2 Expense Intensity and Operational Efficiency</w:t>
            </w:r>
            <w:r>
              <w:rPr>
                <w:noProof/>
                <w:webHidden/>
              </w:rPr>
              <w:tab/>
            </w:r>
            <w:r>
              <w:rPr>
                <w:noProof/>
                <w:webHidden/>
              </w:rPr>
              <w:fldChar w:fldCharType="begin"/>
            </w:r>
            <w:r>
              <w:rPr>
                <w:noProof/>
                <w:webHidden/>
              </w:rPr>
              <w:instrText xml:space="preserve"> PAGEREF _Toc229755325 \h </w:instrText>
            </w:r>
            <w:r>
              <w:rPr>
                <w:noProof/>
                <w:webHidden/>
              </w:rPr>
            </w:r>
            <w:r>
              <w:rPr>
                <w:noProof/>
                <w:webHidden/>
              </w:rPr>
              <w:fldChar w:fldCharType="separate"/>
            </w:r>
            <w:r>
              <w:rPr>
                <w:noProof/>
                <w:webHidden/>
              </w:rPr>
              <w:t>63</w:t>
            </w:r>
            <w:r>
              <w:rPr>
                <w:noProof/>
                <w:webHidden/>
              </w:rPr>
              <w:fldChar w:fldCharType="end"/>
            </w:r>
          </w:hyperlink>
        </w:p>
        <w:p w14:paraId="560A93C4" w14:textId="15D6D21D" w:rsidR="004558FA" w:rsidRDefault="004558FA">
          <w:pPr>
            <w:pStyle w:val="TOC3"/>
            <w:tabs>
              <w:tab w:val="right" w:leader="dot" w:pos="9350"/>
            </w:tabs>
            <w:rPr>
              <w:rFonts w:asciiTheme="minorHAnsi" w:hAnsiTheme="minorHAnsi"/>
              <w:noProof/>
              <w:color w:val="auto"/>
              <w:sz w:val="22"/>
              <w:lang w:val="ru-RU" w:eastAsia="ru-RU"/>
            </w:rPr>
          </w:pPr>
          <w:hyperlink w:anchor="_Toc229755326" w:history="1">
            <w:r w:rsidRPr="001F246B">
              <w:rPr>
                <w:rStyle w:val="Hyperlink"/>
                <w:rFonts w:cs="Times New Roman"/>
                <w:noProof/>
              </w:rPr>
              <w:t>5.3.3 Net Loss Reduction and Profitability Trajectory</w:t>
            </w:r>
            <w:r>
              <w:rPr>
                <w:noProof/>
                <w:webHidden/>
              </w:rPr>
              <w:tab/>
            </w:r>
            <w:r>
              <w:rPr>
                <w:noProof/>
                <w:webHidden/>
              </w:rPr>
              <w:fldChar w:fldCharType="begin"/>
            </w:r>
            <w:r>
              <w:rPr>
                <w:noProof/>
                <w:webHidden/>
              </w:rPr>
              <w:instrText xml:space="preserve"> PAGEREF _Toc229755326 \h </w:instrText>
            </w:r>
            <w:r>
              <w:rPr>
                <w:noProof/>
                <w:webHidden/>
              </w:rPr>
            </w:r>
            <w:r>
              <w:rPr>
                <w:noProof/>
                <w:webHidden/>
              </w:rPr>
              <w:fldChar w:fldCharType="separate"/>
            </w:r>
            <w:r>
              <w:rPr>
                <w:noProof/>
                <w:webHidden/>
              </w:rPr>
              <w:t>66</w:t>
            </w:r>
            <w:r>
              <w:rPr>
                <w:noProof/>
                <w:webHidden/>
              </w:rPr>
              <w:fldChar w:fldCharType="end"/>
            </w:r>
          </w:hyperlink>
        </w:p>
        <w:p w14:paraId="6ED3A416" w14:textId="79924E01" w:rsidR="004558FA" w:rsidRDefault="004558FA">
          <w:pPr>
            <w:pStyle w:val="TOC3"/>
            <w:tabs>
              <w:tab w:val="right" w:leader="dot" w:pos="9350"/>
            </w:tabs>
            <w:rPr>
              <w:rFonts w:asciiTheme="minorHAnsi" w:hAnsiTheme="minorHAnsi"/>
              <w:noProof/>
              <w:color w:val="auto"/>
              <w:sz w:val="22"/>
              <w:lang w:val="ru-RU" w:eastAsia="ru-RU"/>
            </w:rPr>
          </w:pPr>
          <w:hyperlink w:anchor="_Toc229755327" w:history="1">
            <w:r w:rsidRPr="001F246B">
              <w:rPr>
                <w:rStyle w:val="Hyperlink"/>
                <w:rFonts w:cs="Times New Roman"/>
                <w:noProof/>
              </w:rPr>
              <w:t>5.3.4 Labour Productivity and Scalability</w:t>
            </w:r>
            <w:r>
              <w:rPr>
                <w:noProof/>
                <w:webHidden/>
              </w:rPr>
              <w:tab/>
            </w:r>
            <w:r>
              <w:rPr>
                <w:noProof/>
                <w:webHidden/>
              </w:rPr>
              <w:fldChar w:fldCharType="begin"/>
            </w:r>
            <w:r>
              <w:rPr>
                <w:noProof/>
                <w:webHidden/>
              </w:rPr>
              <w:instrText xml:space="preserve"> PAGEREF _Toc229755327 \h </w:instrText>
            </w:r>
            <w:r>
              <w:rPr>
                <w:noProof/>
                <w:webHidden/>
              </w:rPr>
            </w:r>
            <w:r>
              <w:rPr>
                <w:noProof/>
                <w:webHidden/>
              </w:rPr>
              <w:fldChar w:fldCharType="separate"/>
            </w:r>
            <w:r>
              <w:rPr>
                <w:noProof/>
                <w:webHidden/>
              </w:rPr>
              <w:t>66</w:t>
            </w:r>
            <w:r>
              <w:rPr>
                <w:noProof/>
                <w:webHidden/>
              </w:rPr>
              <w:fldChar w:fldCharType="end"/>
            </w:r>
          </w:hyperlink>
        </w:p>
        <w:p w14:paraId="484AD0AF" w14:textId="46D28F3D" w:rsidR="004558FA" w:rsidRDefault="004558FA">
          <w:pPr>
            <w:pStyle w:val="TOC3"/>
            <w:tabs>
              <w:tab w:val="right" w:leader="dot" w:pos="9350"/>
            </w:tabs>
            <w:rPr>
              <w:rFonts w:asciiTheme="minorHAnsi" w:hAnsiTheme="minorHAnsi"/>
              <w:noProof/>
              <w:color w:val="auto"/>
              <w:sz w:val="22"/>
              <w:lang w:val="ru-RU" w:eastAsia="ru-RU"/>
            </w:rPr>
          </w:pPr>
          <w:hyperlink w:anchor="_Toc229755328" w:history="1">
            <w:r w:rsidRPr="001F246B">
              <w:rPr>
                <w:rStyle w:val="Hyperlink"/>
                <w:rFonts w:cs="Times New Roman"/>
                <w:noProof/>
              </w:rPr>
              <w:t>5.3.5 Benchmark Context with Rocket Mortgage</w:t>
            </w:r>
            <w:r>
              <w:rPr>
                <w:noProof/>
                <w:webHidden/>
              </w:rPr>
              <w:tab/>
            </w:r>
            <w:r>
              <w:rPr>
                <w:noProof/>
                <w:webHidden/>
              </w:rPr>
              <w:fldChar w:fldCharType="begin"/>
            </w:r>
            <w:r>
              <w:rPr>
                <w:noProof/>
                <w:webHidden/>
              </w:rPr>
              <w:instrText xml:space="preserve"> PAGEREF _Toc229755328 \h </w:instrText>
            </w:r>
            <w:r>
              <w:rPr>
                <w:noProof/>
                <w:webHidden/>
              </w:rPr>
            </w:r>
            <w:r>
              <w:rPr>
                <w:noProof/>
                <w:webHidden/>
              </w:rPr>
              <w:fldChar w:fldCharType="separate"/>
            </w:r>
            <w:r>
              <w:rPr>
                <w:noProof/>
                <w:webHidden/>
              </w:rPr>
              <w:t>68</w:t>
            </w:r>
            <w:r>
              <w:rPr>
                <w:noProof/>
                <w:webHidden/>
              </w:rPr>
              <w:fldChar w:fldCharType="end"/>
            </w:r>
          </w:hyperlink>
        </w:p>
        <w:p w14:paraId="7934AA9A" w14:textId="17CADF56" w:rsidR="004558FA" w:rsidRDefault="004558FA">
          <w:pPr>
            <w:pStyle w:val="TOC3"/>
            <w:tabs>
              <w:tab w:val="right" w:leader="dot" w:pos="9350"/>
            </w:tabs>
            <w:rPr>
              <w:rFonts w:asciiTheme="minorHAnsi" w:hAnsiTheme="minorHAnsi"/>
              <w:noProof/>
              <w:color w:val="auto"/>
              <w:sz w:val="22"/>
              <w:lang w:val="ru-RU" w:eastAsia="ru-RU"/>
            </w:rPr>
          </w:pPr>
          <w:hyperlink w:anchor="_Toc229755329" w:history="1">
            <w:r w:rsidRPr="001F246B">
              <w:rPr>
                <w:rStyle w:val="Hyperlink"/>
                <w:rFonts w:cs="Times New Roman"/>
                <w:noProof/>
              </w:rPr>
              <w:t>5.3.6 Financial Interpretation Boundaries</w:t>
            </w:r>
            <w:r>
              <w:rPr>
                <w:noProof/>
                <w:webHidden/>
              </w:rPr>
              <w:tab/>
            </w:r>
            <w:r>
              <w:rPr>
                <w:noProof/>
                <w:webHidden/>
              </w:rPr>
              <w:fldChar w:fldCharType="begin"/>
            </w:r>
            <w:r>
              <w:rPr>
                <w:noProof/>
                <w:webHidden/>
              </w:rPr>
              <w:instrText xml:space="preserve"> PAGEREF _Toc229755329 \h </w:instrText>
            </w:r>
            <w:r>
              <w:rPr>
                <w:noProof/>
                <w:webHidden/>
              </w:rPr>
            </w:r>
            <w:r>
              <w:rPr>
                <w:noProof/>
                <w:webHidden/>
              </w:rPr>
              <w:fldChar w:fldCharType="separate"/>
            </w:r>
            <w:r>
              <w:rPr>
                <w:noProof/>
                <w:webHidden/>
              </w:rPr>
              <w:t>68</w:t>
            </w:r>
            <w:r>
              <w:rPr>
                <w:noProof/>
                <w:webHidden/>
              </w:rPr>
              <w:fldChar w:fldCharType="end"/>
            </w:r>
          </w:hyperlink>
        </w:p>
        <w:p w14:paraId="7481DEC3" w14:textId="29875509" w:rsidR="004558FA" w:rsidRDefault="004558FA">
          <w:pPr>
            <w:pStyle w:val="TOC2"/>
            <w:tabs>
              <w:tab w:val="right" w:leader="dot" w:pos="9350"/>
            </w:tabs>
            <w:rPr>
              <w:rFonts w:asciiTheme="minorHAnsi" w:hAnsiTheme="minorHAnsi"/>
              <w:noProof/>
              <w:color w:val="auto"/>
              <w:sz w:val="22"/>
              <w:lang w:val="ru-RU" w:eastAsia="ru-RU"/>
            </w:rPr>
          </w:pPr>
          <w:hyperlink w:anchor="_Toc229755330" w:history="1">
            <w:r w:rsidRPr="001F246B">
              <w:rPr>
                <w:rStyle w:val="Hyperlink"/>
                <w:rFonts w:cs="Times New Roman"/>
                <w:noProof/>
              </w:rPr>
              <w:t>5.4 RQ2: Customer Experience and NLP Evidence</w:t>
            </w:r>
            <w:r>
              <w:rPr>
                <w:noProof/>
                <w:webHidden/>
              </w:rPr>
              <w:tab/>
            </w:r>
            <w:r>
              <w:rPr>
                <w:noProof/>
                <w:webHidden/>
              </w:rPr>
              <w:fldChar w:fldCharType="begin"/>
            </w:r>
            <w:r>
              <w:rPr>
                <w:noProof/>
                <w:webHidden/>
              </w:rPr>
              <w:instrText xml:space="preserve"> PAGEREF _Toc229755330 \h </w:instrText>
            </w:r>
            <w:r>
              <w:rPr>
                <w:noProof/>
                <w:webHidden/>
              </w:rPr>
            </w:r>
            <w:r>
              <w:rPr>
                <w:noProof/>
                <w:webHidden/>
              </w:rPr>
              <w:fldChar w:fldCharType="separate"/>
            </w:r>
            <w:r>
              <w:rPr>
                <w:noProof/>
                <w:webHidden/>
              </w:rPr>
              <w:t>69</w:t>
            </w:r>
            <w:r>
              <w:rPr>
                <w:noProof/>
                <w:webHidden/>
              </w:rPr>
              <w:fldChar w:fldCharType="end"/>
            </w:r>
          </w:hyperlink>
        </w:p>
        <w:p w14:paraId="354BD2C1" w14:textId="5D788AAF" w:rsidR="004558FA" w:rsidRDefault="004558FA">
          <w:pPr>
            <w:pStyle w:val="TOC3"/>
            <w:tabs>
              <w:tab w:val="right" w:leader="dot" w:pos="9350"/>
            </w:tabs>
            <w:rPr>
              <w:rFonts w:asciiTheme="minorHAnsi" w:hAnsiTheme="minorHAnsi"/>
              <w:noProof/>
              <w:color w:val="auto"/>
              <w:sz w:val="22"/>
              <w:lang w:val="ru-RU" w:eastAsia="ru-RU"/>
            </w:rPr>
          </w:pPr>
          <w:hyperlink w:anchor="_Toc229755331" w:history="1">
            <w:r w:rsidRPr="001F246B">
              <w:rPr>
                <w:rStyle w:val="Hyperlink"/>
                <w:rFonts w:cs="Times New Roman"/>
                <w:noProof/>
              </w:rPr>
              <w:t>5.4.1 Management-Reported NPS as Medium-Reliability Evidence</w:t>
            </w:r>
            <w:r>
              <w:rPr>
                <w:noProof/>
                <w:webHidden/>
              </w:rPr>
              <w:tab/>
            </w:r>
            <w:r>
              <w:rPr>
                <w:noProof/>
                <w:webHidden/>
              </w:rPr>
              <w:fldChar w:fldCharType="begin"/>
            </w:r>
            <w:r>
              <w:rPr>
                <w:noProof/>
                <w:webHidden/>
              </w:rPr>
              <w:instrText xml:space="preserve"> PAGEREF _Toc229755331 \h </w:instrText>
            </w:r>
            <w:r>
              <w:rPr>
                <w:noProof/>
                <w:webHidden/>
              </w:rPr>
            </w:r>
            <w:r>
              <w:rPr>
                <w:noProof/>
                <w:webHidden/>
              </w:rPr>
              <w:fldChar w:fldCharType="separate"/>
            </w:r>
            <w:r>
              <w:rPr>
                <w:noProof/>
                <w:webHidden/>
              </w:rPr>
              <w:t>69</w:t>
            </w:r>
            <w:r>
              <w:rPr>
                <w:noProof/>
                <w:webHidden/>
              </w:rPr>
              <w:fldChar w:fldCharType="end"/>
            </w:r>
          </w:hyperlink>
        </w:p>
        <w:p w14:paraId="38E10FF4" w14:textId="38980788" w:rsidR="004558FA" w:rsidRDefault="004558FA">
          <w:pPr>
            <w:pStyle w:val="TOC3"/>
            <w:tabs>
              <w:tab w:val="right" w:leader="dot" w:pos="9350"/>
            </w:tabs>
            <w:rPr>
              <w:rFonts w:asciiTheme="minorHAnsi" w:hAnsiTheme="minorHAnsi"/>
              <w:noProof/>
              <w:color w:val="auto"/>
              <w:sz w:val="22"/>
              <w:lang w:val="ru-RU" w:eastAsia="ru-RU"/>
            </w:rPr>
          </w:pPr>
          <w:hyperlink w:anchor="_Toc229755332" w:history="1">
            <w:r w:rsidRPr="001F246B">
              <w:rPr>
                <w:rStyle w:val="Hyperlink"/>
                <w:rFonts w:cs="Times New Roman"/>
                <w:noProof/>
              </w:rPr>
              <w:t>5.4.2 Trustpilot Ratings and VADER Sentiment as Independent Customer Discourse</w:t>
            </w:r>
            <w:r>
              <w:rPr>
                <w:noProof/>
                <w:webHidden/>
              </w:rPr>
              <w:tab/>
            </w:r>
            <w:r>
              <w:rPr>
                <w:noProof/>
                <w:webHidden/>
              </w:rPr>
              <w:fldChar w:fldCharType="begin"/>
            </w:r>
            <w:r>
              <w:rPr>
                <w:noProof/>
                <w:webHidden/>
              </w:rPr>
              <w:instrText xml:space="preserve"> PAGEREF _Toc229755332 \h </w:instrText>
            </w:r>
            <w:r>
              <w:rPr>
                <w:noProof/>
                <w:webHidden/>
              </w:rPr>
            </w:r>
            <w:r>
              <w:rPr>
                <w:noProof/>
                <w:webHidden/>
              </w:rPr>
              <w:fldChar w:fldCharType="separate"/>
            </w:r>
            <w:r>
              <w:rPr>
                <w:noProof/>
                <w:webHidden/>
              </w:rPr>
              <w:t>69</w:t>
            </w:r>
            <w:r>
              <w:rPr>
                <w:noProof/>
                <w:webHidden/>
              </w:rPr>
              <w:fldChar w:fldCharType="end"/>
            </w:r>
          </w:hyperlink>
        </w:p>
        <w:p w14:paraId="2D2DD550" w14:textId="2743C92F" w:rsidR="004558FA" w:rsidRDefault="004558FA">
          <w:pPr>
            <w:pStyle w:val="TOC3"/>
            <w:tabs>
              <w:tab w:val="right" w:leader="dot" w:pos="9350"/>
            </w:tabs>
            <w:rPr>
              <w:rFonts w:asciiTheme="minorHAnsi" w:hAnsiTheme="minorHAnsi"/>
              <w:noProof/>
              <w:color w:val="auto"/>
              <w:sz w:val="22"/>
              <w:lang w:val="ru-RU" w:eastAsia="ru-RU"/>
            </w:rPr>
          </w:pPr>
          <w:hyperlink w:anchor="_Toc229755333" w:history="1">
            <w:r w:rsidRPr="001F246B">
              <w:rPr>
                <w:rStyle w:val="Hyperlink"/>
                <w:rFonts w:cs="Times New Roman"/>
                <w:noProof/>
              </w:rPr>
              <w:t>5.4.3 Keyword Prevalence and the AI-Invisibility Finding</w:t>
            </w:r>
            <w:r>
              <w:rPr>
                <w:noProof/>
                <w:webHidden/>
              </w:rPr>
              <w:tab/>
            </w:r>
            <w:r>
              <w:rPr>
                <w:noProof/>
                <w:webHidden/>
              </w:rPr>
              <w:fldChar w:fldCharType="begin"/>
            </w:r>
            <w:r>
              <w:rPr>
                <w:noProof/>
                <w:webHidden/>
              </w:rPr>
              <w:instrText xml:space="preserve"> PAGEREF _Toc229755333 \h </w:instrText>
            </w:r>
            <w:r>
              <w:rPr>
                <w:noProof/>
                <w:webHidden/>
              </w:rPr>
            </w:r>
            <w:r>
              <w:rPr>
                <w:noProof/>
                <w:webHidden/>
              </w:rPr>
              <w:fldChar w:fldCharType="separate"/>
            </w:r>
            <w:r>
              <w:rPr>
                <w:noProof/>
                <w:webHidden/>
              </w:rPr>
              <w:t>71</w:t>
            </w:r>
            <w:r>
              <w:rPr>
                <w:noProof/>
                <w:webHidden/>
              </w:rPr>
              <w:fldChar w:fldCharType="end"/>
            </w:r>
          </w:hyperlink>
        </w:p>
        <w:p w14:paraId="525D3773" w14:textId="1F7B8495" w:rsidR="004558FA" w:rsidRDefault="004558FA">
          <w:pPr>
            <w:pStyle w:val="TOC3"/>
            <w:tabs>
              <w:tab w:val="right" w:leader="dot" w:pos="9350"/>
            </w:tabs>
            <w:rPr>
              <w:rFonts w:asciiTheme="minorHAnsi" w:hAnsiTheme="minorHAnsi"/>
              <w:noProof/>
              <w:color w:val="auto"/>
              <w:sz w:val="22"/>
              <w:lang w:val="ru-RU" w:eastAsia="ru-RU"/>
            </w:rPr>
          </w:pPr>
          <w:hyperlink w:anchor="_Toc229755334" w:history="1">
            <w:r w:rsidRPr="001F246B">
              <w:rPr>
                <w:rStyle w:val="Hyperlink"/>
                <w:rFonts w:cs="Times New Roman"/>
                <w:noProof/>
              </w:rPr>
              <w:t>5.4.4 Topic Modelling and Product-Mix Interpretation</w:t>
            </w:r>
            <w:r>
              <w:rPr>
                <w:noProof/>
                <w:webHidden/>
              </w:rPr>
              <w:tab/>
            </w:r>
            <w:r>
              <w:rPr>
                <w:noProof/>
                <w:webHidden/>
              </w:rPr>
              <w:fldChar w:fldCharType="begin"/>
            </w:r>
            <w:r>
              <w:rPr>
                <w:noProof/>
                <w:webHidden/>
              </w:rPr>
              <w:instrText xml:space="preserve"> PAGEREF _Toc229755334 \h </w:instrText>
            </w:r>
            <w:r>
              <w:rPr>
                <w:noProof/>
                <w:webHidden/>
              </w:rPr>
            </w:r>
            <w:r>
              <w:rPr>
                <w:noProof/>
                <w:webHidden/>
              </w:rPr>
              <w:fldChar w:fldCharType="separate"/>
            </w:r>
            <w:r>
              <w:rPr>
                <w:noProof/>
                <w:webHidden/>
              </w:rPr>
              <w:t>72</w:t>
            </w:r>
            <w:r>
              <w:rPr>
                <w:noProof/>
                <w:webHidden/>
              </w:rPr>
              <w:fldChar w:fldCharType="end"/>
            </w:r>
          </w:hyperlink>
        </w:p>
        <w:p w14:paraId="5D252B5D" w14:textId="4BCA2A2C" w:rsidR="004558FA" w:rsidRDefault="004558FA">
          <w:pPr>
            <w:pStyle w:val="TOC3"/>
            <w:tabs>
              <w:tab w:val="right" w:leader="dot" w:pos="9350"/>
            </w:tabs>
            <w:rPr>
              <w:rFonts w:asciiTheme="minorHAnsi" w:hAnsiTheme="minorHAnsi"/>
              <w:noProof/>
              <w:color w:val="auto"/>
              <w:sz w:val="22"/>
              <w:lang w:val="ru-RU" w:eastAsia="ru-RU"/>
            </w:rPr>
          </w:pPr>
          <w:hyperlink w:anchor="_Toc229755335" w:history="1">
            <w:r w:rsidRPr="001F246B">
              <w:rPr>
                <w:rStyle w:val="Hyperlink"/>
                <w:rFonts w:cs="Times New Roman"/>
                <w:noProof/>
              </w:rPr>
              <w:t>5.4.5 Customer-Experience Boundaries: Synthesis for the NLP Stream</w:t>
            </w:r>
            <w:r>
              <w:rPr>
                <w:noProof/>
                <w:webHidden/>
              </w:rPr>
              <w:tab/>
            </w:r>
            <w:r>
              <w:rPr>
                <w:noProof/>
                <w:webHidden/>
              </w:rPr>
              <w:fldChar w:fldCharType="begin"/>
            </w:r>
            <w:r>
              <w:rPr>
                <w:noProof/>
                <w:webHidden/>
              </w:rPr>
              <w:instrText xml:space="preserve"> PAGEREF _Toc229755335 \h </w:instrText>
            </w:r>
            <w:r>
              <w:rPr>
                <w:noProof/>
                <w:webHidden/>
              </w:rPr>
            </w:r>
            <w:r>
              <w:rPr>
                <w:noProof/>
                <w:webHidden/>
              </w:rPr>
              <w:fldChar w:fldCharType="separate"/>
            </w:r>
            <w:r>
              <w:rPr>
                <w:noProof/>
                <w:webHidden/>
              </w:rPr>
              <w:t>74</w:t>
            </w:r>
            <w:r>
              <w:rPr>
                <w:noProof/>
                <w:webHidden/>
              </w:rPr>
              <w:fldChar w:fldCharType="end"/>
            </w:r>
          </w:hyperlink>
        </w:p>
        <w:p w14:paraId="75FD80E6" w14:textId="4B6A7DF2" w:rsidR="004558FA" w:rsidRDefault="004558FA">
          <w:pPr>
            <w:pStyle w:val="TOC2"/>
            <w:tabs>
              <w:tab w:val="right" w:leader="dot" w:pos="9350"/>
            </w:tabs>
            <w:rPr>
              <w:rFonts w:asciiTheme="minorHAnsi" w:hAnsiTheme="minorHAnsi"/>
              <w:noProof/>
              <w:color w:val="auto"/>
              <w:sz w:val="22"/>
              <w:lang w:val="ru-RU" w:eastAsia="ru-RU"/>
            </w:rPr>
          </w:pPr>
          <w:hyperlink w:anchor="_Toc229755336" w:history="1">
            <w:r w:rsidRPr="001F246B">
              <w:rPr>
                <w:rStyle w:val="Hyperlink"/>
                <w:rFonts w:cs="Times New Roman"/>
                <w:noProof/>
              </w:rPr>
              <w:t>5.5 Triangulated Interpretation</w:t>
            </w:r>
            <w:r>
              <w:rPr>
                <w:noProof/>
                <w:webHidden/>
              </w:rPr>
              <w:tab/>
            </w:r>
            <w:r>
              <w:rPr>
                <w:noProof/>
                <w:webHidden/>
              </w:rPr>
              <w:fldChar w:fldCharType="begin"/>
            </w:r>
            <w:r>
              <w:rPr>
                <w:noProof/>
                <w:webHidden/>
              </w:rPr>
              <w:instrText xml:space="preserve"> PAGEREF _Toc229755336 \h </w:instrText>
            </w:r>
            <w:r>
              <w:rPr>
                <w:noProof/>
                <w:webHidden/>
              </w:rPr>
            </w:r>
            <w:r>
              <w:rPr>
                <w:noProof/>
                <w:webHidden/>
              </w:rPr>
              <w:fldChar w:fldCharType="separate"/>
            </w:r>
            <w:r>
              <w:rPr>
                <w:noProof/>
                <w:webHidden/>
              </w:rPr>
              <w:t>74</w:t>
            </w:r>
            <w:r>
              <w:rPr>
                <w:noProof/>
                <w:webHidden/>
              </w:rPr>
              <w:fldChar w:fldCharType="end"/>
            </w:r>
          </w:hyperlink>
        </w:p>
        <w:p w14:paraId="1946E9E6" w14:textId="482739D4" w:rsidR="004558FA" w:rsidRDefault="004558FA">
          <w:pPr>
            <w:pStyle w:val="TOC2"/>
            <w:tabs>
              <w:tab w:val="right" w:leader="dot" w:pos="9350"/>
            </w:tabs>
            <w:rPr>
              <w:rFonts w:asciiTheme="minorHAnsi" w:hAnsiTheme="minorHAnsi"/>
              <w:noProof/>
              <w:color w:val="auto"/>
              <w:sz w:val="22"/>
              <w:lang w:val="ru-RU" w:eastAsia="ru-RU"/>
            </w:rPr>
          </w:pPr>
          <w:hyperlink w:anchor="_Toc229755337" w:history="1">
            <w:r w:rsidRPr="001F246B">
              <w:rPr>
                <w:rStyle w:val="Hyperlink"/>
                <w:rFonts w:cs="Times New Roman"/>
                <w:noProof/>
              </w:rPr>
              <w:t>5.6 Boundary Conditions</w:t>
            </w:r>
            <w:r>
              <w:rPr>
                <w:noProof/>
                <w:webHidden/>
              </w:rPr>
              <w:tab/>
            </w:r>
            <w:r>
              <w:rPr>
                <w:noProof/>
                <w:webHidden/>
              </w:rPr>
              <w:fldChar w:fldCharType="begin"/>
            </w:r>
            <w:r>
              <w:rPr>
                <w:noProof/>
                <w:webHidden/>
              </w:rPr>
              <w:instrText xml:space="preserve"> PAGEREF _Toc229755337 \h </w:instrText>
            </w:r>
            <w:r>
              <w:rPr>
                <w:noProof/>
                <w:webHidden/>
              </w:rPr>
            </w:r>
            <w:r>
              <w:rPr>
                <w:noProof/>
                <w:webHidden/>
              </w:rPr>
              <w:fldChar w:fldCharType="separate"/>
            </w:r>
            <w:r>
              <w:rPr>
                <w:noProof/>
                <w:webHidden/>
              </w:rPr>
              <w:t>75</w:t>
            </w:r>
            <w:r>
              <w:rPr>
                <w:noProof/>
                <w:webHidden/>
              </w:rPr>
              <w:fldChar w:fldCharType="end"/>
            </w:r>
          </w:hyperlink>
        </w:p>
        <w:p w14:paraId="5087D739" w14:textId="4F66DE3E" w:rsidR="004558FA" w:rsidRDefault="004558FA">
          <w:pPr>
            <w:pStyle w:val="TOC2"/>
            <w:tabs>
              <w:tab w:val="right" w:leader="dot" w:pos="9350"/>
            </w:tabs>
            <w:rPr>
              <w:rFonts w:asciiTheme="minorHAnsi" w:hAnsiTheme="minorHAnsi"/>
              <w:noProof/>
              <w:color w:val="auto"/>
              <w:sz w:val="22"/>
              <w:lang w:val="ru-RU" w:eastAsia="ru-RU"/>
            </w:rPr>
          </w:pPr>
          <w:hyperlink w:anchor="_Toc229755338" w:history="1">
            <w:r w:rsidRPr="001F246B">
              <w:rPr>
                <w:rStyle w:val="Hyperlink"/>
                <w:rFonts w:cs="Times New Roman"/>
                <w:noProof/>
              </w:rPr>
              <w:t>5.7 Summary of Empirical Findings</w:t>
            </w:r>
            <w:r>
              <w:rPr>
                <w:noProof/>
                <w:webHidden/>
              </w:rPr>
              <w:tab/>
            </w:r>
            <w:r>
              <w:rPr>
                <w:noProof/>
                <w:webHidden/>
              </w:rPr>
              <w:fldChar w:fldCharType="begin"/>
            </w:r>
            <w:r>
              <w:rPr>
                <w:noProof/>
                <w:webHidden/>
              </w:rPr>
              <w:instrText xml:space="preserve"> PAGEREF _Toc229755338 \h </w:instrText>
            </w:r>
            <w:r>
              <w:rPr>
                <w:noProof/>
                <w:webHidden/>
              </w:rPr>
            </w:r>
            <w:r>
              <w:rPr>
                <w:noProof/>
                <w:webHidden/>
              </w:rPr>
              <w:fldChar w:fldCharType="separate"/>
            </w:r>
            <w:r>
              <w:rPr>
                <w:noProof/>
                <w:webHidden/>
              </w:rPr>
              <w:t>76</w:t>
            </w:r>
            <w:r>
              <w:rPr>
                <w:noProof/>
                <w:webHidden/>
              </w:rPr>
              <w:fldChar w:fldCharType="end"/>
            </w:r>
          </w:hyperlink>
        </w:p>
        <w:p w14:paraId="0658882B" w14:textId="79AA717E" w:rsidR="004558FA" w:rsidRDefault="004558FA">
          <w:pPr>
            <w:pStyle w:val="TOC1"/>
            <w:tabs>
              <w:tab w:val="right" w:leader="dot" w:pos="9350"/>
            </w:tabs>
            <w:rPr>
              <w:rFonts w:asciiTheme="minorHAnsi" w:hAnsiTheme="minorHAnsi"/>
              <w:noProof/>
              <w:color w:val="auto"/>
              <w:sz w:val="22"/>
              <w:lang w:val="ru-RU" w:eastAsia="ru-RU"/>
            </w:rPr>
          </w:pPr>
          <w:hyperlink w:anchor="_Toc229755339" w:history="1">
            <w:r w:rsidRPr="001F246B">
              <w:rPr>
                <w:rStyle w:val="Hyperlink"/>
                <w:rFonts w:cs="Times New Roman"/>
                <w:noProof/>
              </w:rPr>
              <w:t>6. A Voice-AI-in-Regulated-Workflow Design Pattern</w:t>
            </w:r>
            <w:r>
              <w:rPr>
                <w:noProof/>
                <w:webHidden/>
              </w:rPr>
              <w:tab/>
            </w:r>
            <w:r>
              <w:rPr>
                <w:noProof/>
                <w:webHidden/>
              </w:rPr>
              <w:fldChar w:fldCharType="begin"/>
            </w:r>
            <w:r>
              <w:rPr>
                <w:noProof/>
                <w:webHidden/>
              </w:rPr>
              <w:instrText xml:space="preserve"> PAGEREF _Toc229755339 \h </w:instrText>
            </w:r>
            <w:r>
              <w:rPr>
                <w:noProof/>
                <w:webHidden/>
              </w:rPr>
            </w:r>
            <w:r>
              <w:rPr>
                <w:noProof/>
                <w:webHidden/>
              </w:rPr>
              <w:fldChar w:fldCharType="separate"/>
            </w:r>
            <w:r>
              <w:rPr>
                <w:noProof/>
                <w:webHidden/>
              </w:rPr>
              <w:t>77</w:t>
            </w:r>
            <w:r>
              <w:rPr>
                <w:noProof/>
                <w:webHidden/>
              </w:rPr>
              <w:fldChar w:fldCharType="end"/>
            </w:r>
          </w:hyperlink>
        </w:p>
        <w:p w14:paraId="0D6C80AA" w14:textId="70899B88" w:rsidR="004558FA" w:rsidRDefault="004558FA">
          <w:pPr>
            <w:pStyle w:val="TOC2"/>
            <w:tabs>
              <w:tab w:val="right" w:leader="dot" w:pos="9350"/>
            </w:tabs>
            <w:rPr>
              <w:rFonts w:asciiTheme="minorHAnsi" w:hAnsiTheme="minorHAnsi"/>
              <w:noProof/>
              <w:color w:val="auto"/>
              <w:sz w:val="22"/>
              <w:lang w:val="ru-RU" w:eastAsia="ru-RU"/>
            </w:rPr>
          </w:pPr>
          <w:hyperlink w:anchor="_Toc229755340" w:history="1">
            <w:r w:rsidRPr="001F246B">
              <w:rPr>
                <w:rStyle w:val="Hyperlink"/>
                <w:rFonts w:cs="Times New Roman"/>
                <w:noProof/>
              </w:rPr>
              <w:t>6.1 Introduction and Design-Science Framing</w:t>
            </w:r>
            <w:r>
              <w:rPr>
                <w:noProof/>
                <w:webHidden/>
              </w:rPr>
              <w:tab/>
            </w:r>
            <w:r>
              <w:rPr>
                <w:noProof/>
                <w:webHidden/>
              </w:rPr>
              <w:fldChar w:fldCharType="begin"/>
            </w:r>
            <w:r>
              <w:rPr>
                <w:noProof/>
                <w:webHidden/>
              </w:rPr>
              <w:instrText xml:space="preserve"> PAGEREF _Toc229755340 \h </w:instrText>
            </w:r>
            <w:r>
              <w:rPr>
                <w:noProof/>
                <w:webHidden/>
              </w:rPr>
            </w:r>
            <w:r>
              <w:rPr>
                <w:noProof/>
                <w:webHidden/>
              </w:rPr>
              <w:fldChar w:fldCharType="separate"/>
            </w:r>
            <w:r>
              <w:rPr>
                <w:noProof/>
                <w:webHidden/>
              </w:rPr>
              <w:t>77</w:t>
            </w:r>
            <w:r>
              <w:rPr>
                <w:noProof/>
                <w:webHidden/>
              </w:rPr>
              <w:fldChar w:fldCharType="end"/>
            </w:r>
          </w:hyperlink>
        </w:p>
        <w:p w14:paraId="16909F3A" w14:textId="02415FFC" w:rsidR="004558FA" w:rsidRDefault="004558FA">
          <w:pPr>
            <w:pStyle w:val="TOC2"/>
            <w:tabs>
              <w:tab w:val="right" w:leader="dot" w:pos="9350"/>
            </w:tabs>
            <w:rPr>
              <w:rFonts w:asciiTheme="minorHAnsi" w:hAnsiTheme="minorHAnsi"/>
              <w:noProof/>
              <w:color w:val="auto"/>
              <w:sz w:val="22"/>
              <w:lang w:val="ru-RU" w:eastAsia="ru-RU"/>
            </w:rPr>
          </w:pPr>
          <w:hyperlink w:anchor="_Toc229755341" w:history="1">
            <w:r w:rsidRPr="001F246B">
              <w:rPr>
                <w:rStyle w:val="Hyperlink"/>
                <w:rFonts w:cs="Times New Roman"/>
                <w:noProof/>
              </w:rPr>
              <w:t>6.2 Preconditions for Value Capture</w:t>
            </w:r>
            <w:r>
              <w:rPr>
                <w:noProof/>
                <w:webHidden/>
              </w:rPr>
              <w:tab/>
            </w:r>
            <w:r>
              <w:rPr>
                <w:noProof/>
                <w:webHidden/>
              </w:rPr>
              <w:fldChar w:fldCharType="begin"/>
            </w:r>
            <w:r>
              <w:rPr>
                <w:noProof/>
                <w:webHidden/>
              </w:rPr>
              <w:instrText xml:space="preserve"> PAGEREF _Toc229755341 \h </w:instrText>
            </w:r>
            <w:r>
              <w:rPr>
                <w:noProof/>
                <w:webHidden/>
              </w:rPr>
            </w:r>
            <w:r>
              <w:rPr>
                <w:noProof/>
                <w:webHidden/>
              </w:rPr>
              <w:fldChar w:fldCharType="separate"/>
            </w:r>
            <w:r>
              <w:rPr>
                <w:noProof/>
                <w:webHidden/>
              </w:rPr>
              <w:t>78</w:t>
            </w:r>
            <w:r>
              <w:rPr>
                <w:noProof/>
                <w:webHidden/>
              </w:rPr>
              <w:fldChar w:fldCharType="end"/>
            </w:r>
          </w:hyperlink>
        </w:p>
        <w:p w14:paraId="453920A7" w14:textId="4F2C8E3E" w:rsidR="004558FA" w:rsidRDefault="004558FA">
          <w:pPr>
            <w:pStyle w:val="TOC2"/>
            <w:tabs>
              <w:tab w:val="right" w:leader="dot" w:pos="9350"/>
            </w:tabs>
            <w:rPr>
              <w:rFonts w:asciiTheme="minorHAnsi" w:hAnsiTheme="minorHAnsi"/>
              <w:noProof/>
              <w:color w:val="auto"/>
              <w:sz w:val="22"/>
              <w:lang w:val="ru-RU" w:eastAsia="ru-RU"/>
            </w:rPr>
          </w:pPr>
          <w:hyperlink w:anchor="_Toc229755342" w:history="1">
            <w:r w:rsidRPr="001F246B">
              <w:rPr>
                <w:rStyle w:val="Hyperlink"/>
                <w:rFonts w:cs="Times New Roman"/>
                <w:noProof/>
              </w:rPr>
              <w:t>6.3 Voice-AI Architecture: Four Prerequisites</w:t>
            </w:r>
            <w:r>
              <w:rPr>
                <w:noProof/>
                <w:webHidden/>
              </w:rPr>
              <w:tab/>
            </w:r>
            <w:r>
              <w:rPr>
                <w:noProof/>
                <w:webHidden/>
              </w:rPr>
              <w:fldChar w:fldCharType="begin"/>
            </w:r>
            <w:r>
              <w:rPr>
                <w:noProof/>
                <w:webHidden/>
              </w:rPr>
              <w:instrText xml:space="preserve"> PAGEREF _Toc229755342 \h </w:instrText>
            </w:r>
            <w:r>
              <w:rPr>
                <w:noProof/>
                <w:webHidden/>
              </w:rPr>
            </w:r>
            <w:r>
              <w:rPr>
                <w:noProof/>
                <w:webHidden/>
              </w:rPr>
              <w:fldChar w:fldCharType="separate"/>
            </w:r>
            <w:r>
              <w:rPr>
                <w:noProof/>
                <w:webHidden/>
              </w:rPr>
              <w:t>78</w:t>
            </w:r>
            <w:r>
              <w:rPr>
                <w:noProof/>
                <w:webHidden/>
              </w:rPr>
              <w:fldChar w:fldCharType="end"/>
            </w:r>
          </w:hyperlink>
        </w:p>
        <w:p w14:paraId="3BA6836E" w14:textId="1DD830FE" w:rsidR="004558FA" w:rsidRDefault="004558FA">
          <w:pPr>
            <w:pStyle w:val="TOC3"/>
            <w:tabs>
              <w:tab w:val="right" w:leader="dot" w:pos="9350"/>
            </w:tabs>
            <w:rPr>
              <w:rFonts w:asciiTheme="minorHAnsi" w:hAnsiTheme="minorHAnsi"/>
              <w:noProof/>
              <w:color w:val="auto"/>
              <w:sz w:val="22"/>
              <w:lang w:val="ru-RU" w:eastAsia="ru-RU"/>
            </w:rPr>
          </w:pPr>
          <w:hyperlink w:anchor="_Toc229755343" w:history="1">
            <w:r w:rsidRPr="001F246B">
              <w:rPr>
                <w:rStyle w:val="Hyperlink"/>
                <w:rFonts w:cs="Times New Roman"/>
                <w:noProof/>
              </w:rPr>
              <w:t>6.3.1 Process-aware operating platform</w:t>
            </w:r>
            <w:r>
              <w:rPr>
                <w:noProof/>
                <w:webHidden/>
              </w:rPr>
              <w:tab/>
            </w:r>
            <w:r>
              <w:rPr>
                <w:noProof/>
                <w:webHidden/>
              </w:rPr>
              <w:fldChar w:fldCharType="begin"/>
            </w:r>
            <w:r>
              <w:rPr>
                <w:noProof/>
                <w:webHidden/>
              </w:rPr>
              <w:instrText xml:space="preserve"> PAGEREF _Toc229755343 \h </w:instrText>
            </w:r>
            <w:r>
              <w:rPr>
                <w:noProof/>
                <w:webHidden/>
              </w:rPr>
            </w:r>
            <w:r>
              <w:rPr>
                <w:noProof/>
                <w:webHidden/>
              </w:rPr>
              <w:fldChar w:fldCharType="separate"/>
            </w:r>
            <w:r>
              <w:rPr>
                <w:noProof/>
                <w:webHidden/>
              </w:rPr>
              <w:t>79</w:t>
            </w:r>
            <w:r>
              <w:rPr>
                <w:noProof/>
                <w:webHidden/>
              </w:rPr>
              <w:fldChar w:fldCharType="end"/>
            </w:r>
          </w:hyperlink>
        </w:p>
        <w:p w14:paraId="7E0CE7DA" w14:textId="06CBD72C" w:rsidR="004558FA" w:rsidRDefault="004558FA">
          <w:pPr>
            <w:pStyle w:val="TOC3"/>
            <w:tabs>
              <w:tab w:val="right" w:leader="dot" w:pos="9350"/>
            </w:tabs>
            <w:rPr>
              <w:rFonts w:asciiTheme="minorHAnsi" w:hAnsiTheme="minorHAnsi"/>
              <w:noProof/>
              <w:color w:val="auto"/>
              <w:sz w:val="22"/>
              <w:lang w:val="ru-RU" w:eastAsia="ru-RU"/>
            </w:rPr>
          </w:pPr>
          <w:hyperlink w:anchor="_Toc229755344" w:history="1">
            <w:r w:rsidRPr="001F246B">
              <w:rPr>
                <w:rStyle w:val="Hyperlink"/>
                <w:rFonts w:cs="Times New Roman"/>
                <w:noProof/>
              </w:rPr>
              <w:t>6.3.2 Coordination-layer agent scope</w:t>
            </w:r>
            <w:r>
              <w:rPr>
                <w:noProof/>
                <w:webHidden/>
              </w:rPr>
              <w:tab/>
            </w:r>
            <w:r>
              <w:rPr>
                <w:noProof/>
                <w:webHidden/>
              </w:rPr>
              <w:fldChar w:fldCharType="begin"/>
            </w:r>
            <w:r>
              <w:rPr>
                <w:noProof/>
                <w:webHidden/>
              </w:rPr>
              <w:instrText xml:space="preserve"> PAGEREF _Toc229755344 \h </w:instrText>
            </w:r>
            <w:r>
              <w:rPr>
                <w:noProof/>
                <w:webHidden/>
              </w:rPr>
            </w:r>
            <w:r>
              <w:rPr>
                <w:noProof/>
                <w:webHidden/>
              </w:rPr>
              <w:fldChar w:fldCharType="separate"/>
            </w:r>
            <w:r>
              <w:rPr>
                <w:noProof/>
                <w:webHidden/>
              </w:rPr>
              <w:t>79</w:t>
            </w:r>
            <w:r>
              <w:rPr>
                <w:noProof/>
                <w:webHidden/>
              </w:rPr>
              <w:fldChar w:fldCharType="end"/>
            </w:r>
          </w:hyperlink>
        </w:p>
        <w:p w14:paraId="50278EAE" w14:textId="2D433537" w:rsidR="004558FA" w:rsidRDefault="004558FA">
          <w:pPr>
            <w:pStyle w:val="TOC3"/>
            <w:tabs>
              <w:tab w:val="right" w:leader="dot" w:pos="9350"/>
            </w:tabs>
            <w:rPr>
              <w:rFonts w:asciiTheme="minorHAnsi" w:hAnsiTheme="minorHAnsi"/>
              <w:noProof/>
              <w:color w:val="auto"/>
              <w:sz w:val="22"/>
              <w:lang w:val="ru-RU" w:eastAsia="ru-RU"/>
            </w:rPr>
          </w:pPr>
          <w:hyperlink w:anchor="_Toc229755345" w:history="1">
            <w:r w:rsidRPr="001F246B">
              <w:rPr>
                <w:rStyle w:val="Hyperlink"/>
                <w:rFonts w:cs="Times New Roman"/>
                <w:noProof/>
              </w:rPr>
              <w:t>6.3.3 Low-latency voice infrastructure</w:t>
            </w:r>
            <w:r>
              <w:rPr>
                <w:noProof/>
                <w:webHidden/>
              </w:rPr>
              <w:tab/>
            </w:r>
            <w:r>
              <w:rPr>
                <w:noProof/>
                <w:webHidden/>
              </w:rPr>
              <w:fldChar w:fldCharType="begin"/>
            </w:r>
            <w:r>
              <w:rPr>
                <w:noProof/>
                <w:webHidden/>
              </w:rPr>
              <w:instrText xml:space="preserve"> PAGEREF _Toc229755345 \h </w:instrText>
            </w:r>
            <w:r>
              <w:rPr>
                <w:noProof/>
                <w:webHidden/>
              </w:rPr>
            </w:r>
            <w:r>
              <w:rPr>
                <w:noProof/>
                <w:webHidden/>
              </w:rPr>
              <w:fldChar w:fldCharType="separate"/>
            </w:r>
            <w:r>
              <w:rPr>
                <w:noProof/>
                <w:webHidden/>
              </w:rPr>
              <w:t>80</w:t>
            </w:r>
            <w:r>
              <w:rPr>
                <w:noProof/>
                <w:webHidden/>
              </w:rPr>
              <w:fldChar w:fldCharType="end"/>
            </w:r>
          </w:hyperlink>
        </w:p>
        <w:p w14:paraId="1899860D" w14:textId="72B89898" w:rsidR="004558FA" w:rsidRDefault="004558FA">
          <w:pPr>
            <w:pStyle w:val="TOC3"/>
            <w:tabs>
              <w:tab w:val="right" w:leader="dot" w:pos="9350"/>
            </w:tabs>
            <w:rPr>
              <w:rFonts w:asciiTheme="minorHAnsi" w:hAnsiTheme="minorHAnsi"/>
              <w:noProof/>
              <w:color w:val="auto"/>
              <w:sz w:val="22"/>
              <w:lang w:val="ru-RU" w:eastAsia="ru-RU"/>
            </w:rPr>
          </w:pPr>
          <w:hyperlink w:anchor="_Toc229755346" w:history="1">
            <w:r w:rsidRPr="001F246B">
              <w:rPr>
                <w:rStyle w:val="Hyperlink"/>
                <w:rFonts w:cs="Times New Roman"/>
                <w:noProof/>
              </w:rPr>
              <w:t>6.3.4 Auditable human escalation</w:t>
            </w:r>
            <w:r>
              <w:rPr>
                <w:noProof/>
                <w:webHidden/>
              </w:rPr>
              <w:tab/>
            </w:r>
            <w:r>
              <w:rPr>
                <w:noProof/>
                <w:webHidden/>
              </w:rPr>
              <w:fldChar w:fldCharType="begin"/>
            </w:r>
            <w:r>
              <w:rPr>
                <w:noProof/>
                <w:webHidden/>
              </w:rPr>
              <w:instrText xml:space="preserve"> PAGEREF _Toc229755346 \h </w:instrText>
            </w:r>
            <w:r>
              <w:rPr>
                <w:noProof/>
                <w:webHidden/>
              </w:rPr>
            </w:r>
            <w:r>
              <w:rPr>
                <w:noProof/>
                <w:webHidden/>
              </w:rPr>
              <w:fldChar w:fldCharType="separate"/>
            </w:r>
            <w:r>
              <w:rPr>
                <w:noProof/>
                <w:webHidden/>
              </w:rPr>
              <w:t>80</w:t>
            </w:r>
            <w:r>
              <w:rPr>
                <w:noProof/>
                <w:webHidden/>
              </w:rPr>
              <w:fldChar w:fldCharType="end"/>
            </w:r>
          </w:hyperlink>
        </w:p>
        <w:p w14:paraId="54B85638" w14:textId="697C87D2" w:rsidR="004558FA" w:rsidRDefault="004558FA">
          <w:pPr>
            <w:pStyle w:val="TOC2"/>
            <w:tabs>
              <w:tab w:val="right" w:leader="dot" w:pos="9350"/>
            </w:tabs>
            <w:rPr>
              <w:rFonts w:asciiTheme="minorHAnsi" w:hAnsiTheme="minorHAnsi"/>
              <w:noProof/>
              <w:color w:val="auto"/>
              <w:sz w:val="22"/>
              <w:lang w:val="ru-RU" w:eastAsia="ru-RU"/>
            </w:rPr>
          </w:pPr>
          <w:hyperlink w:anchor="_Toc229755347" w:history="1">
            <w:r w:rsidRPr="001F246B">
              <w:rPr>
                <w:rStyle w:val="Hyperlink"/>
                <w:rFonts w:cs="Times New Roman"/>
                <w:noProof/>
              </w:rPr>
              <w:t>6.4 Implementation Stages</w:t>
            </w:r>
            <w:r>
              <w:rPr>
                <w:noProof/>
                <w:webHidden/>
              </w:rPr>
              <w:tab/>
            </w:r>
            <w:r>
              <w:rPr>
                <w:noProof/>
                <w:webHidden/>
              </w:rPr>
              <w:fldChar w:fldCharType="begin"/>
            </w:r>
            <w:r>
              <w:rPr>
                <w:noProof/>
                <w:webHidden/>
              </w:rPr>
              <w:instrText xml:space="preserve"> PAGEREF _Toc229755347 \h </w:instrText>
            </w:r>
            <w:r>
              <w:rPr>
                <w:noProof/>
                <w:webHidden/>
              </w:rPr>
            </w:r>
            <w:r>
              <w:rPr>
                <w:noProof/>
                <w:webHidden/>
              </w:rPr>
              <w:fldChar w:fldCharType="separate"/>
            </w:r>
            <w:r>
              <w:rPr>
                <w:noProof/>
                <w:webHidden/>
              </w:rPr>
              <w:t>81</w:t>
            </w:r>
            <w:r>
              <w:rPr>
                <w:noProof/>
                <w:webHidden/>
              </w:rPr>
              <w:fldChar w:fldCharType="end"/>
            </w:r>
          </w:hyperlink>
        </w:p>
        <w:p w14:paraId="3ED096B5" w14:textId="5FDEAB55" w:rsidR="004558FA" w:rsidRDefault="004558FA">
          <w:pPr>
            <w:pStyle w:val="TOC2"/>
            <w:tabs>
              <w:tab w:val="right" w:leader="dot" w:pos="9350"/>
            </w:tabs>
            <w:rPr>
              <w:rFonts w:asciiTheme="minorHAnsi" w:hAnsiTheme="minorHAnsi"/>
              <w:noProof/>
              <w:color w:val="auto"/>
              <w:sz w:val="22"/>
              <w:lang w:val="ru-RU" w:eastAsia="ru-RU"/>
            </w:rPr>
          </w:pPr>
          <w:hyperlink w:anchor="_Toc229755348" w:history="1">
            <w:r w:rsidRPr="001F246B">
              <w:rPr>
                <w:rStyle w:val="Hyperlink"/>
                <w:rFonts w:cs="Times New Roman"/>
                <w:noProof/>
              </w:rPr>
              <w:t>6.5 Business-Value Mechanisms by Prerequisite</w:t>
            </w:r>
            <w:r>
              <w:rPr>
                <w:noProof/>
                <w:webHidden/>
              </w:rPr>
              <w:tab/>
            </w:r>
            <w:r>
              <w:rPr>
                <w:noProof/>
                <w:webHidden/>
              </w:rPr>
              <w:fldChar w:fldCharType="begin"/>
            </w:r>
            <w:r>
              <w:rPr>
                <w:noProof/>
                <w:webHidden/>
              </w:rPr>
              <w:instrText xml:space="preserve"> PAGEREF _Toc229755348 \h </w:instrText>
            </w:r>
            <w:r>
              <w:rPr>
                <w:noProof/>
                <w:webHidden/>
              </w:rPr>
            </w:r>
            <w:r>
              <w:rPr>
                <w:noProof/>
                <w:webHidden/>
              </w:rPr>
              <w:fldChar w:fldCharType="separate"/>
            </w:r>
            <w:r>
              <w:rPr>
                <w:noProof/>
                <w:webHidden/>
              </w:rPr>
              <w:t>81</w:t>
            </w:r>
            <w:r>
              <w:rPr>
                <w:noProof/>
                <w:webHidden/>
              </w:rPr>
              <w:fldChar w:fldCharType="end"/>
            </w:r>
          </w:hyperlink>
        </w:p>
        <w:p w14:paraId="63327AF6" w14:textId="14E291BE" w:rsidR="004558FA" w:rsidRDefault="004558FA">
          <w:pPr>
            <w:pStyle w:val="TOC2"/>
            <w:tabs>
              <w:tab w:val="right" w:leader="dot" w:pos="9350"/>
            </w:tabs>
            <w:rPr>
              <w:rFonts w:asciiTheme="minorHAnsi" w:hAnsiTheme="minorHAnsi"/>
              <w:noProof/>
              <w:color w:val="auto"/>
              <w:sz w:val="22"/>
              <w:lang w:val="ru-RU" w:eastAsia="ru-RU"/>
            </w:rPr>
          </w:pPr>
          <w:hyperlink w:anchor="_Toc229755349" w:history="1">
            <w:r w:rsidRPr="001F246B">
              <w:rPr>
                <w:rStyle w:val="Hyperlink"/>
                <w:rFonts w:cs="Times New Roman"/>
                <w:noProof/>
              </w:rPr>
              <w:t>6.6 Boundary Conditions</w:t>
            </w:r>
            <w:r>
              <w:rPr>
                <w:noProof/>
                <w:webHidden/>
              </w:rPr>
              <w:tab/>
            </w:r>
            <w:r>
              <w:rPr>
                <w:noProof/>
                <w:webHidden/>
              </w:rPr>
              <w:fldChar w:fldCharType="begin"/>
            </w:r>
            <w:r>
              <w:rPr>
                <w:noProof/>
                <w:webHidden/>
              </w:rPr>
              <w:instrText xml:space="preserve"> PAGEREF _Toc229755349 \h </w:instrText>
            </w:r>
            <w:r>
              <w:rPr>
                <w:noProof/>
                <w:webHidden/>
              </w:rPr>
            </w:r>
            <w:r>
              <w:rPr>
                <w:noProof/>
                <w:webHidden/>
              </w:rPr>
              <w:fldChar w:fldCharType="separate"/>
            </w:r>
            <w:r>
              <w:rPr>
                <w:noProof/>
                <w:webHidden/>
              </w:rPr>
              <w:t>82</w:t>
            </w:r>
            <w:r>
              <w:rPr>
                <w:noProof/>
                <w:webHidden/>
              </w:rPr>
              <w:fldChar w:fldCharType="end"/>
            </w:r>
          </w:hyperlink>
        </w:p>
        <w:p w14:paraId="22A42E13" w14:textId="1C290430" w:rsidR="004558FA" w:rsidRDefault="004558FA">
          <w:pPr>
            <w:pStyle w:val="TOC2"/>
            <w:tabs>
              <w:tab w:val="right" w:leader="dot" w:pos="9350"/>
            </w:tabs>
            <w:rPr>
              <w:rFonts w:asciiTheme="minorHAnsi" w:hAnsiTheme="minorHAnsi"/>
              <w:noProof/>
              <w:color w:val="auto"/>
              <w:sz w:val="22"/>
              <w:lang w:val="ru-RU" w:eastAsia="ru-RU"/>
            </w:rPr>
          </w:pPr>
          <w:hyperlink w:anchor="_Toc229755350" w:history="1">
            <w:r w:rsidRPr="001F246B">
              <w:rPr>
                <w:rStyle w:val="Hyperlink"/>
                <w:rFonts w:cs="Times New Roman"/>
                <w:noProof/>
              </w:rPr>
              <w:t>6.7 Transferability to Adjacent Regulated Settings</w:t>
            </w:r>
            <w:r>
              <w:rPr>
                <w:noProof/>
                <w:webHidden/>
              </w:rPr>
              <w:tab/>
            </w:r>
            <w:r>
              <w:rPr>
                <w:noProof/>
                <w:webHidden/>
              </w:rPr>
              <w:fldChar w:fldCharType="begin"/>
            </w:r>
            <w:r>
              <w:rPr>
                <w:noProof/>
                <w:webHidden/>
              </w:rPr>
              <w:instrText xml:space="preserve"> PAGEREF _Toc229755350 \h </w:instrText>
            </w:r>
            <w:r>
              <w:rPr>
                <w:noProof/>
                <w:webHidden/>
              </w:rPr>
            </w:r>
            <w:r>
              <w:rPr>
                <w:noProof/>
                <w:webHidden/>
              </w:rPr>
              <w:fldChar w:fldCharType="separate"/>
            </w:r>
            <w:r>
              <w:rPr>
                <w:noProof/>
                <w:webHidden/>
              </w:rPr>
              <w:t>83</w:t>
            </w:r>
            <w:r>
              <w:rPr>
                <w:noProof/>
                <w:webHidden/>
              </w:rPr>
              <w:fldChar w:fldCharType="end"/>
            </w:r>
          </w:hyperlink>
        </w:p>
        <w:p w14:paraId="0F88484D" w14:textId="2BF513B7" w:rsidR="004558FA" w:rsidRDefault="004558FA">
          <w:pPr>
            <w:pStyle w:val="TOC2"/>
            <w:tabs>
              <w:tab w:val="right" w:leader="dot" w:pos="9350"/>
            </w:tabs>
            <w:rPr>
              <w:rFonts w:asciiTheme="minorHAnsi" w:hAnsiTheme="minorHAnsi"/>
              <w:noProof/>
              <w:color w:val="auto"/>
              <w:sz w:val="22"/>
              <w:lang w:val="ru-RU" w:eastAsia="ru-RU"/>
            </w:rPr>
          </w:pPr>
          <w:hyperlink w:anchor="_Toc229755351" w:history="1">
            <w:r w:rsidRPr="001F246B">
              <w:rPr>
                <w:rStyle w:val="Hyperlink"/>
                <w:rFonts w:cs="Times New Roman"/>
                <w:noProof/>
              </w:rPr>
              <w:t>6.8 Chapter Summary</w:t>
            </w:r>
            <w:r>
              <w:rPr>
                <w:noProof/>
                <w:webHidden/>
              </w:rPr>
              <w:tab/>
            </w:r>
            <w:r>
              <w:rPr>
                <w:noProof/>
                <w:webHidden/>
              </w:rPr>
              <w:fldChar w:fldCharType="begin"/>
            </w:r>
            <w:r>
              <w:rPr>
                <w:noProof/>
                <w:webHidden/>
              </w:rPr>
              <w:instrText xml:space="preserve"> PAGEREF _Toc229755351 \h </w:instrText>
            </w:r>
            <w:r>
              <w:rPr>
                <w:noProof/>
                <w:webHidden/>
              </w:rPr>
            </w:r>
            <w:r>
              <w:rPr>
                <w:noProof/>
                <w:webHidden/>
              </w:rPr>
              <w:fldChar w:fldCharType="separate"/>
            </w:r>
            <w:r>
              <w:rPr>
                <w:noProof/>
                <w:webHidden/>
              </w:rPr>
              <w:t>83</w:t>
            </w:r>
            <w:r>
              <w:rPr>
                <w:noProof/>
                <w:webHidden/>
              </w:rPr>
              <w:fldChar w:fldCharType="end"/>
            </w:r>
          </w:hyperlink>
        </w:p>
        <w:p w14:paraId="7A4A6AB1" w14:textId="4D92BEC2" w:rsidR="004558FA" w:rsidRDefault="004558FA">
          <w:pPr>
            <w:pStyle w:val="TOC1"/>
            <w:tabs>
              <w:tab w:val="right" w:leader="dot" w:pos="9350"/>
            </w:tabs>
            <w:rPr>
              <w:rFonts w:asciiTheme="minorHAnsi" w:hAnsiTheme="minorHAnsi"/>
              <w:noProof/>
              <w:color w:val="auto"/>
              <w:sz w:val="22"/>
              <w:lang w:val="ru-RU" w:eastAsia="ru-RU"/>
            </w:rPr>
          </w:pPr>
          <w:hyperlink w:anchor="_Toc229755352" w:history="1">
            <w:r w:rsidRPr="001F246B">
              <w:rPr>
                <w:rStyle w:val="Hyperlink"/>
                <w:rFonts w:cs="Times New Roman"/>
                <w:noProof/>
              </w:rPr>
              <w:t>7. Discussion</w:t>
            </w:r>
            <w:r>
              <w:rPr>
                <w:noProof/>
                <w:webHidden/>
              </w:rPr>
              <w:tab/>
            </w:r>
            <w:r>
              <w:rPr>
                <w:noProof/>
                <w:webHidden/>
              </w:rPr>
              <w:fldChar w:fldCharType="begin"/>
            </w:r>
            <w:r>
              <w:rPr>
                <w:noProof/>
                <w:webHidden/>
              </w:rPr>
              <w:instrText xml:space="preserve"> PAGEREF _Toc229755352 \h </w:instrText>
            </w:r>
            <w:r>
              <w:rPr>
                <w:noProof/>
                <w:webHidden/>
              </w:rPr>
            </w:r>
            <w:r>
              <w:rPr>
                <w:noProof/>
                <w:webHidden/>
              </w:rPr>
              <w:fldChar w:fldCharType="separate"/>
            </w:r>
            <w:r>
              <w:rPr>
                <w:noProof/>
                <w:webHidden/>
              </w:rPr>
              <w:t>84</w:t>
            </w:r>
            <w:r>
              <w:rPr>
                <w:noProof/>
                <w:webHidden/>
              </w:rPr>
              <w:fldChar w:fldCharType="end"/>
            </w:r>
          </w:hyperlink>
        </w:p>
        <w:p w14:paraId="13EBF566" w14:textId="1BA3CA9A" w:rsidR="004558FA" w:rsidRDefault="004558FA">
          <w:pPr>
            <w:pStyle w:val="TOC2"/>
            <w:tabs>
              <w:tab w:val="right" w:leader="dot" w:pos="9350"/>
            </w:tabs>
            <w:rPr>
              <w:rFonts w:asciiTheme="minorHAnsi" w:hAnsiTheme="minorHAnsi"/>
              <w:noProof/>
              <w:color w:val="auto"/>
              <w:sz w:val="22"/>
              <w:lang w:val="ru-RU" w:eastAsia="ru-RU"/>
            </w:rPr>
          </w:pPr>
          <w:hyperlink w:anchor="_Toc229755353" w:history="1">
            <w:r w:rsidRPr="001F246B">
              <w:rPr>
                <w:rStyle w:val="Hyperlink"/>
                <w:rFonts w:cs="Times New Roman"/>
                <w:noProof/>
              </w:rPr>
              <w:t>7.1 Introduction</w:t>
            </w:r>
            <w:r>
              <w:rPr>
                <w:noProof/>
                <w:webHidden/>
              </w:rPr>
              <w:tab/>
            </w:r>
            <w:r>
              <w:rPr>
                <w:noProof/>
                <w:webHidden/>
              </w:rPr>
              <w:fldChar w:fldCharType="begin"/>
            </w:r>
            <w:r>
              <w:rPr>
                <w:noProof/>
                <w:webHidden/>
              </w:rPr>
              <w:instrText xml:space="preserve"> PAGEREF _Toc229755353 \h </w:instrText>
            </w:r>
            <w:r>
              <w:rPr>
                <w:noProof/>
                <w:webHidden/>
              </w:rPr>
            </w:r>
            <w:r>
              <w:rPr>
                <w:noProof/>
                <w:webHidden/>
              </w:rPr>
              <w:fldChar w:fldCharType="separate"/>
            </w:r>
            <w:r>
              <w:rPr>
                <w:noProof/>
                <w:webHidden/>
              </w:rPr>
              <w:t>84</w:t>
            </w:r>
            <w:r>
              <w:rPr>
                <w:noProof/>
                <w:webHidden/>
              </w:rPr>
              <w:fldChar w:fldCharType="end"/>
            </w:r>
          </w:hyperlink>
        </w:p>
        <w:p w14:paraId="5E320F83" w14:textId="395DACE5" w:rsidR="004558FA" w:rsidRDefault="004558FA">
          <w:pPr>
            <w:pStyle w:val="TOC2"/>
            <w:tabs>
              <w:tab w:val="right" w:leader="dot" w:pos="9350"/>
            </w:tabs>
            <w:rPr>
              <w:rFonts w:asciiTheme="minorHAnsi" w:hAnsiTheme="minorHAnsi"/>
              <w:noProof/>
              <w:color w:val="auto"/>
              <w:sz w:val="22"/>
              <w:lang w:val="ru-RU" w:eastAsia="ru-RU"/>
            </w:rPr>
          </w:pPr>
          <w:hyperlink w:anchor="_Toc229755354" w:history="1">
            <w:r w:rsidRPr="001F246B">
              <w:rPr>
                <w:rStyle w:val="Hyperlink"/>
                <w:rFonts w:cs="Times New Roman"/>
                <w:noProof/>
              </w:rPr>
              <w:t>7.2 Interpreting the Financial Trajectory</w:t>
            </w:r>
            <w:r>
              <w:rPr>
                <w:noProof/>
                <w:webHidden/>
              </w:rPr>
              <w:tab/>
            </w:r>
            <w:r>
              <w:rPr>
                <w:noProof/>
                <w:webHidden/>
              </w:rPr>
              <w:fldChar w:fldCharType="begin"/>
            </w:r>
            <w:r>
              <w:rPr>
                <w:noProof/>
                <w:webHidden/>
              </w:rPr>
              <w:instrText xml:space="preserve"> PAGEREF _Toc229755354 \h </w:instrText>
            </w:r>
            <w:r>
              <w:rPr>
                <w:noProof/>
                <w:webHidden/>
              </w:rPr>
            </w:r>
            <w:r>
              <w:rPr>
                <w:noProof/>
                <w:webHidden/>
              </w:rPr>
              <w:fldChar w:fldCharType="separate"/>
            </w:r>
            <w:r>
              <w:rPr>
                <w:noProof/>
                <w:webHidden/>
              </w:rPr>
              <w:t>84</w:t>
            </w:r>
            <w:r>
              <w:rPr>
                <w:noProof/>
                <w:webHidden/>
              </w:rPr>
              <w:fldChar w:fldCharType="end"/>
            </w:r>
          </w:hyperlink>
        </w:p>
        <w:p w14:paraId="4189FD0A" w14:textId="1139E30E" w:rsidR="004558FA" w:rsidRDefault="004558FA">
          <w:pPr>
            <w:pStyle w:val="TOC2"/>
            <w:tabs>
              <w:tab w:val="right" w:leader="dot" w:pos="9350"/>
            </w:tabs>
            <w:rPr>
              <w:rFonts w:asciiTheme="minorHAnsi" w:hAnsiTheme="minorHAnsi"/>
              <w:noProof/>
              <w:color w:val="auto"/>
              <w:sz w:val="22"/>
              <w:lang w:val="ru-RU" w:eastAsia="ru-RU"/>
            </w:rPr>
          </w:pPr>
          <w:hyperlink w:anchor="_Toc229755355" w:history="1">
            <w:r w:rsidRPr="001F246B">
              <w:rPr>
                <w:rStyle w:val="Hyperlink"/>
                <w:rFonts w:cs="Times New Roman"/>
                <w:noProof/>
              </w:rPr>
              <w:t>7.3 Interpreting the NPS – Trustpilot Divergence</w:t>
            </w:r>
            <w:r>
              <w:rPr>
                <w:noProof/>
                <w:webHidden/>
              </w:rPr>
              <w:tab/>
            </w:r>
            <w:r>
              <w:rPr>
                <w:noProof/>
                <w:webHidden/>
              </w:rPr>
              <w:fldChar w:fldCharType="begin"/>
            </w:r>
            <w:r>
              <w:rPr>
                <w:noProof/>
                <w:webHidden/>
              </w:rPr>
              <w:instrText xml:space="preserve"> PAGEREF _Toc229755355 \h </w:instrText>
            </w:r>
            <w:r>
              <w:rPr>
                <w:noProof/>
                <w:webHidden/>
              </w:rPr>
            </w:r>
            <w:r>
              <w:rPr>
                <w:noProof/>
                <w:webHidden/>
              </w:rPr>
              <w:fldChar w:fldCharType="separate"/>
            </w:r>
            <w:r>
              <w:rPr>
                <w:noProof/>
                <w:webHidden/>
              </w:rPr>
              <w:t>85</w:t>
            </w:r>
            <w:r>
              <w:rPr>
                <w:noProof/>
                <w:webHidden/>
              </w:rPr>
              <w:fldChar w:fldCharType="end"/>
            </w:r>
          </w:hyperlink>
        </w:p>
        <w:p w14:paraId="65BD4A6A" w14:textId="546D05FF" w:rsidR="004558FA" w:rsidRDefault="004558FA">
          <w:pPr>
            <w:pStyle w:val="TOC2"/>
            <w:tabs>
              <w:tab w:val="right" w:leader="dot" w:pos="9350"/>
            </w:tabs>
            <w:rPr>
              <w:rFonts w:asciiTheme="minorHAnsi" w:hAnsiTheme="minorHAnsi"/>
              <w:noProof/>
              <w:color w:val="auto"/>
              <w:sz w:val="22"/>
              <w:lang w:val="ru-RU" w:eastAsia="ru-RU"/>
            </w:rPr>
          </w:pPr>
          <w:hyperlink w:anchor="_Toc229755356" w:history="1">
            <w:r w:rsidRPr="001F246B">
              <w:rPr>
                <w:rStyle w:val="Hyperlink"/>
                <w:rFonts w:cs="Times New Roman"/>
                <w:noProof/>
              </w:rPr>
              <w:t>7.4 Theoretical Contributions</w:t>
            </w:r>
            <w:r>
              <w:rPr>
                <w:noProof/>
                <w:webHidden/>
              </w:rPr>
              <w:tab/>
            </w:r>
            <w:r>
              <w:rPr>
                <w:noProof/>
                <w:webHidden/>
              </w:rPr>
              <w:fldChar w:fldCharType="begin"/>
            </w:r>
            <w:r>
              <w:rPr>
                <w:noProof/>
                <w:webHidden/>
              </w:rPr>
              <w:instrText xml:space="preserve"> PAGEREF _Toc229755356 \h </w:instrText>
            </w:r>
            <w:r>
              <w:rPr>
                <w:noProof/>
                <w:webHidden/>
              </w:rPr>
            </w:r>
            <w:r>
              <w:rPr>
                <w:noProof/>
                <w:webHidden/>
              </w:rPr>
              <w:fldChar w:fldCharType="separate"/>
            </w:r>
            <w:r>
              <w:rPr>
                <w:noProof/>
                <w:webHidden/>
              </w:rPr>
              <w:t>86</w:t>
            </w:r>
            <w:r>
              <w:rPr>
                <w:noProof/>
                <w:webHidden/>
              </w:rPr>
              <w:fldChar w:fldCharType="end"/>
            </w:r>
          </w:hyperlink>
        </w:p>
        <w:p w14:paraId="29DC9FEC" w14:textId="2BD5E72E" w:rsidR="004558FA" w:rsidRDefault="004558FA">
          <w:pPr>
            <w:pStyle w:val="TOC2"/>
            <w:tabs>
              <w:tab w:val="right" w:leader="dot" w:pos="9350"/>
            </w:tabs>
            <w:rPr>
              <w:rFonts w:asciiTheme="minorHAnsi" w:hAnsiTheme="minorHAnsi"/>
              <w:noProof/>
              <w:color w:val="auto"/>
              <w:sz w:val="22"/>
              <w:lang w:val="ru-RU" w:eastAsia="ru-RU"/>
            </w:rPr>
          </w:pPr>
          <w:hyperlink w:anchor="_Toc229755357" w:history="1">
            <w:r w:rsidRPr="001F246B">
              <w:rPr>
                <w:rStyle w:val="Hyperlink"/>
                <w:rFonts w:cs="Times New Roman"/>
                <w:noProof/>
              </w:rPr>
              <w:t>7.5 Alternative Explanations and Competing Hypotheses</w:t>
            </w:r>
            <w:r>
              <w:rPr>
                <w:noProof/>
                <w:webHidden/>
              </w:rPr>
              <w:tab/>
            </w:r>
            <w:r>
              <w:rPr>
                <w:noProof/>
                <w:webHidden/>
              </w:rPr>
              <w:fldChar w:fldCharType="begin"/>
            </w:r>
            <w:r>
              <w:rPr>
                <w:noProof/>
                <w:webHidden/>
              </w:rPr>
              <w:instrText xml:space="preserve"> PAGEREF _Toc229755357 \h </w:instrText>
            </w:r>
            <w:r>
              <w:rPr>
                <w:noProof/>
                <w:webHidden/>
              </w:rPr>
            </w:r>
            <w:r>
              <w:rPr>
                <w:noProof/>
                <w:webHidden/>
              </w:rPr>
              <w:fldChar w:fldCharType="separate"/>
            </w:r>
            <w:r>
              <w:rPr>
                <w:noProof/>
                <w:webHidden/>
              </w:rPr>
              <w:t>87</w:t>
            </w:r>
            <w:r>
              <w:rPr>
                <w:noProof/>
                <w:webHidden/>
              </w:rPr>
              <w:fldChar w:fldCharType="end"/>
            </w:r>
          </w:hyperlink>
        </w:p>
        <w:p w14:paraId="0FEFEB4B" w14:textId="38C95D23" w:rsidR="004558FA" w:rsidRDefault="004558FA">
          <w:pPr>
            <w:pStyle w:val="TOC2"/>
            <w:tabs>
              <w:tab w:val="right" w:leader="dot" w:pos="9350"/>
            </w:tabs>
            <w:rPr>
              <w:rFonts w:asciiTheme="minorHAnsi" w:hAnsiTheme="minorHAnsi"/>
              <w:noProof/>
              <w:color w:val="auto"/>
              <w:sz w:val="22"/>
              <w:lang w:val="ru-RU" w:eastAsia="ru-RU"/>
            </w:rPr>
          </w:pPr>
          <w:hyperlink w:anchor="_Toc229755358" w:history="1">
            <w:r w:rsidRPr="001F246B">
              <w:rPr>
                <w:rStyle w:val="Hyperlink"/>
                <w:rFonts w:cs="Times New Roman"/>
                <w:noProof/>
              </w:rPr>
              <w:t>7.6 Practical Implications</w:t>
            </w:r>
            <w:r>
              <w:rPr>
                <w:noProof/>
                <w:webHidden/>
              </w:rPr>
              <w:tab/>
            </w:r>
            <w:r>
              <w:rPr>
                <w:noProof/>
                <w:webHidden/>
              </w:rPr>
              <w:fldChar w:fldCharType="begin"/>
            </w:r>
            <w:r>
              <w:rPr>
                <w:noProof/>
                <w:webHidden/>
              </w:rPr>
              <w:instrText xml:space="preserve"> PAGEREF _Toc229755358 \h </w:instrText>
            </w:r>
            <w:r>
              <w:rPr>
                <w:noProof/>
                <w:webHidden/>
              </w:rPr>
            </w:r>
            <w:r>
              <w:rPr>
                <w:noProof/>
                <w:webHidden/>
              </w:rPr>
              <w:fldChar w:fldCharType="separate"/>
            </w:r>
            <w:r>
              <w:rPr>
                <w:noProof/>
                <w:webHidden/>
              </w:rPr>
              <w:t>88</w:t>
            </w:r>
            <w:r>
              <w:rPr>
                <w:noProof/>
                <w:webHidden/>
              </w:rPr>
              <w:fldChar w:fldCharType="end"/>
            </w:r>
          </w:hyperlink>
        </w:p>
        <w:p w14:paraId="02224576" w14:textId="4A50EEDE" w:rsidR="004558FA" w:rsidRDefault="004558FA">
          <w:pPr>
            <w:pStyle w:val="TOC2"/>
            <w:tabs>
              <w:tab w:val="right" w:leader="dot" w:pos="9350"/>
            </w:tabs>
            <w:rPr>
              <w:rFonts w:asciiTheme="minorHAnsi" w:hAnsiTheme="minorHAnsi"/>
              <w:noProof/>
              <w:color w:val="auto"/>
              <w:sz w:val="22"/>
              <w:lang w:val="ru-RU" w:eastAsia="ru-RU"/>
            </w:rPr>
          </w:pPr>
          <w:hyperlink w:anchor="_Toc229755359" w:history="1">
            <w:r w:rsidRPr="001F246B">
              <w:rPr>
                <w:rStyle w:val="Hyperlink"/>
                <w:rFonts w:cs="Times New Roman"/>
                <w:noProof/>
              </w:rPr>
              <w:t>7.7 Chapter Summary</w:t>
            </w:r>
            <w:r>
              <w:rPr>
                <w:noProof/>
                <w:webHidden/>
              </w:rPr>
              <w:tab/>
            </w:r>
            <w:r>
              <w:rPr>
                <w:noProof/>
                <w:webHidden/>
              </w:rPr>
              <w:fldChar w:fldCharType="begin"/>
            </w:r>
            <w:r>
              <w:rPr>
                <w:noProof/>
                <w:webHidden/>
              </w:rPr>
              <w:instrText xml:space="preserve"> PAGEREF _Toc229755359 \h </w:instrText>
            </w:r>
            <w:r>
              <w:rPr>
                <w:noProof/>
                <w:webHidden/>
              </w:rPr>
            </w:r>
            <w:r>
              <w:rPr>
                <w:noProof/>
                <w:webHidden/>
              </w:rPr>
              <w:fldChar w:fldCharType="separate"/>
            </w:r>
            <w:r>
              <w:rPr>
                <w:noProof/>
                <w:webHidden/>
              </w:rPr>
              <w:t>89</w:t>
            </w:r>
            <w:r>
              <w:rPr>
                <w:noProof/>
                <w:webHidden/>
              </w:rPr>
              <w:fldChar w:fldCharType="end"/>
            </w:r>
          </w:hyperlink>
        </w:p>
        <w:p w14:paraId="77CF6F98" w14:textId="46A8D3FF" w:rsidR="004558FA" w:rsidRDefault="004558FA">
          <w:pPr>
            <w:pStyle w:val="TOC1"/>
            <w:tabs>
              <w:tab w:val="right" w:leader="dot" w:pos="9350"/>
            </w:tabs>
            <w:rPr>
              <w:rFonts w:asciiTheme="minorHAnsi" w:hAnsiTheme="minorHAnsi"/>
              <w:noProof/>
              <w:color w:val="auto"/>
              <w:sz w:val="22"/>
              <w:lang w:val="ru-RU" w:eastAsia="ru-RU"/>
            </w:rPr>
          </w:pPr>
          <w:hyperlink w:anchor="_Toc229755360" w:history="1">
            <w:r w:rsidRPr="001F246B">
              <w:rPr>
                <w:rStyle w:val="Hyperlink"/>
                <w:rFonts w:cs="Times New Roman"/>
                <w:noProof/>
              </w:rPr>
              <w:t>8. Limitations</w:t>
            </w:r>
            <w:r>
              <w:rPr>
                <w:noProof/>
                <w:webHidden/>
              </w:rPr>
              <w:tab/>
            </w:r>
            <w:r>
              <w:rPr>
                <w:noProof/>
                <w:webHidden/>
              </w:rPr>
              <w:fldChar w:fldCharType="begin"/>
            </w:r>
            <w:r>
              <w:rPr>
                <w:noProof/>
                <w:webHidden/>
              </w:rPr>
              <w:instrText xml:space="preserve"> PAGEREF _Toc229755360 \h </w:instrText>
            </w:r>
            <w:r>
              <w:rPr>
                <w:noProof/>
                <w:webHidden/>
              </w:rPr>
            </w:r>
            <w:r>
              <w:rPr>
                <w:noProof/>
                <w:webHidden/>
              </w:rPr>
              <w:fldChar w:fldCharType="separate"/>
            </w:r>
            <w:r>
              <w:rPr>
                <w:noProof/>
                <w:webHidden/>
              </w:rPr>
              <w:t>89</w:t>
            </w:r>
            <w:r>
              <w:rPr>
                <w:noProof/>
                <w:webHidden/>
              </w:rPr>
              <w:fldChar w:fldCharType="end"/>
            </w:r>
          </w:hyperlink>
        </w:p>
        <w:p w14:paraId="6BF90F1B" w14:textId="480F5FA9" w:rsidR="004558FA" w:rsidRDefault="004558FA">
          <w:pPr>
            <w:pStyle w:val="TOC2"/>
            <w:tabs>
              <w:tab w:val="right" w:leader="dot" w:pos="9350"/>
            </w:tabs>
            <w:rPr>
              <w:rFonts w:asciiTheme="minorHAnsi" w:hAnsiTheme="minorHAnsi"/>
              <w:noProof/>
              <w:color w:val="auto"/>
              <w:sz w:val="22"/>
              <w:lang w:val="ru-RU" w:eastAsia="ru-RU"/>
            </w:rPr>
          </w:pPr>
          <w:hyperlink w:anchor="_Toc229755361" w:history="1">
            <w:r w:rsidRPr="001F246B">
              <w:rPr>
                <w:rStyle w:val="Hyperlink"/>
                <w:rFonts w:cs="Times New Roman"/>
                <w:noProof/>
              </w:rPr>
              <w:t>8.1 Introduction</w:t>
            </w:r>
            <w:r>
              <w:rPr>
                <w:noProof/>
                <w:webHidden/>
              </w:rPr>
              <w:tab/>
            </w:r>
            <w:r>
              <w:rPr>
                <w:noProof/>
                <w:webHidden/>
              </w:rPr>
              <w:fldChar w:fldCharType="begin"/>
            </w:r>
            <w:r>
              <w:rPr>
                <w:noProof/>
                <w:webHidden/>
              </w:rPr>
              <w:instrText xml:space="preserve"> PAGEREF _Toc229755361 \h </w:instrText>
            </w:r>
            <w:r>
              <w:rPr>
                <w:noProof/>
                <w:webHidden/>
              </w:rPr>
            </w:r>
            <w:r>
              <w:rPr>
                <w:noProof/>
                <w:webHidden/>
              </w:rPr>
              <w:fldChar w:fldCharType="separate"/>
            </w:r>
            <w:r>
              <w:rPr>
                <w:noProof/>
                <w:webHidden/>
              </w:rPr>
              <w:t>89</w:t>
            </w:r>
            <w:r>
              <w:rPr>
                <w:noProof/>
                <w:webHidden/>
              </w:rPr>
              <w:fldChar w:fldCharType="end"/>
            </w:r>
          </w:hyperlink>
        </w:p>
        <w:p w14:paraId="4CC57D83" w14:textId="3C8DA292" w:rsidR="004558FA" w:rsidRDefault="004558FA">
          <w:pPr>
            <w:pStyle w:val="TOC2"/>
            <w:tabs>
              <w:tab w:val="right" w:leader="dot" w:pos="9350"/>
            </w:tabs>
            <w:rPr>
              <w:rFonts w:asciiTheme="minorHAnsi" w:hAnsiTheme="minorHAnsi"/>
              <w:noProof/>
              <w:color w:val="auto"/>
              <w:sz w:val="22"/>
              <w:lang w:val="ru-RU" w:eastAsia="ru-RU"/>
            </w:rPr>
          </w:pPr>
          <w:hyperlink w:anchor="_Toc229755362" w:history="1">
            <w:r w:rsidRPr="001F246B">
              <w:rPr>
                <w:rStyle w:val="Hyperlink"/>
                <w:rFonts w:cs="Times New Roman"/>
                <w:noProof/>
              </w:rPr>
              <w:t>8.2 No Causal Identification</w:t>
            </w:r>
            <w:r>
              <w:rPr>
                <w:noProof/>
                <w:webHidden/>
              </w:rPr>
              <w:tab/>
            </w:r>
            <w:r>
              <w:rPr>
                <w:noProof/>
                <w:webHidden/>
              </w:rPr>
              <w:fldChar w:fldCharType="begin"/>
            </w:r>
            <w:r>
              <w:rPr>
                <w:noProof/>
                <w:webHidden/>
              </w:rPr>
              <w:instrText xml:space="preserve"> PAGEREF _Toc229755362 \h </w:instrText>
            </w:r>
            <w:r>
              <w:rPr>
                <w:noProof/>
                <w:webHidden/>
              </w:rPr>
            </w:r>
            <w:r>
              <w:rPr>
                <w:noProof/>
                <w:webHidden/>
              </w:rPr>
              <w:fldChar w:fldCharType="separate"/>
            </w:r>
            <w:r>
              <w:rPr>
                <w:noProof/>
                <w:webHidden/>
              </w:rPr>
              <w:t>89</w:t>
            </w:r>
            <w:r>
              <w:rPr>
                <w:noProof/>
                <w:webHidden/>
              </w:rPr>
              <w:fldChar w:fldCharType="end"/>
            </w:r>
          </w:hyperlink>
        </w:p>
        <w:p w14:paraId="4F6CEA6C" w14:textId="0D2DEFB9" w:rsidR="004558FA" w:rsidRDefault="004558FA">
          <w:pPr>
            <w:pStyle w:val="TOC2"/>
            <w:tabs>
              <w:tab w:val="right" w:leader="dot" w:pos="9350"/>
            </w:tabs>
            <w:rPr>
              <w:rFonts w:asciiTheme="minorHAnsi" w:hAnsiTheme="minorHAnsi"/>
              <w:noProof/>
              <w:color w:val="auto"/>
              <w:sz w:val="22"/>
              <w:lang w:val="ru-RU" w:eastAsia="ru-RU"/>
            </w:rPr>
          </w:pPr>
          <w:hyperlink w:anchor="_Toc229755363" w:history="1">
            <w:r w:rsidRPr="001F246B">
              <w:rPr>
                <w:rStyle w:val="Hyperlink"/>
                <w:rFonts w:cs="Times New Roman"/>
                <w:noProof/>
              </w:rPr>
              <w:t>8.3 Annual Financial Granularity</w:t>
            </w:r>
            <w:r>
              <w:rPr>
                <w:noProof/>
                <w:webHidden/>
              </w:rPr>
              <w:tab/>
            </w:r>
            <w:r>
              <w:rPr>
                <w:noProof/>
                <w:webHidden/>
              </w:rPr>
              <w:fldChar w:fldCharType="begin"/>
            </w:r>
            <w:r>
              <w:rPr>
                <w:noProof/>
                <w:webHidden/>
              </w:rPr>
              <w:instrText xml:space="preserve"> PAGEREF _Toc229755363 \h </w:instrText>
            </w:r>
            <w:r>
              <w:rPr>
                <w:noProof/>
                <w:webHidden/>
              </w:rPr>
            </w:r>
            <w:r>
              <w:rPr>
                <w:noProof/>
                <w:webHidden/>
              </w:rPr>
              <w:fldChar w:fldCharType="separate"/>
            </w:r>
            <w:r>
              <w:rPr>
                <w:noProof/>
                <w:webHidden/>
              </w:rPr>
              <w:t>90</w:t>
            </w:r>
            <w:r>
              <w:rPr>
                <w:noProof/>
                <w:webHidden/>
              </w:rPr>
              <w:fldChar w:fldCharType="end"/>
            </w:r>
          </w:hyperlink>
        </w:p>
        <w:p w14:paraId="206A174A" w14:textId="395BFBDA" w:rsidR="004558FA" w:rsidRDefault="004558FA">
          <w:pPr>
            <w:pStyle w:val="TOC2"/>
            <w:tabs>
              <w:tab w:val="right" w:leader="dot" w:pos="9350"/>
            </w:tabs>
            <w:rPr>
              <w:rFonts w:asciiTheme="minorHAnsi" w:hAnsiTheme="minorHAnsi"/>
              <w:noProof/>
              <w:color w:val="auto"/>
              <w:sz w:val="22"/>
              <w:lang w:val="ru-RU" w:eastAsia="ru-RU"/>
            </w:rPr>
          </w:pPr>
          <w:hyperlink w:anchor="_Toc229755364" w:history="1">
            <w:r w:rsidRPr="001F246B">
              <w:rPr>
                <w:rStyle w:val="Hyperlink"/>
                <w:rFonts w:cs="Times New Roman"/>
                <w:noProof/>
              </w:rPr>
              <w:t>8.4 Reliance on Public-Data and Single-Vendor Sources</w:t>
            </w:r>
            <w:r>
              <w:rPr>
                <w:noProof/>
                <w:webHidden/>
              </w:rPr>
              <w:tab/>
            </w:r>
            <w:r>
              <w:rPr>
                <w:noProof/>
                <w:webHidden/>
              </w:rPr>
              <w:fldChar w:fldCharType="begin"/>
            </w:r>
            <w:r>
              <w:rPr>
                <w:noProof/>
                <w:webHidden/>
              </w:rPr>
              <w:instrText xml:space="preserve"> PAGEREF _Toc229755364 \h </w:instrText>
            </w:r>
            <w:r>
              <w:rPr>
                <w:noProof/>
                <w:webHidden/>
              </w:rPr>
            </w:r>
            <w:r>
              <w:rPr>
                <w:noProof/>
                <w:webHidden/>
              </w:rPr>
              <w:fldChar w:fldCharType="separate"/>
            </w:r>
            <w:r>
              <w:rPr>
                <w:noProof/>
                <w:webHidden/>
              </w:rPr>
              <w:t>90</w:t>
            </w:r>
            <w:r>
              <w:rPr>
                <w:noProof/>
                <w:webHidden/>
              </w:rPr>
              <w:fldChar w:fldCharType="end"/>
            </w:r>
          </w:hyperlink>
        </w:p>
        <w:p w14:paraId="210C347F" w14:textId="01756AF3" w:rsidR="004558FA" w:rsidRDefault="004558FA">
          <w:pPr>
            <w:pStyle w:val="TOC2"/>
            <w:tabs>
              <w:tab w:val="right" w:leader="dot" w:pos="9350"/>
            </w:tabs>
            <w:rPr>
              <w:rFonts w:asciiTheme="minorHAnsi" w:hAnsiTheme="minorHAnsi"/>
              <w:noProof/>
              <w:color w:val="auto"/>
              <w:sz w:val="22"/>
              <w:lang w:val="ru-RU" w:eastAsia="ru-RU"/>
            </w:rPr>
          </w:pPr>
          <w:hyperlink w:anchor="_Toc229755365" w:history="1">
            <w:r w:rsidRPr="001F246B">
              <w:rPr>
                <w:rStyle w:val="Hyperlink"/>
                <w:rFonts w:cs="Times New Roman"/>
                <w:noProof/>
              </w:rPr>
              <w:t>8.5 Single-Case Generalisability</w:t>
            </w:r>
            <w:r>
              <w:rPr>
                <w:noProof/>
                <w:webHidden/>
              </w:rPr>
              <w:tab/>
            </w:r>
            <w:r>
              <w:rPr>
                <w:noProof/>
                <w:webHidden/>
              </w:rPr>
              <w:fldChar w:fldCharType="begin"/>
            </w:r>
            <w:r>
              <w:rPr>
                <w:noProof/>
                <w:webHidden/>
              </w:rPr>
              <w:instrText xml:space="preserve"> PAGEREF _Toc229755365 \h </w:instrText>
            </w:r>
            <w:r>
              <w:rPr>
                <w:noProof/>
                <w:webHidden/>
              </w:rPr>
            </w:r>
            <w:r>
              <w:rPr>
                <w:noProof/>
                <w:webHidden/>
              </w:rPr>
              <w:fldChar w:fldCharType="separate"/>
            </w:r>
            <w:r>
              <w:rPr>
                <w:noProof/>
                <w:webHidden/>
              </w:rPr>
              <w:t>91</w:t>
            </w:r>
            <w:r>
              <w:rPr>
                <w:noProof/>
                <w:webHidden/>
              </w:rPr>
              <w:fldChar w:fldCharType="end"/>
            </w:r>
          </w:hyperlink>
        </w:p>
        <w:p w14:paraId="6C46B1F8" w14:textId="3C22FDAD" w:rsidR="004558FA" w:rsidRDefault="004558FA">
          <w:pPr>
            <w:pStyle w:val="TOC2"/>
            <w:tabs>
              <w:tab w:val="right" w:leader="dot" w:pos="9350"/>
            </w:tabs>
            <w:rPr>
              <w:rFonts w:asciiTheme="minorHAnsi" w:hAnsiTheme="minorHAnsi"/>
              <w:noProof/>
              <w:color w:val="auto"/>
              <w:sz w:val="22"/>
              <w:lang w:val="ru-RU" w:eastAsia="ru-RU"/>
            </w:rPr>
          </w:pPr>
          <w:hyperlink w:anchor="_Toc229755366" w:history="1">
            <w:r w:rsidRPr="001F246B">
              <w:rPr>
                <w:rStyle w:val="Hyperlink"/>
                <w:rFonts w:cs="Times New Roman"/>
                <w:noProof/>
              </w:rPr>
              <w:t>8.6 Trustpilot Self-Selection and Pre/Post Imbalance</w:t>
            </w:r>
            <w:r>
              <w:rPr>
                <w:noProof/>
                <w:webHidden/>
              </w:rPr>
              <w:tab/>
            </w:r>
            <w:r>
              <w:rPr>
                <w:noProof/>
                <w:webHidden/>
              </w:rPr>
              <w:fldChar w:fldCharType="begin"/>
            </w:r>
            <w:r>
              <w:rPr>
                <w:noProof/>
                <w:webHidden/>
              </w:rPr>
              <w:instrText xml:space="preserve"> PAGEREF _Toc229755366 \h </w:instrText>
            </w:r>
            <w:r>
              <w:rPr>
                <w:noProof/>
                <w:webHidden/>
              </w:rPr>
            </w:r>
            <w:r>
              <w:rPr>
                <w:noProof/>
                <w:webHidden/>
              </w:rPr>
              <w:fldChar w:fldCharType="separate"/>
            </w:r>
            <w:r>
              <w:rPr>
                <w:noProof/>
                <w:webHidden/>
              </w:rPr>
              <w:t>91</w:t>
            </w:r>
            <w:r>
              <w:rPr>
                <w:noProof/>
                <w:webHidden/>
              </w:rPr>
              <w:fldChar w:fldCharType="end"/>
            </w:r>
          </w:hyperlink>
        </w:p>
        <w:p w14:paraId="6F265C05" w14:textId="10F29D97" w:rsidR="004558FA" w:rsidRDefault="004558FA">
          <w:pPr>
            <w:pStyle w:val="TOC2"/>
            <w:tabs>
              <w:tab w:val="right" w:leader="dot" w:pos="9350"/>
            </w:tabs>
            <w:rPr>
              <w:rFonts w:asciiTheme="minorHAnsi" w:hAnsiTheme="minorHAnsi"/>
              <w:noProof/>
              <w:color w:val="auto"/>
              <w:sz w:val="22"/>
              <w:lang w:val="ru-RU" w:eastAsia="ru-RU"/>
            </w:rPr>
          </w:pPr>
          <w:hyperlink w:anchor="_Toc229755367" w:history="1">
            <w:r w:rsidRPr="001F246B">
              <w:rPr>
                <w:rStyle w:val="Hyperlink"/>
                <w:rFonts w:cs="Times New Roman"/>
                <w:noProof/>
              </w:rPr>
              <w:t>8.7 Topic-Modelling Sensitivity</w:t>
            </w:r>
            <w:r>
              <w:rPr>
                <w:noProof/>
                <w:webHidden/>
              </w:rPr>
              <w:tab/>
            </w:r>
            <w:r>
              <w:rPr>
                <w:noProof/>
                <w:webHidden/>
              </w:rPr>
              <w:fldChar w:fldCharType="begin"/>
            </w:r>
            <w:r>
              <w:rPr>
                <w:noProof/>
                <w:webHidden/>
              </w:rPr>
              <w:instrText xml:space="preserve"> PAGEREF _Toc229755367 \h </w:instrText>
            </w:r>
            <w:r>
              <w:rPr>
                <w:noProof/>
                <w:webHidden/>
              </w:rPr>
            </w:r>
            <w:r>
              <w:rPr>
                <w:noProof/>
                <w:webHidden/>
              </w:rPr>
              <w:fldChar w:fldCharType="separate"/>
            </w:r>
            <w:r>
              <w:rPr>
                <w:noProof/>
                <w:webHidden/>
              </w:rPr>
              <w:t>91</w:t>
            </w:r>
            <w:r>
              <w:rPr>
                <w:noProof/>
                <w:webHidden/>
              </w:rPr>
              <w:fldChar w:fldCharType="end"/>
            </w:r>
          </w:hyperlink>
        </w:p>
        <w:p w14:paraId="2DA51F6F" w14:textId="79ED3B6E" w:rsidR="004558FA" w:rsidRDefault="004558FA">
          <w:pPr>
            <w:pStyle w:val="TOC2"/>
            <w:tabs>
              <w:tab w:val="right" w:leader="dot" w:pos="9350"/>
            </w:tabs>
            <w:rPr>
              <w:rFonts w:asciiTheme="minorHAnsi" w:hAnsiTheme="minorHAnsi"/>
              <w:noProof/>
              <w:color w:val="auto"/>
              <w:sz w:val="22"/>
              <w:lang w:val="ru-RU" w:eastAsia="ru-RU"/>
            </w:rPr>
          </w:pPr>
          <w:hyperlink w:anchor="_Toc229755368" w:history="1">
            <w:r w:rsidRPr="001F246B">
              <w:rPr>
                <w:rStyle w:val="Hyperlink"/>
                <w:rFonts w:cs="Times New Roman"/>
                <w:noProof/>
              </w:rPr>
              <w:t>8.8 Rocket Comparability</w:t>
            </w:r>
            <w:r>
              <w:rPr>
                <w:noProof/>
                <w:webHidden/>
              </w:rPr>
              <w:tab/>
            </w:r>
            <w:r>
              <w:rPr>
                <w:noProof/>
                <w:webHidden/>
              </w:rPr>
              <w:fldChar w:fldCharType="begin"/>
            </w:r>
            <w:r>
              <w:rPr>
                <w:noProof/>
                <w:webHidden/>
              </w:rPr>
              <w:instrText xml:space="preserve"> PAGEREF _Toc229755368 \h </w:instrText>
            </w:r>
            <w:r>
              <w:rPr>
                <w:noProof/>
                <w:webHidden/>
              </w:rPr>
            </w:r>
            <w:r>
              <w:rPr>
                <w:noProof/>
                <w:webHidden/>
              </w:rPr>
              <w:fldChar w:fldCharType="separate"/>
            </w:r>
            <w:r>
              <w:rPr>
                <w:noProof/>
                <w:webHidden/>
              </w:rPr>
              <w:t>92</w:t>
            </w:r>
            <w:r>
              <w:rPr>
                <w:noProof/>
                <w:webHidden/>
              </w:rPr>
              <w:fldChar w:fldCharType="end"/>
            </w:r>
          </w:hyperlink>
        </w:p>
        <w:p w14:paraId="32B3A34B" w14:textId="36695E70" w:rsidR="004558FA" w:rsidRDefault="004558FA">
          <w:pPr>
            <w:pStyle w:val="TOC2"/>
            <w:tabs>
              <w:tab w:val="right" w:leader="dot" w:pos="9350"/>
            </w:tabs>
            <w:rPr>
              <w:rFonts w:asciiTheme="minorHAnsi" w:hAnsiTheme="minorHAnsi"/>
              <w:noProof/>
              <w:color w:val="auto"/>
              <w:sz w:val="22"/>
              <w:lang w:val="ru-RU" w:eastAsia="ru-RU"/>
            </w:rPr>
          </w:pPr>
          <w:hyperlink w:anchor="_Toc229755369" w:history="1">
            <w:r w:rsidRPr="001F246B">
              <w:rPr>
                <w:rStyle w:val="Hyperlink"/>
                <w:rFonts w:cs="Times New Roman"/>
                <w:noProof/>
              </w:rPr>
              <w:t>8.9 Implications for Future Research</w:t>
            </w:r>
            <w:r>
              <w:rPr>
                <w:noProof/>
                <w:webHidden/>
              </w:rPr>
              <w:tab/>
            </w:r>
            <w:r>
              <w:rPr>
                <w:noProof/>
                <w:webHidden/>
              </w:rPr>
              <w:fldChar w:fldCharType="begin"/>
            </w:r>
            <w:r>
              <w:rPr>
                <w:noProof/>
                <w:webHidden/>
              </w:rPr>
              <w:instrText xml:space="preserve"> PAGEREF _Toc229755369 \h </w:instrText>
            </w:r>
            <w:r>
              <w:rPr>
                <w:noProof/>
                <w:webHidden/>
              </w:rPr>
            </w:r>
            <w:r>
              <w:rPr>
                <w:noProof/>
                <w:webHidden/>
              </w:rPr>
              <w:fldChar w:fldCharType="separate"/>
            </w:r>
            <w:r>
              <w:rPr>
                <w:noProof/>
                <w:webHidden/>
              </w:rPr>
              <w:t>92</w:t>
            </w:r>
            <w:r>
              <w:rPr>
                <w:noProof/>
                <w:webHidden/>
              </w:rPr>
              <w:fldChar w:fldCharType="end"/>
            </w:r>
          </w:hyperlink>
        </w:p>
        <w:p w14:paraId="308C300A" w14:textId="169ADE87" w:rsidR="004558FA" w:rsidRDefault="004558FA">
          <w:pPr>
            <w:pStyle w:val="TOC1"/>
            <w:tabs>
              <w:tab w:val="right" w:leader="dot" w:pos="9350"/>
            </w:tabs>
            <w:rPr>
              <w:rFonts w:asciiTheme="minorHAnsi" w:hAnsiTheme="minorHAnsi"/>
              <w:noProof/>
              <w:color w:val="auto"/>
              <w:sz w:val="22"/>
              <w:lang w:val="ru-RU" w:eastAsia="ru-RU"/>
            </w:rPr>
          </w:pPr>
          <w:hyperlink w:anchor="_Toc229755370" w:history="1">
            <w:r w:rsidRPr="001F246B">
              <w:rPr>
                <w:rStyle w:val="Hyperlink"/>
                <w:rFonts w:cs="Times New Roman"/>
                <w:noProof/>
              </w:rPr>
              <w:t>9. Conclusion</w:t>
            </w:r>
            <w:r>
              <w:rPr>
                <w:noProof/>
                <w:webHidden/>
              </w:rPr>
              <w:tab/>
            </w:r>
            <w:r>
              <w:rPr>
                <w:noProof/>
                <w:webHidden/>
              </w:rPr>
              <w:fldChar w:fldCharType="begin"/>
            </w:r>
            <w:r>
              <w:rPr>
                <w:noProof/>
                <w:webHidden/>
              </w:rPr>
              <w:instrText xml:space="preserve"> PAGEREF _Toc229755370 \h </w:instrText>
            </w:r>
            <w:r>
              <w:rPr>
                <w:noProof/>
                <w:webHidden/>
              </w:rPr>
            </w:r>
            <w:r>
              <w:rPr>
                <w:noProof/>
                <w:webHidden/>
              </w:rPr>
              <w:fldChar w:fldCharType="separate"/>
            </w:r>
            <w:r>
              <w:rPr>
                <w:noProof/>
                <w:webHidden/>
              </w:rPr>
              <w:t>93</w:t>
            </w:r>
            <w:r>
              <w:rPr>
                <w:noProof/>
                <w:webHidden/>
              </w:rPr>
              <w:fldChar w:fldCharType="end"/>
            </w:r>
          </w:hyperlink>
        </w:p>
        <w:p w14:paraId="0D1BC787" w14:textId="23994804" w:rsidR="004558FA" w:rsidRDefault="004558FA">
          <w:pPr>
            <w:pStyle w:val="TOC2"/>
            <w:tabs>
              <w:tab w:val="right" w:leader="dot" w:pos="9350"/>
            </w:tabs>
            <w:rPr>
              <w:rFonts w:asciiTheme="minorHAnsi" w:hAnsiTheme="minorHAnsi"/>
              <w:noProof/>
              <w:color w:val="auto"/>
              <w:sz w:val="22"/>
              <w:lang w:val="ru-RU" w:eastAsia="ru-RU"/>
            </w:rPr>
          </w:pPr>
          <w:hyperlink w:anchor="_Toc229755371" w:history="1">
            <w:r w:rsidRPr="001F246B">
              <w:rPr>
                <w:rStyle w:val="Hyperlink"/>
                <w:rFonts w:cs="Times New Roman"/>
                <w:noProof/>
              </w:rPr>
              <w:t>9.1 Direct Answer to RQ1</w:t>
            </w:r>
            <w:r>
              <w:rPr>
                <w:noProof/>
                <w:webHidden/>
              </w:rPr>
              <w:tab/>
            </w:r>
            <w:r>
              <w:rPr>
                <w:noProof/>
                <w:webHidden/>
              </w:rPr>
              <w:fldChar w:fldCharType="begin"/>
            </w:r>
            <w:r>
              <w:rPr>
                <w:noProof/>
                <w:webHidden/>
              </w:rPr>
              <w:instrText xml:space="preserve"> PAGEREF _Toc229755371 \h </w:instrText>
            </w:r>
            <w:r>
              <w:rPr>
                <w:noProof/>
                <w:webHidden/>
              </w:rPr>
            </w:r>
            <w:r>
              <w:rPr>
                <w:noProof/>
                <w:webHidden/>
              </w:rPr>
              <w:fldChar w:fldCharType="separate"/>
            </w:r>
            <w:r>
              <w:rPr>
                <w:noProof/>
                <w:webHidden/>
              </w:rPr>
              <w:t>93</w:t>
            </w:r>
            <w:r>
              <w:rPr>
                <w:noProof/>
                <w:webHidden/>
              </w:rPr>
              <w:fldChar w:fldCharType="end"/>
            </w:r>
          </w:hyperlink>
        </w:p>
        <w:p w14:paraId="7DC23BFD" w14:textId="15862308" w:rsidR="004558FA" w:rsidRDefault="004558FA">
          <w:pPr>
            <w:pStyle w:val="TOC2"/>
            <w:tabs>
              <w:tab w:val="right" w:leader="dot" w:pos="9350"/>
            </w:tabs>
            <w:rPr>
              <w:rFonts w:asciiTheme="minorHAnsi" w:hAnsiTheme="minorHAnsi"/>
              <w:noProof/>
              <w:color w:val="auto"/>
              <w:sz w:val="22"/>
              <w:lang w:val="ru-RU" w:eastAsia="ru-RU"/>
            </w:rPr>
          </w:pPr>
          <w:hyperlink w:anchor="_Toc229755372" w:history="1">
            <w:r w:rsidRPr="001F246B">
              <w:rPr>
                <w:rStyle w:val="Hyperlink"/>
                <w:rFonts w:cs="Times New Roman"/>
                <w:noProof/>
              </w:rPr>
              <w:t>9.2 Direct Answer to RQ2</w:t>
            </w:r>
            <w:r>
              <w:rPr>
                <w:noProof/>
                <w:webHidden/>
              </w:rPr>
              <w:tab/>
            </w:r>
            <w:r>
              <w:rPr>
                <w:noProof/>
                <w:webHidden/>
              </w:rPr>
              <w:fldChar w:fldCharType="begin"/>
            </w:r>
            <w:r>
              <w:rPr>
                <w:noProof/>
                <w:webHidden/>
              </w:rPr>
              <w:instrText xml:space="preserve"> PAGEREF _Toc229755372 \h </w:instrText>
            </w:r>
            <w:r>
              <w:rPr>
                <w:noProof/>
                <w:webHidden/>
              </w:rPr>
            </w:r>
            <w:r>
              <w:rPr>
                <w:noProof/>
                <w:webHidden/>
              </w:rPr>
              <w:fldChar w:fldCharType="separate"/>
            </w:r>
            <w:r>
              <w:rPr>
                <w:noProof/>
                <w:webHidden/>
              </w:rPr>
              <w:t>93</w:t>
            </w:r>
            <w:r>
              <w:rPr>
                <w:noProof/>
                <w:webHidden/>
              </w:rPr>
              <w:fldChar w:fldCharType="end"/>
            </w:r>
          </w:hyperlink>
        </w:p>
        <w:p w14:paraId="1F8450B9" w14:textId="56F7D0C1" w:rsidR="004558FA" w:rsidRDefault="004558FA">
          <w:pPr>
            <w:pStyle w:val="TOC2"/>
            <w:tabs>
              <w:tab w:val="right" w:leader="dot" w:pos="9350"/>
            </w:tabs>
            <w:rPr>
              <w:rFonts w:asciiTheme="minorHAnsi" w:hAnsiTheme="minorHAnsi"/>
              <w:noProof/>
              <w:color w:val="auto"/>
              <w:sz w:val="22"/>
              <w:lang w:val="ru-RU" w:eastAsia="ru-RU"/>
            </w:rPr>
          </w:pPr>
          <w:hyperlink w:anchor="_Toc229755373" w:history="1">
            <w:r w:rsidRPr="001F246B">
              <w:rPr>
                <w:rStyle w:val="Hyperlink"/>
                <w:rFonts w:cs="Times New Roman"/>
                <w:noProof/>
              </w:rPr>
              <w:t>9.3 Contributions</w:t>
            </w:r>
            <w:r>
              <w:rPr>
                <w:noProof/>
                <w:webHidden/>
              </w:rPr>
              <w:tab/>
            </w:r>
            <w:r>
              <w:rPr>
                <w:noProof/>
                <w:webHidden/>
              </w:rPr>
              <w:fldChar w:fldCharType="begin"/>
            </w:r>
            <w:r>
              <w:rPr>
                <w:noProof/>
                <w:webHidden/>
              </w:rPr>
              <w:instrText xml:space="preserve"> PAGEREF _Toc229755373 \h </w:instrText>
            </w:r>
            <w:r>
              <w:rPr>
                <w:noProof/>
                <w:webHidden/>
              </w:rPr>
            </w:r>
            <w:r>
              <w:rPr>
                <w:noProof/>
                <w:webHidden/>
              </w:rPr>
              <w:fldChar w:fldCharType="separate"/>
            </w:r>
            <w:r>
              <w:rPr>
                <w:noProof/>
                <w:webHidden/>
              </w:rPr>
              <w:t>94</w:t>
            </w:r>
            <w:r>
              <w:rPr>
                <w:noProof/>
                <w:webHidden/>
              </w:rPr>
              <w:fldChar w:fldCharType="end"/>
            </w:r>
          </w:hyperlink>
        </w:p>
        <w:p w14:paraId="32198DC5" w14:textId="1223D94C" w:rsidR="004558FA" w:rsidRDefault="004558FA">
          <w:pPr>
            <w:pStyle w:val="TOC3"/>
            <w:tabs>
              <w:tab w:val="right" w:leader="dot" w:pos="9350"/>
            </w:tabs>
            <w:rPr>
              <w:rFonts w:asciiTheme="minorHAnsi" w:hAnsiTheme="minorHAnsi"/>
              <w:noProof/>
              <w:color w:val="auto"/>
              <w:sz w:val="22"/>
              <w:lang w:val="ru-RU" w:eastAsia="ru-RU"/>
            </w:rPr>
          </w:pPr>
          <w:hyperlink w:anchor="_Toc229755374" w:history="1">
            <w:r w:rsidRPr="001F246B">
              <w:rPr>
                <w:rStyle w:val="Hyperlink"/>
                <w:rFonts w:cs="Times New Roman"/>
                <w:noProof/>
              </w:rPr>
              <w:t>9.3.1 Empirical Contribution</w:t>
            </w:r>
            <w:r>
              <w:rPr>
                <w:noProof/>
                <w:webHidden/>
              </w:rPr>
              <w:tab/>
            </w:r>
            <w:r>
              <w:rPr>
                <w:noProof/>
                <w:webHidden/>
              </w:rPr>
              <w:fldChar w:fldCharType="begin"/>
            </w:r>
            <w:r>
              <w:rPr>
                <w:noProof/>
                <w:webHidden/>
              </w:rPr>
              <w:instrText xml:space="preserve"> PAGEREF _Toc229755374 \h </w:instrText>
            </w:r>
            <w:r>
              <w:rPr>
                <w:noProof/>
                <w:webHidden/>
              </w:rPr>
            </w:r>
            <w:r>
              <w:rPr>
                <w:noProof/>
                <w:webHidden/>
              </w:rPr>
              <w:fldChar w:fldCharType="separate"/>
            </w:r>
            <w:r>
              <w:rPr>
                <w:noProof/>
                <w:webHidden/>
              </w:rPr>
              <w:t>94</w:t>
            </w:r>
            <w:r>
              <w:rPr>
                <w:noProof/>
                <w:webHidden/>
              </w:rPr>
              <w:fldChar w:fldCharType="end"/>
            </w:r>
          </w:hyperlink>
        </w:p>
        <w:p w14:paraId="196079C3" w14:textId="7455862D" w:rsidR="004558FA" w:rsidRDefault="004558FA">
          <w:pPr>
            <w:pStyle w:val="TOC3"/>
            <w:tabs>
              <w:tab w:val="right" w:leader="dot" w:pos="9350"/>
            </w:tabs>
            <w:rPr>
              <w:rFonts w:asciiTheme="minorHAnsi" w:hAnsiTheme="minorHAnsi"/>
              <w:noProof/>
              <w:color w:val="auto"/>
              <w:sz w:val="22"/>
              <w:lang w:val="ru-RU" w:eastAsia="ru-RU"/>
            </w:rPr>
          </w:pPr>
          <w:hyperlink w:anchor="_Toc229755375" w:history="1">
            <w:r w:rsidRPr="001F246B">
              <w:rPr>
                <w:rStyle w:val="Hyperlink"/>
                <w:rFonts w:cs="Times New Roman"/>
                <w:noProof/>
              </w:rPr>
              <w:t>9.3.2 Methodological Contribution</w:t>
            </w:r>
            <w:r>
              <w:rPr>
                <w:noProof/>
                <w:webHidden/>
              </w:rPr>
              <w:tab/>
            </w:r>
            <w:r>
              <w:rPr>
                <w:noProof/>
                <w:webHidden/>
              </w:rPr>
              <w:fldChar w:fldCharType="begin"/>
            </w:r>
            <w:r>
              <w:rPr>
                <w:noProof/>
                <w:webHidden/>
              </w:rPr>
              <w:instrText xml:space="preserve"> PAGEREF _Toc229755375 \h </w:instrText>
            </w:r>
            <w:r>
              <w:rPr>
                <w:noProof/>
                <w:webHidden/>
              </w:rPr>
            </w:r>
            <w:r>
              <w:rPr>
                <w:noProof/>
                <w:webHidden/>
              </w:rPr>
              <w:fldChar w:fldCharType="separate"/>
            </w:r>
            <w:r>
              <w:rPr>
                <w:noProof/>
                <w:webHidden/>
              </w:rPr>
              <w:t>94</w:t>
            </w:r>
            <w:r>
              <w:rPr>
                <w:noProof/>
                <w:webHidden/>
              </w:rPr>
              <w:fldChar w:fldCharType="end"/>
            </w:r>
          </w:hyperlink>
        </w:p>
        <w:p w14:paraId="252BF459" w14:textId="24423EA2" w:rsidR="004558FA" w:rsidRDefault="004558FA">
          <w:pPr>
            <w:pStyle w:val="TOC3"/>
            <w:tabs>
              <w:tab w:val="right" w:leader="dot" w:pos="9350"/>
            </w:tabs>
            <w:rPr>
              <w:rFonts w:asciiTheme="minorHAnsi" w:hAnsiTheme="minorHAnsi"/>
              <w:noProof/>
              <w:color w:val="auto"/>
              <w:sz w:val="22"/>
              <w:lang w:val="ru-RU" w:eastAsia="ru-RU"/>
            </w:rPr>
          </w:pPr>
          <w:hyperlink w:anchor="_Toc229755376" w:history="1">
            <w:r w:rsidRPr="001F246B">
              <w:rPr>
                <w:rStyle w:val="Hyperlink"/>
                <w:rFonts w:cs="Times New Roman"/>
                <w:noProof/>
              </w:rPr>
              <w:t>9.3.3 Practical Contribution</w:t>
            </w:r>
            <w:r>
              <w:rPr>
                <w:noProof/>
                <w:webHidden/>
              </w:rPr>
              <w:tab/>
            </w:r>
            <w:r>
              <w:rPr>
                <w:noProof/>
                <w:webHidden/>
              </w:rPr>
              <w:fldChar w:fldCharType="begin"/>
            </w:r>
            <w:r>
              <w:rPr>
                <w:noProof/>
                <w:webHidden/>
              </w:rPr>
              <w:instrText xml:space="preserve"> PAGEREF _Toc229755376 \h </w:instrText>
            </w:r>
            <w:r>
              <w:rPr>
                <w:noProof/>
                <w:webHidden/>
              </w:rPr>
            </w:r>
            <w:r>
              <w:rPr>
                <w:noProof/>
                <w:webHidden/>
              </w:rPr>
              <w:fldChar w:fldCharType="separate"/>
            </w:r>
            <w:r>
              <w:rPr>
                <w:noProof/>
                <w:webHidden/>
              </w:rPr>
              <w:t>94</w:t>
            </w:r>
            <w:r>
              <w:rPr>
                <w:noProof/>
                <w:webHidden/>
              </w:rPr>
              <w:fldChar w:fldCharType="end"/>
            </w:r>
          </w:hyperlink>
        </w:p>
        <w:p w14:paraId="2249D140" w14:textId="7C0E7653" w:rsidR="004558FA" w:rsidRDefault="004558FA">
          <w:pPr>
            <w:pStyle w:val="TOC2"/>
            <w:tabs>
              <w:tab w:val="right" w:leader="dot" w:pos="9350"/>
            </w:tabs>
            <w:rPr>
              <w:rFonts w:asciiTheme="minorHAnsi" w:hAnsiTheme="minorHAnsi"/>
              <w:noProof/>
              <w:color w:val="auto"/>
              <w:sz w:val="22"/>
              <w:lang w:val="ru-RU" w:eastAsia="ru-RU"/>
            </w:rPr>
          </w:pPr>
          <w:hyperlink w:anchor="_Toc229755377" w:history="1">
            <w:r w:rsidRPr="001F246B">
              <w:rPr>
                <w:rStyle w:val="Hyperlink"/>
                <w:rFonts w:cs="Times New Roman"/>
                <w:noProof/>
              </w:rPr>
              <w:t>9.4 Limitations</w:t>
            </w:r>
            <w:r>
              <w:rPr>
                <w:noProof/>
                <w:webHidden/>
              </w:rPr>
              <w:tab/>
            </w:r>
            <w:r>
              <w:rPr>
                <w:noProof/>
                <w:webHidden/>
              </w:rPr>
              <w:fldChar w:fldCharType="begin"/>
            </w:r>
            <w:r>
              <w:rPr>
                <w:noProof/>
                <w:webHidden/>
              </w:rPr>
              <w:instrText xml:space="preserve"> PAGEREF _Toc229755377 \h </w:instrText>
            </w:r>
            <w:r>
              <w:rPr>
                <w:noProof/>
                <w:webHidden/>
              </w:rPr>
            </w:r>
            <w:r>
              <w:rPr>
                <w:noProof/>
                <w:webHidden/>
              </w:rPr>
              <w:fldChar w:fldCharType="separate"/>
            </w:r>
            <w:r>
              <w:rPr>
                <w:noProof/>
                <w:webHidden/>
              </w:rPr>
              <w:t>94</w:t>
            </w:r>
            <w:r>
              <w:rPr>
                <w:noProof/>
                <w:webHidden/>
              </w:rPr>
              <w:fldChar w:fldCharType="end"/>
            </w:r>
          </w:hyperlink>
        </w:p>
        <w:p w14:paraId="04ED52B4" w14:textId="3E6C26FE" w:rsidR="004558FA" w:rsidRDefault="004558FA">
          <w:pPr>
            <w:pStyle w:val="TOC2"/>
            <w:tabs>
              <w:tab w:val="right" w:leader="dot" w:pos="9350"/>
            </w:tabs>
            <w:rPr>
              <w:rFonts w:asciiTheme="minorHAnsi" w:hAnsiTheme="minorHAnsi"/>
              <w:noProof/>
              <w:color w:val="auto"/>
              <w:sz w:val="22"/>
              <w:lang w:val="ru-RU" w:eastAsia="ru-RU"/>
            </w:rPr>
          </w:pPr>
          <w:hyperlink w:anchor="_Toc229755378" w:history="1">
            <w:r w:rsidRPr="001F246B">
              <w:rPr>
                <w:rStyle w:val="Hyperlink"/>
                <w:rFonts w:cs="Times New Roman"/>
                <w:noProof/>
              </w:rPr>
              <w:t>9.5 Future Research</w:t>
            </w:r>
            <w:r>
              <w:rPr>
                <w:noProof/>
                <w:webHidden/>
              </w:rPr>
              <w:tab/>
            </w:r>
            <w:r>
              <w:rPr>
                <w:noProof/>
                <w:webHidden/>
              </w:rPr>
              <w:fldChar w:fldCharType="begin"/>
            </w:r>
            <w:r>
              <w:rPr>
                <w:noProof/>
                <w:webHidden/>
              </w:rPr>
              <w:instrText xml:space="preserve"> PAGEREF _Toc229755378 \h </w:instrText>
            </w:r>
            <w:r>
              <w:rPr>
                <w:noProof/>
                <w:webHidden/>
              </w:rPr>
            </w:r>
            <w:r>
              <w:rPr>
                <w:noProof/>
                <w:webHidden/>
              </w:rPr>
              <w:fldChar w:fldCharType="separate"/>
            </w:r>
            <w:r>
              <w:rPr>
                <w:noProof/>
                <w:webHidden/>
              </w:rPr>
              <w:t>95</w:t>
            </w:r>
            <w:r>
              <w:rPr>
                <w:noProof/>
                <w:webHidden/>
              </w:rPr>
              <w:fldChar w:fldCharType="end"/>
            </w:r>
          </w:hyperlink>
        </w:p>
        <w:p w14:paraId="1F8A7DB0" w14:textId="00327241" w:rsidR="004558FA" w:rsidRDefault="004558FA">
          <w:pPr>
            <w:pStyle w:val="TOC2"/>
            <w:tabs>
              <w:tab w:val="right" w:leader="dot" w:pos="9350"/>
            </w:tabs>
            <w:rPr>
              <w:rFonts w:asciiTheme="minorHAnsi" w:hAnsiTheme="minorHAnsi"/>
              <w:noProof/>
              <w:color w:val="auto"/>
              <w:sz w:val="22"/>
              <w:lang w:val="ru-RU" w:eastAsia="ru-RU"/>
            </w:rPr>
          </w:pPr>
          <w:hyperlink w:anchor="_Toc229755379" w:history="1">
            <w:r w:rsidRPr="001F246B">
              <w:rPr>
                <w:rStyle w:val="Hyperlink"/>
                <w:rFonts w:cs="Times New Roman"/>
                <w:noProof/>
              </w:rPr>
              <w:t>9.6 Closing Statement</w:t>
            </w:r>
            <w:r>
              <w:rPr>
                <w:noProof/>
                <w:webHidden/>
              </w:rPr>
              <w:tab/>
            </w:r>
            <w:r>
              <w:rPr>
                <w:noProof/>
                <w:webHidden/>
              </w:rPr>
              <w:fldChar w:fldCharType="begin"/>
            </w:r>
            <w:r>
              <w:rPr>
                <w:noProof/>
                <w:webHidden/>
              </w:rPr>
              <w:instrText xml:space="preserve"> PAGEREF _Toc229755379 \h </w:instrText>
            </w:r>
            <w:r>
              <w:rPr>
                <w:noProof/>
                <w:webHidden/>
              </w:rPr>
            </w:r>
            <w:r>
              <w:rPr>
                <w:noProof/>
                <w:webHidden/>
              </w:rPr>
              <w:fldChar w:fldCharType="separate"/>
            </w:r>
            <w:r>
              <w:rPr>
                <w:noProof/>
                <w:webHidden/>
              </w:rPr>
              <w:t>95</w:t>
            </w:r>
            <w:r>
              <w:rPr>
                <w:noProof/>
                <w:webHidden/>
              </w:rPr>
              <w:fldChar w:fldCharType="end"/>
            </w:r>
          </w:hyperlink>
        </w:p>
        <w:p w14:paraId="1F04888E" w14:textId="08143AB1" w:rsidR="004558FA" w:rsidRDefault="004558FA">
          <w:pPr>
            <w:pStyle w:val="TOC1"/>
            <w:tabs>
              <w:tab w:val="right" w:leader="dot" w:pos="9350"/>
            </w:tabs>
            <w:rPr>
              <w:rFonts w:asciiTheme="minorHAnsi" w:hAnsiTheme="minorHAnsi"/>
              <w:noProof/>
              <w:color w:val="auto"/>
              <w:sz w:val="22"/>
              <w:lang w:val="ru-RU" w:eastAsia="ru-RU"/>
            </w:rPr>
          </w:pPr>
          <w:hyperlink w:anchor="_Toc229755380" w:history="1">
            <w:r w:rsidRPr="001F246B">
              <w:rPr>
                <w:rStyle w:val="Hyperlink"/>
                <w:rFonts w:cs="Times New Roman"/>
                <w:noProof/>
              </w:rPr>
              <w:t>References</w:t>
            </w:r>
            <w:r>
              <w:rPr>
                <w:noProof/>
                <w:webHidden/>
              </w:rPr>
              <w:tab/>
            </w:r>
            <w:r>
              <w:rPr>
                <w:noProof/>
                <w:webHidden/>
              </w:rPr>
              <w:fldChar w:fldCharType="begin"/>
            </w:r>
            <w:r>
              <w:rPr>
                <w:noProof/>
                <w:webHidden/>
              </w:rPr>
              <w:instrText xml:space="preserve"> PAGEREF _Toc229755380 \h </w:instrText>
            </w:r>
            <w:r>
              <w:rPr>
                <w:noProof/>
                <w:webHidden/>
              </w:rPr>
            </w:r>
            <w:r>
              <w:rPr>
                <w:noProof/>
                <w:webHidden/>
              </w:rPr>
              <w:fldChar w:fldCharType="separate"/>
            </w:r>
            <w:r>
              <w:rPr>
                <w:noProof/>
                <w:webHidden/>
              </w:rPr>
              <w:t>96</w:t>
            </w:r>
            <w:r>
              <w:rPr>
                <w:noProof/>
                <w:webHidden/>
              </w:rPr>
              <w:fldChar w:fldCharType="end"/>
            </w:r>
          </w:hyperlink>
        </w:p>
        <w:p w14:paraId="0BF76B3B" w14:textId="5983A2DD" w:rsidR="004558FA" w:rsidRDefault="004558FA">
          <w:pPr>
            <w:pStyle w:val="TOC1"/>
            <w:tabs>
              <w:tab w:val="right" w:leader="dot" w:pos="9350"/>
            </w:tabs>
            <w:rPr>
              <w:rFonts w:asciiTheme="minorHAnsi" w:hAnsiTheme="minorHAnsi"/>
              <w:noProof/>
              <w:color w:val="auto"/>
              <w:sz w:val="22"/>
              <w:lang w:val="ru-RU" w:eastAsia="ru-RU"/>
            </w:rPr>
          </w:pPr>
          <w:hyperlink w:anchor="_Toc229755381" w:history="1">
            <w:r w:rsidRPr="001F246B">
              <w:rPr>
                <w:rStyle w:val="Hyperlink"/>
                <w:rFonts w:cs="Times New Roman"/>
                <w:noProof/>
              </w:rPr>
              <w:t>Appendix A. Financial Dataset and Metric Definitions</w:t>
            </w:r>
            <w:r>
              <w:rPr>
                <w:noProof/>
                <w:webHidden/>
              </w:rPr>
              <w:tab/>
            </w:r>
            <w:r>
              <w:rPr>
                <w:noProof/>
                <w:webHidden/>
              </w:rPr>
              <w:fldChar w:fldCharType="begin"/>
            </w:r>
            <w:r>
              <w:rPr>
                <w:noProof/>
                <w:webHidden/>
              </w:rPr>
              <w:instrText xml:space="preserve"> PAGEREF _Toc229755381 \h </w:instrText>
            </w:r>
            <w:r>
              <w:rPr>
                <w:noProof/>
                <w:webHidden/>
              </w:rPr>
            </w:r>
            <w:r>
              <w:rPr>
                <w:noProof/>
                <w:webHidden/>
              </w:rPr>
              <w:fldChar w:fldCharType="separate"/>
            </w:r>
            <w:r>
              <w:rPr>
                <w:noProof/>
                <w:webHidden/>
              </w:rPr>
              <w:t>103</w:t>
            </w:r>
            <w:r>
              <w:rPr>
                <w:noProof/>
                <w:webHidden/>
              </w:rPr>
              <w:fldChar w:fldCharType="end"/>
            </w:r>
          </w:hyperlink>
        </w:p>
        <w:p w14:paraId="2DD98064" w14:textId="5DA0A6A1" w:rsidR="004558FA" w:rsidRDefault="004558FA">
          <w:pPr>
            <w:pStyle w:val="TOC2"/>
            <w:tabs>
              <w:tab w:val="right" w:leader="dot" w:pos="9350"/>
            </w:tabs>
            <w:rPr>
              <w:rFonts w:asciiTheme="minorHAnsi" w:hAnsiTheme="minorHAnsi"/>
              <w:noProof/>
              <w:color w:val="auto"/>
              <w:sz w:val="22"/>
              <w:lang w:val="ru-RU" w:eastAsia="ru-RU"/>
            </w:rPr>
          </w:pPr>
          <w:hyperlink w:anchor="_Toc229755382" w:history="1">
            <w:r w:rsidRPr="001F246B">
              <w:rPr>
                <w:rStyle w:val="Hyperlink"/>
                <w:rFonts w:cs="Times New Roman"/>
                <w:noProof/>
              </w:rPr>
              <w:t>A.1 Dataset Overview</w:t>
            </w:r>
            <w:r>
              <w:rPr>
                <w:noProof/>
                <w:webHidden/>
              </w:rPr>
              <w:tab/>
            </w:r>
            <w:r>
              <w:rPr>
                <w:noProof/>
                <w:webHidden/>
              </w:rPr>
              <w:fldChar w:fldCharType="begin"/>
            </w:r>
            <w:r>
              <w:rPr>
                <w:noProof/>
                <w:webHidden/>
              </w:rPr>
              <w:instrText xml:space="preserve"> PAGEREF _Toc229755382 \h </w:instrText>
            </w:r>
            <w:r>
              <w:rPr>
                <w:noProof/>
                <w:webHidden/>
              </w:rPr>
            </w:r>
            <w:r>
              <w:rPr>
                <w:noProof/>
                <w:webHidden/>
              </w:rPr>
              <w:fldChar w:fldCharType="separate"/>
            </w:r>
            <w:r>
              <w:rPr>
                <w:noProof/>
                <w:webHidden/>
              </w:rPr>
              <w:t>103</w:t>
            </w:r>
            <w:r>
              <w:rPr>
                <w:noProof/>
                <w:webHidden/>
              </w:rPr>
              <w:fldChar w:fldCharType="end"/>
            </w:r>
          </w:hyperlink>
        </w:p>
        <w:p w14:paraId="0C1F3A86" w14:textId="58B1089C" w:rsidR="004558FA" w:rsidRDefault="004558FA">
          <w:pPr>
            <w:pStyle w:val="TOC2"/>
            <w:tabs>
              <w:tab w:val="right" w:leader="dot" w:pos="9350"/>
            </w:tabs>
            <w:rPr>
              <w:rFonts w:asciiTheme="minorHAnsi" w:hAnsiTheme="minorHAnsi"/>
              <w:noProof/>
              <w:color w:val="auto"/>
              <w:sz w:val="22"/>
              <w:lang w:val="ru-RU" w:eastAsia="ru-RU"/>
            </w:rPr>
          </w:pPr>
          <w:hyperlink w:anchor="_Toc229755383" w:history="1">
            <w:r w:rsidRPr="001F246B">
              <w:rPr>
                <w:rStyle w:val="Hyperlink"/>
                <w:rFonts w:cs="Times New Roman"/>
                <w:noProof/>
              </w:rPr>
              <w:t>A.2 Variable Definitions</w:t>
            </w:r>
            <w:r>
              <w:rPr>
                <w:noProof/>
                <w:webHidden/>
              </w:rPr>
              <w:tab/>
            </w:r>
            <w:r>
              <w:rPr>
                <w:noProof/>
                <w:webHidden/>
              </w:rPr>
              <w:fldChar w:fldCharType="begin"/>
            </w:r>
            <w:r>
              <w:rPr>
                <w:noProof/>
                <w:webHidden/>
              </w:rPr>
              <w:instrText xml:space="preserve"> PAGEREF _Toc229755383 \h </w:instrText>
            </w:r>
            <w:r>
              <w:rPr>
                <w:noProof/>
                <w:webHidden/>
              </w:rPr>
            </w:r>
            <w:r>
              <w:rPr>
                <w:noProof/>
                <w:webHidden/>
              </w:rPr>
              <w:fldChar w:fldCharType="separate"/>
            </w:r>
            <w:r>
              <w:rPr>
                <w:noProof/>
                <w:webHidden/>
              </w:rPr>
              <w:t>103</w:t>
            </w:r>
            <w:r>
              <w:rPr>
                <w:noProof/>
                <w:webHidden/>
              </w:rPr>
              <w:fldChar w:fldCharType="end"/>
            </w:r>
          </w:hyperlink>
        </w:p>
        <w:p w14:paraId="2514D104" w14:textId="65AC30E4" w:rsidR="004558FA" w:rsidRDefault="004558FA">
          <w:pPr>
            <w:pStyle w:val="TOC2"/>
            <w:tabs>
              <w:tab w:val="right" w:leader="dot" w:pos="9350"/>
            </w:tabs>
            <w:rPr>
              <w:rFonts w:asciiTheme="minorHAnsi" w:hAnsiTheme="minorHAnsi"/>
              <w:noProof/>
              <w:color w:val="auto"/>
              <w:sz w:val="22"/>
              <w:lang w:val="ru-RU" w:eastAsia="ru-RU"/>
            </w:rPr>
          </w:pPr>
          <w:hyperlink w:anchor="_Toc229755384" w:history="1">
            <w:r w:rsidRPr="001F246B">
              <w:rPr>
                <w:rStyle w:val="Hyperlink"/>
                <w:rFonts w:cs="Times New Roman"/>
                <w:noProof/>
              </w:rPr>
              <w:t>A.3 Annual Observations</w:t>
            </w:r>
            <w:r>
              <w:rPr>
                <w:noProof/>
                <w:webHidden/>
              </w:rPr>
              <w:tab/>
            </w:r>
            <w:r>
              <w:rPr>
                <w:noProof/>
                <w:webHidden/>
              </w:rPr>
              <w:fldChar w:fldCharType="begin"/>
            </w:r>
            <w:r>
              <w:rPr>
                <w:noProof/>
                <w:webHidden/>
              </w:rPr>
              <w:instrText xml:space="preserve"> PAGEREF _Toc229755384 \h </w:instrText>
            </w:r>
            <w:r>
              <w:rPr>
                <w:noProof/>
                <w:webHidden/>
              </w:rPr>
            </w:r>
            <w:r>
              <w:rPr>
                <w:noProof/>
                <w:webHidden/>
              </w:rPr>
              <w:fldChar w:fldCharType="separate"/>
            </w:r>
            <w:r>
              <w:rPr>
                <w:noProof/>
                <w:webHidden/>
              </w:rPr>
              <w:t>104</w:t>
            </w:r>
            <w:r>
              <w:rPr>
                <w:noProof/>
                <w:webHidden/>
              </w:rPr>
              <w:fldChar w:fldCharType="end"/>
            </w:r>
          </w:hyperlink>
        </w:p>
        <w:p w14:paraId="2AA351FC" w14:textId="0DFAF755" w:rsidR="004558FA" w:rsidRDefault="004558FA">
          <w:pPr>
            <w:pStyle w:val="TOC2"/>
            <w:tabs>
              <w:tab w:val="right" w:leader="dot" w:pos="9350"/>
            </w:tabs>
            <w:rPr>
              <w:rFonts w:asciiTheme="minorHAnsi" w:hAnsiTheme="minorHAnsi"/>
              <w:noProof/>
              <w:color w:val="auto"/>
              <w:sz w:val="22"/>
              <w:lang w:val="ru-RU" w:eastAsia="ru-RU"/>
            </w:rPr>
          </w:pPr>
          <w:hyperlink w:anchor="_Toc229755385" w:history="1">
            <w:r w:rsidRPr="001F246B">
              <w:rPr>
                <w:rStyle w:val="Hyperlink"/>
                <w:rFonts w:cs="Times New Roman"/>
                <w:noProof/>
              </w:rPr>
              <w:t>A.4 Calculation Methodology</w:t>
            </w:r>
            <w:r>
              <w:rPr>
                <w:noProof/>
                <w:webHidden/>
              </w:rPr>
              <w:tab/>
            </w:r>
            <w:r>
              <w:rPr>
                <w:noProof/>
                <w:webHidden/>
              </w:rPr>
              <w:fldChar w:fldCharType="begin"/>
            </w:r>
            <w:r>
              <w:rPr>
                <w:noProof/>
                <w:webHidden/>
              </w:rPr>
              <w:instrText xml:space="preserve"> PAGEREF _Toc229755385 \h </w:instrText>
            </w:r>
            <w:r>
              <w:rPr>
                <w:noProof/>
                <w:webHidden/>
              </w:rPr>
            </w:r>
            <w:r>
              <w:rPr>
                <w:noProof/>
                <w:webHidden/>
              </w:rPr>
              <w:fldChar w:fldCharType="separate"/>
            </w:r>
            <w:r>
              <w:rPr>
                <w:noProof/>
                <w:webHidden/>
              </w:rPr>
              <w:t>106</w:t>
            </w:r>
            <w:r>
              <w:rPr>
                <w:noProof/>
                <w:webHidden/>
              </w:rPr>
              <w:fldChar w:fldCharType="end"/>
            </w:r>
          </w:hyperlink>
        </w:p>
        <w:p w14:paraId="568CE79E" w14:textId="6EA551EE" w:rsidR="004558FA" w:rsidRDefault="004558FA">
          <w:pPr>
            <w:pStyle w:val="TOC1"/>
            <w:tabs>
              <w:tab w:val="right" w:leader="dot" w:pos="9350"/>
            </w:tabs>
            <w:rPr>
              <w:rFonts w:asciiTheme="minorHAnsi" w:hAnsiTheme="minorHAnsi"/>
              <w:noProof/>
              <w:color w:val="auto"/>
              <w:sz w:val="22"/>
              <w:lang w:val="ru-RU" w:eastAsia="ru-RU"/>
            </w:rPr>
          </w:pPr>
          <w:hyperlink w:anchor="_Toc229755386" w:history="1">
            <w:r w:rsidRPr="001F246B">
              <w:rPr>
                <w:rStyle w:val="Hyperlink"/>
                <w:rFonts w:cs="Times New Roman"/>
                <w:noProof/>
              </w:rPr>
              <w:t>Appendix B. SEC Filing Provenance</w:t>
            </w:r>
            <w:r>
              <w:rPr>
                <w:noProof/>
                <w:webHidden/>
              </w:rPr>
              <w:tab/>
            </w:r>
            <w:r>
              <w:rPr>
                <w:noProof/>
                <w:webHidden/>
              </w:rPr>
              <w:fldChar w:fldCharType="begin"/>
            </w:r>
            <w:r>
              <w:rPr>
                <w:noProof/>
                <w:webHidden/>
              </w:rPr>
              <w:instrText xml:space="preserve"> PAGEREF _Toc229755386 \h </w:instrText>
            </w:r>
            <w:r>
              <w:rPr>
                <w:noProof/>
                <w:webHidden/>
              </w:rPr>
            </w:r>
            <w:r>
              <w:rPr>
                <w:noProof/>
                <w:webHidden/>
              </w:rPr>
              <w:fldChar w:fldCharType="separate"/>
            </w:r>
            <w:r>
              <w:rPr>
                <w:noProof/>
                <w:webHidden/>
              </w:rPr>
              <w:t>106</w:t>
            </w:r>
            <w:r>
              <w:rPr>
                <w:noProof/>
                <w:webHidden/>
              </w:rPr>
              <w:fldChar w:fldCharType="end"/>
            </w:r>
          </w:hyperlink>
        </w:p>
        <w:p w14:paraId="769E85A4" w14:textId="6025CE89" w:rsidR="004558FA" w:rsidRDefault="004558FA">
          <w:pPr>
            <w:pStyle w:val="TOC2"/>
            <w:tabs>
              <w:tab w:val="right" w:leader="dot" w:pos="9350"/>
            </w:tabs>
            <w:rPr>
              <w:rFonts w:asciiTheme="minorHAnsi" w:hAnsiTheme="minorHAnsi"/>
              <w:noProof/>
              <w:color w:val="auto"/>
              <w:sz w:val="22"/>
              <w:lang w:val="ru-RU" w:eastAsia="ru-RU"/>
            </w:rPr>
          </w:pPr>
          <w:hyperlink w:anchor="_Toc229755387" w:history="1">
            <w:r w:rsidRPr="001F246B">
              <w:rPr>
                <w:rStyle w:val="Hyperlink"/>
                <w:rFonts w:cs="Times New Roman"/>
                <w:noProof/>
              </w:rPr>
              <w:t>B.1 Filings List</w:t>
            </w:r>
            <w:r>
              <w:rPr>
                <w:noProof/>
                <w:webHidden/>
              </w:rPr>
              <w:tab/>
            </w:r>
            <w:r>
              <w:rPr>
                <w:noProof/>
                <w:webHidden/>
              </w:rPr>
              <w:fldChar w:fldCharType="begin"/>
            </w:r>
            <w:r>
              <w:rPr>
                <w:noProof/>
                <w:webHidden/>
              </w:rPr>
              <w:instrText xml:space="preserve"> PAGEREF _Toc229755387 \h </w:instrText>
            </w:r>
            <w:r>
              <w:rPr>
                <w:noProof/>
                <w:webHidden/>
              </w:rPr>
            </w:r>
            <w:r>
              <w:rPr>
                <w:noProof/>
                <w:webHidden/>
              </w:rPr>
              <w:fldChar w:fldCharType="separate"/>
            </w:r>
            <w:r>
              <w:rPr>
                <w:noProof/>
                <w:webHidden/>
              </w:rPr>
              <w:t>106</w:t>
            </w:r>
            <w:r>
              <w:rPr>
                <w:noProof/>
                <w:webHidden/>
              </w:rPr>
              <w:fldChar w:fldCharType="end"/>
            </w:r>
          </w:hyperlink>
        </w:p>
        <w:p w14:paraId="3A79DE56" w14:textId="2F368A00" w:rsidR="004558FA" w:rsidRDefault="004558FA">
          <w:pPr>
            <w:pStyle w:val="TOC2"/>
            <w:tabs>
              <w:tab w:val="right" w:leader="dot" w:pos="9350"/>
            </w:tabs>
            <w:rPr>
              <w:rFonts w:asciiTheme="minorHAnsi" w:hAnsiTheme="minorHAnsi"/>
              <w:noProof/>
              <w:color w:val="auto"/>
              <w:sz w:val="22"/>
              <w:lang w:val="ru-RU" w:eastAsia="ru-RU"/>
            </w:rPr>
          </w:pPr>
          <w:hyperlink w:anchor="_Toc229755388" w:history="1">
            <w:r w:rsidRPr="001F246B">
              <w:rPr>
                <w:rStyle w:val="Hyperlink"/>
                <w:rFonts w:cs="Times New Roman"/>
                <w:noProof/>
              </w:rPr>
              <w:t>B.2 Extraction Methodology</w:t>
            </w:r>
            <w:r>
              <w:rPr>
                <w:noProof/>
                <w:webHidden/>
              </w:rPr>
              <w:tab/>
            </w:r>
            <w:r>
              <w:rPr>
                <w:noProof/>
                <w:webHidden/>
              </w:rPr>
              <w:fldChar w:fldCharType="begin"/>
            </w:r>
            <w:r>
              <w:rPr>
                <w:noProof/>
                <w:webHidden/>
              </w:rPr>
              <w:instrText xml:space="preserve"> PAGEREF _Toc229755388 \h </w:instrText>
            </w:r>
            <w:r>
              <w:rPr>
                <w:noProof/>
                <w:webHidden/>
              </w:rPr>
            </w:r>
            <w:r>
              <w:rPr>
                <w:noProof/>
                <w:webHidden/>
              </w:rPr>
              <w:fldChar w:fldCharType="separate"/>
            </w:r>
            <w:r>
              <w:rPr>
                <w:noProof/>
                <w:webHidden/>
              </w:rPr>
              <w:t>108</w:t>
            </w:r>
            <w:r>
              <w:rPr>
                <w:noProof/>
                <w:webHidden/>
              </w:rPr>
              <w:fldChar w:fldCharType="end"/>
            </w:r>
          </w:hyperlink>
        </w:p>
        <w:p w14:paraId="70536986" w14:textId="31DC86E4" w:rsidR="004558FA" w:rsidRDefault="004558FA">
          <w:pPr>
            <w:pStyle w:val="TOC2"/>
            <w:tabs>
              <w:tab w:val="right" w:leader="dot" w:pos="9350"/>
            </w:tabs>
            <w:rPr>
              <w:rFonts w:asciiTheme="minorHAnsi" w:hAnsiTheme="minorHAnsi"/>
              <w:noProof/>
              <w:color w:val="auto"/>
              <w:sz w:val="22"/>
              <w:lang w:val="ru-RU" w:eastAsia="ru-RU"/>
            </w:rPr>
          </w:pPr>
          <w:hyperlink w:anchor="_Toc229755389" w:history="1">
            <w:r w:rsidRPr="001F246B">
              <w:rPr>
                <w:rStyle w:val="Hyperlink"/>
                <w:rFonts w:cs="Times New Roman"/>
                <w:noProof/>
              </w:rPr>
              <w:t>B.3 Validation and Cross-Checks</w:t>
            </w:r>
            <w:r>
              <w:rPr>
                <w:noProof/>
                <w:webHidden/>
              </w:rPr>
              <w:tab/>
            </w:r>
            <w:r>
              <w:rPr>
                <w:noProof/>
                <w:webHidden/>
              </w:rPr>
              <w:fldChar w:fldCharType="begin"/>
            </w:r>
            <w:r>
              <w:rPr>
                <w:noProof/>
                <w:webHidden/>
              </w:rPr>
              <w:instrText xml:space="preserve"> PAGEREF _Toc229755389 \h </w:instrText>
            </w:r>
            <w:r>
              <w:rPr>
                <w:noProof/>
                <w:webHidden/>
              </w:rPr>
            </w:r>
            <w:r>
              <w:rPr>
                <w:noProof/>
                <w:webHidden/>
              </w:rPr>
              <w:fldChar w:fldCharType="separate"/>
            </w:r>
            <w:r>
              <w:rPr>
                <w:noProof/>
                <w:webHidden/>
              </w:rPr>
              <w:t>108</w:t>
            </w:r>
            <w:r>
              <w:rPr>
                <w:noProof/>
                <w:webHidden/>
              </w:rPr>
              <w:fldChar w:fldCharType="end"/>
            </w:r>
          </w:hyperlink>
        </w:p>
        <w:p w14:paraId="4B04232E" w14:textId="6ED85A94" w:rsidR="004558FA" w:rsidRDefault="004558FA">
          <w:pPr>
            <w:pStyle w:val="TOC1"/>
            <w:tabs>
              <w:tab w:val="right" w:leader="dot" w:pos="9350"/>
            </w:tabs>
            <w:rPr>
              <w:rFonts w:asciiTheme="minorHAnsi" w:hAnsiTheme="minorHAnsi"/>
              <w:noProof/>
              <w:color w:val="auto"/>
              <w:sz w:val="22"/>
              <w:lang w:val="ru-RU" w:eastAsia="ru-RU"/>
            </w:rPr>
          </w:pPr>
          <w:hyperlink w:anchor="_Toc229755390" w:history="1">
            <w:r w:rsidRPr="001F246B">
              <w:rPr>
                <w:rStyle w:val="Hyperlink"/>
                <w:rFonts w:cs="Times New Roman"/>
                <w:noProof/>
              </w:rPr>
              <w:t>Appendix C. NLP Cleaning and Modelling Pipeline</w:t>
            </w:r>
            <w:r>
              <w:rPr>
                <w:noProof/>
                <w:webHidden/>
              </w:rPr>
              <w:tab/>
            </w:r>
            <w:r>
              <w:rPr>
                <w:noProof/>
                <w:webHidden/>
              </w:rPr>
              <w:fldChar w:fldCharType="begin"/>
            </w:r>
            <w:r>
              <w:rPr>
                <w:noProof/>
                <w:webHidden/>
              </w:rPr>
              <w:instrText xml:space="preserve"> PAGEREF _Toc229755390 \h </w:instrText>
            </w:r>
            <w:r>
              <w:rPr>
                <w:noProof/>
                <w:webHidden/>
              </w:rPr>
            </w:r>
            <w:r>
              <w:rPr>
                <w:noProof/>
                <w:webHidden/>
              </w:rPr>
              <w:fldChar w:fldCharType="separate"/>
            </w:r>
            <w:r>
              <w:rPr>
                <w:noProof/>
                <w:webHidden/>
              </w:rPr>
              <w:t>108</w:t>
            </w:r>
            <w:r>
              <w:rPr>
                <w:noProof/>
                <w:webHidden/>
              </w:rPr>
              <w:fldChar w:fldCharType="end"/>
            </w:r>
          </w:hyperlink>
        </w:p>
        <w:p w14:paraId="78C66BF5" w14:textId="378F19A3" w:rsidR="004558FA" w:rsidRDefault="004558FA">
          <w:pPr>
            <w:pStyle w:val="TOC2"/>
            <w:tabs>
              <w:tab w:val="right" w:leader="dot" w:pos="9350"/>
            </w:tabs>
            <w:rPr>
              <w:rFonts w:asciiTheme="minorHAnsi" w:hAnsiTheme="minorHAnsi"/>
              <w:noProof/>
              <w:color w:val="auto"/>
              <w:sz w:val="22"/>
              <w:lang w:val="ru-RU" w:eastAsia="ru-RU"/>
            </w:rPr>
          </w:pPr>
          <w:hyperlink w:anchor="_Toc229755391" w:history="1">
            <w:r w:rsidRPr="001F246B">
              <w:rPr>
                <w:rStyle w:val="Hyperlink"/>
                <w:rFonts w:cs="Times New Roman"/>
                <w:noProof/>
              </w:rPr>
              <w:t>C.1 Trustpilot Extraction</w:t>
            </w:r>
            <w:r>
              <w:rPr>
                <w:noProof/>
                <w:webHidden/>
              </w:rPr>
              <w:tab/>
            </w:r>
            <w:r>
              <w:rPr>
                <w:noProof/>
                <w:webHidden/>
              </w:rPr>
              <w:fldChar w:fldCharType="begin"/>
            </w:r>
            <w:r>
              <w:rPr>
                <w:noProof/>
                <w:webHidden/>
              </w:rPr>
              <w:instrText xml:space="preserve"> PAGEREF _Toc229755391 \h </w:instrText>
            </w:r>
            <w:r>
              <w:rPr>
                <w:noProof/>
                <w:webHidden/>
              </w:rPr>
            </w:r>
            <w:r>
              <w:rPr>
                <w:noProof/>
                <w:webHidden/>
              </w:rPr>
              <w:fldChar w:fldCharType="separate"/>
            </w:r>
            <w:r>
              <w:rPr>
                <w:noProof/>
                <w:webHidden/>
              </w:rPr>
              <w:t>108</w:t>
            </w:r>
            <w:r>
              <w:rPr>
                <w:noProof/>
                <w:webHidden/>
              </w:rPr>
              <w:fldChar w:fldCharType="end"/>
            </w:r>
          </w:hyperlink>
        </w:p>
        <w:p w14:paraId="6F288472" w14:textId="796C0B3F" w:rsidR="004558FA" w:rsidRDefault="004558FA">
          <w:pPr>
            <w:pStyle w:val="TOC2"/>
            <w:tabs>
              <w:tab w:val="right" w:leader="dot" w:pos="9350"/>
            </w:tabs>
            <w:rPr>
              <w:rFonts w:asciiTheme="minorHAnsi" w:hAnsiTheme="minorHAnsi"/>
              <w:noProof/>
              <w:color w:val="auto"/>
              <w:sz w:val="22"/>
              <w:lang w:val="ru-RU" w:eastAsia="ru-RU"/>
            </w:rPr>
          </w:pPr>
          <w:hyperlink w:anchor="_Toc229755392" w:history="1">
            <w:r w:rsidRPr="001F246B">
              <w:rPr>
                <w:rStyle w:val="Hyperlink"/>
                <w:rFonts w:cs="Times New Roman"/>
                <w:noProof/>
              </w:rPr>
              <w:t>C.2 Cleaning Pipeline</w:t>
            </w:r>
            <w:r>
              <w:rPr>
                <w:noProof/>
                <w:webHidden/>
              </w:rPr>
              <w:tab/>
            </w:r>
            <w:r>
              <w:rPr>
                <w:noProof/>
                <w:webHidden/>
              </w:rPr>
              <w:fldChar w:fldCharType="begin"/>
            </w:r>
            <w:r>
              <w:rPr>
                <w:noProof/>
                <w:webHidden/>
              </w:rPr>
              <w:instrText xml:space="preserve"> PAGEREF _Toc229755392 \h </w:instrText>
            </w:r>
            <w:r>
              <w:rPr>
                <w:noProof/>
                <w:webHidden/>
              </w:rPr>
            </w:r>
            <w:r>
              <w:rPr>
                <w:noProof/>
                <w:webHidden/>
              </w:rPr>
              <w:fldChar w:fldCharType="separate"/>
            </w:r>
            <w:r>
              <w:rPr>
                <w:noProof/>
                <w:webHidden/>
              </w:rPr>
              <w:t>109</w:t>
            </w:r>
            <w:r>
              <w:rPr>
                <w:noProof/>
                <w:webHidden/>
              </w:rPr>
              <w:fldChar w:fldCharType="end"/>
            </w:r>
          </w:hyperlink>
        </w:p>
        <w:p w14:paraId="006DFFBB" w14:textId="760219B6" w:rsidR="004558FA" w:rsidRDefault="004558FA">
          <w:pPr>
            <w:pStyle w:val="TOC2"/>
            <w:tabs>
              <w:tab w:val="right" w:leader="dot" w:pos="9350"/>
            </w:tabs>
            <w:rPr>
              <w:rFonts w:asciiTheme="minorHAnsi" w:hAnsiTheme="minorHAnsi"/>
              <w:noProof/>
              <w:color w:val="auto"/>
              <w:sz w:val="22"/>
              <w:lang w:val="ru-RU" w:eastAsia="ru-RU"/>
            </w:rPr>
          </w:pPr>
          <w:hyperlink w:anchor="_Toc229755393" w:history="1">
            <w:r w:rsidRPr="001F246B">
              <w:rPr>
                <w:rStyle w:val="Hyperlink"/>
                <w:rFonts w:cs="Times New Roman"/>
                <w:noProof/>
              </w:rPr>
              <w:t>C.3 VADER Configuration</w:t>
            </w:r>
            <w:r>
              <w:rPr>
                <w:noProof/>
                <w:webHidden/>
              </w:rPr>
              <w:tab/>
            </w:r>
            <w:r>
              <w:rPr>
                <w:noProof/>
                <w:webHidden/>
              </w:rPr>
              <w:fldChar w:fldCharType="begin"/>
            </w:r>
            <w:r>
              <w:rPr>
                <w:noProof/>
                <w:webHidden/>
              </w:rPr>
              <w:instrText xml:space="preserve"> PAGEREF _Toc229755393 \h </w:instrText>
            </w:r>
            <w:r>
              <w:rPr>
                <w:noProof/>
                <w:webHidden/>
              </w:rPr>
            </w:r>
            <w:r>
              <w:rPr>
                <w:noProof/>
                <w:webHidden/>
              </w:rPr>
              <w:fldChar w:fldCharType="separate"/>
            </w:r>
            <w:r>
              <w:rPr>
                <w:noProof/>
                <w:webHidden/>
              </w:rPr>
              <w:t>109</w:t>
            </w:r>
            <w:r>
              <w:rPr>
                <w:noProof/>
                <w:webHidden/>
              </w:rPr>
              <w:fldChar w:fldCharType="end"/>
            </w:r>
          </w:hyperlink>
        </w:p>
        <w:p w14:paraId="16F85538" w14:textId="229DB831" w:rsidR="004558FA" w:rsidRDefault="004558FA">
          <w:pPr>
            <w:pStyle w:val="TOC2"/>
            <w:tabs>
              <w:tab w:val="right" w:leader="dot" w:pos="9350"/>
            </w:tabs>
            <w:rPr>
              <w:rFonts w:asciiTheme="minorHAnsi" w:hAnsiTheme="minorHAnsi"/>
              <w:noProof/>
              <w:color w:val="auto"/>
              <w:sz w:val="22"/>
              <w:lang w:val="ru-RU" w:eastAsia="ru-RU"/>
            </w:rPr>
          </w:pPr>
          <w:hyperlink w:anchor="_Toc229755394" w:history="1">
            <w:r w:rsidRPr="001F246B">
              <w:rPr>
                <w:rStyle w:val="Hyperlink"/>
                <w:rFonts w:cs="Times New Roman"/>
                <w:noProof/>
              </w:rPr>
              <w:t>C.4 BERTopic Hyperparameters</w:t>
            </w:r>
            <w:r>
              <w:rPr>
                <w:noProof/>
                <w:webHidden/>
              </w:rPr>
              <w:tab/>
            </w:r>
            <w:r>
              <w:rPr>
                <w:noProof/>
                <w:webHidden/>
              </w:rPr>
              <w:fldChar w:fldCharType="begin"/>
            </w:r>
            <w:r>
              <w:rPr>
                <w:noProof/>
                <w:webHidden/>
              </w:rPr>
              <w:instrText xml:space="preserve"> PAGEREF _Toc229755394 \h </w:instrText>
            </w:r>
            <w:r>
              <w:rPr>
                <w:noProof/>
                <w:webHidden/>
              </w:rPr>
            </w:r>
            <w:r>
              <w:rPr>
                <w:noProof/>
                <w:webHidden/>
              </w:rPr>
              <w:fldChar w:fldCharType="separate"/>
            </w:r>
            <w:r>
              <w:rPr>
                <w:noProof/>
                <w:webHidden/>
              </w:rPr>
              <w:t>109</w:t>
            </w:r>
            <w:r>
              <w:rPr>
                <w:noProof/>
                <w:webHidden/>
              </w:rPr>
              <w:fldChar w:fldCharType="end"/>
            </w:r>
          </w:hyperlink>
        </w:p>
        <w:p w14:paraId="4FEA063B" w14:textId="54309705" w:rsidR="004558FA" w:rsidRDefault="004558FA">
          <w:pPr>
            <w:pStyle w:val="TOC2"/>
            <w:tabs>
              <w:tab w:val="right" w:leader="dot" w:pos="9350"/>
            </w:tabs>
            <w:rPr>
              <w:rFonts w:asciiTheme="minorHAnsi" w:hAnsiTheme="minorHAnsi"/>
              <w:noProof/>
              <w:color w:val="auto"/>
              <w:sz w:val="22"/>
              <w:lang w:val="ru-RU" w:eastAsia="ru-RU"/>
            </w:rPr>
          </w:pPr>
          <w:hyperlink w:anchor="_Toc229755395" w:history="1">
            <w:r w:rsidRPr="001F246B">
              <w:rPr>
                <w:rStyle w:val="Hyperlink"/>
                <w:rFonts w:cs="Times New Roman"/>
                <w:noProof/>
              </w:rPr>
              <w:t>C.5 Statistical Test Parameters</w:t>
            </w:r>
            <w:r>
              <w:rPr>
                <w:noProof/>
                <w:webHidden/>
              </w:rPr>
              <w:tab/>
            </w:r>
            <w:r>
              <w:rPr>
                <w:noProof/>
                <w:webHidden/>
              </w:rPr>
              <w:fldChar w:fldCharType="begin"/>
            </w:r>
            <w:r>
              <w:rPr>
                <w:noProof/>
                <w:webHidden/>
              </w:rPr>
              <w:instrText xml:space="preserve"> PAGEREF _Toc229755395 \h </w:instrText>
            </w:r>
            <w:r>
              <w:rPr>
                <w:noProof/>
                <w:webHidden/>
              </w:rPr>
            </w:r>
            <w:r>
              <w:rPr>
                <w:noProof/>
                <w:webHidden/>
              </w:rPr>
              <w:fldChar w:fldCharType="separate"/>
            </w:r>
            <w:r>
              <w:rPr>
                <w:noProof/>
                <w:webHidden/>
              </w:rPr>
              <w:t>110</w:t>
            </w:r>
            <w:r>
              <w:rPr>
                <w:noProof/>
                <w:webHidden/>
              </w:rPr>
              <w:fldChar w:fldCharType="end"/>
            </w:r>
          </w:hyperlink>
        </w:p>
        <w:p w14:paraId="5FFDF650" w14:textId="5806E786" w:rsidR="004558FA" w:rsidRDefault="004558FA">
          <w:pPr>
            <w:pStyle w:val="TOC1"/>
            <w:tabs>
              <w:tab w:val="right" w:leader="dot" w:pos="9350"/>
            </w:tabs>
            <w:rPr>
              <w:rFonts w:asciiTheme="minorHAnsi" w:hAnsiTheme="minorHAnsi"/>
              <w:noProof/>
              <w:color w:val="auto"/>
              <w:sz w:val="22"/>
              <w:lang w:val="ru-RU" w:eastAsia="ru-RU"/>
            </w:rPr>
          </w:pPr>
          <w:hyperlink w:anchor="_Toc229755396" w:history="1">
            <w:r w:rsidRPr="001F246B">
              <w:rPr>
                <w:rStyle w:val="Hyperlink"/>
                <w:rFonts w:cs="Times New Roman"/>
                <w:noProof/>
              </w:rPr>
              <w:t>Appendix D. Topic Inventory and Keyword Dictionary</w:t>
            </w:r>
            <w:r>
              <w:rPr>
                <w:noProof/>
                <w:webHidden/>
              </w:rPr>
              <w:tab/>
            </w:r>
            <w:r>
              <w:rPr>
                <w:noProof/>
                <w:webHidden/>
              </w:rPr>
              <w:fldChar w:fldCharType="begin"/>
            </w:r>
            <w:r>
              <w:rPr>
                <w:noProof/>
                <w:webHidden/>
              </w:rPr>
              <w:instrText xml:space="preserve"> PAGEREF _Toc229755396 \h </w:instrText>
            </w:r>
            <w:r>
              <w:rPr>
                <w:noProof/>
                <w:webHidden/>
              </w:rPr>
            </w:r>
            <w:r>
              <w:rPr>
                <w:noProof/>
                <w:webHidden/>
              </w:rPr>
              <w:fldChar w:fldCharType="separate"/>
            </w:r>
            <w:r>
              <w:rPr>
                <w:noProof/>
                <w:webHidden/>
              </w:rPr>
              <w:t>111</w:t>
            </w:r>
            <w:r>
              <w:rPr>
                <w:noProof/>
                <w:webHidden/>
              </w:rPr>
              <w:fldChar w:fldCharType="end"/>
            </w:r>
          </w:hyperlink>
        </w:p>
        <w:p w14:paraId="2CDF3A5F" w14:textId="4BFD0A4C" w:rsidR="004558FA" w:rsidRDefault="004558FA">
          <w:pPr>
            <w:pStyle w:val="TOC2"/>
            <w:tabs>
              <w:tab w:val="right" w:leader="dot" w:pos="9350"/>
            </w:tabs>
            <w:rPr>
              <w:rFonts w:asciiTheme="minorHAnsi" w:hAnsiTheme="minorHAnsi"/>
              <w:noProof/>
              <w:color w:val="auto"/>
              <w:sz w:val="22"/>
              <w:lang w:val="ru-RU" w:eastAsia="ru-RU"/>
            </w:rPr>
          </w:pPr>
          <w:hyperlink w:anchor="_Toc229755397" w:history="1">
            <w:r w:rsidRPr="001F246B">
              <w:rPr>
                <w:rStyle w:val="Hyperlink"/>
                <w:rFonts w:cs="Times New Roman"/>
                <w:noProof/>
              </w:rPr>
              <w:t>D.1 Top BERTopic Topics by Share</w:t>
            </w:r>
            <w:r>
              <w:rPr>
                <w:noProof/>
                <w:webHidden/>
              </w:rPr>
              <w:tab/>
            </w:r>
            <w:r>
              <w:rPr>
                <w:noProof/>
                <w:webHidden/>
              </w:rPr>
              <w:fldChar w:fldCharType="begin"/>
            </w:r>
            <w:r>
              <w:rPr>
                <w:noProof/>
                <w:webHidden/>
              </w:rPr>
              <w:instrText xml:space="preserve"> PAGEREF _Toc229755397 \h </w:instrText>
            </w:r>
            <w:r>
              <w:rPr>
                <w:noProof/>
                <w:webHidden/>
              </w:rPr>
            </w:r>
            <w:r>
              <w:rPr>
                <w:noProof/>
                <w:webHidden/>
              </w:rPr>
              <w:fldChar w:fldCharType="separate"/>
            </w:r>
            <w:r>
              <w:rPr>
                <w:noProof/>
                <w:webHidden/>
              </w:rPr>
              <w:t>111</w:t>
            </w:r>
            <w:r>
              <w:rPr>
                <w:noProof/>
                <w:webHidden/>
              </w:rPr>
              <w:fldChar w:fldCharType="end"/>
            </w:r>
          </w:hyperlink>
        </w:p>
        <w:p w14:paraId="0ACF2A27" w14:textId="16A902BD" w:rsidR="004558FA" w:rsidRDefault="004558FA">
          <w:pPr>
            <w:pStyle w:val="TOC2"/>
            <w:tabs>
              <w:tab w:val="right" w:leader="dot" w:pos="9350"/>
            </w:tabs>
            <w:rPr>
              <w:rFonts w:asciiTheme="minorHAnsi" w:hAnsiTheme="minorHAnsi"/>
              <w:noProof/>
              <w:color w:val="auto"/>
              <w:sz w:val="22"/>
              <w:lang w:val="ru-RU" w:eastAsia="ru-RU"/>
            </w:rPr>
          </w:pPr>
          <w:hyperlink w:anchor="_Toc229755398" w:history="1">
            <w:r w:rsidRPr="001F246B">
              <w:rPr>
                <w:rStyle w:val="Hyperlink"/>
                <w:rFonts w:cs="Times New Roman"/>
                <w:noProof/>
              </w:rPr>
              <w:t>D.2 Keyword Dictionary</w:t>
            </w:r>
            <w:r>
              <w:rPr>
                <w:noProof/>
                <w:webHidden/>
              </w:rPr>
              <w:tab/>
            </w:r>
            <w:r>
              <w:rPr>
                <w:noProof/>
                <w:webHidden/>
              </w:rPr>
              <w:fldChar w:fldCharType="begin"/>
            </w:r>
            <w:r>
              <w:rPr>
                <w:noProof/>
                <w:webHidden/>
              </w:rPr>
              <w:instrText xml:space="preserve"> PAGEREF _Toc229755398 \h </w:instrText>
            </w:r>
            <w:r>
              <w:rPr>
                <w:noProof/>
                <w:webHidden/>
              </w:rPr>
            </w:r>
            <w:r>
              <w:rPr>
                <w:noProof/>
                <w:webHidden/>
              </w:rPr>
              <w:fldChar w:fldCharType="separate"/>
            </w:r>
            <w:r>
              <w:rPr>
                <w:noProof/>
                <w:webHidden/>
              </w:rPr>
              <w:t>111</w:t>
            </w:r>
            <w:r>
              <w:rPr>
                <w:noProof/>
                <w:webHidden/>
              </w:rPr>
              <w:fldChar w:fldCharType="end"/>
            </w:r>
          </w:hyperlink>
        </w:p>
        <w:p w14:paraId="4890D343" w14:textId="78E266CB" w:rsidR="004558FA" w:rsidRDefault="004558FA">
          <w:pPr>
            <w:pStyle w:val="TOC1"/>
            <w:tabs>
              <w:tab w:val="right" w:leader="dot" w:pos="9350"/>
            </w:tabs>
            <w:rPr>
              <w:rFonts w:asciiTheme="minorHAnsi" w:hAnsiTheme="minorHAnsi"/>
              <w:noProof/>
              <w:color w:val="auto"/>
              <w:sz w:val="22"/>
              <w:lang w:val="ru-RU" w:eastAsia="ru-RU"/>
            </w:rPr>
          </w:pPr>
          <w:hyperlink w:anchor="_Toc229755399" w:history="1">
            <w:r w:rsidRPr="001F246B">
              <w:rPr>
                <w:rStyle w:val="Hyperlink"/>
                <w:rFonts w:cs="Times New Roman"/>
                <w:noProof/>
              </w:rPr>
              <w:t>Appendix E. Supplementary Figures</w:t>
            </w:r>
            <w:r>
              <w:rPr>
                <w:noProof/>
                <w:webHidden/>
              </w:rPr>
              <w:tab/>
            </w:r>
            <w:r>
              <w:rPr>
                <w:noProof/>
                <w:webHidden/>
              </w:rPr>
              <w:fldChar w:fldCharType="begin"/>
            </w:r>
            <w:r>
              <w:rPr>
                <w:noProof/>
                <w:webHidden/>
              </w:rPr>
              <w:instrText xml:space="preserve"> PAGEREF _Toc229755399 \h </w:instrText>
            </w:r>
            <w:r>
              <w:rPr>
                <w:noProof/>
                <w:webHidden/>
              </w:rPr>
            </w:r>
            <w:r>
              <w:rPr>
                <w:noProof/>
                <w:webHidden/>
              </w:rPr>
              <w:fldChar w:fldCharType="separate"/>
            </w:r>
            <w:r>
              <w:rPr>
                <w:noProof/>
                <w:webHidden/>
              </w:rPr>
              <w:t>112</w:t>
            </w:r>
            <w:r>
              <w:rPr>
                <w:noProof/>
                <w:webHidden/>
              </w:rPr>
              <w:fldChar w:fldCharType="end"/>
            </w:r>
          </w:hyperlink>
        </w:p>
        <w:p w14:paraId="77059AE9" w14:textId="1EB79A5E" w:rsidR="004558FA" w:rsidRDefault="004558FA">
          <w:pPr>
            <w:pStyle w:val="TOC2"/>
            <w:tabs>
              <w:tab w:val="right" w:leader="dot" w:pos="9350"/>
            </w:tabs>
            <w:rPr>
              <w:rFonts w:asciiTheme="minorHAnsi" w:hAnsiTheme="minorHAnsi"/>
              <w:noProof/>
              <w:color w:val="auto"/>
              <w:sz w:val="22"/>
              <w:lang w:val="ru-RU" w:eastAsia="ru-RU"/>
            </w:rPr>
          </w:pPr>
          <w:hyperlink w:anchor="_Toc229755400" w:history="1">
            <w:r w:rsidRPr="001F246B">
              <w:rPr>
                <w:rStyle w:val="Hyperlink"/>
                <w:rFonts w:cs="Times New Roman"/>
                <w:noProof/>
              </w:rPr>
              <w:t>E.1 Operational Leverage Index</w:t>
            </w:r>
            <w:r>
              <w:rPr>
                <w:noProof/>
                <w:webHidden/>
              </w:rPr>
              <w:tab/>
            </w:r>
            <w:r>
              <w:rPr>
                <w:noProof/>
                <w:webHidden/>
              </w:rPr>
              <w:fldChar w:fldCharType="begin"/>
            </w:r>
            <w:r>
              <w:rPr>
                <w:noProof/>
                <w:webHidden/>
              </w:rPr>
              <w:instrText xml:space="preserve"> PAGEREF _Toc229755400 \h </w:instrText>
            </w:r>
            <w:r>
              <w:rPr>
                <w:noProof/>
                <w:webHidden/>
              </w:rPr>
            </w:r>
            <w:r>
              <w:rPr>
                <w:noProof/>
                <w:webHidden/>
              </w:rPr>
              <w:fldChar w:fldCharType="separate"/>
            </w:r>
            <w:r>
              <w:rPr>
                <w:noProof/>
                <w:webHidden/>
              </w:rPr>
              <w:t>112</w:t>
            </w:r>
            <w:r>
              <w:rPr>
                <w:noProof/>
                <w:webHidden/>
              </w:rPr>
              <w:fldChar w:fldCharType="end"/>
            </w:r>
          </w:hyperlink>
        </w:p>
        <w:p w14:paraId="2D14DA3A" w14:textId="5423A38B" w:rsidR="004558FA" w:rsidRDefault="004558FA">
          <w:pPr>
            <w:pStyle w:val="TOC2"/>
            <w:tabs>
              <w:tab w:val="right" w:leader="dot" w:pos="9350"/>
            </w:tabs>
            <w:rPr>
              <w:rFonts w:asciiTheme="minorHAnsi" w:hAnsiTheme="minorHAnsi"/>
              <w:noProof/>
              <w:color w:val="auto"/>
              <w:sz w:val="22"/>
              <w:lang w:val="ru-RU" w:eastAsia="ru-RU"/>
            </w:rPr>
          </w:pPr>
          <w:hyperlink w:anchor="_Toc229755401" w:history="1">
            <w:r w:rsidRPr="001F246B">
              <w:rPr>
                <w:rStyle w:val="Hyperlink"/>
                <w:rFonts w:cs="Times New Roman"/>
                <w:noProof/>
              </w:rPr>
              <w:t>E.2 BERTopic Topic Map</w:t>
            </w:r>
            <w:r>
              <w:rPr>
                <w:noProof/>
                <w:webHidden/>
              </w:rPr>
              <w:tab/>
            </w:r>
            <w:r>
              <w:rPr>
                <w:noProof/>
                <w:webHidden/>
              </w:rPr>
              <w:fldChar w:fldCharType="begin"/>
            </w:r>
            <w:r>
              <w:rPr>
                <w:noProof/>
                <w:webHidden/>
              </w:rPr>
              <w:instrText xml:space="preserve"> PAGEREF _Toc229755401 \h </w:instrText>
            </w:r>
            <w:r>
              <w:rPr>
                <w:noProof/>
                <w:webHidden/>
              </w:rPr>
            </w:r>
            <w:r>
              <w:rPr>
                <w:noProof/>
                <w:webHidden/>
              </w:rPr>
              <w:fldChar w:fldCharType="separate"/>
            </w:r>
            <w:r>
              <w:rPr>
                <w:noProof/>
                <w:webHidden/>
              </w:rPr>
              <w:t>113</w:t>
            </w:r>
            <w:r>
              <w:rPr>
                <w:noProof/>
                <w:webHidden/>
              </w:rPr>
              <w:fldChar w:fldCharType="end"/>
            </w:r>
          </w:hyperlink>
        </w:p>
        <w:p w14:paraId="1404A709" w14:textId="312E92AE" w:rsidR="004558FA" w:rsidRDefault="004558FA">
          <w:pPr>
            <w:pStyle w:val="TOC2"/>
            <w:tabs>
              <w:tab w:val="right" w:leader="dot" w:pos="9350"/>
            </w:tabs>
            <w:rPr>
              <w:rFonts w:asciiTheme="minorHAnsi" w:hAnsiTheme="minorHAnsi"/>
              <w:noProof/>
              <w:color w:val="auto"/>
              <w:sz w:val="22"/>
              <w:lang w:val="ru-RU" w:eastAsia="ru-RU"/>
            </w:rPr>
          </w:pPr>
          <w:hyperlink w:anchor="_Toc229755402" w:history="1">
            <w:r w:rsidRPr="001F246B">
              <w:rPr>
                <w:rStyle w:val="Hyperlink"/>
                <w:rFonts w:cs="Times New Roman"/>
                <w:noProof/>
              </w:rPr>
              <w:t>E.3 BERTopic Topic-Word Importance</w:t>
            </w:r>
            <w:r>
              <w:rPr>
                <w:noProof/>
                <w:webHidden/>
              </w:rPr>
              <w:tab/>
            </w:r>
            <w:r>
              <w:rPr>
                <w:noProof/>
                <w:webHidden/>
              </w:rPr>
              <w:fldChar w:fldCharType="begin"/>
            </w:r>
            <w:r>
              <w:rPr>
                <w:noProof/>
                <w:webHidden/>
              </w:rPr>
              <w:instrText xml:space="preserve"> PAGEREF _Toc229755402 \h </w:instrText>
            </w:r>
            <w:r>
              <w:rPr>
                <w:noProof/>
                <w:webHidden/>
              </w:rPr>
            </w:r>
            <w:r>
              <w:rPr>
                <w:noProof/>
                <w:webHidden/>
              </w:rPr>
              <w:fldChar w:fldCharType="separate"/>
            </w:r>
            <w:r>
              <w:rPr>
                <w:noProof/>
                <w:webHidden/>
              </w:rPr>
              <w:t>114</w:t>
            </w:r>
            <w:r>
              <w:rPr>
                <w:noProof/>
                <w:webHidden/>
              </w:rPr>
              <w:fldChar w:fldCharType="end"/>
            </w:r>
          </w:hyperlink>
        </w:p>
        <w:p w14:paraId="1188AE15" w14:textId="455063F1" w:rsidR="004558FA" w:rsidRDefault="004558FA">
          <w:pPr>
            <w:pStyle w:val="TOC1"/>
            <w:tabs>
              <w:tab w:val="right" w:leader="dot" w:pos="9350"/>
            </w:tabs>
            <w:rPr>
              <w:rFonts w:asciiTheme="minorHAnsi" w:hAnsiTheme="minorHAnsi"/>
              <w:noProof/>
              <w:color w:val="auto"/>
              <w:sz w:val="22"/>
              <w:lang w:val="ru-RU" w:eastAsia="ru-RU"/>
            </w:rPr>
          </w:pPr>
          <w:hyperlink w:anchor="_Toc229755403" w:history="1">
            <w:r w:rsidRPr="001F246B">
              <w:rPr>
                <w:rStyle w:val="Hyperlink"/>
                <w:rFonts w:cs="Times New Roman"/>
                <w:noProof/>
              </w:rPr>
              <w:t>Appendix F. Source Reliability</w:t>
            </w:r>
            <w:r>
              <w:rPr>
                <w:noProof/>
                <w:webHidden/>
              </w:rPr>
              <w:tab/>
            </w:r>
            <w:r>
              <w:rPr>
                <w:noProof/>
                <w:webHidden/>
              </w:rPr>
              <w:fldChar w:fldCharType="begin"/>
            </w:r>
            <w:r>
              <w:rPr>
                <w:noProof/>
                <w:webHidden/>
              </w:rPr>
              <w:instrText xml:space="preserve"> PAGEREF _Toc229755403 \h </w:instrText>
            </w:r>
            <w:r>
              <w:rPr>
                <w:noProof/>
                <w:webHidden/>
              </w:rPr>
            </w:r>
            <w:r>
              <w:rPr>
                <w:noProof/>
                <w:webHidden/>
              </w:rPr>
              <w:fldChar w:fldCharType="separate"/>
            </w:r>
            <w:r>
              <w:rPr>
                <w:noProof/>
                <w:webHidden/>
              </w:rPr>
              <w:t>115</w:t>
            </w:r>
            <w:r>
              <w:rPr>
                <w:noProof/>
                <w:webHidden/>
              </w:rPr>
              <w:fldChar w:fldCharType="end"/>
            </w:r>
          </w:hyperlink>
        </w:p>
        <w:p w14:paraId="438B1CBE" w14:textId="5802E18C" w:rsidR="004558FA" w:rsidRDefault="004558FA">
          <w:pPr>
            <w:pStyle w:val="TOC2"/>
            <w:tabs>
              <w:tab w:val="right" w:leader="dot" w:pos="9350"/>
            </w:tabs>
            <w:rPr>
              <w:rFonts w:asciiTheme="minorHAnsi" w:hAnsiTheme="minorHAnsi"/>
              <w:noProof/>
              <w:color w:val="auto"/>
              <w:sz w:val="22"/>
              <w:lang w:val="ru-RU" w:eastAsia="ru-RU"/>
            </w:rPr>
          </w:pPr>
          <w:hyperlink w:anchor="_Toc229755404" w:history="1">
            <w:r w:rsidRPr="001F246B">
              <w:rPr>
                <w:rStyle w:val="Hyperlink"/>
                <w:rFonts w:cs="Times New Roman"/>
                <w:noProof/>
              </w:rPr>
              <w:t>F.1 Source-Reliability Tier Counts</w:t>
            </w:r>
            <w:r>
              <w:rPr>
                <w:noProof/>
                <w:webHidden/>
              </w:rPr>
              <w:tab/>
            </w:r>
            <w:r>
              <w:rPr>
                <w:noProof/>
                <w:webHidden/>
              </w:rPr>
              <w:fldChar w:fldCharType="begin"/>
            </w:r>
            <w:r>
              <w:rPr>
                <w:noProof/>
                <w:webHidden/>
              </w:rPr>
              <w:instrText xml:space="preserve"> PAGEREF _Toc229755404 \h </w:instrText>
            </w:r>
            <w:r>
              <w:rPr>
                <w:noProof/>
                <w:webHidden/>
              </w:rPr>
            </w:r>
            <w:r>
              <w:rPr>
                <w:noProof/>
                <w:webHidden/>
              </w:rPr>
              <w:fldChar w:fldCharType="separate"/>
            </w:r>
            <w:r>
              <w:rPr>
                <w:noProof/>
                <w:webHidden/>
              </w:rPr>
              <w:t>115</w:t>
            </w:r>
            <w:r>
              <w:rPr>
                <w:noProof/>
                <w:webHidden/>
              </w:rPr>
              <w:fldChar w:fldCharType="end"/>
            </w:r>
          </w:hyperlink>
        </w:p>
        <w:p w14:paraId="4ADA78F1" w14:textId="19273A71" w:rsidR="004558FA" w:rsidRDefault="004558FA">
          <w:pPr>
            <w:pStyle w:val="TOC1"/>
            <w:tabs>
              <w:tab w:val="right" w:leader="dot" w:pos="9350"/>
            </w:tabs>
            <w:rPr>
              <w:rFonts w:asciiTheme="minorHAnsi" w:hAnsiTheme="minorHAnsi"/>
              <w:noProof/>
              <w:color w:val="auto"/>
              <w:sz w:val="22"/>
              <w:lang w:val="ru-RU" w:eastAsia="ru-RU"/>
            </w:rPr>
          </w:pPr>
          <w:hyperlink w:anchor="_Toc229755405" w:history="1">
            <w:r w:rsidRPr="001F246B">
              <w:rPr>
                <w:rStyle w:val="Hyperlink"/>
                <w:rFonts w:cs="Times New Roman"/>
                <w:noProof/>
              </w:rPr>
              <w:t>Appendix G. Reproducibility Notes</w:t>
            </w:r>
            <w:r>
              <w:rPr>
                <w:noProof/>
                <w:webHidden/>
              </w:rPr>
              <w:tab/>
            </w:r>
            <w:r>
              <w:rPr>
                <w:noProof/>
                <w:webHidden/>
              </w:rPr>
              <w:fldChar w:fldCharType="begin"/>
            </w:r>
            <w:r>
              <w:rPr>
                <w:noProof/>
                <w:webHidden/>
              </w:rPr>
              <w:instrText xml:space="preserve"> PAGEREF _Toc229755405 \h </w:instrText>
            </w:r>
            <w:r>
              <w:rPr>
                <w:noProof/>
                <w:webHidden/>
              </w:rPr>
            </w:r>
            <w:r>
              <w:rPr>
                <w:noProof/>
                <w:webHidden/>
              </w:rPr>
              <w:fldChar w:fldCharType="separate"/>
            </w:r>
            <w:r>
              <w:rPr>
                <w:noProof/>
                <w:webHidden/>
              </w:rPr>
              <w:t>116</w:t>
            </w:r>
            <w:r>
              <w:rPr>
                <w:noProof/>
                <w:webHidden/>
              </w:rPr>
              <w:fldChar w:fldCharType="end"/>
            </w:r>
          </w:hyperlink>
        </w:p>
        <w:p w14:paraId="3A5EA02D" w14:textId="30EF9D76" w:rsidR="004558FA" w:rsidRDefault="004558FA">
          <w:pPr>
            <w:pStyle w:val="TOC2"/>
            <w:tabs>
              <w:tab w:val="right" w:leader="dot" w:pos="9350"/>
            </w:tabs>
            <w:rPr>
              <w:rFonts w:asciiTheme="minorHAnsi" w:hAnsiTheme="minorHAnsi"/>
              <w:noProof/>
              <w:color w:val="auto"/>
              <w:sz w:val="22"/>
              <w:lang w:val="ru-RU" w:eastAsia="ru-RU"/>
            </w:rPr>
          </w:pPr>
          <w:hyperlink w:anchor="_Toc229755406" w:history="1">
            <w:r w:rsidRPr="001F246B">
              <w:rPr>
                <w:rStyle w:val="Hyperlink"/>
                <w:rFonts w:cs="Times New Roman"/>
                <w:noProof/>
              </w:rPr>
              <w:t>G.0 Source Code Repository</w:t>
            </w:r>
            <w:r>
              <w:rPr>
                <w:noProof/>
                <w:webHidden/>
              </w:rPr>
              <w:tab/>
            </w:r>
            <w:r>
              <w:rPr>
                <w:noProof/>
                <w:webHidden/>
              </w:rPr>
              <w:fldChar w:fldCharType="begin"/>
            </w:r>
            <w:r>
              <w:rPr>
                <w:noProof/>
                <w:webHidden/>
              </w:rPr>
              <w:instrText xml:space="preserve"> PAGEREF _Toc229755406 \h </w:instrText>
            </w:r>
            <w:r>
              <w:rPr>
                <w:noProof/>
                <w:webHidden/>
              </w:rPr>
            </w:r>
            <w:r>
              <w:rPr>
                <w:noProof/>
                <w:webHidden/>
              </w:rPr>
              <w:fldChar w:fldCharType="separate"/>
            </w:r>
            <w:r>
              <w:rPr>
                <w:noProof/>
                <w:webHidden/>
              </w:rPr>
              <w:t>116</w:t>
            </w:r>
            <w:r>
              <w:rPr>
                <w:noProof/>
                <w:webHidden/>
              </w:rPr>
              <w:fldChar w:fldCharType="end"/>
            </w:r>
          </w:hyperlink>
        </w:p>
        <w:p w14:paraId="5B33A408" w14:textId="30F5B13F" w:rsidR="004558FA" w:rsidRDefault="004558FA">
          <w:pPr>
            <w:pStyle w:val="TOC2"/>
            <w:tabs>
              <w:tab w:val="right" w:leader="dot" w:pos="9350"/>
            </w:tabs>
            <w:rPr>
              <w:rFonts w:asciiTheme="minorHAnsi" w:hAnsiTheme="minorHAnsi"/>
              <w:noProof/>
              <w:color w:val="auto"/>
              <w:sz w:val="22"/>
              <w:lang w:val="ru-RU" w:eastAsia="ru-RU"/>
            </w:rPr>
          </w:pPr>
          <w:hyperlink w:anchor="_Toc229755407" w:history="1">
            <w:r w:rsidRPr="001F246B">
              <w:rPr>
                <w:rStyle w:val="Hyperlink"/>
                <w:rFonts w:cs="Times New Roman"/>
                <w:noProof/>
              </w:rPr>
              <w:t>G.1 Repository Structure</w:t>
            </w:r>
            <w:r>
              <w:rPr>
                <w:noProof/>
                <w:webHidden/>
              </w:rPr>
              <w:tab/>
            </w:r>
            <w:r>
              <w:rPr>
                <w:noProof/>
                <w:webHidden/>
              </w:rPr>
              <w:fldChar w:fldCharType="begin"/>
            </w:r>
            <w:r>
              <w:rPr>
                <w:noProof/>
                <w:webHidden/>
              </w:rPr>
              <w:instrText xml:space="preserve"> PAGEREF _Toc229755407 \h </w:instrText>
            </w:r>
            <w:r>
              <w:rPr>
                <w:noProof/>
                <w:webHidden/>
              </w:rPr>
            </w:r>
            <w:r>
              <w:rPr>
                <w:noProof/>
                <w:webHidden/>
              </w:rPr>
              <w:fldChar w:fldCharType="separate"/>
            </w:r>
            <w:r>
              <w:rPr>
                <w:noProof/>
                <w:webHidden/>
              </w:rPr>
              <w:t>116</w:t>
            </w:r>
            <w:r>
              <w:rPr>
                <w:noProof/>
                <w:webHidden/>
              </w:rPr>
              <w:fldChar w:fldCharType="end"/>
            </w:r>
          </w:hyperlink>
        </w:p>
        <w:p w14:paraId="67289DE5" w14:textId="295D743B" w:rsidR="004558FA" w:rsidRDefault="004558FA">
          <w:pPr>
            <w:pStyle w:val="TOC2"/>
            <w:tabs>
              <w:tab w:val="right" w:leader="dot" w:pos="9350"/>
            </w:tabs>
            <w:rPr>
              <w:rFonts w:asciiTheme="minorHAnsi" w:hAnsiTheme="minorHAnsi"/>
              <w:noProof/>
              <w:color w:val="auto"/>
              <w:sz w:val="22"/>
              <w:lang w:val="ru-RU" w:eastAsia="ru-RU"/>
            </w:rPr>
          </w:pPr>
          <w:hyperlink w:anchor="_Toc229755408" w:history="1">
            <w:r w:rsidRPr="001F246B">
              <w:rPr>
                <w:rStyle w:val="Hyperlink"/>
                <w:rFonts w:cs="Times New Roman"/>
                <w:noProof/>
              </w:rPr>
              <w:t>G.2 Run-Once-from-Clone Commands</w:t>
            </w:r>
            <w:r>
              <w:rPr>
                <w:noProof/>
                <w:webHidden/>
              </w:rPr>
              <w:tab/>
            </w:r>
            <w:r>
              <w:rPr>
                <w:noProof/>
                <w:webHidden/>
              </w:rPr>
              <w:fldChar w:fldCharType="begin"/>
            </w:r>
            <w:r>
              <w:rPr>
                <w:noProof/>
                <w:webHidden/>
              </w:rPr>
              <w:instrText xml:space="preserve"> PAGEREF _Toc229755408 \h </w:instrText>
            </w:r>
            <w:r>
              <w:rPr>
                <w:noProof/>
                <w:webHidden/>
              </w:rPr>
            </w:r>
            <w:r>
              <w:rPr>
                <w:noProof/>
                <w:webHidden/>
              </w:rPr>
              <w:fldChar w:fldCharType="separate"/>
            </w:r>
            <w:r>
              <w:rPr>
                <w:noProof/>
                <w:webHidden/>
              </w:rPr>
              <w:t>116</w:t>
            </w:r>
            <w:r>
              <w:rPr>
                <w:noProof/>
                <w:webHidden/>
              </w:rPr>
              <w:fldChar w:fldCharType="end"/>
            </w:r>
          </w:hyperlink>
        </w:p>
        <w:p w14:paraId="1C3E55FA" w14:textId="039848E7" w:rsidR="004558FA" w:rsidRDefault="004558FA">
          <w:pPr>
            <w:pStyle w:val="TOC2"/>
            <w:tabs>
              <w:tab w:val="right" w:leader="dot" w:pos="9350"/>
            </w:tabs>
            <w:rPr>
              <w:rFonts w:asciiTheme="minorHAnsi" w:hAnsiTheme="minorHAnsi"/>
              <w:noProof/>
              <w:color w:val="auto"/>
              <w:sz w:val="22"/>
              <w:lang w:val="ru-RU" w:eastAsia="ru-RU"/>
            </w:rPr>
          </w:pPr>
          <w:hyperlink w:anchor="_Toc229755409" w:history="1">
            <w:r w:rsidRPr="001F246B">
              <w:rPr>
                <w:rStyle w:val="Hyperlink"/>
                <w:rFonts w:cs="Times New Roman"/>
                <w:noProof/>
              </w:rPr>
              <w:t>G.3 Package Versions</w:t>
            </w:r>
            <w:r>
              <w:rPr>
                <w:noProof/>
                <w:webHidden/>
              </w:rPr>
              <w:tab/>
            </w:r>
            <w:r>
              <w:rPr>
                <w:noProof/>
                <w:webHidden/>
              </w:rPr>
              <w:fldChar w:fldCharType="begin"/>
            </w:r>
            <w:r>
              <w:rPr>
                <w:noProof/>
                <w:webHidden/>
              </w:rPr>
              <w:instrText xml:space="preserve"> PAGEREF _Toc229755409 \h </w:instrText>
            </w:r>
            <w:r>
              <w:rPr>
                <w:noProof/>
                <w:webHidden/>
              </w:rPr>
            </w:r>
            <w:r>
              <w:rPr>
                <w:noProof/>
                <w:webHidden/>
              </w:rPr>
              <w:fldChar w:fldCharType="separate"/>
            </w:r>
            <w:r>
              <w:rPr>
                <w:noProof/>
                <w:webHidden/>
              </w:rPr>
              <w:t>117</w:t>
            </w:r>
            <w:r>
              <w:rPr>
                <w:noProof/>
                <w:webHidden/>
              </w:rPr>
              <w:fldChar w:fldCharType="end"/>
            </w:r>
          </w:hyperlink>
        </w:p>
        <w:p w14:paraId="1E750DFF" w14:textId="0BEE329A" w:rsidR="004558FA" w:rsidRDefault="004558FA">
          <w:pPr>
            <w:pStyle w:val="TOC1"/>
            <w:tabs>
              <w:tab w:val="right" w:leader="dot" w:pos="9350"/>
            </w:tabs>
            <w:rPr>
              <w:rFonts w:asciiTheme="minorHAnsi" w:hAnsiTheme="minorHAnsi"/>
              <w:noProof/>
              <w:color w:val="auto"/>
              <w:sz w:val="22"/>
              <w:lang w:val="ru-RU" w:eastAsia="ru-RU"/>
            </w:rPr>
          </w:pPr>
          <w:hyperlink w:anchor="_Toc229755410" w:history="1">
            <w:r w:rsidRPr="001F246B">
              <w:rPr>
                <w:rStyle w:val="Hyperlink"/>
                <w:rFonts w:cs="Times New Roman"/>
                <w:noProof/>
              </w:rPr>
              <w:t>STATEMENT ON THE USE OF GENERATIVE AI</w:t>
            </w:r>
            <w:r>
              <w:rPr>
                <w:noProof/>
                <w:webHidden/>
              </w:rPr>
              <w:tab/>
            </w:r>
            <w:r>
              <w:rPr>
                <w:noProof/>
                <w:webHidden/>
              </w:rPr>
              <w:fldChar w:fldCharType="begin"/>
            </w:r>
            <w:r>
              <w:rPr>
                <w:noProof/>
                <w:webHidden/>
              </w:rPr>
              <w:instrText xml:space="preserve"> PAGEREF _Toc229755410 \h </w:instrText>
            </w:r>
            <w:r>
              <w:rPr>
                <w:noProof/>
                <w:webHidden/>
              </w:rPr>
            </w:r>
            <w:r>
              <w:rPr>
                <w:noProof/>
                <w:webHidden/>
              </w:rPr>
              <w:fldChar w:fldCharType="separate"/>
            </w:r>
            <w:r>
              <w:rPr>
                <w:noProof/>
                <w:webHidden/>
              </w:rPr>
              <w:t>119</w:t>
            </w:r>
            <w:r>
              <w:rPr>
                <w:noProof/>
                <w:webHidden/>
              </w:rPr>
              <w:fldChar w:fldCharType="end"/>
            </w:r>
          </w:hyperlink>
        </w:p>
        <w:p w14:paraId="47436801" w14:textId="0BA6AFA1" w:rsidR="00F70D72" w:rsidRPr="00B76053" w:rsidRDefault="00F70D72">
          <w:pPr>
            <w:rPr>
              <w:rFonts w:cs="Times New Roman"/>
            </w:rPr>
          </w:pPr>
          <w:r w:rsidRPr="00B76053">
            <w:rPr>
              <w:rFonts w:cs="Times New Roman"/>
              <w:b/>
              <w:bCs/>
              <w:noProof/>
            </w:rPr>
            <w:fldChar w:fldCharType="end"/>
          </w:r>
        </w:p>
      </w:sdtContent>
    </w:sdt>
    <w:p w14:paraId="3322C562" w14:textId="77777777" w:rsidR="004B79C9" w:rsidRDefault="004B79C9" w:rsidP="004B79C9">
      <w:pPr>
        <w:pStyle w:val="NoSpacing"/>
        <w:spacing w:line="360" w:lineRule="auto"/>
        <w:rPr>
          <w:rFonts w:ascii="Times New Roman" w:hAnsi="Times New Roman" w:cs="Times New Roman"/>
          <w:b/>
          <w:bCs/>
          <w:sz w:val="36"/>
          <w:szCs w:val="36"/>
        </w:rPr>
      </w:pPr>
    </w:p>
    <w:p w14:paraId="0DCBDC80" w14:textId="77777777" w:rsidR="000D7862" w:rsidRDefault="000D7862" w:rsidP="00F85570">
      <w:pPr>
        <w:pStyle w:val="NoSpacing"/>
        <w:spacing w:after="240" w:line="360" w:lineRule="auto"/>
        <w:rPr>
          <w:rFonts w:ascii="Times New Roman" w:hAnsi="Times New Roman" w:cs="Times New Roman"/>
          <w:b/>
          <w:bCs/>
          <w:sz w:val="32"/>
          <w:szCs w:val="32"/>
        </w:rPr>
      </w:pPr>
    </w:p>
    <w:p w14:paraId="7342C549" w14:textId="131E55BD" w:rsidR="004B79C9" w:rsidRPr="00493B26" w:rsidRDefault="004B79C9" w:rsidP="00493B26">
      <w:pPr>
        <w:rPr>
          <w:b/>
          <w:bCs/>
          <w:sz w:val="32"/>
          <w:szCs w:val="32"/>
        </w:rPr>
      </w:pPr>
      <w:r w:rsidRPr="00493B26">
        <w:rPr>
          <w:b/>
          <w:bCs/>
          <w:sz w:val="32"/>
          <w:szCs w:val="32"/>
        </w:rPr>
        <w:lastRenderedPageBreak/>
        <w:t>List of Tables</w:t>
      </w:r>
    </w:p>
    <w:p w14:paraId="63977E6C" w14:textId="77777777" w:rsidR="004B79C9" w:rsidRDefault="004B79C9" w:rsidP="004B79C9">
      <w:r>
        <w:t>Table 3.1. Operationalisation of Business Value Dimensions</w:t>
      </w:r>
    </w:p>
    <w:p w14:paraId="45D9EDA5" w14:textId="77777777" w:rsidR="004B79C9" w:rsidRDefault="004B79C9" w:rsidP="004B79C9">
      <w:r>
        <w:t>Table 3.2. Source Reliability and Data Provenance Hierarchy</w:t>
      </w:r>
    </w:p>
    <w:p w14:paraId="547EA8CF" w14:textId="77777777" w:rsidR="004B79C9" w:rsidRDefault="004B79C9" w:rsidP="004B79C9">
      <w:r>
        <w:t>Table 3.3. Consolidated view of the five principal methodological limitations</w:t>
      </w:r>
    </w:p>
    <w:p w14:paraId="1A1EED2F" w14:textId="77777777" w:rsidR="004B79C9" w:rsidRDefault="004B79C9" w:rsidP="004B79C9">
      <w:r>
        <w:t>Table A.1. Variable definitions for the audited financial dataset</w:t>
      </w:r>
    </w:p>
    <w:p w14:paraId="2F7DF1B4" w14:textId="77777777" w:rsidR="004B79C9" w:rsidRDefault="004B79C9" w:rsidP="004B79C9">
      <w:r>
        <w:t>Table A.2. Audited annual observations for Better Home &amp; Finance Holding Company and Rocket Companies</w:t>
      </w:r>
    </w:p>
    <w:p w14:paraId="0DAE40C3" w14:textId="77777777" w:rsidR="004B79C9" w:rsidRDefault="004B79C9" w:rsidP="004B79C9">
      <w:r>
        <w:t>Table B.1. SEC filings used for the financial-trajectory analysis</w:t>
      </w:r>
    </w:p>
    <w:p w14:paraId="70F73F6B" w14:textId="77777777" w:rsidR="004B79C9" w:rsidRDefault="004B79C9" w:rsidP="004B79C9">
      <w:r>
        <w:t>Table D.1. Top ten BERTopic topics by clustered-corpus share</w:t>
      </w:r>
    </w:p>
    <w:p w14:paraId="5848F01E" w14:textId="77777777" w:rsidR="004B79C9" w:rsidRDefault="004B79C9" w:rsidP="004B79C9">
      <w:r>
        <w:t>Table D.2. Keyword-group prevalence in the cleaned 1,915-review Trustpilot corpus</w:t>
      </w:r>
    </w:p>
    <w:p w14:paraId="01309FAB" w14:textId="77777777" w:rsidR="004B79C9" w:rsidRDefault="004B79C9" w:rsidP="004B79C9">
      <w:r>
        <w:t>Table F.1. Source-reliability tier counts for sources used in this thesis</w:t>
      </w:r>
    </w:p>
    <w:p w14:paraId="416A24C2" w14:textId="77777777" w:rsidR="004B79C9" w:rsidRDefault="004B79C9" w:rsidP="004B79C9">
      <w:r>
        <w:t>Table G.1. Package versions and analytical dependencies</w:t>
      </w:r>
    </w:p>
    <w:p w14:paraId="058FD3E7" w14:textId="77777777" w:rsidR="004B79C9" w:rsidRDefault="004B79C9" w:rsidP="004B79C9"/>
    <w:p w14:paraId="7BC98391" w14:textId="77777777" w:rsidR="004B79C9" w:rsidRDefault="004B79C9" w:rsidP="004B79C9"/>
    <w:p w14:paraId="508B0B2D" w14:textId="77777777" w:rsidR="004B79C9" w:rsidRDefault="004B79C9" w:rsidP="004B79C9"/>
    <w:p w14:paraId="751DC64F" w14:textId="77777777" w:rsidR="004B79C9" w:rsidRDefault="004B79C9" w:rsidP="004B79C9"/>
    <w:p w14:paraId="4DCF6076" w14:textId="77777777" w:rsidR="004B79C9" w:rsidRDefault="004B79C9" w:rsidP="004B79C9"/>
    <w:p w14:paraId="4E896048" w14:textId="77777777" w:rsidR="004B79C9" w:rsidRDefault="004B79C9" w:rsidP="004B79C9"/>
    <w:p w14:paraId="28E31464" w14:textId="77777777" w:rsidR="004B79C9" w:rsidRDefault="004B79C9" w:rsidP="004B79C9"/>
    <w:p w14:paraId="3F1FF688" w14:textId="77777777" w:rsidR="004B79C9" w:rsidRDefault="004B79C9" w:rsidP="004B79C9"/>
    <w:p w14:paraId="154DD255" w14:textId="77777777" w:rsidR="004B79C9" w:rsidRDefault="004B79C9" w:rsidP="004B79C9"/>
    <w:p w14:paraId="47F278CD" w14:textId="484189BC" w:rsidR="004B79C9" w:rsidRPr="00F85570" w:rsidRDefault="004B79C9" w:rsidP="004B79C9">
      <w:pPr>
        <w:rPr>
          <w:sz w:val="22"/>
          <w:szCs w:val="20"/>
        </w:rPr>
      </w:pPr>
      <w:r w:rsidRPr="00F85570">
        <w:rPr>
          <w:rFonts w:cs="Times New Roman"/>
          <w:b/>
          <w:bCs/>
          <w:sz w:val="32"/>
          <w:szCs w:val="32"/>
        </w:rPr>
        <w:lastRenderedPageBreak/>
        <w:t>List of Figures</w:t>
      </w:r>
    </w:p>
    <w:p w14:paraId="3C113720" w14:textId="77777777" w:rsidR="004B79C9" w:rsidRDefault="004B79C9" w:rsidP="004B79C9">
      <w:r>
        <w:t>Figure 5.1. Better.com revenue, standardised total expense base, and net income/loss, 2021–2025</w:t>
      </w:r>
    </w:p>
    <w:p w14:paraId="7B7C9A9E" w14:textId="77777777" w:rsidR="004B79C9" w:rsidRDefault="004B79C9" w:rsidP="004B79C9">
      <w:r>
        <w:t>Figure 5.2. Better.com expense ratio and operating cash flow margin, 2021–2025</w:t>
      </w:r>
    </w:p>
    <w:p w14:paraId="764490FD" w14:textId="77777777" w:rsidR="004B79C9" w:rsidRDefault="004B79C9" w:rsidP="004B79C9">
      <w:r>
        <w:t>Figure 5.3. Better.com year-end headcount and revenue per employee, 2021–2025</w:t>
      </w:r>
    </w:p>
    <w:p w14:paraId="3F7B21D6" w14:textId="77777777" w:rsidR="004B79C9" w:rsidRDefault="004B79C9" w:rsidP="004B79C9">
      <w:r>
        <w:t>Figure 5.4. Distribution of Trustpilot VADER compound sentiment scores, pre- and post-Betsy</w:t>
      </w:r>
    </w:p>
    <w:p w14:paraId="71CDE62E" w14:textId="77777777" w:rsidR="004B79C9" w:rsidRDefault="004B79C9" w:rsidP="004B79C9">
      <w:r>
        <w:t>Figure 5.5. Keyword-group prevalence across seven thematic categories, pre- and post-Betsy</w:t>
      </w:r>
    </w:p>
    <w:p w14:paraId="030471F1" w14:textId="77777777" w:rsidR="004B79C9" w:rsidRDefault="004B79C9" w:rsidP="004B79C9">
      <w:r>
        <w:t>Figure 5.6. Topic-share comparison for the top 12 BERTopic topics, pre- and post-Betsy</w:t>
      </w:r>
    </w:p>
    <w:p w14:paraId="5C93EE82" w14:textId="77777777" w:rsidR="004B79C9" w:rsidRDefault="004B79C9" w:rsidP="004B79C9">
      <w:r>
        <w:t>Figure 6.1. Voice-AI-in-Regulated-Workflow Design Pattern (GAI-assisted)</w:t>
      </w:r>
    </w:p>
    <w:p w14:paraId="3231E7C4" w14:textId="77777777" w:rsidR="004B79C9" w:rsidRDefault="004B79C9" w:rsidP="004B79C9">
      <w:r>
        <w:t>Figure E.1. Operational Leverage Index for Better.com, fiscal years 2020–2025</w:t>
      </w:r>
    </w:p>
    <w:p w14:paraId="3F952252" w14:textId="77777777" w:rsidR="004B79C9" w:rsidRDefault="004B79C9" w:rsidP="004B79C9">
      <w:r>
        <w:t>Figure E.2. BERTopic two-dimensional topic map of the cleaned Trustpilot corpus</w:t>
      </w:r>
    </w:p>
    <w:p w14:paraId="57526EA4" w14:textId="77777777" w:rsidR="004B79C9" w:rsidRDefault="004B79C9" w:rsidP="004B79C9">
      <w:r>
        <w:t>Figure E.3. BERTopic topic-word importance heatmap for the top 20 topics</w:t>
      </w:r>
    </w:p>
    <w:p w14:paraId="7FF9C2E1" w14:textId="77777777" w:rsidR="00B91681" w:rsidRPr="00B76053" w:rsidRDefault="00B91681">
      <w:pPr>
        <w:rPr>
          <w:rFonts w:cs="Times New Roman"/>
        </w:rPr>
      </w:pPr>
    </w:p>
    <w:p w14:paraId="2BB62DBF" w14:textId="77777777" w:rsidR="006046D2" w:rsidRPr="00B76053" w:rsidRDefault="00B04762">
      <w:pPr>
        <w:pStyle w:val="Heading1"/>
        <w:pageBreakBefore/>
        <w:spacing w:before="360" w:after="120"/>
        <w:rPr>
          <w:rFonts w:cs="Times New Roman"/>
        </w:rPr>
      </w:pPr>
      <w:bookmarkStart w:id="0" w:name="_Toc229755267"/>
      <w:r w:rsidRPr="00B76053">
        <w:rPr>
          <w:rFonts w:cs="Times New Roman"/>
        </w:rPr>
        <w:lastRenderedPageBreak/>
        <w:t>1. Introduction</w:t>
      </w:r>
      <w:bookmarkEnd w:id="0"/>
    </w:p>
    <w:p w14:paraId="0705C38B" w14:textId="77777777" w:rsidR="006046D2" w:rsidRPr="00B76053" w:rsidRDefault="00B04762">
      <w:pPr>
        <w:pStyle w:val="Heading2"/>
        <w:spacing w:before="280"/>
        <w:rPr>
          <w:rFonts w:cs="Times New Roman"/>
        </w:rPr>
      </w:pPr>
      <w:bookmarkStart w:id="1" w:name="_Toc229755268"/>
      <w:r w:rsidRPr="00B76053">
        <w:rPr>
          <w:rFonts w:cs="Times New Roman"/>
        </w:rPr>
        <w:t xml:space="preserve">1.1 </w:t>
      </w:r>
      <w:r w:rsidR="0070279B" w:rsidRPr="00B76053">
        <w:rPr>
          <w:rFonts w:cs="Times New Roman"/>
        </w:rPr>
        <w:t>From Automation to Intelligent Customer Engagement</w:t>
      </w:r>
      <w:bookmarkEnd w:id="1"/>
    </w:p>
    <w:p w14:paraId="032B6618" w14:textId="77777777" w:rsidR="0070279B" w:rsidRPr="00B76053" w:rsidRDefault="0070279B" w:rsidP="00F40F38">
      <w:pPr>
        <w:rPr>
          <w:rFonts w:cs="Times New Roman"/>
        </w:rPr>
      </w:pPr>
      <w:r w:rsidRPr="00B76053">
        <w:rPr>
          <w:rFonts w:cs="Times New Roman"/>
        </w:rPr>
        <w:t>Artificial intelligence is reshaping how enterprises handle front-line customer engagement. Large Language Models (LLMs) generate contextually appropriate responses in open-ended dialogue rather than retrieving pre-scripted outputs (Brynjolfsson et al., 2023), and they synthesise unstructured customer inputs and produce context-aware dialogue in real time. First-generation conversational AI, primarily text-based chatbots, reduced staffing costs and extended service availability but remained constrained by limited decision trees, poor intent recognition, and an inability to handle multi-layered customer requests (Huang &amp; Rust, 2018). Attention has therefore turned to a more capable class of system that operates through natural spoken language and adapts to customer needs in real time.</w:t>
      </w:r>
    </w:p>
    <w:p w14:paraId="32F85BD8" w14:textId="77777777" w:rsidR="006046D2" w:rsidRPr="00B76053" w:rsidRDefault="00B04762">
      <w:pPr>
        <w:pStyle w:val="Heading2"/>
        <w:spacing w:before="280"/>
        <w:rPr>
          <w:rFonts w:cs="Times New Roman"/>
        </w:rPr>
      </w:pPr>
      <w:bookmarkStart w:id="2" w:name="_Toc229755269"/>
      <w:r w:rsidRPr="00B76053">
        <w:rPr>
          <w:rFonts w:cs="Times New Roman"/>
        </w:rPr>
        <w:t>1.2 The Financial Services Context</w:t>
      </w:r>
      <w:bookmarkEnd w:id="2"/>
    </w:p>
    <w:p w14:paraId="7CE83EFD" w14:textId="77777777" w:rsidR="00553255" w:rsidRPr="00B76053" w:rsidRDefault="00553255" w:rsidP="00553255">
      <w:pPr>
        <w:rPr>
          <w:rFonts w:cs="Times New Roman"/>
        </w:rPr>
      </w:pPr>
      <w:r w:rsidRPr="00B76053">
        <w:rPr>
          <w:rFonts w:cs="Times New Roman"/>
        </w:rPr>
        <w:t>The financial services sector is an instructive setting for this transition. Financial institutions face sustained pressure to deliver consistent customer experiences while managing operational costs and regulatory compliance (Hentzen et al., 2022). Mortgage origination is especially communication-intensive: borrowers require repeated guidance through documentation, eligibility checks, rate disclosures, and closing timelines across a process that may span weeks, creating a persistent tension between the cost of human-staffed service capacity and the quality demands of a high-stakes interaction. The sector has long adopted AI in back-office functions such as credit scoring, fraud detection, and investment support (Liu et al., 2024), and more recently in customer-facing automation through routing systems and chatbots (Mogaji &amp; Nguyen, 2022); yet the limitations of earlier systems are increasingly apparent in complex mortgage interactions that demand empathetic communication, dynamic problem-solving, and rapid responsiveness (Hentzen et al., 2022). The sector is therefore both an important test case for and a natural beneficiary of more capable voice-based AI systems.</w:t>
      </w:r>
    </w:p>
    <w:p w14:paraId="74C578BA" w14:textId="77777777" w:rsidR="006046D2" w:rsidRPr="00B76053" w:rsidRDefault="00B04762">
      <w:pPr>
        <w:pStyle w:val="Heading2"/>
        <w:spacing w:before="0"/>
        <w:rPr>
          <w:rFonts w:cs="Times New Roman"/>
        </w:rPr>
      </w:pPr>
      <w:bookmarkStart w:id="3" w:name="_Toc229755270"/>
      <w:r w:rsidRPr="00B76053">
        <w:rPr>
          <w:rFonts w:cs="Times New Roman"/>
        </w:rPr>
        <w:t>1.3 The Emergence of Voice AI and LLM Agents</w:t>
      </w:r>
      <w:bookmarkEnd w:id="3"/>
    </w:p>
    <w:p w14:paraId="56B56B7C" w14:textId="77777777" w:rsidR="00E64270" w:rsidRPr="00B76053" w:rsidRDefault="00E64270" w:rsidP="00E64270">
      <w:pPr>
        <w:rPr>
          <w:rFonts w:cs="Times New Roman"/>
        </w:rPr>
      </w:pPr>
      <w:r w:rsidRPr="00B76053">
        <w:rPr>
          <w:rFonts w:cs="Times New Roman"/>
        </w:rPr>
        <w:t xml:space="preserve">Voice-based LLM agents combine automatic speech recognition, generative natural language processing, and near-instantaneous text-to-speech synthesis to enable multi-turn spoken dialogue </w:t>
      </w:r>
      <w:r w:rsidRPr="00B76053">
        <w:rPr>
          <w:rFonts w:cs="Times New Roman"/>
        </w:rPr>
        <w:lastRenderedPageBreak/>
        <w:t>that adapts to the user. They differ from traditional interactive voice response (IVR) systems, which require customers to navigate rigid hierarchical menus (Wang et al., 2023), and from text-based chatbots, which often falter when conversations escalate in complexity (Zhang et al., 2023). The distinguishing capabilities and the empirical evidence on voice-AI performance are reviewed in detail in §2.3. The point relevant to the introduction is that voice LLM agents combine conversational intelligence with the immediacy of spoken language, which is particularly relevant in financial services where the quality of customer communication is central to both service experience and regulatory compliance (Adam et al., 2021; Aggarwal et al., 2025).</w:t>
      </w:r>
    </w:p>
    <w:p w14:paraId="08E94DE4" w14:textId="77777777" w:rsidR="006046D2" w:rsidRPr="00B76053" w:rsidRDefault="00B04762">
      <w:pPr>
        <w:pStyle w:val="Heading2"/>
        <w:spacing w:before="280"/>
        <w:rPr>
          <w:rFonts w:cs="Times New Roman"/>
        </w:rPr>
      </w:pPr>
      <w:bookmarkStart w:id="4" w:name="_Toc229755271"/>
      <w:r w:rsidRPr="00B76053">
        <w:rPr>
          <w:rFonts w:cs="Times New Roman"/>
        </w:rPr>
        <w:t>1.4 The Research Gap</w:t>
      </w:r>
      <w:bookmarkEnd w:id="4"/>
    </w:p>
    <w:p w14:paraId="795DCF22" w14:textId="77777777" w:rsidR="007F45A9" w:rsidRPr="00B76053" w:rsidRDefault="007F45A9" w:rsidP="007F45A9">
      <w:pPr>
        <w:rPr>
          <w:rFonts w:cs="Times New Roman"/>
        </w:rPr>
      </w:pPr>
      <w:r w:rsidRPr="00B76053">
        <w:rPr>
          <w:rFonts w:cs="Times New Roman"/>
        </w:rPr>
        <w:t>Two gaps motivate this thesis. The first is a disciplinary gap: contemporary AI research remains concentrated in computer science and engineering, focusing on technical performance metrics, while business and information-systems work has emphasised user acceptance, ethical implications, and adoption frameworks (Adam et al., 2021). Empirical, business-oriented research connecting voice-AI implementation to downstream organisational outcomes in regulated, high-stakes settings remains scarce.</w:t>
      </w:r>
    </w:p>
    <w:p w14:paraId="1EE04B1B" w14:textId="52C2A4F3" w:rsidR="007F45A9" w:rsidRPr="00B76053" w:rsidRDefault="007F45A9" w:rsidP="007F45A9">
      <w:pPr>
        <w:rPr>
          <w:rFonts w:cs="Times New Roman"/>
        </w:rPr>
      </w:pPr>
      <w:r w:rsidRPr="00B76053">
        <w:rPr>
          <w:rFonts w:cs="Times New Roman"/>
        </w:rPr>
        <w:t>The second is an empirical gap. While Andrade and Tumelero (2022) document efficiency gains for basic text-based chatbots and Fotheringham and Wiles (202</w:t>
      </w:r>
      <w:r w:rsidR="00D358B6">
        <w:rPr>
          <w:rFonts w:cs="Times New Roman"/>
        </w:rPr>
        <w:t>2</w:t>
      </w:r>
      <w:r w:rsidRPr="00B76053">
        <w:rPr>
          <w:rFonts w:cs="Times New Roman"/>
        </w:rPr>
        <w:t xml:space="preserve">) examine aggregate investor reactions to chatbot service announcements, the literature lacks </w:t>
      </w:r>
      <w:r w:rsidR="005B2E65">
        <w:rPr>
          <w:rFonts w:cs="Times New Roman"/>
        </w:rPr>
        <w:t xml:space="preserve">a </w:t>
      </w:r>
      <w:r w:rsidRPr="00B76053">
        <w:rPr>
          <w:rFonts w:cs="Times New Roman"/>
        </w:rPr>
        <w:t>rigorous examination of how frontier voice AI systems generate measurable business value in real enterprise environments. There are almost no published case studies tracing the full arc of a voice LLM deployment, from technical integration into proprietary backend systems to observable financial and customer-experience outcomes (Aggarwal et al., 2025). Analysing a live, large-scale implementation with publicly audited financial data and independent customer-experience evidence across pre- and post-deployment periods is therefore essential to move the discourse from theoretical assertion toward empirically grounded understanding.</w:t>
      </w:r>
    </w:p>
    <w:p w14:paraId="1DAE191C" w14:textId="77777777" w:rsidR="006046D2" w:rsidRPr="00B76053" w:rsidRDefault="00B04762">
      <w:pPr>
        <w:pStyle w:val="Heading2"/>
        <w:spacing w:before="280"/>
        <w:rPr>
          <w:rFonts w:cs="Times New Roman"/>
        </w:rPr>
      </w:pPr>
      <w:bookmarkStart w:id="5" w:name="_Toc229755272"/>
      <w:r w:rsidRPr="00B76053">
        <w:rPr>
          <w:rFonts w:cs="Times New Roman"/>
        </w:rPr>
        <w:t>1.5 Research Aim and Questions</w:t>
      </w:r>
      <w:bookmarkEnd w:id="5"/>
    </w:p>
    <w:p w14:paraId="3B0619E5" w14:textId="77777777" w:rsidR="00445C54" w:rsidRPr="00B76053" w:rsidRDefault="00445C54" w:rsidP="00445C54">
      <w:pPr>
        <w:spacing w:after="120"/>
        <w:rPr>
          <w:rFonts w:cs="Times New Roman"/>
        </w:rPr>
      </w:pPr>
      <w:r w:rsidRPr="00B76053">
        <w:rPr>
          <w:rFonts w:cs="Times New Roman"/>
        </w:rPr>
        <w:t xml:space="preserve">The primary aim of this research is to examine how voice-based LLM agents create measurable business value in financial services by analysing the implementation case of Better.com. The study </w:t>
      </w:r>
      <w:r w:rsidRPr="00B76053">
        <w:rPr>
          <w:rFonts w:cs="Times New Roman"/>
        </w:rPr>
        <w:lastRenderedPageBreak/>
        <w:t>seeks to establish how advanced voice AI is integrated into complex, regulated business processes, what technical and organisational prerequisites this integration requires, and how the resulting changes are associated with measurable organisational performance.</w:t>
      </w:r>
    </w:p>
    <w:p w14:paraId="741C2E0B" w14:textId="77777777" w:rsidR="00445C54" w:rsidRPr="00B76053" w:rsidRDefault="00445C54" w:rsidP="00445C54">
      <w:pPr>
        <w:spacing w:after="120"/>
        <w:rPr>
          <w:rFonts w:cs="Times New Roman"/>
        </w:rPr>
      </w:pPr>
      <w:r w:rsidRPr="00B76053">
        <w:rPr>
          <w:rFonts w:cs="Times New Roman"/>
        </w:rPr>
        <w:t>Better.com is selected as the primary empirical context because it constitutes a critical, revelatory case: a publicly listed, digital-first U.S. mortgage lender that launched a proprietary voice LLM agent (Betsy) in October 2024 and has publicly disclosed audited financial and operating data spanning both pre- and post-deployment periods. This combination of integration evidence and measurable outcome data is rare in the academic literature and provides a tractable empirical setting for examining the thesis's two research questions.</w:t>
      </w:r>
    </w:p>
    <w:p w14:paraId="781F639D" w14:textId="77777777" w:rsidR="003E691E" w:rsidRPr="00B76053" w:rsidRDefault="00445C54" w:rsidP="00445C54">
      <w:pPr>
        <w:spacing w:after="120"/>
        <w:rPr>
          <w:rFonts w:cs="Times New Roman"/>
        </w:rPr>
      </w:pPr>
      <w:r w:rsidRPr="00B76053">
        <w:rPr>
          <w:rFonts w:cs="Times New Roman"/>
        </w:rPr>
        <w:t>To systematically fulfil this aim, the thesis is guided by the following two central research questions:</w:t>
      </w:r>
    </w:p>
    <w:p w14:paraId="673D758B" w14:textId="77777777" w:rsidR="006046D2" w:rsidRPr="00B76053" w:rsidRDefault="00B04762" w:rsidP="00445C54">
      <w:pPr>
        <w:spacing w:after="120"/>
        <w:rPr>
          <w:rFonts w:cs="Times New Roman"/>
        </w:rPr>
      </w:pPr>
      <w:r w:rsidRPr="00B76053">
        <w:rPr>
          <w:rFonts w:cs="Times New Roman"/>
        </w:rPr>
        <w:t>RQ1: How have voice LLM agents been integrated into Better.com's mortgage origination processes, and what does this integration reveal about the technical and organisational prerequisites for deploying conversational AI in a regulated financial services environment?</w:t>
      </w:r>
    </w:p>
    <w:p w14:paraId="3BD34AE9" w14:textId="77777777" w:rsidR="006046D2" w:rsidRPr="00B76053" w:rsidRDefault="00B04762">
      <w:pPr>
        <w:spacing w:after="120"/>
        <w:rPr>
          <w:rFonts w:cs="Times New Roman"/>
        </w:rPr>
      </w:pPr>
      <w:r w:rsidRPr="00B76053">
        <w:rPr>
          <w:rFonts w:cs="Times New Roman"/>
        </w:rPr>
        <w:t>RQ2: What measurable business value can be associated with Better.com’s voice AI deployment across operational efficiency, productivity, customer experience, and financial performance, and what factors mediate the realisation of this value?</w:t>
      </w:r>
    </w:p>
    <w:p w14:paraId="33ED9853" w14:textId="77777777" w:rsidR="006046D2" w:rsidRPr="00B76053" w:rsidRDefault="00B04762">
      <w:pPr>
        <w:pStyle w:val="Heading2"/>
        <w:spacing w:before="280"/>
        <w:rPr>
          <w:rFonts w:cs="Times New Roman"/>
        </w:rPr>
      </w:pPr>
      <w:bookmarkStart w:id="6" w:name="_Toc229755273"/>
      <w:r w:rsidRPr="00B76053">
        <w:rPr>
          <w:rFonts w:cs="Times New Roman"/>
        </w:rPr>
        <w:t xml:space="preserve">1.6 </w:t>
      </w:r>
      <w:r w:rsidR="00141720" w:rsidRPr="00B76053">
        <w:rPr>
          <w:rFonts w:cs="Times New Roman"/>
        </w:rPr>
        <w:t>Research Contributions</w:t>
      </w:r>
      <w:bookmarkEnd w:id="6"/>
    </w:p>
    <w:p w14:paraId="3CF96D29" w14:textId="77777777" w:rsidR="00D55050" w:rsidRPr="00B76053" w:rsidRDefault="00D55050" w:rsidP="00D55050">
      <w:pPr>
        <w:rPr>
          <w:rFonts w:cs="Times New Roman"/>
        </w:rPr>
      </w:pPr>
      <w:r w:rsidRPr="00B76053">
        <w:rPr>
          <w:rFonts w:cs="Times New Roman"/>
        </w:rPr>
        <w:t>The study makes three contributions. Empirically, it triangulates audited SEC financial data, independent NLP-based customer-discourse analysis, and qualitative process tracing for a single voice-LLM deployment in a regulated financial-services workflow (Aggarwal et al., 2025; Liu et al., 2024). Methodologically, it combines a four-tier source-reliability hierarchy with mixed-methods triangulation that accommodates divergent customer-experience signals across audited and self-selected sources. Practically, the four-prerequisite design pattern derived from the Better.com case offers executives a structured diagnostic for voice-AI readiness and regulators a workable supervisory primitive in the form of auditable human-escalation routing.</w:t>
      </w:r>
    </w:p>
    <w:p w14:paraId="47DDA2E6" w14:textId="77777777" w:rsidR="006046D2" w:rsidRPr="00B76053" w:rsidRDefault="00B04762">
      <w:pPr>
        <w:pStyle w:val="Heading2"/>
        <w:spacing w:before="280"/>
        <w:rPr>
          <w:rFonts w:cs="Times New Roman"/>
        </w:rPr>
      </w:pPr>
      <w:bookmarkStart w:id="7" w:name="_Toc229755274"/>
      <w:r w:rsidRPr="00B76053">
        <w:rPr>
          <w:rFonts w:cs="Times New Roman"/>
        </w:rPr>
        <w:lastRenderedPageBreak/>
        <w:t>1.7 Scope and Boundaries</w:t>
      </w:r>
      <w:bookmarkEnd w:id="7"/>
    </w:p>
    <w:p w14:paraId="1CBF25B4" w14:textId="7E4D906C" w:rsidR="005D0FAD" w:rsidRPr="00B76053" w:rsidRDefault="005D0FAD" w:rsidP="005D0FAD">
      <w:pPr>
        <w:rPr>
          <w:rFonts w:cs="Times New Roman"/>
        </w:rPr>
      </w:pPr>
      <w:r w:rsidRPr="00B76053">
        <w:rPr>
          <w:rFonts w:cs="Times New Roman"/>
        </w:rPr>
        <w:t xml:space="preserve">The study is </w:t>
      </w:r>
      <w:r w:rsidR="00B675D0">
        <w:rPr>
          <w:rFonts w:cs="Times New Roman"/>
        </w:rPr>
        <w:t>bound</w:t>
      </w:r>
      <w:r w:rsidRPr="00B76053">
        <w:rPr>
          <w:rFonts w:cs="Times New Roman"/>
        </w:rPr>
        <w:t xml:space="preserve"> to a single in-depth empirical case: Better.com, a digital-first mortgage lender in the U.S. financial</w:t>
      </w:r>
      <w:r w:rsidR="00771F7F">
        <w:rPr>
          <w:rFonts w:cs="Times New Roman"/>
        </w:rPr>
        <w:t xml:space="preserve"> </w:t>
      </w:r>
      <w:r w:rsidRPr="00B76053">
        <w:rPr>
          <w:rFonts w:cs="Times New Roman"/>
        </w:rPr>
        <w:t>services sector. ElevenLabs is treated as the enabling voice-infrastructure provider, not as the primary unit of analysis; Rocket Companies is used as a directional industry benchmark, not as a formal counterfactual. The study relies exclusively on publicly available secondary data (SEC filings, Trustpilot reviews, joint company–vendor press materials, and peer-reviewed academic literature) to support transparency and reproducibility; no proprietary or internal company data is used. The research scope is limited to business value creation and process integration; broader questions of AI ethics, data privacy, and regulatory policy design fall outside the primary objective of this thesis.</w:t>
      </w:r>
    </w:p>
    <w:p w14:paraId="6C161D31" w14:textId="77777777" w:rsidR="006046D2" w:rsidRPr="00B76053" w:rsidRDefault="00B04762">
      <w:pPr>
        <w:pStyle w:val="Heading2"/>
        <w:spacing w:before="280"/>
        <w:rPr>
          <w:rFonts w:cs="Times New Roman"/>
        </w:rPr>
      </w:pPr>
      <w:bookmarkStart w:id="8" w:name="_Toc229755275"/>
      <w:r w:rsidRPr="00B76053">
        <w:rPr>
          <w:rFonts w:cs="Times New Roman"/>
        </w:rPr>
        <w:t>1.8 Structure of the Thesis</w:t>
      </w:r>
      <w:bookmarkEnd w:id="8"/>
    </w:p>
    <w:p w14:paraId="276AC07C" w14:textId="77777777" w:rsidR="00D831F5" w:rsidRPr="00B76053" w:rsidRDefault="00D831F5" w:rsidP="00D831F5">
      <w:pPr>
        <w:rPr>
          <w:rFonts w:cs="Times New Roman"/>
        </w:rPr>
      </w:pPr>
      <w:r w:rsidRPr="00B76053">
        <w:rPr>
          <w:rFonts w:cs="Times New Roman"/>
        </w:rPr>
        <w:t>The remainder of this thesis is structured as follows. Chapter 2 reviews the literature on AI in financial services, conversational AI, voice-AI capabilities, business value creation, and consumer behaviour, establishing the three theoretical lenses (task–technology fit, the AI service hierarchy, and AI-enabled productivity) applied throughout the empirical analysis. Chapter 3 sets out the convergent-parallel mixed-methods design, data collection, analytical strategies, and source-reliability hierarchy. Chapter 4 introduces the Better.com case (the Tinman platform, the Betsy voice agent, the ElevenLabs partnership, and the implementation timeline). Chapter 5 presents the triangulated empirical findings, addressing RQ1 through qualitative case-study evidence and RQ2 through longitudinal financial analysis and NLP-based customer-discourse analysis. Chapter 6 formalises the case findings as a transferable four-prerequisite design pattern. Chapter 7 integrates the findings with the literature and evaluates alternative explanations; Chapter 8 examines the study's limitations in depth; Chapter 9 answers the two research questions, summarises contributions, and identifies future research directions. Appendices A–G document the financial dataset, SEC provenance, NLP pipeline, topic inventory, supplementary figures, source-reliability audit, and reproducibility notes. With respect to the Business Informatics MSc thesis-guide template, Chapters 1–3 correspond to the Introduction, Literature Review, and Methodology chapters; Chapters 4–6 jointly fulfil the role of the Results chapter; Chapters 7–8 elaborate the Discussion and Limitations; and Chapter 9 fulfils the role of the Conclusion.</w:t>
      </w:r>
    </w:p>
    <w:p w14:paraId="45672D3D" w14:textId="77777777" w:rsidR="006046D2" w:rsidRPr="00B76053" w:rsidRDefault="00B04762">
      <w:pPr>
        <w:pStyle w:val="Heading1"/>
        <w:pageBreakBefore/>
        <w:spacing w:before="360" w:after="120"/>
        <w:rPr>
          <w:rFonts w:cs="Times New Roman"/>
        </w:rPr>
      </w:pPr>
      <w:bookmarkStart w:id="9" w:name="_Toc229755276"/>
      <w:r w:rsidRPr="00B76053">
        <w:rPr>
          <w:rFonts w:cs="Times New Roman"/>
        </w:rPr>
        <w:lastRenderedPageBreak/>
        <w:t>2. Literature Review</w:t>
      </w:r>
      <w:bookmarkEnd w:id="9"/>
    </w:p>
    <w:p w14:paraId="223F4EFC" w14:textId="0E7F36C1" w:rsidR="00210A7F" w:rsidRPr="00B76053" w:rsidRDefault="00210A7F" w:rsidP="00210A7F">
      <w:pPr>
        <w:rPr>
          <w:rFonts w:cs="Times New Roman"/>
          <w:b/>
          <w:bCs/>
        </w:rPr>
      </w:pPr>
      <w:r w:rsidRPr="00B76053">
        <w:rPr>
          <w:rFonts w:cs="Times New Roman"/>
        </w:rPr>
        <w:t xml:space="preserve">This chapter reviews five bodies of literature that together establish the theoretical and empirical foundation for the analysis in Chapters 4 and 5. The review moves from the broad context of AI in financial services (§2.1) through conversational AI in customer service (§2.2) and voice AI and LLM agents specifically (§2.3), to the empirical business-value evidence (§2.4) and the consumer-behaviour considerations most directly relevant to the Better.com case (§2.5). Section 2.6 synthesises three theoretical lenses drawn from across these five bodies of work — task–technology fit, the AI service hierarchy, and AI-enabled productivity that provide the interpretive framework for the empirical chapters. The distinction between the five thematic sections and the three theoretical lenses is one of level: the former </w:t>
      </w:r>
      <w:proofErr w:type="gramStart"/>
      <w:r w:rsidRPr="00B76053">
        <w:rPr>
          <w:rFonts w:cs="Times New Roman"/>
        </w:rPr>
        <w:t>organise</w:t>
      </w:r>
      <w:proofErr w:type="gramEnd"/>
      <w:r w:rsidRPr="00B76053">
        <w:rPr>
          <w:rFonts w:cs="Times New Roman"/>
        </w:rPr>
        <w:t xml:space="preserve"> the empirical literature by domain, while the latter abstract the theoretical propositions </w:t>
      </w:r>
      <w:r w:rsidR="000808DD">
        <w:rPr>
          <w:rFonts w:cs="Times New Roman"/>
        </w:rPr>
        <w:t xml:space="preserve">that </w:t>
      </w:r>
      <w:r w:rsidRPr="00B76053">
        <w:rPr>
          <w:rFonts w:cs="Times New Roman"/>
        </w:rPr>
        <w:t>the thesis evaluates against the case-study evidence.</w:t>
      </w:r>
    </w:p>
    <w:p w14:paraId="71C5DA82" w14:textId="77777777" w:rsidR="006046D2" w:rsidRPr="00B76053" w:rsidRDefault="00B04762">
      <w:pPr>
        <w:pStyle w:val="Heading2"/>
        <w:spacing w:before="280"/>
        <w:rPr>
          <w:rFonts w:cs="Times New Roman"/>
        </w:rPr>
      </w:pPr>
      <w:bookmarkStart w:id="10" w:name="_Toc229755277"/>
      <w:r w:rsidRPr="00B76053">
        <w:rPr>
          <w:rFonts w:cs="Times New Roman"/>
        </w:rPr>
        <w:t>2.1 Artificial Intelligence in Financial Services</w:t>
      </w:r>
      <w:bookmarkEnd w:id="10"/>
    </w:p>
    <w:p w14:paraId="4E5C9993" w14:textId="77777777" w:rsidR="002B5EE6" w:rsidRPr="00B76053" w:rsidRDefault="002B5EE6" w:rsidP="002B5EE6">
      <w:pPr>
        <w:rPr>
          <w:rFonts w:cs="Times New Roman"/>
        </w:rPr>
      </w:pPr>
      <w:r w:rsidRPr="00B76053">
        <w:rPr>
          <w:rFonts w:cs="Times New Roman"/>
        </w:rPr>
        <w:t>The integration of artificial intelligence into financial services represents one of the more consequential technological shifts in the industry's recent history. Driven by advances in computing power, the availability of large-scale data, and growing competitive pressure, financial institutions have increasingly turned to AI not merely as an efficiency tool but as a strategic infrastructure for service delivery, risk management, and customer engagement. Hentzen et al. (2022) provide a comprehensive foundation for understanding this landscape through a systematic review of 90 peer-reviewed studies on AI in customer-facing financial services. Their analysis confirms that AI is already deployed across a wide range of functions, including fraud detection, credit scoring, algorithmic trading, robo-advisory, and chatbot-based customer interaction, with the banking sector representing the most intensively studied context. Importantly, their findings also reveal a structural imbalance in the field: most research to date has been data-driven and technically oriented, with comparatively little attention paid to theoretical frameworks capable of explaining how and why AI generates value for different organisational actors. This gap is particularly relevant for a thesis concerned with business value creation, as it points to the need to situate technical capabilities within broader organisational and strategic contexts.</w:t>
      </w:r>
    </w:p>
    <w:p w14:paraId="517C690E" w14:textId="77777777" w:rsidR="002B5EE6" w:rsidRPr="00B76053" w:rsidRDefault="002B5EE6" w:rsidP="002B5EE6">
      <w:pPr>
        <w:rPr>
          <w:rFonts w:cs="Times New Roman"/>
        </w:rPr>
      </w:pPr>
      <w:r w:rsidRPr="00B76053">
        <w:rPr>
          <w:rFonts w:cs="Times New Roman"/>
        </w:rPr>
        <w:lastRenderedPageBreak/>
        <w:t>From a functional perspective, the efficiency gains enabled by AI in financial services are substantial and well-documented. Liu et al. (2024) examine this from the vantage point of financial investment, arguing that AI has restructured how market participants process information and make decisions. CNN-based models have improved market trend prediction at accuracies that outperform traditional trading strategies, while deep reinforcement learning algorithms enable continuous portfolio optimisation at a level of responsiveness that conventional quantitative methods cannot match. Beyond trading, real-time anomaly detection systems using machine learning have enhanced the capacity of regulators and compliance teams to identify irregular transaction patterns with greater speed and precision than post-hoc manual review procedures. These developments indicate that AI's role in financial services has expanded well beyond the automation of administrative tasks into the domain of complex, judgement-intensive decision-making that was previously the exclusive province of human specialists.</w:t>
      </w:r>
    </w:p>
    <w:p w14:paraId="2CD710F5" w14:textId="77777777" w:rsidR="002B5EE6" w:rsidRPr="00B76053" w:rsidRDefault="002B5EE6" w:rsidP="002B5EE6">
      <w:pPr>
        <w:rPr>
          <w:rFonts w:cs="Times New Roman"/>
        </w:rPr>
      </w:pPr>
      <w:r w:rsidRPr="00B76053">
        <w:rPr>
          <w:rFonts w:cs="Times New Roman"/>
        </w:rPr>
        <w:t>At the operational level, the cost-reduction potential of AI is equally significant. Liu et al. (2024) point to intelligent customer service systems as among the most commercially relevant implementations: advanced systems now achieve high customer query recognition rates while operating across multiple communication channels simultaneously, substantially reducing the reliance on human agents for routine inquiries. These cases collectively demonstrate that AI creates business value not by replacing human judgement wholesale but by structurally altering the division of labour between human and automated processes across different tiers of complexity.</w:t>
      </w:r>
    </w:p>
    <w:p w14:paraId="51B25CCC" w14:textId="77777777" w:rsidR="002B5EE6" w:rsidRPr="00B76053" w:rsidRDefault="002B5EE6" w:rsidP="002B5EE6">
      <w:pPr>
        <w:rPr>
          <w:rFonts w:cs="Times New Roman"/>
        </w:rPr>
      </w:pPr>
      <w:r w:rsidRPr="00B76053">
        <w:rPr>
          <w:rFonts w:cs="Times New Roman"/>
        </w:rPr>
        <w:t xml:space="preserve">However, the adoption of AI in financial services is far from uniform, and the organisational and managerial dimensions of implementation present challenges that technical capability alone cannot resolve. Mogaji and Nguyen (2022) investigate this reality through semi-structured interviews with 47 bank managers across four countries — the United Kingdom, Canada, Nigeria, and Vietnam — and find that while managers broadly recognise the strategic importance of AI, its adoption is mediated by a complex set of institutional, organisational, and regulatory factors. Managers frequently struggled to communicate the business case for AI to senior leadership, to assemble teams with the necessary technical competencies, and to govern development processes that were often partially or entirely outsourced. The study also challenges a prevalent misconception in both practitioner and academic discourse: that AI in financial services is primarily synonymous with </w:t>
      </w:r>
      <w:r w:rsidRPr="00B76053">
        <w:rPr>
          <w:rFonts w:cs="Times New Roman"/>
        </w:rPr>
        <w:lastRenderedPageBreak/>
        <w:t>customer-facing chatbot deployment. On the contrary, Mogaji and Nguyen (2022) argue that the more consequential applications lie in areas such as credit evaluation, behavioural analytics, and personalised product recommendation systems operating invisibly within backend infrastructure. This distinction between AI as a back-end operational tool and AI as a customer-facing service interface is analytically important and is further reinforced by the conceptual framework they develop, which maps the full data ecosystem — from customer data collection through third-party aggregation to algorithmic processing — within which financial AI operates.</w:t>
      </w:r>
    </w:p>
    <w:p w14:paraId="429ED720" w14:textId="77777777" w:rsidR="002B5EE6" w:rsidRPr="00B76053" w:rsidRDefault="002B5EE6" w:rsidP="002B5EE6">
      <w:pPr>
        <w:rPr>
          <w:rFonts w:cs="Times New Roman"/>
        </w:rPr>
      </w:pPr>
      <w:r w:rsidRPr="00B76053">
        <w:rPr>
          <w:rFonts w:cs="Times New Roman"/>
        </w:rPr>
        <w:t>A cross-cutting finding across all three bodies of work is the uneven development of AI capability and governance across geographic and institutional contexts. Hentzen et al. (2022) note that research predominantly draws on data from North America and Western Europe, leaving developing and emerging market contexts underrepresented. Mogaji and Nguyen (2022) corroborate this empirically: managers in Nigeria and Vietnam reported not only more limited technological infrastructure but also weaker regulatory frameworks for AI oversight, in contrast to their counterparts in the UK, who acknowledged the proactive role of the Financial Conduct Authority in setting ethical and operational standards for AI deployment. This regulatory asymmetry has direct implications for how organisations in different contexts can responsibly scale AI implementations and what governance safeguards need to be developed in parallel.</w:t>
      </w:r>
    </w:p>
    <w:p w14:paraId="62AFB85F" w14:textId="77777777" w:rsidR="002B5EE6" w:rsidRPr="00B76053" w:rsidRDefault="002B5EE6" w:rsidP="002B5EE6">
      <w:pPr>
        <w:rPr>
          <w:rFonts w:cs="Times New Roman"/>
        </w:rPr>
      </w:pPr>
      <w:r w:rsidRPr="00B76053">
        <w:rPr>
          <w:rFonts w:cs="Times New Roman"/>
        </w:rPr>
        <w:t>Taken together, these bodies of work establish that AI in financial services is a multidimensional phenomenon spanning operational efficiency, investment decision-making, customer engagement, and organisational governance. As AI moves closer to the customer interface — whether through advisory tools, automated decision systems, or real-time service delivery — the specific modalities through which customers interact with these systems become increasingly consequential. This transition sets the analytical foundation for the following section, which examines conversational AI as a distinct and rapidly evolving dimension of AI-enabled customer service in financial institutions.</w:t>
      </w:r>
    </w:p>
    <w:p w14:paraId="0A40F4E0" w14:textId="77777777" w:rsidR="006046D2" w:rsidRPr="00B76053" w:rsidRDefault="00B04762">
      <w:pPr>
        <w:pStyle w:val="Heading2"/>
        <w:spacing w:before="280"/>
        <w:rPr>
          <w:rFonts w:cs="Times New Roman"/>
        </w:rPr>
      </w:pPr>
      <w:bookmarkStart w:id="11" w:name="_Toc229755278"/>
      <w:r w:rsidRPr="00B76053">
        <w:rPr>
          <w:rFonts w:cs="Times New Roman"/>
        </w:rPr>
        <w:t>2.2 Conversational AI in Customer Service</w:t>
      </w:r>
      <w:bookmarkEnd w:id="11"/>
    </w:p>
    <w:p w14:paraId="78FED91D" w14:textId="77777777" w:rsidR="009233C8" w:rsidRPr="00B76053" w:rsidRDefault="009233C8" w:rsidP="009233C8">
      <w:pPr>
        <w:rPr>
          <w:rFonts w:cs="Times New Roman"/>
        </w:rPr>
      </w:pPr>
      <w:r w:rsidRPr="00B76053">
        <w:rPr>
          <w:rFonts w:cs="Times New Roman"/>
        </w:rPr>
        <w:t xml:space="preserve">Artificial intelligence in customer-facing service roles is most visibly expressed through conversational AI: systems designed to interact with customers through natural language dialogue. Huang and Rust (2018) provide a useful theoretical foundation by specifying four types of </w:t>
      </w:r>
      <w:r w:rsidRPr="00B76053">
        <w:rPr>
          <w:rFonts w:cs="Times New Roman"/>
        </w:rPr>
        <w:lastRenderedPageBreak/>
        <w:t>intelligence required for service tasks: mechanical, analytical, intuitive, and empathetic. Within this hierarchy, conversational AI occupies a distinctive position, combining analytical intelligence (processing language, identifying intent, generating contextually appropriate responses) with increasingly sophisticated attempts at empathetic intelligence, which involves recognising and responding to the emotional and relational dimensions of customer communication. Huang and Rust (2018) further argue that AI develops in a predictable order across these intelligence types, with mechanical and analytical capabilities maturing earlier than intuitive and empathetic ones. This trajectory carries significant implications for customer service: systems optimised for transactional efficiency may be structurally ill-equipped to handle the full complexity of relational service encounters, a tension that runs through the entire literature on chatbots in organisational contexts.</w:t>
      </w:r>
    </w:p>
    <w:p w14:paraId="63DC2006" w14:textId="77777777" w:rsidR="009233C8" w:rsidRPr="00B76053" w:rsidRDefault="009233C8" w:rsidP="009233C8">
      <w:pPr>
        <w:rPr>
          <w:rFonts w:cs="Times New Roman"/>
        </w:rPr>
      </w:pPr>
      <w:r w:rsidRPr="00B76053">
        <w:rPr>
          <w:rFonts w:cs="Times New Roman"/>
        </w:rPr>
        <w:t>Within financial services, chatbots have emerged as the dominant operational form of conversational AI, driven by a combination of cost reduction imperatives, digital transformation strategies, and the scalability demands of high-volume customer contact environments. Jang et al. (2021) provide a detailed account of this dynamic through semi-structured interviews with managers in the Korean financial industry, finding that institutions have deployed chatbots primarily for product inquiries, fund purchases, repurchases, overseas money transfers, and routine customer consultations. The managerial rationale is straightforward: chatbots enable 24-hour service availability, eliminate waiting times for standard queries, and redirect human agents toward higher-value interactions requiring nuanced judgement. This pattern of adoption is not confined to technologically mature markets. Abdulquadri et al. (2021), examining Nigerian banking institutions, demonstrate that chatbot deployment has been pursued simultaneously as a digital transformation tool and as a mechanism for extending financial inclusion to customer segments previously underserved by branch-based service models. The cross-market consistency of this organisational logic suggests that the appeal of conversational AI in financial services is structural rather than context-specific, rooted in the economics of customer service at scale rather than in the idiosyncrasies of particular institutional environments.</w:t>
      </w:r>
    </w:p>
    <w:p w14:paraId="0EC57501" w14:textId="77777777" w:rsidR="009233C8" w:rsidRPr="00B76053" w:rsidRDefault="009233C8" w:rsidP="009233C8">
      <w:pPr>
        <w:rPr>
          <w:rFonts w:cs="Times New Roman"/>
        </w:rPr>
      </w:pPr>
      <w:r w:rsidRPr="00B76053">
        <w:rPr>
          <w:rFonts w:cs="Times New Roman"/>
        </w:rPr>
        <w:t xml:space="preserve">The operational case for chatbot deployment is supported by substantive empirical evidence. Andrade and Tumelero (2022) document the experience of a major Brazilian commercial bank deploying an IBM Watson-powered virtual assistant, finding that the system generated measurable </w:t>
      </w:r>
      <w:r w:rsidRPr="00B76053">
        <w:rPr>
          <w:rFonts w:cs="Times New Roman"/>
        </w:rPr>
        <w:lastRenderedPageBreak/>
        <w:t>gains in service agility, availability, accessibility, and predictability while substantially reducing call centre queues — enabling human agents to concentrate capacity on complex, high-involvement interactions. The volumetric scale and quality metrics of this deployment are presented in §2.4.1, where its findings are contextualised within the broader business-value analysis. Zhang et al. (2023), in a separate call centre context, corroborate this direction of effect: the introduction of an AI-based conversational agent produced measurable service quality improvements, with effects on interaction dynamics that parallel those documented by Andrade and Tumelero (2022). Together, these studies establish that conversational AI generates quantifiable operational value when appropriately deployed, but also that its effects on service dynamics are more nuanced than simple volume reduction.</w:t>
      </w:r>
    </w:p>
    <w:p w14:paraId="48264D47" w14:textId="77777777" w:rsidR="009233C8" w:rsidRPr="00B76053" w:rsidRDefault="009233C8" w:rsidP="009233C8">
      <w:pPr>
        <w:rPr>
          <w:rFonts w:cs="Times New Roman"/>
        </w:rPr>
      </w:pPr>
      <w:r w:rsidRPr="00B76053">
        <w:rPr>
          <w:rFonts w:cs="Times New Roman"/>
        </w:rPr>
        <w:t>The consumer dimension of chatbot adoption introduces a further layer of complexity. Research has consistently shown that how a conversational system presents itself — not merely what it says — significantly influences customer responses. Adam et al. (2021) demonstrates through a randomised online experiment that anthropomorphic design cues, including identity signals, empathetic language, and conversational small talk, substantially increase the likelihood that users comply with chatbot service requests. The theoretical mechanism they identify is social presence — the degree to which an interlocutor is perceived as a real person present in the interaction. Social presence mediates the relationship between anthropomorphic design and user compliance, meaning that design choices that make a chatbot feel more human-like translate into more productive service exchanges. This finding is consequential because it reveals that the effectiveness of conversational AI is not a purely functional property of its information retrieval capability, but is contingent on the relational dynamics of the interaction itself. The implication for system design is significant: investing in linguistic and interpersonal design features produces measurable behavioural outcomes, independent of the underlying technical sophistication of the system.</w:t>
      </w:r>
    </w:p>
    <w:p w14:paraId="006F7331" w14:textId="77777777" w:rsidR="009233C8" w:rsidRPr="00B76053" w:rsidRDefault="009233C8" w:rsidP="009233C8">
      <w:pPr>
        <w:rPr>
          <w:rFonts w:cs="Times New Roman"/>
        </w:rPr>
      </w:pPr>
      <w:r w:rsidRPr="00B76053">
        <w:rPr>
          <w:rFonts w:cs="Times New Roman"/>
        </w:rPr>
        <w:t xml:space="preserve">Consumer responses to conversational AI are, however, conditional on the nature of the task being addressed. Xu et al. (2020), using three field-based experiments conducted in a banking services context, find that consumers perceive AI as superior to human customer service for low-complexity tasks, where speed, accuracy, and availability are the primary determinants of service quality. The same consumers, however, assess human agents as unambiguously superior when task </w:t>
      </w:r>
      <w:r w:rsidRPr="00B76053">
        <w:rPr>
          <w:rFonts w:cs="Times New Roman"/>
        </w:rPr>
        <w:lastRenderedPageBreak/>
        <w:t>complexity increases — a finding operationalised through perceived problem-solving ability as the mediating mechanism between service type, task complexity, and usage intention. This task-complexity boundary condition carries important consequences for financial services specifically, where the interaction portfolio spans a wide range from highly routine queries such as balance enquiries and payment confirmations to complex, high-stakes conversations around mortgage applications, investment decisions, or financial hardship. Text-based chatbots optimised for the former category of interaction are structurally disadvantaged when deployed across the full spectrum of customer needs, a limitation that becomes increasingly visible as digital-first financial organisations seek to automate more of their customer conversation pipeline.</w:t>
      </w:r>
    </w:p>
    <w:p w14:paraId="4EA2BC79" w14:textId="77777777" w:rsidR="009233C8" w:rsidRPr="00B76053" w:rsidRDefault="009233C8" w:rsidP="009233C8">
      <w:pPr>
        <w:rPr>
          <w:rFonts w:cs="Times New Roman"/>
        </w:rPr>
      </w:pPr>
      <w:r w:rsidRPr="00B76053">
        <w:rPr>
          <w:rFonts w:cs="Times New Roman"/>
        </w:rPr>
        <w:t xml:space="preserve">The relational deficit of current conversational AI systems represents a theoretical challenge that goes beyond task complexity. Blümel et al. (2024) develop a conceptual framework of relational personalisation for conversational AI grounded in social information processing theory, arguing that effective automated customer service requires not only accurate information retrieval but also the capacity to personalise communication styles based on psychological and individual customer knowledge, contextual service factors, and the specific emotional register of the interaction. Their framework identifies multiple conversation styles — including empathy expression, relationship acknowledgement, and tone adaptation — whose degree of personalisation must be calibrated to individual customers to deliver genuinely relational service quality. The authors draw a critical distinction between functional personalisation, which </w:t>
      </w:r>
      <w:proofErr w:type="gramStart"/>
      <w:r w:rsidRPr="00B76053">
        <w:rPr>
          <w:rFonts w:cs="Times New Roman"/>
        </w:rPr>
        <w:t>tailors</w:t>
      </w:r>
      <w:proofErr w:type="gramEnd"/>
      <w:r w:rsidRPr="00B76053">
        <w:rPr>
          <w:rFonts w:cs="Times New Roman"/>
        </w:rPr>
        <w:t xml:space="preserve"> information content to individual needs, and relational personalisation, which tailors the communicative and emotional character of the interaction itself. Current text-based conversational AI systems demonstrate considerably more capability in the former than the latter. As Blümel et al. (2024) note, customer service conversations are becoming increasingly digital and automated, yet this automation frequently produces encounters that customers experience as impersonal — a paradox that undermines the relational foundations on which financial service relationships are built.</w:t>
      </w:r>
    </w:p>
    <w:p w14:paraId="54254519" w14:textId="77777777" w:rsidR="009233C8" w:rsidRPr="00B76053" w:rsidRDefault="009233C8" w:rsidP="009233C8">
      <w:pPr>
        <w:rPr>
          <w:rFonts w:cs="Times New Roman"/>
        </w:rPr>
      </w:pPr>
      <w:r w:rsidRPr="00B76053">
        <w:rPr>
          <w:rFonts w:cs="Times New Roman"/>
        </w:rPr>
        <w:t xml:space="preserve">Synthesising across this body of evidence, a coherent picture emerges of conversational AI as a technology that has delivered real and measurable value in routine, high-volume service contexts while simultaneously encountering structural limitations when applied to interactions requiring emotional attunement, relational continuity, or complex problem-solving. These limitations reflect the fundamental constraints of text-based interaction as a modality: text strips away the </w:t>
      </w:r>
      <w:r w:rsidRPr="00B76053">
        <w:rPr>
          <w:rFonts w:cs="Times New Roman"/>
        </w:rPr>
        <w:lastRenderedPageBreak/>
        <w:t>paralinguistic cues — tone of voice, pace, warmth — that play a crucial role in how customers experience service quality and how trust is established in high-stakes financial conversations. The emergence of large language model technology, capable of generating contextually rich, multi-turn dialogue with substantially greater depth and adaptability than rule-based systems, creates the preconditions for a qualitative shift in automated customer interaction. The most consequential expression of this shift is the move from text-based to voice-based conversational agents, and it is to this development that the following section turns.</w:t>
      </w:r>
    </w:p>
    <w:p w14:paraId="34D8BEE7" w14:textId="77777777" w:rsidR="006046D2" w:rsidRPr="00B76053" w:rsidRDefault="00B04762">
      <w:pPr>
        <w:pStyle w:val="Heading2"/>
        <w:spacing w:before="280"/>
        <w:rPr>
          <w:rFonts w:cs="Times New Roman"/>
        </w:rPr>
      </w:pPr>
      <w:bookmarkStart w:id="12" w:name="_Toc229755279"/>
      <w:r w:rsidRPr="00B76053">
        <w:rPr>
          <w:rFonts w:cs="Times New Roman"/>
        </w:rPr>
        <w:t>2.3 Voice AI and LLM Agents</w:t>
      </w:r>
      <w:bookmarkEnd w:id="12"/>
    </w:p>
    <w:p w14:paraId="7A207031" w14:textId="77777777" w:rsidR="00D004B7" w:rsidRDefault="00E02397">
      <w:r>
        <w:t>Voice LLM agents are distinguished from earlier conversational systems by three capabilities. First, natural conversational fluidity: responses are generated dynamically rather than retrieved from pre-scripted templates, allowing the agent to adapt to unexpected turns in dialogue. Second, real-time responsiveness: end-to-end latency is sufficiently low to support natural spoken turn-taking without disruptive pauses. Third, operational scalability: the same system can serve large numbers of users simultaneously without performance degradation (Aggarwal et al., 2025). These capabilities allow voice LLM agents to combine the communicative richness of spoken interaction with the economic advantages of digital automation, a combination that is consequential in financial services, where the quality and reliability of customer communication is central to both service experience and regulatory compliance (Adam et al., 2021).</w:t>
      </w:r>
    </w:p>
    <w:p w14:paraId="497D048E" w14:textId="77777777" w:rsidR="00D34E71" w:rsidRPr="00B76053" w:rsidRDefault="00D34E71" w:rsidP="00D34E71">
      <w:pPr>
        <w:rPr>
          <w:rFonts w:cs="Times New Roman"/>
        </w:rPr>
      </w:pPr>
      <w:r w:rsidRPr="00B76053">
        <w:rPr>
          <w:rFonts w:cs="Times New Roman"/>
        </w:rPr>
        <w:t xml:space="preserve">Voice-based artificial intelligence represents a distinct development within the broader trajectory of conversational AI, extending beyond incremental improvement of text-based chatbots toward a different mode of human-machine interaction. While text-based systems rely on the written exchange of natural language, voice AI systems engage customers through spoken dialogue, integrating speech recognition, natural language processing, and speech synthesis into a unified conversational interface. Aggarwal et al. (2025) define Voice AI as the body of tools and technologies that use AI to drive synthetic voice interfaces, characterised by systems that are responsive and conversational, operate with high speed and accuracy, demonstrate adaptive learning from prior interactions, and approach empathic responsiveness. This definition positions voice AI not as a channel variation (voice instead of text) but as a technological architecture with distinct capabilities. Based on industry projections reported in Aggarwal et al. (2025), the global voice AI market was valued at approximately $12 billion in 2022 and is projected to reach $50 </w:t>
      </w:r>
      <w:r w:rsidRPr="00B76053">
        <w:rPr>
          <w:rFonts w:cs="Times New Roman"/>
        </w:rPr>
        <w:lastRenderedPageBreak/>
        <w:t>billion by 2029, with early-adopting firms reporting customer-service cost reductions of approximately 20%; these are industry estimates rather than audited benchmarks and should be read as directional indicators of market trajectory.</w:t>
      </w:r>
    </w:p>
    <w:p w14:paraId="5C24A60F" w14:textId="77777777" w:rsidR="00D34E71" w:rsidRPr="00B76053" w:rsidRDefault="00D34E71" w:rsidP="00D34E71">
      <w:pPr>
        <w:rPr>
          <w:rFonts w:cs="Times New Roman"/>
        </w:rPr>
      </w:pPr>
      <w:r w:rsidRPr="00B76053">
        <w:rPr>
          <w:rFonts w:cs="Times New Roman"/>
        </w:rPr>
        <w:t>The most immediate operational context in which voice AI has been empirically studied is the call centre, where it is deployed as a replacement for traditional interactive voice response (IVR) systems. Wang et al. (2023) examine this transition through a natural field experiment at a large telecommunications company in China, providing one of the most rigorous empirical tests of voice AI's effects in a live service context. The contrast between the AI system and the IVR system it replaces is theoretically meaningful: where the IVR requires customers to navigate rigid hierarchical menus using phone keypads, the voice AI system allows customers to express their needs through natural spoken dialogue, with the system routing them directly to appropriate services — a shift the authors term service flexibility. The empirical results reveal a nuanced performance profile: the voice AI system persistently and significantly reduces customer complaints, with the estimated magnitude of this reduction reaching 61.54% compared to the pre-implementation baseline, while initially increasing interaction duration as customers adapt to an unfamiliar mode. Crucially, the study also identifies a binding technical constraint: speech-recognition failures occurred in approximately 28.5% of observed sessions and significantly increased both demand for human agent transfers and customer complaints — directly connecting the quality of the voice infrastructure to its service outcomes. Zhang et al. (2023) corroborate this picture in a separate call centre study, finding that AI-based conversational agents increase average call length in a pattern consistent with AI handling brief routine queries and routing more substantive conversations to human agents, thereby raising the average complexity of calls that persist in the system alongside measurable service quality improvements.</w:t>
      </w:r>
    </w:p>
    <w:p w14:paraId="05036B90" w14:textId="77777777" w:rsidR="00D34E71" w:rsidRPr="00B76053" w:rsidRDefault="00D34E71" w:rsidP="00D34E71">
      <w:pPr>
        <w:rPr>
          <w:rFonts w:cs="Times New Roman"/>
        </w:rPr>
      </w:pPr>
      <w:r w:rsidRPr="00B76053">
        <w:rPr>
          <w:rFonts w:cs="Times New Roman"/>
        </w:rPr>
        <w:t xml:space="preserve">Beyond these aggregate effects, Wang et al. (2023) document important heterogeneity in how different customer populations respond to voice AI systems. The complaint reduction effect is significantly larger for older customers, female customers, and customers with longer tenure in using the traditional IVR system. The authors explain this pattern in terms of the differential burden that rigid menu-based IVR systems place on these groups: older and experienced users are disproportionately aware of the IVR system's limitations and correspondingly more able to appreciate the flexibility and naturalness of voice dialogue. This heterogeneity finding has </w:t>
      </w:r>
      <w:r w:rsidRPr="00B76053">
        <w:rPr>
          <w:rFonts w:cs="Times New Roman"/>
        </w:rPr>
        <w:lastRenderedPageBreak/>
        <w:t>practical significance for organisations managing AI transitions, as it suggests that the populations most underserved by legacy automated systems may be precisely those who benefit most from voice AI implementation.</w:t>
      </w:r>
    </w:p>
    <w:p w14:paraId="6F422C2E" w14:textId="77777777" w:rsidR="00D34E71" w:rsidRPr="00B76053" w:rsidRDefault="00D34E71" w:rsidP="00D34E71">
      <w:pPr>
        <w:rPr>
          <w:rFonts w:cs="Times New Roman"/>
        </w:rPr>
      </w:pPr>
      <w:r w:rsidRPr="00B76053">
        <w:rPr>
          <w:rFonts w:cs="Times New Roman"/>
        </w:rPr>
        <w:t>The strategic dimension of voice AI implementation extends considerably beyond call centre performance metrics, and it is this dimension that Aggarwal et al. (2025) address through a grounded theory investigation combining consumer surveys, managerial focus groups, and expert interviews across multiple industries. Their framework reveals a series of counterintuitive relationships that challenge conventional technology adoption logic. Foremost among these is the paradoxical relationship between integration potential and investment intensity: firms whose core offerings integrate most naturally with voice AI paradoxically tend to invest less in proprietary voice solutions, preferring instead to adopt white-label or licensed platforms because competitive standardisation pressures reduce the incentive for differentiated development. This finding reverses the typical assumption in technology adoption literature that ease of integration encourages investment, revealing that in voice AI contexts, high integration potential can trigger mimetic isomorphism rather than innovation. A second counterintuitive finding concerns the role of regulatory environments. In industries governed by stringent regulatory frameworks — a description that applies directly to financial services — regulatory constraints function as powerful override mechanisms that can suppress voice AI investment even when compelling business cases exist. This dynamic creates an asymmetry between the technical capability to deploy voice AI and the organisational conditions under which deployment is feasible, a tension that financial institutions navigating compliance requirements must actively manage.</w:t>
      </w:r>
    </w:p>
    <w:p w14:paraId="58A5DBBE" w14:textId="77777777" w:rsidR="00D34E71" w:rsidRPr="00B76053" w:rsidRDefault="00D34E71" w:rsidP="00D34E71">
      <w:pPr>
        <w:rPr>
          <w:rFonts w:cs="Times New Roman"/>
        </w:rPr>
      </w:pPr>
      <w:r w:rsidRPr="00B76053">
        <w:rPr>
          <w:rFonts w:cs="Times New Roman"/>
        </w:rPr>
        <w:t xml:space="preserve">Aggarwal et al. (2025) also identify domain specialisation as a significant value amplifier in voice AI deployment. Firms that invest in voice AI systems trained on domain-specific knowledge and calibrated to sector-specific use cases demonstrate substantially higher perceived value creation than those deploying generic platforms, because specialisation creates a form of asset specificity that raises the quality of customer interactions and increases competitive differentiation. This insight is particularly pertinent for financial services, where the vocabulary, regulatory requirements, and customer needs are sufficiently distinctive that general-purpose voice AI systems may underperform relative to solutions developed with financial service contexts in mind. The framework further establishes that value creation in voice AI operates simultaneously across </w:t>
      </w:r>
      <w:r w:rsidRPr="00B76053">
        <w:rPr>
          <w:rFonts w:cs="Times New Roman"/>
        </w:rPr>
        <w:lastRenderedPageBreak/>
        <w:t>multiple pathways — enhanced customer experience, operational cost reduction, and the ability to leverage the system across additional internal and external applications — and that these pathways reinforce one another over time as organisations deepen their AI integration.</w:t>
      </w:r>
    </w:p>
    <w:p w14:paraId="6DEBEBC0" w14:textId="77777777" w:rsidR="00D34E71" w:rsidRPr="00B76053" w:rsidRDefault="00D34E71" w:rsidP="00D34E71">
      <w:pPr>
        <w:rPr>
          <w:rFonts w:cs="Times New Roman"/>
        </w:rPr>
      </w:pPr>
      <w:r w:rsidRPr="00B76053">
        <w:rPr>
          <w:rFonts w:cs="Times New Roman"/>
        </w:rPr>
        <w:t>A recurring theme across this literature is the role of anthropomorphism in shaping how customers respond to voice AI systems, and the findings here are more nuanced than earlier research on text-based chatbots suggested. Aggarwal et al. (2025) find that anthropomorphism does not produce uniform benefits across voice AI use contexts. In applications involving information search and content interaction, higher anthropomorphism enhances engagement. In transactional and commerce-oriented contexts, however, higher levels of human-likeness create discomfort, with customers expressing concern about privacy and feeling that the interaction is inappropriately intimate for a task they conceptualise as functional rather than relational. This context-dependency of anthropomorphism's effects is particularly consequential in financial services, where different interaction types — routine enquiries versus mortgage consultations versus fraud alerts — demand different levels of relational warmth, and where a one-size-fits-all anthropomorphic design approach may actively harm customer experience in certain interaction categories.</w:t>
      </w:r>
    </w:p>
    <w:p w14:paraId="0EC01BE4" w14:textId="77777777" w:rsidR="00D34E71" w:rsidRPr="00B76053" w:rsidRDefault="00D34E71" w:rsidP="00D34E71">
      <w:pPr>
        <w:rPr>
          <w:rFonts w:cs="Times New Roman"/>
        </w:rPr>
      </w:pPr>
      <w:r w:rsidRPr="00B76053">
        <w:rPr>
          <w:rFonts w:cs="Times New Roman"/>
        </w:rPr>
        <w:t xml:space="preserve">Considered together, the studies reviewed in this section establish that voice AI is not simply a more capable version of text-based chatbot technology but a different service infrastructure with its own performance dynamics, adoption logic, and strategic implications. The empirical evidence from Wang et al. (2023) and Zhang et al. (2023) confirms that voice AI can deliver persistent improvements in service quality outcomes while introducing transitional challenges around novelty effects, interaction duration, and speech-recognition reliability. The strategic framework developed by Aggarwal et al. (2025) contextualises these findings within a broader theory of value creation and appropriation, identifying the conditions under which organisations are likely to realise sustainable business value from voice AI investments. What remains less developed in this body of research, however, is systematic evidence connecting voice AI implementation to the quantifiable financial performance indicators — revenue trajectory, expense intensity, and labour productivity — and to independent customer-perception signals that regulated firms publicly disclose. It is precisely this gap that the empirical analysis of the following chapters addresses, through an examination of the Better.com case as a concrete instance of how a voice LLM agent </w:t>
      </w:r>
      <w:r w:rsidRPr="00B76053">
        <w:rPr>
          <w:rFonts w:cs="Times New Roman"/>
        </w:rPr>
        <w:lastRenderedPageBreak/>
        <w:t>embedded in a regulated mortgage workflow translates implementation choices into measurable business outcomes.</w:t>
      </w:r>
    </w:p>
    <w:p w14:paraId="7AFAA61C" w14:textId="77777777" w:rsidR="006046D2" w:rsidRPr="00B76053" w:rsidRDefault="00B04762">
      <w:pPr>
        <w:pStyle w:val="Heading2"/>
        <w:spacing w:before="280"/>
        <w:rPr>
          <w:rFonts w:cs="Times New Roman"/>
        </w:rPr>
      </w:pPr>
      <w:bookmarkStart w:id="13" w:name="_Toc229755280"/>
      <w:r w:rsidRPr="00B76053">
        <w:rPr>
          <w:rFonts w:cs="Times New Roman"/>
        </w:rPr>
        <w:t>2.4 Business Value of Artificial Intelligence in Customer Service</w:t>
      </w:r>
      <w:bookmarkEnd w:id="13"/>
    </w:p>
    <w:p w14:paraId="7CC3676B" w14:textId="77777777" w:rsidR="00276ABC" w:rsidRPr="00B76053" w:rsidRDefault="00276ABC" w:rsidP="00276ABC">
      <w:pPr>
        <w:rPr>
          <w:rFonts w:cs="Times New Roman"/>
        </w:rPr>
      </w:pPr>
      <w:r w:rsidRPr="00B76053">
        <w:rPr>
          <w:rFonts w:cs="Times New Roman"/>
        </w:rPr>
        <w:t>The deployment of AI-powered customer service systems generates business value across multiple dimensions, spanning operational efficiency, customer experience, scalability, and firm-level financial performance. While the technical capabilities of conversational AI have been extensively documented in the literature, a growing body of empirical research now establishes clear linkages between AI implementation and measurable organisational outcomes. Two complementary streams of evidence are particularly instructive: case-based operational analysis and capital market studies.</w:t>
      </w:r>
    </w:p>
    <w:p w14:paraId="6F637FC2" w14:textId="77777777" w:rsidR="006046D2" w:rsidRPr="00B76053" w:rsidRDefault="00B04762">
      <w:pPr>
        <w:pStyle w:val="Heading3"/>
        <w:spacing w:before="240" w:after="80"/>
        <w:rPr>
          <w:rFonts w:cs="Times New Roman"/>
        </w:rPr>
      </w:pPr>
      <w:bookmarkStart w:id="14" w:name="_Toc229755281"/>
      <w:r w:rsidRPr="00B76053">
        <w:rPr>
          <w:rFonts w:cs="Times New Roman"/>
        </w:rPr>
        <w:t xml:space="preserve">2.4.1 </w:t>
      </w:r>
      <w:r w:rsidR="00B55F55" w:rsidRPr="00B76053">
        <w:rPr>
          <w:rFonts w:cs="Times New Roman"/>
        </w:rPr>
        <w:t>Operational, Customer-Experience, and Scalability Evidence</w:t>
      </w:r>
      <w:bookmarkEnd w:id="14"/>
    </w:p>
    <w:p w14:paraId="57293A79" w14:textId="77777777" w:rsidR="00B55F55" w:rsidRPr="00B76053" w:rsidRDefault="00B55F55" w:rsidP="00B55F55">
      <w:pPr>
        <w:rPr>
          <w:rFonts w:cs="Times New Roman"/>
        </w:rPr>
      </w:pPr>
      <w:r w:rsidRPr="00B76053">
        <w:rPr>
          <w:rFonts w:cs="Times New Roman"/>
        </w:rPr>
        <w:t>One of the most consistently documented benefits of AI in customer service is its capacity to significantly reduce operational costs while simultaneously increasing throughput and sustaining service quality. Andrade and Tumelero (2022) provide detailed empirical evidence of this dynamic through a longitudinal case study of a major Brazilian commercial bank. Their findings demonstrate that the bank's AI chatbot achieved a 2,350% increase in customer interactions via WhatsApp between 2019 and 2021 — growing from 17 million to approximately 400 million interactions — while the number of customers actively using the virtual assistant expanded by 1,590% over the same period. Critically, these volumetric gains were achieved without a proportional increase in human staffing, reflecting the fundamental cost-efficiency logic of AI-driven automation. The chatbot's problem resolution rate improved from 77% in 2019 to 92.1% in 2021 — a 19-percentage-point improvement — indicating that value creation through AI is not merely a function of volume, but of quality and assertiveness in service delivery (Andrade &amp; Tumelero, 2022). The authors conclude that AI chatbot applications directly reduce queuing at call centres, redirect human agents toward higher-complexity interactions, and compress interaction times from processes that could take over 20 minutes into responses measured in fractions of seconds.</w:t>
      </w:r>
    </w:p>
    <w:p w14:paraId="63B51DAE" w14:textId="38B1E676" w:rsidR="00B55F55" w:rsidRPr="00B76053" w:rsidRDefault="00B55F55" w:rsidP="00B55F55">
      <w:pPr>
        <w:rPr>
          <w:rFonts w:cs="Times New Roman"/>
        </w:rPr>
      </w:pPr>
      <w:r w:rsidRPr="00B76053">
        <w:rPr>
          <w:rFonts w:cs="Times New Roman"/>
        </w:rPr>
        <w:t xml:space="preserve">Beyond cost reduction, the same deployment demonstrates that AI-enabled customer service creates value through improvements in service quality and customer experience. Andrade and </w:t>
      </w:r>
      <w:r w:rsidRPr="00B76053">
        <w:rPr>
          <w:rFonts w:cs="Times New Roman"/>
        </w:rPr>
        <w:lastRenderedPageBreak/>
        <w:t>Tumelero (2022) report that the bank's AI chatbot achieved an average customer satisfaction score of 3.9 out of 5, with more than 70% of users rating their interactions at the highest levels. These findings suggest that operational efficiency and customer satisfaction are not in tension — rather, the speed, accessibility, and 24/7 availability offered by AI systems can simultaneously reduce costs and enhance the customer's experience of the service. This relationship is theoretically consistent with the service-profit chain framework, which posits that improvements in service quality drive customer satisfaction, and customer satisfaction drives loyalty and, ultimately, profitability (Heskett et al., 1994, as cited in Fotheringham &amp; Wiles, 202</w:t>
      </w:r>
      <w:r w:rsidR="00D358B6">
        <w:rPr>
          <w:rFonts w:cs="Times New Roman"/>
        </w:rPr>
        <w:t>2</w:t>
      </w:r>
      <w:r w:rsidRPr="00B76053">
        <w:rPr>
          <w:rFonts w:cs="Times New Roman"/>
        </w:rPr>
        <w:t>). In the context of financial services, where trust, responsiveness, and frictionless access to information are of particular importance, AI systems that deliver consistent, immediate, and accurate responses represent a meaningful enhancement to the customer relationship. Andrade and Tumelero (2022) further highlight that AI analytics enable organisations to predict customer intent progressively, deepening the personalisation and relevance of interactions over time.</w:t>
      </w:r>
    </w:p>
    <w:p w14:paraId="3640815D" w14:textId="77777777" w:rsidR="00B55F55" w:rsidRPr="00B76053" w:rsidRDefault="00B55F55" w:rsidP="00B55F55">
      <w:pPr>
        <w:rPr>
          <w:rFonts w:cs="Times New Roman"/>
        </w:rPr>
      </w:pPr>
      <w:r w:rsidRPr="00B76053">
        <w:rPr>
          <w:rFonts w:cs="Times New Roman"/>
        </w:rPr>
        <w:t xml:space="preserve">A distinctive characteristic of AI-based customer service, relative to human-staffed alternatives, is its inherent scalability. Unlike traditional call centre models, where capacity is constrained by headcount and fixed labour costs, AI systems can absorb substantial increases in demand without proportional increases in cost or infrastructure. Andrade and Tumelero (2022) demonstrate this empirically: the Brazilian bank </w:t>
      </w:r>
      <w:proofErr w:type="gramStart"/>
      <w:r w:rsidRPr="00B76053">
        <w:rPr>
          <w:rFonts w:cs="Times New Roman"/>
        </w:rPr>
        <w:t>was</w:t>
      </w:r>
      <w:proofErr w:type="gramEnd"/>
      <w:r w:rsidRPr="00B76053">
        <w:rPr>
          <w:rFonts w:cs="Times New Roman"/>
        </w:rPr>
        <w:t xml:space="preserve"> able to sustain service continuity and expand customer engagement during the COVID-19 pandemic — a period characterised by a dramatic surge in remote financial service interactions — demonstrating that AI capabilities provide technological resilience in the face of exogenous shocks that overwhelm institutions relying primarily on physical service channels. From an organisational design perspective, sustaining this scalability over time requires a dedicated governance function responsible for continuously expanding the system's knowledge base, managing vendor relationships, and overseeing learning mechanisms — a form of dynamic capability that compounds the system's value as integration deepens (Andrade &amp; Tumelero, 2022). From a business process management perspective, AI functions here as a mechanism for achieving higher organisational efficiency by optimising, standardising, and automating service routines, with the chatbot acting as a first service layer that filters and routes complex queries to specialised human agents — creating a hybrid service architecture that maximises the productivity of both technological and human resources.</w:t>
      </w:r>
    </w:p>
    <w:p w14:paraId="63AFAEDD" w14:textId="77777777" w:rsidR="006046D2" w:rsidRPr="00B76053" w:rsidRDefault="00B04762">
      <w:pPr>
        <w:pStyle w:val="Heading3"/>
        <w:spacing w:before="240" w:after="80"/>
        <w:rPr>
          <w:rFonts w:cs="Times New Roman"/>
        </w:rPr>
      </w:pPr>
      <w:bookmarkStart w:id="15" w:name="_Toc229755282"/>
      <w:r w:rsidRPr="00B76053">
        <w:rPr>
          <w:rFonts w:cs="Times New Roman"/>
        </w:rPr>
        <w:lastRenderedPageBreak/>
        <w:t xml:space="preserve">2.4.2 </w:t>
      </w:r>
      <w:r w:rsidR="00387F3D" w:rsidRPr="00B76053">
        <w:rPr>
          <w:rFonts w:cs="Times New Roman"/>
        </w:rPr>
        <w:t>Firm Value and Investor Perception</w:t>
      </w:r>
      <w:bookmarkEnd w:id="15"/>
    </w:p>
    <w:p w14:paraId="65D44B92" w14:textId="08E347DC" w:rsidR="00387F3D" w:rsidRPr="00B76053" w:rsidRDefault="00387F3D" w:rsidP="00387F3D">
      <w:pPr>
        <w:rPr>
          <w:rFonts w:cs="Times New Roman"/>
        </w:rPr>
      </w:pPr>
      <w:r w:rsidRPr="00B76053">
        <w:rPr>
          <w:rFonts w:cs="Times New Roman"/>
        </w:rPr>
        <w:t>The business value of AI in customer service is not limited to operational metrics — it also manifests in capital market assessments of firm performance. Fotheringham and Wiles (202</w:t>
      </w:r>
      <w:r w:rsidR="00D358B6">
        <w:rPr>
          <w:rFonts w:cs="Times New Roman"/>
        </w:rPr>
        <w:t>2</w:t>
      </w:r>
      <w:r w:rsidRPr="00B76053">
        <w:rPr>
          <w:rFonts w:cs="Times New Roman"/>
        </w:rPr>
        <w:t>) provide rigorous evidence of this relationship through an event study of 153 AI chatbot launch announcements by publicly traded firms in the United States. Their findings indicate that investors respond positively to chatbot implementation announcements, with statistically significant positive abnormal returns observed on the event day. This result suggests that financial markets perceive AI-enabled customer service not merely as a cost-saving measure, but as a strategic investment that strengthens firms' market-based relational assets — that is, the quality and depth of customer relationships that generate future revenue streams.</w:t>
      </w:r>
    </w:p>
    <w:p w14:paraId="1C640079" w14:textId="7F636AB3" w:rsidR="00387F3D" w:rsidRPr="00B76053" w:rsidRDefault="00387F3D" w:rsidP="00387F3D">
      <w:pPr>
        <w:rPr>
          <w:rFonts w:cs="Times New Roman"/>
        </w:rPr>
      </w:pPr>
      <w:r w:rsidRPr="00B76053">
        <w:rPr>
          <w:rFonts w:cs="Times New Roman"/>
        </w:rPr>
        <w:t>Importantly, Fotheringham and Wiles (202</w:t>
      </w:r>
      <w:r w:rsidR="00D358B6">
        <w:rPr>
          <w:rFonts w:cs="Times New Roman"/>
        </w:rPr>
        <w:t>2</w:t>
      </w:r>
      <w:r w:rsidRPr="00B76053">
        <w:rPr>
          <w:rFonts w:cs="Times New Roman"/>
        </w:rPr>
        <w:t>) find that this positive market response is significantly stronger for business-to-business (B2B) firms than for business-to-consumer (B2C) counterparts. The authors argue that B2B contexts — characterised by higher customer concentration, greater switching costs, and more complex service interactions — stand to gain disproportionately from AI implementations that deliver faster, more consistent, and more integrated service experiences. Given that financial services firms frequently operate in hybrid B2B and B2C environments, with mortgage lending involving elements of both contexts, this finding is of direct relevance to the present study.</w:t>
      </w:r>
    </w:p>
    <w:p w14:paraId="4372F308" w14:textId="14F7FCE6" w:rsidR="00387F3D" w:rsidRPr="00B76053" w:rsidRDefault="00387F3D" w:rsidP="00387F3D">
      <w:pPr>
        <w:rPr>
          <w:rFonts w:cs="Times New Roman"/>
          <w:b/>
          <w:bCs/>
        </w:rPr>
      </w:pPr>
      <w:r w:rsidRPr="00B76053">
        <w:rPr>
          <w:rFonts w:cs="Times New Roman"/>
        </w:rPr>
        <w:t>The study by Fotheringham and Wiles (202</w:t>
      </w:r>
      <w:r w:rsidR="00D358B6">
        <w:rPr>
          <w:rFonts w:cs="Times New Roman"/>
        </w:rPr>
        <w:t>2</w:t>
      </w:r>
      <w:r w:rsidRPr="00B76053">
        <w:rPr>
          <w:rFonts w:cs="Times New Roman"/>
        </w:rPr>
        <w:t>) also surfaces important nuances regarding implementation strategy. Investors respond more favourably to phased AI rollouts — specifically, beta-testing approaches prior to full deployment — and to implementations that position AI as complementing rather than replacing human agents. Conversely, announcements that emphasise AI's capacity to handle complex tasks are associated with lower abnormal returns, suggesting that market participants remain cautious about overstated claims of AI sophistication. These findings imply that the business value of AI is not unconditional; it is moderated by implementation choices, communication strategy, and the organisational context in which AI is deployed.</w:t>
      </w:r>
    </w:p>
    <w:p w14:paraId="2BE241EA" w14:textId="77777777" w:rsidR="006046D2" w:rsidRPr="00B76053" w:rsidRDefault="00B04762">
      <w:pPr>
        <w:pStyle w:val="Heading2"/>
        <w:rPr>
          <w:rFonts w:cs="Times New Roman"/>
        </w:rPr>
      </w:pPr>
      <w:bookmarkStart w:id="16" w:name="_Toc229755283"/>
      <w:r w:rsidRPr="00B76053">
        <w:rPr>
          <w:rFonts w:cs="Times New Roman"/>
        </w:rPr>
        <w:t>2.5 Consumer Behaviour and AI Interaction</w:t>
      </w:r>
      <w:bookmarkEnd w:id="16"/>
    </w:p>
    <w:p w14:paraId="220776D7" w14:textId="77777777" w:rsidR="00465BF1" w:rsidRPr="00B76053" w:rsidRDefault="00465BF1" w:rsidP="00465BF1">
      <w:pPr>
        <w:rPr>
          <w:rFonts w:cs="Times New Roman"/>
        </w:rPr>
      </w:pPr>
      <w:r w:rsidRPr="00B76053">
        <w:rPr>
          <w:rFonts w:cs="Times New Roman"/>
        </w:rPr>
        <w:t xml:space="preserve">The fifth strand of the literature relevant to this thesis examines how consumers perceive and respond to AI-mediated service interactions, with particular attention to voice-based agents. Three </w:t>
      </w:r>
      <w:r w:rsidRPr="00B76053">
        <w:rPr>
          <w:rFonts w:cs="Times New Roman"/>
        </w:rPr>
        <w:lastRenderedPageBreak/>
        <w:t>threads are pertinent to the present study. The first thread concerns anthropomorphism and voice naturalness. A recent review in Trends in Cognitive Sciences argues that perceived naturalness is a salient property of voice that shapes interaction with both human and artificial agents (Nussbaum et al., 2025), and a 2025 study in ACM Transactions on Human-Robot Interaction reports that more natural voices change perceptions of safety and compliance even where a direct effect on trust is not observed (Becker et al., 2025). For voice LLM agents in financial services, this implies that voice quality is a necessary-but-not-sufficient condition for credible interaction: cosmetic improvements in synthesis quality cannot compensate for back-end inadequacy, but a serviceable back-end paired with poor synthesis can undermine confidence even when the underlying answer is correct.</w:t>
      </w:r>
    </w:p>
    <w:p w14:paraId="1366DEDD" w14:textId="77777777" w:rsidR="00465BF1" w:rsidRPr="00B76053" w:rsidRDefault="00465BF1" w:rsidP="00465BF1">
      <w:pPr>
        <w:rPr>
          <w:rFonts w:cs="Times New Roman"/>
        </w:rPr>
      </w:pPr>
      <w:r w:rsidRPr="00B76053">
        <w:rPr>
          <w:rFonts w:cs="Times New Roman"/>
        </w:rPr>
        <w:t xml:space="preserve">The second thread concerns latency and conversational flow. Maslych et al. (2025) report that response latency above approximately four seconds significantly degrades both perceived response time and broader user-experience measures in LLM-powered intelligent virtual agents, and </w:t>
      </w:r>
      <w:r w:rsidR="00C17E30" w:rsidRPr="00B76053">
        <w:rPr>
          <w:rFonts w:cs="Times New Roman"/>
        </w:rPr>
        <w:t>those natural conversational fillers</w:t>
      </w:r>
      <w:r w:rsidRPr="00B76053">
        <w:rPr>
          <w:rFonts w:cs="Times New Roman"/>
        </w:rPr>
        <w:t xml:space="preserve"> can mitigate only part of that effect. Real-time voice interaction is therefore far less tolerant of delay than text-based interaction — a finding directly relevant to mortgage origination, where each borrower call may trigger multiple internal system lookups across pricing, application status, and documentation workflows.</w:t>
      </w:r>
    </w:p>
    <w:p w14:paraId="6C808612" w14:textId="77777777" w:rsidR="00465BF1" w:rsidRPr="00B76053" w:rsidRDefault="00465BF1" w:rsidP="00465BF1">
      <w:pPr>
        <w:rPr>
          <w:rFonts w:cs="Times New Roman"/>
        </w:rPr>
      </w:pPr>
      <w:r w:rsidRPr="00B76053">
        <w:rPr>
          <w:rFonts w:cs="Times New Roman"/>
        </w:rPr>
        <w:t>The third thread concerns consumer attribution of service experience to AI. Mogaji and Nguyen (2022) argue that AI in customer-facing financial services frequently operates as backend or infrastructure-level technology rather than as a branded chatbot, with the consequence that customers may not consciously perceive AI as a feature of their service journey. Aggarwal et al. (2025) make a parallel observation in their voice-AI value-creation framework, distinguishing B2B and B2C value creation surfaces and noting that AI-related productivity gains may emerge alongside ambiguous customer-perception effects when the AI system is not branded to the end user.</w:t>
      </w:r>
    </w:p>
    <w:p w14:paraId="19A44CD0" w14:textId="77777777" w:rsidR="00465BF1" w:rsidRPr="00B76053" w:rsidRDefault="00465BF1" w:rsidP="00465BF1">
      <w:pPr>
        <w:rPr>
          <w:rFonts w:cs="Times New Roman"/>
        </w:rPr>
      </w:pPr>
      <w:r w:rsidRPr="00B76053">
        <w:rPr>
          <w:rFonts w:cs="Times New Roman"/>
        </w:rPr>
        <w:t xml:space="preserve">Two further considerations bear directly on the interpretation of the Trustpilot evidence presented in Chapter 5. Self-selected review-platform users are typically more emotionally engaged than the average customer, and platform reviews therefore over-sample the tails of the customer-experience distribution (Filieri, 2015; Luca, 2016). When combined with the small post-period sample size that any single-event study generates, this self-selection means that public-discourse signals on </w:t>
      </w:r>
      <w:r w:rsidRPr="00B76053">
        <w:rPr>
          <w:rFonts w:cs="Times New Roman"/>
        </w:rPr>
        <w:lastRenderedPageBreak/>
        <w:t>voice AI deployment must be read alongside, rather than against, management-reported survey instruments such as Net Promoter Score. A complementary literature on algorithm aversion suggests that consumers may discount algorithmic outputs after observing errors, even when those outputs outperform human judgement on average (Dietvorst et al., 2015); this asymmetry is amplified in services where the stake of error is high, as it is in regulated financial transactions.</w:t>
      </w:r>
    </w:p>
    <w:p w14:paraId="4F238D2C" w14:textId="77777777" w:rsidR="00465BF1" w:rsidRPr="00B76053" w:rsidRDefault="00465BF1" w:rsidP="00465BF1">
      <w:pPr>
        <w:rPr>
          <w:rFonts w:cs="Times New Roman"/>
        </w:rPr>
      </w:pPr>
      <w:r w:rsidRPr="00B76053">
        <w:rPr>
          <w:rFonts w:cs="Times New Roman"/>
        </w:rPr>
        <w:t>Taken together, this strand of the literature implies three working propositions for the present thesis: (i) voice quality and latency function as service-design prerequisites for credible voice AI in financial services; (ii) when voice AI operates as backend infrastructure inside a regulated workflow, customer attribution of experience to AI is likely to be low, and the visibility of AI-related effects in review-platform discourse will be muted; (iii) public-discourse measurement of customer experience is informative but biased toward emotionally engaged subsets of customers, and must be triangulated with internal management measurement instruments rather than substituted for them. Table 2.1 synthesises the four value dimensions across the evidence reviewed in §2.4 and §2.5, and the Better.com case in Chapter 5 is evaluated against each dimension with these three propositions guiding the interpretation of the NLP and financial evidence.</w:t>
      </w:r>
    </w:p>
    <w:p w14:paraId="21EBA103" w14:textId="77777777" w:rsidR="006046D2" w:rsidRPr="00B76053" w:rsidRDefault="00B04762">
      <w:pPr>
        <w:pStyle w:val="Heading2"/>
        <w:rPr>
          <w:rFonts w:cs="Times New Roman"/>
        </w:rPr>
      </w:pPr>
      <w:bookmarkStart w:id="17" w:name="_Toc229755284"/>
      <w:r w:rsidRPr="00B76053">
        <w:rPr>
          <w:rFonts w:cs="Times New Roman"/>
        </w:rPr>
        <w:t>2.6 Conceptual Framework: Three Complementary Lenses</w:t>
      </w:r>
      <w:bookmarkEnd w:id="17"/>
    </w:p>
    <w:p w14:paraId="678CA344" w14:textId="77777777" w:rsidR="00465BF1" w:rsidRPr="00B76053" w:rsidRDefault="00465BF1" w:rsidP="00465BF1">
      <w:pPr>
        <w:rPr>
          <w:rFonts w:cs="Times New Roman"/>
        </w:rPr>
      </w:pPr>
      <w:r w:rsidRPr="00B76053">
        <w:rPr>
          <w:rFonts w:cs="Times New Roman"/>
        </w:rPr>
        <w:t>The empirical analysis in Chapter 5 is interpreted through three complementary theoretical lenses that together specify when a voice LLM agent is most likely to generate measurable business value in a regulated financial-services workflow. The first lens is the task–technology fit perspective (Goodhue &amp; Thompson, 1995), under which the operational meaningfulness of a conversational technology depends on whether the technology has access to the data and process state required to perform the task. This lens accounts for why a process-aware operating platform such as Tinman is treated in this thesis as the architectural prerequisite for a voice LLM agent: without exposed workflow state, even a state-of-the-art voice agent cannot plan, route, or coordinate.</w:t>
      </w:r>
    </w:p>
    <w:p w14:paraId="196043DE" w14:textId="77777777" w:rsidR="00465BF1" w:rsidRPr="00B76053" w:rsidRDefault="00465BF1" w:rsidP="00465BF1">
      <w:pPr>
        <w:rPr>
          <w:rFonts w:cs="Times New Roman"/>
        </w:rPr>
      </w:pPr>
      <w:r w:rsidRPr="00B76053">
        <w:rPr>
          <w:rFonts w:cs="Times New Roman"/>
        </w:rPr>
        <w:t>The second lens is the AI service hierarchy (Huang &amp; Rust, 2018), which distinguishes mechanical, analytical, intuitive, and empathetic dimensions of service work and predicts that automation will diffuse first through the mechanical and analytical layers and only later, and partially, through the intuitive and empathetic layers. This lens explains why a voice agent is most likely to generate productivity gains when scoped to high-volume, structured, communication-</w:t>
      </w:r>
      <w:r w:rsidRPr="00B76053">
        <w:rPr>
          <w:rFonts w:cs="Times New Roman"/>
        </w:rPr>
        <w:lastRenderedPageBreak/>
        <w:t>intensive coordination work (status updates, scheduling, document follow-up) and is more contested when extended to advisory or relational tasks. The third lens is the AI-enabled productivity tradition (Acemoglu &amp; Restrepo, 2019; Brynjolfsson et al., 2023; Aggarwal et al., 2025), under which AI-related productivity gains tend to materialise through task reallocation rather than full labour substitution and can emerge alongside ambiguous customer-perception effects when the AI system operates as backend infrastructure rather than as a branded customer-facing experience.</w:t>
      </w:r>
    </w:p>
    <w:p w14:paraId="1D185F29" w14:textId="77777777" w:rsidR="00465BF1" w:rsidRPr="00B76053" w:rsidRDefault="00465BF1" w:rsidP="00465BF1">
      <w:pPr>
        <w:rPr>
          <w:rFonts w:cs="Times New Roman"/>
        </w:rPr>
      </w:pPr>
      <w:r w:rsidRPr="00B76053">
        <w:rPr>
          <w:rFonts w:cs="Times New Roman"/>
        </w:rPr>
        <w:t>Read together, the three lenses generate a single integrating proposition that this thesis evaluates empirically: the deployment of a voice LLM agent in a regulated financial-services workflow is most likely to produce measurable operational leverage, while remaining largely invisible to end customers, when (i) the agent is task-fitted to a process-aware operating platform that exposes structured workflow state; (ii) the agent is scoped to the mechanical and analytical layers of service work; and (iii) the agent is governed by an explicit human-AI collaboration model that reallocates rather than substitutes labour at the regulated boundary.</w:t>
      </w:r>
    </w:p>
    <w:p w14:paraId="4B07749F" w14:textId="77777777" w:rsidR="00465BF1" w:rsidRPr="00B76053" w:rsidRDefault="00465BF1" w:rsidP="00C2388C">
      <w:pPr>
        <w:rPr>
          <w:rFonts w:cs="Times New Roman"/>
          <w:b/>
          <w:bCs/>
        </w:rPr>
      </w:pPr>
      <w:r w:rsidRPr="00B76053">
        <w:rPr>
          <w:rFonts w:cs="Times New Roman"/>
        </w:rPr>
        <w:t xml:space="preserve">The research gap that the thesis addresses </w:t>
      </w:r>
      <w:proofErr w:type="gramStart"/>
      <w:r w:rsidRPr="00B76053">
        <w:rPr>
          <w:rFonts w:cs="Times New Roman"/>
        </w:rPr>
        <w:t>follows</w:t>
      </w:r>
      <w:proofErr w:type="gramEnd"/>
      <w:r w:rsidRPr="00B76053">
        <w:rPr>
          <w:rFonts w:cs="Times New Roman"/>
        </w:rPr>
        <w:t xml:space="preserve"> directly from this proposition. The peer-reviewed literature on chatbot value creation in financial services concentrates on text-based agents (Adam et al., 2021; Abdulquadri et al., 2021; Andrade &amp; Tumelero, 2022), and the small but growing voice-AI literature is dominated by call-centre natural field experiments outside regulated mortgage origination (Wang et al., 2023). No published case study has yet linked SEC-filed financial trajectory, independent customer-discourse mining, and qualitative process tracing of integration architecture for a voice LLM agent in U.S. mortgage origination. This is the gap into which the Better.com case is positioned, and the methodology presented in Chapter 3 operationalises the three lenses through three complementary evidence streams (qualitative process tracing for task–technology fit, financial-ratio analysis for AI-enabled productivity, and NLP-based discourse analysis for customer-perception outcomes).</w:t>
      </w:r>
    </w:p>
    <w:p w14:paraId="7811D199" w14:textId="77777777" w:rsidR="006046D2" w:rsidRPr="00B76053" w:rsidRDefault="00B04762" w:rsidP="00465BF1">
      <w:pPr>
        <w:pStyle w:val="Heading1"/>
        <w:pageBreakBefore/>
        <w:spacing w:before="360" w:after="120"/>
        <w:rPr>
          <w:rFonts w:cs="Times New Roman"/>
        </w:rPr>
      </w:pPr>
      <w:bookmarkStart w:id="18" w:name="_Toc229755285"/>
      <w:r w:rsidRPr="00B76053">
        <w:rPr>
          <w:rFonts w:cs="Times New Roman"/>
        </w:rPr>
        <w:lastRenderedPageBreak/>
        <w:t>3. Research Methodology</w:t>
      </w:r>
      <w:bookmarkEnd w:id="18"/>
    </w:p>
    <w:p w14:paraId="5EA2D29E" w14:textId="77777777" w:rsidR="00204A2D" w:rsidRPr="00B76053" w:rsidRDefault="00204A2D" w:rsidP="00204A2D">
      <w:pPr>
        <w:rPr>
          <w:rFonts w:cs="Times New Roman"/>
        </w:rPr>
      </w:pPr>
      <w:r w:rsidRPr="00B76053">
        <w:rPr>
          <w:rFonts w:cs="Times New Roman"/>
        </w:rPr>
        <w:t>The methodology is designed to evaluate generative voice AI in a high-stakes corporate environment. Investigating the business value of voice AI in financial services requires moving beyond technical benchmarks toward an examination of how technological capabilities interact with organisational structures, customer perception, and audited financial outcomes. This chapter sets out the philosophical foundation (§3.1), the convergent-parallel mixed-methods design (§3.2), the case-selection logic (§3.3), the data sources (§3.4), the analytical strategies (§3.5), the operationalisation of business value (§3.6), the four-tier source-reliability hierarchy (§3.7), the triangulation logic (§3.8), the methodological limitations (§3.9), the rigor and reproducibility safeguards (§3.10), and the ethical considerations (§3.11).</w:t>
      </w:r>
    </w:p>
    <w:p w14:paraId="2776D0F1" w14:textId="77777777" w:rsidR="006046D2" w:rsidRPr="00B76053" w:rsidRDefault="00B04762">
      <w:pPr>
        <w:pStyle w:val="Heading2"/>
        <w:spacing w:before="280"/>
        <w:rPr>
          <w:rFonts w:cs="Times New Roman"/>
        </w:rPr>
      </w:pPr>
      <w:bookmarkStart w:id="19" w:name="_Toc229755286"/>
      <w:r w:rsidRPr="00B76053">
        <w:rPr>
          <w:rFonts w:cs="Times New Roman"/>
        </w:rPr>
        <w:t>3.1 Research Philosophy</w:t>
      </w:r>
      <w:bookmarkEnd w:id="19"/>
    </w:p>
    <w:p w14:paraId="143A635A" w14:textId="77777777" w:rsidR="003A2EBE" w:rsidRPr="00B76053" w:rsidRDefault="003A2EBE" w:rsidP="003A2EBE">
      <w:pPr>
        <w:rPr>
          <w:rFonts w:cs="Times New Roman"/>
        </w:rPr>
      </w:pPr>
      <w:r w:rsidRPr="00B76053">
        <w:rPr>
          <w:rFonts w:cs="Times New Roman"/>
        </w:rPr>
        <w:t>This thesis adopts the philosophical paradigm of Pragmatism. In Information Systems research, investigators frequently move between positivism (assuming an objective reality measurable through quantitative methods) and interpretivism (viewing reality as inseparable from social and contextual interpretation). Pragmatism bypasses this dichotomy by prioritising the practical consequences and real-world applicability of research findings, asserting that the research question should dictate the method. Ontologically, pragmatism recognises that both objective realities (e.g., dollar values of operating expenses, headcount figures) and subjective realities (e.g., customer trust, perceived service quality) are legitimate components of an organisational case. Epistemologically, the paradigm validates a mixed-methods design as the methodologically optimal response to a research question that bridges measurable financial outcomes and subjective experiential perceptions.</w:t>
      </w:r>
    </w:p>
    <w:p w14:paraId="1F023735" w14:textId="7C4CB6A5" w:rsidR="003A2EBE" w:rsidRPr="00B76053" w:rsidRDefault="003A2EBE" w:rsidP="003A2EBE">
      <w:pPr>
        <w:rPr>
          <w:rFonts w:cs="Times New Roman"/>
        </w:rPr>
      </w:pPr>
      <w:r w:rsidRPr="00B76053">
        <w:rPr>
          <w:rFonts w:cs="Times New Roman"/>
        </w:rPr>
        <w:t>Within this orientation, the inference logic is explicitly abductive rather than purely deductive or inductive. Given the nascent state of generative voice AI in finance, theory cannot fully anticipate the empirical observations</w:t>
      </w:r>
      <w:r w:rsidR="000808DD">
        <w:rPr>
          <w:rFonts w:cs="Times New Roman"/>
        </w:rPr>
        <w:t>,</w:t>
      </w:r>
      <w:r w:rsidRPr="00B76053">
        <w:rPr>
          <w:rFonts w:cs="Times New Roman"/>
        </w:rPr>
        <w:t xml:space="preserve"> and the data alone cannot generate a robust general theory. The methodology</w:t>
      </w:r>
      <w:r w:rsidR="000808DD">
        <w:rPr>
          <w:rFonts w:cs="Times New Roman"/>
        </w:rPr>
        <w:t>,</w:t>
      </w:r>
      <w:r w:rsidRPr="00B76053">
        <w:rPr>
          <w:rFonts w:cs="Times New Roman"/>
        </w:rPr>
        <w:t xml:space="preserve"> therefore</w:t>
      </w:r>
      <w:r w:rsidR="000808DD">
        <w:rPr>
          <w:rFonts w:cs="Times New Roman"/>
        </w:rPr>
        <w:t>,</w:t>
      </w:r>
      <w:r w:rsidRPr="00B76053">
        <w:rPr>
          <w:rFonts w:cs="Times New Roman"/>
        </w:rPr>
        <w:t xml:space="preserve"> iterates between observation and conceptual interpretation: signals from financial data and customer reviews are systematically connected to established business-value, service-quality, and AI-productivity frameworks to formulate findings that are both empirically grounded and theoretically anchored.</w:t>
      </w:r>
    </w:p>
    <w:p w14:paraId="330CB8FB" w14:textId="77777777" w:rsidR="006046D2" w:rsidRPr="00B76053" w:rsidRDefault="00B04762">
      <w:pPr>
        <w:pStyle w:val="Heading2"/>
        <w:spacing w:before="280"/>
        <w:rPr>
          <w:rFonts w:cs="Times New Roman"/>
        </w:rPr>
      </w:pPr>
      <w:bookmarkStart w:id="20" w:name="_Toc229755287"/>
      <w:r w:rsidRPr="00B76053">
        <w:rPr>
          <w:rFonts w:cs="Times New Roman"/>
        </w:rPr>
        <w:lastRenderedPageBreak/>
        <w:t>3.2 Research Design: Convergent Parallel Mixed Methods</w:t>
      </w:r>
      <w:bookmarkEnd w:id="20"/>
    </w:p>
    <w:p w14:paraId="0A214F07" w14:textId="77777777" w:rsidR="00C22314" w:rsidRPr="00B76053" w:rsidRDefault="00C22314" w:rsidP="00C22314">
      <w:pPr>
        <w:rPr>
          <w:rFonts w:cs="Times New Roman"/>
        </w:rPr>
      </w:pPr>
      <w:r w:rsidRPr="00B76053">
        <w:rPr>
          <w:rFonts w:cs="Times New Roman"/>
        </w:rPr>
        <w:t>Operationalising this pragmatist, abductive orientation, the study employs a Convergent Parallel Mixed Methods Case Study design, guided by Yin (2018). In a convergent parallel design, quantitative and qualitative data streams are collected and analysed independently, and results are merged only during the final interpretation phase to cross-validate and triangulate findings. The design comprises three integrated strands:</w:t>
      </w:r>
    </w:p>
    <w:p w14:paraId="3AE16ADA" w14:textId="77777777" w:rsidR="008C6F54" w:rsidRPr="00B76053" w:rsidRDefault="008C6F54" w:rsidP="001A228B">
      <w:pPr>
        <w:pStyle w:val="ListParagraph"/>
        <w:numPr>
          <w:ilvl w:val="0"/>
          <w:numId w:val="10"/>
        </w:numPr>
        <w:rPr>
          <w:rFonts w:cs="Times New Roman"/>
        </w:rPr>
      </w:pPr>
      <w:r w:rsidRPr="00B76053">
        <w:rPr>
          <w:rFonts w:cs="Times New Roman"/>
        </w:rPr>
        <w:t xml:space="preserve">A </w:t>
      </w:r>
      <w:r w:rsidRPr="00B76053">
        <w:rPr>
          <w:rFonts w:cs="Times New Roman"/>
          <w:b/>
          <w:bCs/>
        </w:rPr>
        <w:t>Qualitative Case Study</w:t>
      </w:r>
      <w:r w:rsidRPr="00B76053">
        <w:rPr>
          <w:rFonts w:cs="Times New Roman"/>
        </w:rPr>
        <w:t xml:space="preserve"> Strand that process-traces the historical, organisational, and technical integration of the Tinman platform and Betsy voice agent through corporate communications and technical documentation, primarily addressing RQ1.</w:t>
      </w:r>
    </w:p>
    <w:p w14:paraId="74CD0695" w14:textId="77777777" w:rsidR="008C6F54" w:rsidRPr="00B76053" w:rsidRDefault="008C6F54" w:rsidP="001A228B">
      <w:pPr>
        <w:pStyle w:val="ListParagraph"/>
        <w:numPr>
          <w:ilvl w:val="0"/>
          <w:numId w:val="10"/>
        </w:numPr>
        <w:rPr>
          <w:rFonts w:cs="Times New Roman"/>
        </w:rPr>
      </w:pPr>
      <w:r w:rsidRPr="00B76053">
        <w:rPr>
          <w:rFonts w:cs="Times New Roman"/>
        </w:rPr>
        <w:t xml:space="preserve">A </w:t>
      </w:r>
      <w:r w:rsidRPr="00B76053">
        <w:rPr>
          <w:rFonts w:cs="Times New Roman"/>
          <w:b/>
          <w:bCs/>
        </w:rPr>
        <w:t>Quantitative Financial Strand</w:t>
      </w:r>
      <w:r w:rsidRPr="00B76053">
        <w:rPr>
          <w:rFonts w:cs="Times New Roman"/>
        </w:rPr>
        <w:t xml:space="preserve"> that uses longitudinal SEC filings to examine evidence consistent with AI-enabled operational leverage, addressing RQ2.</w:t>
      </w:r>
    </w:p>
    <w:p w14:paraId="788276B7" w14:textId="77777777" w:rsidR="008C6F54" w:rsidRPr="00B76053" w:rsidRDefault="008C6F54" w:rsidP="001A228B">
      <w:pPr>
        <w:pStyle w:val="ListParagraph"/>
        <w:numPr>
          <w:ilvl w:val="0"/>
          <w:numId w:val="10"/>
        </w:numPr>
        <w:rPr>
          <w:rFonts w:cs="Times New Roman"/>
        </w:rPr>
      </w:pPr>
      <w:r w:rsidRPr="00B76053">
        <w:rPr>
          <w:rFonts w:cs="Times New Roman"/>
        </w:rPr>
        <w:t xml:space="preserve">A </w:t>
      </w:r>
      <w:r w:rsidRPr="00B76053">
        <w:rPr>
          <w:rFonts w:cs="Times New Roman"/>
          <w:b/>
          <w:bCs/>
        </w:rPr>
        <w:t>Computational NLP Strand</w:t>
      </w:r>
      <w:r w:rsidRPr="00B76053">
        <w:rPr>
          <w:rFonts w:cs="Times New Roman"/>
        </w:rPr>
        <w:t xml:space="preserve"> that applies sentiment analysis, keyword prevalence, and BERTopic topic modelling to unsolicited Trustpilot reviews to capture the customer-experience dimension of RQ2.</w:t>
      </w:r>
    </w:p>
    <w:p w14:paraId="40113C99" w14:textId="77777777" w:rsidR="00601939" w:rsidRPr="00B76053" w:rsidRDefault="00601939" w:rsidP="00601939">
      <w:pPr>
        <w:rPr>
          <w:rFonts w:cs="Times New Roman"/>
        </w:rPr>
      </w:pPr>
      <w:r w:rsidRPr="00B76053">
        <w:rPr>
          <w:rFonts w:cs="Times New Roman"/>
        </w:rPr>
        <w:t>Rocket Mortgage is used throughout as a directional industry benchmark rather than as a formal counterfactual. Each strand addresses a distinct facet of the research questions, and their integration at the triangulation stage (§3.8) allows divergent signals to be interpreted as analytically informative rather than treated as contradictions to be suppressed.</w:t>
      </w:r>
    </w:p>
    <w:p w14:paraId="704E85A2" w14:textId="77777777" w:rsidR="006046D2" w:rsidRPr="00B76053" w:rsidRDefault="00B04762">
      <w:pPr>
        <w:pStyle w:val="Heading2"/>
        <w:spacing w:before="280"/>
        <w:rPr>
          <w:rFonts w:cs="Times New Roman"/>
        </w:rPr>
      </w:pPr>
      <w:bookmarkStart w:id="21" w:name="_Toc229755288"/>
      <w:r w:rsidRPr="00B76053">
        <w:rPr>
          <w:rFonts w:cs="Times New Roman"/>
        </w:rPr>
        <w:t>3.3 Case Selection</w:t>
      </w:r>
      <w:bookmarkEnd w:id="21"/>
    </w:p>
    <w:p w14:paraId="0F697FB5" w14:textId="77777777" w:rsidR="003B4F98" w:rsidRPr="00B76053" w:rsidRDefault="003B4F98" w:rsidP="003B4F98">
      <w:pPr>
        <w:rPr>
          <w:rFonts w:cs="Times New Roman"/>
        </w:rPr>
      </w:pPr>
      <w:r w:rsidRPr="00B76053">
        <w:rPr>
          <w:rFonts w:cs="Times New Roman"/>
        </w:rPr>
        <w:t>Better Home &amp; Finance Holding Company (Better.com), introduced in §1.7, was selected as the primary empirical case on methodological grounds — specifically as a critical, revelatory, and extreme case (Yin, 2018).</w:t>
      </w:r>
    </w:p>
    <w:p w14:paraId="5D54ECF0" w14:textId="77777777" w:rsidR="003B4F98" w:rsidRPr="00B76053" w:rsidRDefault="003B4F98" w:rsidP="003B4F98">
      <w:pPr>
        <w:rPr>
          <w:rFonts w:cs="Times New Roman"/>
        </w:rPr>
      </w:pPr>
      <w:r w:rsidRPr="00B76053">
        <w:rPr>
          <w:rFonts w:cs="Times New Roman"/>
        </w:rPr>
        <w:t xml:space="preserve">The case is </w:t>
      </w:r>
      <w:r w:rsidRPr="00B76053">
        <w:rPr>
          <w:rFonts w:cs="Times New Roman"/>
          <w:i/>
        </w:rPr>
        <w:t>extreme</w:t>
      </w:r>
      <w:r w:rsidRPr="00B76053">
        <w:rPr>
          <w:rFonts w:cs="Times New Roman"/>
        </w:rPr>
        <w:t xml:space="preserve"> because the macroeconomic context transformed AI from a peripheral efficiency tool into an existential strategic imperative. Following hyper-growth during the 2020–2021 pandemic refinancing boom, Better.com endured severe pressure from rapid Federal Reserve interest rate hikes, forcing a dramatic restructuring that reduced the workforce from a peak of approximately 10,400 employees in 2021 to fewer than 1,000 by 2023. In this context, the </w:t>
      </w:r>
      <w:r w:rsidRPr="00B76053">
        <w:rPr>
          <w:rFonts w:cs="Times New Roman"/>
        </w:rPr>
        <w:lastRenderedPageBreak/>
        <w:t>deployment of voice AI was not a discretionary upgrade but a structural response to an unsustainable cost base.</w:t>
      </w:r>
    </w:p>
    <w:p w14:paraId="1E129725" w14:textId="77777777" w:rsidR="003B4F98" w:rsidRPr="00B76053" w:rsidRDefault="003B4F98" w:rsidP="003B4F98">
      <w:pPr>
        <w:rPr>
          <w:rFonts w:cs="Times New Roman"/>
        </w:rPr>
      </w:pPr>
      <w:r w:rsidRPr="00B76053">
        <w:rPr>
          <w:rFonts w:cs="Times New Roman"/>
        </w:rPr>
        <w:t xml:space="preserve">The case is </w:t>
      </w:r>
      <w:r w:rsidRPr="00B76053">
        <w:rPr>
          <w:rFonts w:cs="Times New Roman"/>
          <w:i/>
        </w:rPr>
        <w:t>revelatory</w:t>
      </w:r>
      <w:r w:rsidRPr="00B76053">
        <w:rPr>
          <w:rFonts w:cs="Times New Roman"/>
        </w:rPr>
        <w:t xml:space="preserve"> because Better's October 2024 launch of Betsy — a proprietary LLM-powered voice agent for mortgage origination — combined with the company's subsequent publicly disclosed partnership with ElevenLabs as voice-infrastructure provider, constitutes one of the earliest fully documented instances of frontier voice AI deployed inside the highly regulated U.S. mortgage industry. The availability of audited financial data spanning both pre- and post-deployment periods makes it possible to examine integration mechanism (RQ1) and measurable business value (RQ2) within a single, tractable empirical setting.</w:t>
      </w:r>
    </w:p>
    <w:p w14:paraId="4A3D25C1" w14:textId="77777777" w:rsidR="003B4F98" w:rsidRPr="00B76053" w:rsidRDefault="003B4F98" w:rsidP="003B4F98">
      <w:pPr>
        <w:rPr>
          <w:rFonts w:cs="Times New Roman"/>
        </w:rPr>
      </w:pPr>
      <w:r w:rsidRPr="00B76053">
        <w:rPr>
          <w:rFonts w:cs="Times New Roman"/>
        </w:rPr>
        <w:t>The temporal bounds of this case study span 2018 through April 2026, with a specific focus on the pre-deployment baseline (2021–2023), the transition year (2024), and the post-deployment period (2025–2026). Rocket Companies (Rocket Mortgage) is used strictly as a benchmark in §5.3.5, not as a counterfactual: Rocket is not directly comparable to Better in scale, capital structure, or AI-deployment trajectory, but provides industry-context anchoring for the financial ratios reported in Appendix A.</w:t>
      </w:r>
    </w:p>
    <w:p w14:paraId="26DE499C" w14:textId="77777777" w:rsidR="006046D2" w:rsidRPr="00B76053" w:rsidRDefault="00B04762">
      <w:pPr>
        <w:pStyle w:val="Heading2"/>
        <w:spacing w:before="280"/>
        <w:rPr>
          <w:rFonts w:cs="Times New Roman"/>
        </w:rPr>
      </w:pPr>
      <w:bookmarkStart w:id="22" w:name="_Toc229755289"/>
      <w:r w:rsidRPr="00B76053">
        <w:rPr>
          <w:rFonts w:cs="Times New Roman"/>
        </w:rPr>
        <w:t>3.4 Data Collection</w:t>
      </w:r>
      <w:bookmarkEnd w:id="22"/>
    </w:p>
    <w:p w14:paraId="38BAC01C" w14:textId="77777777" w:rsidR="00D763AB" w:rsidRPr="00B76053" w:rsidRDefault="00D763AB" w:rsidP="00D763AB">
      <w:pPr>
        <w:rPr>
          <w:rFonts w:cs="Times New Roman"/>
        </w:rPr>
      </w:pPr>
      <w:r w:rsidRPr="00B76053">
        <w:rPr>
          <w:rFonts w:cs="Times New Roman"/>
        </w:rPr>
        <w:t>To execute the convergent parallel design, a multi-modal portfolio of secondary data sources was systematically assembled. Exclusive reliance on publicly available secondary data enhances transparency and supports replicability. No proprietary or internal company data was accessed at any point.</w:t>
      </w:r>
    </w:p>
    <w:p w14:paraId="6F68D539" w14:textId="77777777" w:rsidR="006046D2" w:rsidRPr="00B76053" w:rsidRDefault="00B04762">
      <w:pPr>
        <w:pStyle w:val="Heading3"/>
        <w:spacing w:before="240" w:after="80"/>
        <w:rPr>
          <w:rFonts w:cs="Times New Roman"/>
        </w:rPr>
      </w:pPr>
      <w:bookmarkStart w:id="23" w:name="_Toc229755290"/>
      <w:r w:rsidRPr="00B76053">
        <w:rPr>
          <w:rFonts w:cs="Times New Roman"/>
        </w:rPr>
        <w:t>3.4.1 SEC Financial Filings</w:t>
      </w:r>
      <w:bookmarkEnd w:id="23"/>
    </w:p>
    <w:p w14:paraId="23C8F0DB" w14:textId="77777777" w:rsidR="00C71E32" w:rsidRPr="00B76053" w:rsidRDefault="00C71E32" w:rsidP="00C71E32">
      <w:pPr>
        <w:rPr>
          <w:rFonts w:cs="Times New Roman"/>
        </w:rPr>
      </w:pPr>
      <w:r w:rsidRPr="00B76053">
        <w:rPr>
          <w:rFonts w:cs="Times New Roman"/>
        </w:rPr>
        <w:t xml:space="preserve">The financial dataset comprises thirteen audited annual observations: five for Better Home &amp; Finance Holding Company (fiscal years 2021–2025) and eight for Rocket Companies (fiscal years 2018–2025). Better 2021 figures come from the company's S-1 registration; Rocket 2018–2019 figures come from the comparative tables in the 2020 annual report; remaining years come from successive 10-K filings. All financial values were manually identified from the source PDFs and cross-verified against the original disclosures; no automated table extraction was relied upon. Full </w:t>
      </w:r>
      <w:r w:rsidRPr="00B76053">
        <w:rPr>
          <w:rFonts w:cs="Times New Roman"/>
        </w:rPr>
        <w:lastRenderedPageBreak/>
        <w:t>filing provenance, variable definitions, and accession numbers are recorded in Appendix A and Appendix B.</w:t>
      </w:r>
    </w:p>
    <w:p w14:paraId="6ECCD2DA" w14:textId="77777777" w:rsidR="006046D2" w:rsidRPr="00B76053" w:rsidRDefault="00B04762">
      <w:pPr>
        <w:pStyle w:val="Heading3"/>
        <w:spacing w:before="240" w:after="80"/>
        <w:rPr>
          <w:rFonts w:cs="Times New Roman"/>
        </w:rPr>
      </w:pPr>
      <w:bookmarkStart w:id="24" w:name="_Toc229755291"/>
      <w:r w:rsidRPr="00B76053">
        <w:rPr>
          <w:rFonts w:cs="Times New Roman"/>
        </w:rPr>
        <w:t>3.4.2 Trustpilot Customer Reviews</w:t>
      </w:r>
      <w:bookmarkEnd w:id="24"/>
    </w:p>
    <w:p w14:paraId="42C1F878" w14:textId="77777777" w:rsidR="001C3F18" w:rsidRPr="00B76053" w:rsidRDefault="001C3F18" w:rsidP="001C3F18">
      <w:pPr>
        <w:rPr>
          <w:rFonts w:cs="Times New Roman"/>
        </w:rPr>
      </w:pPr>
      <w:r w:rsidRPr="00B76053">
        <w:rPr>
          <w:rFonts w:cs="Times New Roman"/>
        </w:rPr>
        <w:t>To capture the customer-perception dimension, an extensive corpus of unsolicited customer reviews was collected from Better.com's official Trustpilot profile. Trustpilot is widely used in IS research as a proxy for electronic word-of-mouth and service quality perception (Filieri, 2015; Luca, 2016) and was selected over alternative review platforms for two reasons. First, Trustpilot operates a verified-purchase model with domain-level authentication and an internal moderation system that reduces, though does not eliminate, the share of fraudulent or incentivised reviews. Second, Trustpilot is the platform on which Better.com publicly responds to customer feedback, indicating that the company itself treats the site as a primary external service signal.</w:t>
      </w:r>
    </w:p>
    <w:p w14:paraId="2665F66D" w14:textId="77777777" w:rsidR="001C3F18" w:rsidRPr="00B76053" w:rsidRDefault="001C3F18" w:rsidP="001C3F18">
      <w:pPr>
        <w:rPr>
          <w:rFonts w:cs="Times New Roman"/>
        </w:rPr>
      </w:pPr>
      <w:r w:rsidRPr="00B76053">
        <w:rPr>
          <w:rFonts w:cs="Times New Roman"/>
        </w:rPr>
        <w:t>The raw corpus comprised 1,934 reviews. After a structured cleaning pipeline (removing entries with missing core fields, duplicates, very short texts, and non-English entries), the resulting cleaned dataset of 1,915 reviews forms the basis for all subsequent NLP analyses. Full cleaning steps are documented in Appendix C.2.</w:t>
      </w:r>
    </w:p>
    <w:p w14:paraId="30AB7D7A" w14:textId="77777777" w:rsidR="006046D2" w:rsidRPr="00B76053" w:rsidRDefault="00B04762">
      <w:pPr>
        <w:pStyle w:val="Heading3"/>
        <w:spacing w:before="240" w:after="80"/>
        <w:rPr>
          <w:rFonts w:cs="Times New Roman"/>
        </w:rPr>
      </w:pPr>
      <w:bookmarkStart w:id="25" w:name="_Toc229755292"/>
      <w:r w:rsidRPr="00B76053">
        <w:rPr>
          <w:rFonts w:cs="Times New Roman"/>
        </w:rPr>
        <w:t>3.4.3 Supplementary Qualitative Sources</w:t>
      </w:r>
      <w:bookmarkEnd w:id="25"/>
    </w:p>
    <w:p w14:paraId="3DF98EE8" w14:textId="77777777" w:rsidR="009C1CC2" w:rsidRPr="00B76053" w:rsidRDefault="009C1CC2" w:rsidP="009C1CC2">
      <w:pPr>
        <w:rPr>
          <w:rFonts w:cs="Times New Roman"/>
        </w:rPr>
      </w:pPr>
      <w:r w:rsidRPr="00B76053">
        <w:rPr>
          <w:rFonts w:cs="Times New Roman"/>
        </w:rPr>
        <w:t>Three supplementary qualitative sources support the process-tracing strand: verbatim earnings call transcripts (Q3 2023–Q4 2025) for management disclosures on Net Promoter Scores, AI interaction volumes, and platform metrics not captured in audited financial tables; the October 2024 press release announcing the Better–ElevenLabs partnership and Betsy's deployment; and ElevenLabs' own technical blog post detailing the integration with Better's Tinman platform. Industry context is drawn from Mortgage Bankers Association reports and from Federal Reserve Bank of New York commentary on mortgage-market conditions.</w:t>
      </w:r>
    </w:p>
    <w:p w14:paraId="29EC2F1A" w14:textId="77777777" w:rsidR="006046D2" w:rsidRPr="00B76053" w:rsidRDefault="00B04762">
      <w:pPr>
        <w:pStyle w:val="Heading2"/>
        <w:spacing w:before="280"/>
        <w:rPr>
          <w:rFonts w:cs="Times New Roman"/>
        </w:rPr>
      </w:pPr>
      <w:bookmarkStart w:id="26" w:name="_Toc229755293"/>
      <w:r w:rsidRPr="00B76053">
        <w:rPr>
          <w:rFonts w:cs="Times New Roman"/>
        </w:rPr>
        <w:t>3.5 Data Analysis</w:t>
      </w:r>
      <w:bookmarkEnd w:id="26"/>
    </w:p>
    <w:p w14:paraId="64D7C399" w14:textId="77777777" w:rsidR="006046D2" w:rsidRPr="00B76053" w:rsidRDefault="00B04762">
      <w:pPr>
        <w:pStyle w:val="Heading3"/>
        <w:spacing w:before="240" w:after="80"/>
        <w:rPr>
          <w:rFonts w:cs="Times New Roman"/>
        </w:rPr>
      </w:pPr>
      <w:bookmarkStart w:id="27" w:name="_Toc229755294"/>
      <w:r w:rsidRPr="00B76053">
        <w:rPr>
          <w:rFonts w:cs="Times New Roman"/>
        </w:rPr>
        <w:t>3.5.1 Financial Ratio and Operational Leverage Analysis</w:t>
      </w:r>
      <w:bookmarkEnd w:id="27"/>
    </w:p>
    <w:p w14:paraId="4477A58A" w14:textId="77777777" w:rsidR="00565C40" w:rsidRPr="00B76053" w:rsidRDefault="00565C40" w:rsidP="00565C40">
      <w:pPr>
        <w:rPr>
          <w:rFonts w:cs="Times New Roman"/>
        </w:rPr>
      </w:pPr>
      <w:r w:rsidRPr="00B76053">
        <w:rPr>
          <w:rFonts w:cs="Times New Roman"/>
        </w:rPr>
        <w:t xml:space="preserve">The financial analysis examines evidence consistent with AI-enabled operational leverage: the proposition that AI deployment is associated with revenue growing faster than costs, without </w:t>
      </w:r>
      <w:r w:rsidRPr="00B76053">
        <w:rPr>
          <w:rFonts w:cs="Times New Roman"/>
        </w:rPr>
        <w:lastRenderedPageBreak/>
        <w:t>proportional expansion in headcount. The primary indicators are the Expense Ratio (total costs relative to revenue), Revenue per Employee (productivity), Cost-to-Originate (efficiency proxy), and net loss reduction (financial performance). Standardised SEC accounting definitions are used throughout. Better.com's performance is contextualised against Rocket Companies as a directional industry benchmark; Rocket and Better differ substantially in scale, business model, and strategic context, so the comparison is descriptive only.</w:t>
      </w:r>
    </w:p>
    <w:p w14:paraId="3D167A9F" w14:textId="77777777" w:rsidR="006046D2" w:rsidRPr="00B76053" w:rsidRDefault="00B04762">
      <w:pPr>
        <w:pStyle w:val="Heading3"/>
        <w:spacing w:before="240" w:after="80"/>
        <w:rPr>
          <w:rFonts w:cs="Times New Roman"/>
        </w:rPr>
      </w:pPr>
      <w:bookmarkStart w:id="28" w:name="_Toc229755295"/>
      <w:r w:rsidRPr="00B76053">
        <w:rPr>
          <w:rFonts w:cs="Times New Roman"/>
        </w:rPr>
        <w:t>3.5.2 NLP Text Mining: Joint Topic-Sentiment Modelling</w:t>
      </w:r>
      <w:bookmarkEnd w:id="28"/>
    </w:p>
    <w:p w14:paraId="226AF749" w14:textId="77777777" w:rsidR="00565C40" w:rsidRPr="00B76053" w:rsidRDefault="00565C40" w:rsidP="00565C40">
      <w:pPr>
        <w:rPr>
          <w:rFonts w:cs="Times New Roman"/>
        </w:rPr>
      </w:pPr>
      <w:r w:rsidRPr="00B76053">
        <w:rPr>
          <w:rFonts w:cs="Times New Roman"/>
        </w:rPr>
        <w:t>The customer-perception analysis applies three complementary NLP techniques to the 1,915 Trustpilot reviews; no single technique is treated as definitive. Sentiment analysis uses VADER (Hutto &amp; Gilbert, 2014), a lexicon-based tool validated for short informal texts; differences between pre- and post-Betsy distributions are evaluated using Welch's t-test with Cohen's d as the effect-size measure. Topic modelling uses BERTopic (Grootendorst, 2022), a state-of-the-art embedding-plus-clustering approach that surfaces themes without pre-defined categories; configuration parameters are documented in Appendix C.4. Keyword-prevalence analysis examines seven thematic groups (Cost/Rates, Speed/Efficiency, Digital/Process, Human Support, Communication, Delay/Friction, Explicit AI/Automation) and uses two-sided chi-square tests with Yates' continuity correction (Fisher's exact substituted where any expected cell count falls below five) with Bonferroni correction across the seven comparisons.</w:t>
      </w:r>
    </w:p>
    <w:p w14:paraId="7C9D76F8" w14:textId="77777777" w:rsidR="006046D2" w:rsidRPr="00B76053" w:rsidRDefault="00B04762">
      <w:pPr>
        <w:pStyle w:val="Heading3"/>
        <w:spacing w:before="240" w:after="80"/>
        <w:rPr>
          <w:rFonts w:cs="Times New Roman"/>
        </w:rPr>
      </w:pPr>
      <w:bookmarkStart w:id="29" w:name="_Toc229755296"/>
      <w:r w:rsidRPr="00B76053">
        <w:rPr>
          <w:rFonts w:cs="Times New Roman"/>
        </w:rPr>
        <w:t>3.5.3 Qualitative Process Tracing</w:t>
      </w:r>
      <w:bookmarkEnd w:id="29"/>
    </w:p>
    <w:p w14:paraId="3FEA04ED" w14:textId="77777777" w:rsidR="00671F1E" w:rsidRPr="00B76053" w:rsidRDefault="00671F1E" w:rsidP="00671F1E">
      <w:pPr>
        <w:rPr>
          <w:rFonts w:cs="Times New Roman"/>
        </w:rPr>
      </w:pPr>
      <w:r w:rsidRPr="00B76053">
        <w:rPr>
          <w:rFonts w:cs="Times New Roman"/>
        </w:rPr>
        <w:t>The qualitative strand addressing RQ1 was synthesised using process-tracing methodology (Yin, 2018), reconstructing chronologically how a sequence of decisions and events led to an observed outcome. By tracing the evolution of Better.com's Tinman platform alongside the workforce restructuring and the eventual deployment of Betsy, the analysis establishes the organisational and technological prerequisites that enabled the voice-AI launch. All interpretations are anchored in management's verbatim public disclosures and in ElevenLabs' technical documentation.</w:t>
      </w:r>
    </w:p>
    <w:p w14:paraId="0FCBC341" w14:textId="77777777" w:rsidR="006046D2" w:rsidRPr="00B76053" w:rsidRDefault="00B04762">
      <w:pPr>
        <w:pStyle w:val="Heading2"/>
        <w:spacing w:before="280"/>
        <w:rPr>
          <w:rFonts w:cs="Times New Roman"/>
        </w:rPr>
      </w:pPr>
      <w:bookmarkStart w:id="30" w:name="_Toc229755297"/>
      <w:r w:rsidRPr="00B76053">
        <w:rPr>
          <w:rFonts w:cs="Times New Roman"/>
        </w:rPr>
        <w:t>3.6 Operationalisation of Business Value</w:t>
      </w:r>
      <w:bookmarkEnd w:id="30"/>
    </w:p>
    <w:p w14:paraId="170E4F36" w14:textId="77777777" w:rsidR="0013444F" w:rsidRPr="00B76053" w:rsidRDefault="0013444F" w:rsidP="0013444F">
      <w:pPr>
        <w:rPr>
          <w:rFonts w:cs="Times New Roman"/>
        </w:rPr>
      </w:pPr>
      <w:r w:rsidRPr="00B76053">
        <w:rPr>
          <w:rFonts w:cs="Times New Roman"/>
        </w:rPr>
        <w:t>Business value is operationalised into measurable, contextually accurate indicators rather than treated as an abstract construct. Operational efficiency is captured by the Expense Ratio, the Cost-</w:t>
      </w:r>
      <w:r w:rsidRPr="00B76053">
        <w:rPr>
          <w:rFonts w:cs="Times New Roman"/>
        </w:rPr>
        <w:lastRenderedPageBreak/>
        <w:t>to-Originate estimate, and operating-cost trajectory; productivity and scalability by Revenue per Employee and headcount relative to revenue growth; financial performance by revenue recovery, net loss reduction, and profit margin; customer experience by management-reported Net Promoter Score, independent Trustpilot star ratings, VADER sentiment, BERTopic topic-share changes, and keyword prevalence; integration mechanisms by the Tinman platform architecture, Betsy's functional role, the ElevenLabs partnership, and the human-escalation model. Two operationalisation choices are disclosed explicitly: Cost-to-Originate is computed as total expenses divided by funded loans — an author-constructed proxy benchmarked against Mortgage Bankers Association industry-average figures — and the Operational Leverage Index reported in Appendix E is an author-constructed composite anchored to 2023 = 100 and is therefore treated as a supplementary visualisation rather than as primary evidence. Management-reported NPS is treated as medium-reliability evidence: it is internally administered and cannot be independently verified, and is interpreted alongside the independent Trustpilot evidence rather than as definitive proof of customer-preference change. The full mapping between business-value dimensions and indicators is summarised in Table 3.1.</w:t>
      </w:r>
    </w:p>
    <w:p w14:paraId="238E6D8C" w14:textId="77777777" w:rsidR="00A312D3" w:rsidRPr="00B76053" w:rsidRDefault="00A312D3" w:rsidP="00600730">
      <w:pPr>
        <w:rPr>
          <w:rFonts w:cs="Times New Roman"/>
        </w:rPr>
      </w:pPr>
    </w:p>
    <w:p w14:paraId="2A0D5F50" w14:textId="77777777" w:rsidR="00DD763B" w:rsidRPr="00B76053" w:rsidRDefault="00B04762" w:rsidP="00EC7105">
      <w:pPr>
        <w:pStyle w:val="Caption"/>
        <w:rPr>
          <w:rFonts w:cs="Times New Roman"/>
        </w:rPr>
      </w:pPr>
      <w:r w:rsidRPr="00B76053">
        <w:rPr>
          <w:rFonts w:cs="Times New Roman"/>
        </w:rPr>
        <w:t>Table 3.1. Operationalisation of Business Value Dimensions across Operational Efficiency, Productivity, Customer Experience, and Financial Performance.</w:t>
      </w:r>
    </w:p>
    <w:tbl>
      <w:tblPr>
        <w:tblStyle w:val="TableGrid"/>
        <w:tblW w:w="0" w:type="auto"/>
        <w:tblLook w:val="04A0" w:firstRow="1" w:lastRow="0" w:firstColumn="1" w:lastColumn="0" w:noHBand="0" w:noVBand="1"/>
      </w:tblPr>
      <w:tblGrid>
        <w:gridCol w:w="1990"/>
        <w:gridCol w:w="2792"/>
        <w:gridCol w:w="2710"/>
        <w:gridCol w:w="1858"/>
      </w:tblGrid>
      <w:tr w:rsidR="00DD763B" w:rsidRPr="00B76053" w14:paraId="5E51C9C2" w14:textId="77777777" w:rsidTr="00DA0774">
        <w:tc>
          <w:tcPr>
            <w:tcW w:w="2154" w:type="dxa"/>
            <w:tcBorders>
              <w:top w:val="single" w:sz="4" w:space="0" w:color="FFFFFF"/>
              <w:left w:val="single" w:sz="4" w:space="0" w:color="FFFFFF"/>
              <w:bottom w:val="single" w:sz="4" w:space="0" w:color="FFFFFF"/>
              <w:right w:val="single" w:sz="4" w:space="0" w:color="FFFFFF"/>
            </w:tcBorders>
            <w:shd w:val="clear" w:color="auto" w:fill="2E4057"/>
          </w:tcPr>
          <w:p w14:paraId="5E0E5687" w14:textId="77777777" w:rsidR="00DD763B" w:rsidRPr="00B76053" w:rsidRDefault="00DD763B" w:rsidP="00DA0774">
            <w:pPr>
              <w:spacing w:before="60" w:after="60"/>
              <w:jc w:val="center"/>
              <w:rPr>
                <w:rFonts w:cs="Times New Roman"/>
              </w:rPr>
            </w:pPr>
            <w:r w:rsidRPr="00B76053">
              <w:rPr>
                <w:rFonts w:cs="Times New Roman"/>
                <w:b/>
                <w:color w:val="FFFFFF"/>
                <w:sz w:val="18"/>
              </w:rPr>
              <w:t>Business Value Dimension</w:t>
            </w:r>
          </w:p>
        </w:tc>
        <w:tc>
          <w:tcPr>
            <w:tcW w:w="3118" w:type="dxa"/>
            <w:tcBorders>
              <w:top w:val="single" w:sz="4" w:space="0" w:color="FFFFFF"/>
              <w:left w:val="single" w:sz="4" w:space="0" w:color="FFFFFF"/>
              <w:bottom w:val="single" w:sz="4" w:space="0" w:color="FFFFFF"/>
              <w:right w:val="single" w:sz="4" w:space="0" w:color="FFFFFF"/>
            </w:tcBorders>
            <w:shd w:val="clear" w:color="auto" w:fill="2E4057"/>
          </w:tcPr>
          <w:p w14:paraId="671A6A68" w14:textId="77777777" w:rsidR="00DD763B" w:rsidRPr="00B76053" w:rsidRDefault="00DD763B" w:rsidP="00DA0774">
            <w:pPr>
              <w:spacing w:before="60" w:after="60"/>
              <w:jc w:val="center"/>
              <w:rPr>
                <w:rFonts w:cs="Times New Roman"/>
              </w:rPr>
            </w:pPr>
            <w:r w:rsidRPr="00B76053">
              <w:rPr>
                <w:rFonts w:cs="Times New Roman"/>
                <w:b/>
                <w:color w:val="FFFFFF"/>
                <w:sz w:val="18"/>
              </w:rPr>
              <w:t>Indicators</w:t>
            </w:r>
          </w:p>
        </w:tc>
        <w:tc>
          <w:tcPr>
            <w:tcW w:w="2835" w:type="dxa"/>
            <w:tcBorders>
              <w:top w:val="single" w:sz="4" w:space="0" w:color="FFFFFF"/>
              <w:left w:val="single" w:sz="4" w:space="0" w:color="FFFFFF"/>
              <w:bottom w:val="single" w:sz="4" w:space="0" w:color="FFFFFF"/>
              <w:right w:val="single" w:sz="4" w:space="0" w:color="FFFFFF"/>
            </w:tcBorders>
            <w:shd w:val="clear" w:color="auto" w:fill="2E4057"/>
          </w:tcPr>
          <w:p w14:paraId="7B711129" w14:textId="77777777" w:rsidR="00DD763B" w:rsidRPr="00B76053" w:rsidRDefault="00DD763B" w:rsidP="00DA0774">
            <w:pPr>
              <w:spacing w:before="60" w:after="60"/>
              <w:jc w:val="center"/>
              <w:rPr>
                <w:rFonts w:cs="Times New Roman"/>
              </w:rPr>
            </w:pPr>
            <w:r w:rsidRPr="00B76053">
              <w:rPr>
                <w:rFonts w:cs="Times New Roman"/>
                <w:b/>
                <w:color w:val="FFFFFF"/>
                <w:sz w:val="18"/>
              </w:rPr>
              <w:t>Data Source</w:t>
            </w:r>
          </w:p>
        </w:tc>
        <w:tc>
          <w:tcPr>
            <w:tcW w:w="1984" w:type="dxa"/>
            <w:tcBorders>
              <w:top w:val="single" w:sz="4" w:space="0" w:color="FFFFFF"/>
              <w:left w:val="single" w:sz="4" w:space="0" w:color="FFFFFF"/>
              <w:bottom w:val="single" w:sz="4" w:space="0" w:color="FFFFFF"/>
              <w:right w:val="single" w:sz="4" w:space="0" w:color="FFFFFF"/>
            </w:tcBorders>
            <w:shd w:val="clear" w:color="auto" w:fill="2E4057"/>
          </w:tcPr>
          <w:p w14:paraId="3BAC5BFD" w14:textId="77777777" w:rsidR="00DD763B" w:rsidRPr="00B76053" w:rsidRDefault="00DD763B" w:rsidP="00DA0774">
            <w:pPr>
              <w:spacing w:before="60" w:after="60"/>
              <w:jc w:val="center"/>
              <w:rPr>
                <w:rFonts w:cs="Times New Roman"/>
              </w:rPr>
            </w:pPr>
            <w:r w:rsidRPr="00B76053">
              <w:rPr>
                <w:rFonts w:cs="Times New Roman"/>
                <w:b/>
                <w:color w:val="FFFFFF"/>
                <w:sz w:val="18"/>
              </w:rPr>
              <w:t>Reliability Tier</w:t>
            </w:r>
          </w:p>
        </w:tc>
      </w:tr>
      <w:tr w:rsidR="00DD763B" w:rsidRPr="00B76053" w14:paraId="57E42C47"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FFFFF"/>
          </w:tcPr>
          <w:p w14:paraId="02B5F0F2" w14:textId="77777777" w:rsidR="00DD763B" w:rsidRPr="00B76053" w:rsidRDefault="00DD763B" w:rsidP="00DD763B">
            <w:pPr>
              <w:spacing w:before="60" w:after="60"/>
              <w:jc w:val="left"/>
              <w:rPr>
                <w:rFonts w:cs="Times New Roman"/>
              </w:rPr>
            </w:pPr>
            <w:r w:rsidRPr="00B76053">
              <w:rPr>
                <w:rFonts w:cs="Times New Roman"/>
                <w:b/>
                <w:sz w:val="18"/>
              </w:rPr>
              <w:t>Operational efficiency</w:t>
            </w:r>
          </w:p>
        </w:tc>
        <w:tc>
          <w:tcPr>
            <w:tcW w:w="3118" w:type="dxa"/>
            <w:tcBorders>
              <w:top w:val="single" w:sz="4" w:space="0" w:color="B0B8C1"/>
              <w:left w:val="single" w:sz="4" w:space="0" w:color="B0B8C1"/>
              <w:bottom w:val="single" w:sz="4" w:space="0" w:color="B0B8C1"/>
              <w:right w:val="single" w:sz="4" w:space="0" w:color="B0B8C1"/>
            </w:tcBorders>
            <w:shd w:val="clear" w:color="auto" w:fill="FFFFFF"/>
          </w:tcPr>
          <w:p w14:paraId="18E922BF" w14:textId="77777777" w:rsidR="00DD763B" w:rsidRPr="00B76053" w:rsidRDefault="00DD763B" w:rsidP="00DD763B">
            <w:pPr>
              <w:spacing w:before="60" w:after="60"/>
              <w:jc w:val="left"/>
              <w:rPr>
                <w:rFonts w:cs="Times New Roman"/>
              </w:rPr>
            </w:pPr>
            <w:r w:rsidRPr="00B76053">
              <w:rPr>
                <w:rFonts w:cs="Times New Roman"/>
                <w:sz w:val="18"/>
              </w:rPr>
              <w:t>Expense Ratio (total costs / total revenue); Cost-to-Originate (CTO) estimate; expense growth trajectory</w:t>
            </w:r>
          </w:p>
        </w:tc>
        <w:tc>
          <w:tcPr>
            <w:tcW w:w="2835" w:type="dxa"/>
            <w:tcBorders>
              <w:top w:val="single" w:sz="4" w:space="0" w:color="B0B8C1"/>
              <w:left w:val="single" w:sz="4" w:space="0" w:color="B0B8C1"/>
              <w:bottom w:val="single" w:sz="4" w:space="0" w:color="B0B8C1"/>
              <w:right w:val="single" w:sz="4" w:space="0" w:color="B0B8C1"/>
            </w:tcBorders>
            <w:shd w:val="clear" w:color="auto" w:fill="FFFFFF"/>
          </w:tcPr>
          <w:p w14:paraId="42E6C105" w14:textId="77777777" w:rsidR="00DD763B" w:rsidRPr="00B76053" w:rsidRDefault="00DD763B" w:rsidP="00DD763B">
            <w:pPr>
              <w:spacing w:before="60" w:after="60"/>
              <w:jc w:val="left"/>
              <w:rPr>
                <w:rFonts w:cs="Times New Roman"/>
              </w:rPr>
            </w:pPr>
            <w:r w:rsidRPr="00B76053">
              <w:rPr>
                <w:rFonts w:cs="Times New Roman"/>
                <w:sz w:val="18"/>
              </w:rPr>
              <w:t>Better and Rocket 10-K filings; MBA Quarterly Performance Reports</w:t>
            </w:r>
          </w:p>
        </w:tc>
        <w:tc>
          <w:tcPr>
            <w:tcW w:w="1984" w:type="dxa"/>
            <w:tcBorders>
              <w:top w:val="single" w:sz="4" w:space="0" w:color="B0B8C1"/>
              <w:left w:val="single" w:sz="4" w:space="0" w:color="B0B8C1"/>
              <w:bottom w:val="single" w:sz="4" w:space="0" w:color="B0B8C1"/>
              <w:right w:val="single" w:sz="4" w:space="0" w:color="B0B8C1"/>
            </w:tcBorders>
            <w:shd w:val="clear" w:color="auto" w:fill="FFFFFF"/>
          </w:tcPr>
          <w:p w14:paraId="2987C02C" w14:textId="77777777" w:rsidR="00DD763B" w:rsidRPr="00B76053" w:rsidRDefault="00DD763B" w:rsidP="00DD763B">
            <w:pPr>
              <w:spacing w:before="60" w:after="60"/>
              <w:jc w:val="left"/>
              <w:rPr>
                <w:rFonts w:cs="Times New Roman"/>
              </w:rPr>
            </w:pPr>
            <w:r w:rsidRPr="00B76053">
              <w:rPr>
                <w:rFonts w:cs="Times New Roman"/>
                <w:sz w:val="18"/>
              </w:rPr>
              <w:t>High (audited financials);</w:t>
            </w:r>
            <w:r w:rsidRPr="00B76053">
              <w:rPr>
                <w:rFonts w:cs="Times New Roman"/>
                <w:sz w:val="18"/>
              </w:rPr>
              <w:br/>
              <w:t>Medium (CTO proxy — author-constructed)</w:t>
            </w:r>
          </w:p>
        </w:tc>
      </w:tr>
      <w:tr w:rsidR="00DD763B" w:rsidRPr="00B76053" w14:paraId="530FB244"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2F5F7"/>
          </w:tcPr>
          <w:p w14:paraId="678386E4" w14:textId="77777777" w:rsidR="00DD763B" w:rsidRPr="00B76053" w:rsidRDefault="00DD763B" w:rsidP="00DD763B">
            <w:pPr>
              <w:spacing w:before="60" w:after="60"/>
              <w:jc w:val="left"/>
              <w:rPr>
                <w:rFonts w:cs="Times New Roman"/>
              </w:rPr>
            </w:pPr>
            <w:r w:rsidRPr="00B76053">
              <w:rPr>
                <w:rFonts w:cs="Times New Roman"/>
                <w:b/>
                <w:sz w:val="18"/>
              </w:rPr>
              <w:t>Productivity and scalability</w:t>
            </w:r>
          </w:p>
        </w:tc>
        <w:tc>
          <w:tcPr>
            <w:tcW w:w="3118" w:type="dxa"/>
            <w:tcBorders>
              <w:top w:val="single" w:sz="4" w:space="0" w:color="B0B8C1"/>
              <w:left w:val="single" w:sz="4" w:space="0" w:color="B0B8C1"/>
              <w:bottom w:val="single" w:sz="4" w:space="0" w:color="B0B8C1"/>
              <w:right w:val="single" w:sz="4" w:space="0" w:color="B0B8C1"/>
            </w:tcBorders>
            <w:shd w:val="clear" w:color="auto" w:fill="F2F5F7"/>
          </w:tcPr>
          <w:p w14:paraId="3BDAD6A2" w14:textId="77777777" w:rsidR="00DD763B" w:rsidRPr="00B76053" w:rsidRDefault="00DD763B" w:rsidP="00DD763B">
            <w:pPr>
              <w:spacing w:before="60" w:after="60"/>
              <w:jc w:val="left"/>
              <w:rPr>
                <w:rFonts w:cs="Times New Roman"/>
              </w:rPr>
            </w:pPr>
            <w:r w:rsidRPr="00B76053">
              <w:rPr>
                <w:rFonts w:cs="Times New Roman"/>
                <w:sz w:val="18"/>
              </w:rPr>
              <w:t>Revenue per Employee (RPE); headcount vs. revenue trends; Betsy reported call volume</w:t>
            </w:r>
          </w:p>
        </w:tc>
        <w:tc>
          <w:tcPr>
            <w:tcW w:w="2835" w:type="dxa"/>
            <w:tcBorders>
              <w:top w:val="single" w:sz="4" w:space="0" w:color="B0B8C1"/>
              <w:left w:val="single" w:sz="4" w:space="0" w:color="B0B8C1"/>
              <w:bottom w:val="single" w:sz="4" w:space="0" w:color="B0B8C1"/>
              <w:right w:val="single" w:sz="4" w:space="0" w:color="B0B8C1"/>
            </w:tcBorders>
            <w:shd w:val="clear" w:color="auto" w:fill="F2F5F7"/>
          </w:tcPr>
          <w:p w14:paraId="5568DDB7" w14:textId="77777777" w:rsidR="00DD763B" w:rsidRPr="00B76053" w:rsidRDefault="00DD763B" w:rsidP="00DD763B">
            <w:pPr>
              <w:spacing w:before="60" w:after="60"/>
              <w:jc w:val="left"/>
              <w:rPr>
                <w:rFonts w:cs="Times New Roman"/>
              </w:rPr>
            </w:pPr>
            <w:r w:rsidRPr="00B76053">
              <w:rPr>
                <w:rFonts w:cs="Times New Roman"/>
                <w:sz w:val="18"/>
              </w:rPr>
              <w:t>Better 10-K and earnings call transcripts; ElevenLabs case study</w:t>
            </w:r>
          </w:p>
        </w:tc>
        <w:tc>
          <w:tcPr>
            <w:tcW w:w="1984" w:type="dxa"/>
            <w:tcBorders>
              <w:top w:val="single" w:sz="4" w:space="0" w:color="B0B8C1"/>
              <w:left w:val="single" w:sz="4" w:space="0" w:color="B0B8C1"/>
              <w:bottom w:val="single" w:sz="4" w:space="0" w:color="B0B8C1"/>
              <w:right w:val="single" w:sz="4" w:space="0" w:color="B0B8C1"/>
            </w:tcBorders>
            <w:shd w:val="clear" w:color="auto" w:fill="F2F5F7"/>
          </w:tcPr>
          <w:p w14:paraId="330E9FA8" w14:textId="77777777" w:rsidR="00DD763B" w:rsidRPr="00B76053" w:rsidRDefault="00DD763B" w:rsidP="00DD763B">
            <w:pPr>
              <w:spacing w:before="60" w:after="60"/>
              <w:jc w:val="left"/>
              <w:rPr>
                <w:rFonts w:cs="Times New Roman"/>
              </w:rPr>
            </w:pPr>
            <w:r w:rsidRPr="00B76053">
              <w:rPr>
                <w:rFonts w:cs="Times New Roman"/>
                <w:sz w:val="18"/>
              </w:rPr>
              <w:t>High (audited RPE);</w:t>
            </w:r>
            <w:r w:rsidRPr="00B76053">
              <w:rPr>
                <w:rFonts w:cs="Times New Roman"/>
                <w:sz w:val="18"/>
              </w:rPr>
              <w:br/>
              <w:t>Medium (management-reported call volume)</w:t>
            </w:r>
          </w:p>
        </w:tc>
      </w:tr>
      <w:tr w:rsidR="00DD763B" w:rsidRPr="00B76053" w14:paraId="19FA28CC"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FFFFF"/>
          </w:tcPr>
          <w:p w14:paraId="1C36CA6C" w14:textId="77777777" w:rsidR="00DD763B" w:rsidRPr="00B76053" w:rsidRDefault="00DD763B" w:rsidP="00DD763B">
            <w:pPr>
              <w:spacing w:before="60" w:after="60"/>
              <w:jc w:val="left"/>
              <w:rPr>
                <w:rFonts w:cs="Times New Roman"/>
              </w:rPr>
            </w:pPr>
            <w:r w:rsidRPr="00B76053">
              <w:rPr>
                <w:rFonts w:cs="Times New Roman"/>
                <w:b/>
                <w:sz w:val="18"/>
              </w:rPr>
              <w:t>Financial performance</w:t>
            </w:r>
          </w:p>
        </w:tc>
        <w:tc>
          <w:tcPr>
            <w:tcW w:w="3118" w:type="dxa"/>
            <w:tcBorders>
              <w:top w:val="single" w:sz="4" w:space="0" w:color="B0B8C1"/>
              <w:left w:val="single" w:sz="4" w:space="0" w:color="B0B8C1"/>
              <w:bottom w:val="single" w:sz="4" w:space="0" w:color="B0B8C1"/>
              <w:right w:val="single" w:sz="4" w:space="0" w:color="B0B8C1"/>
            </w:tcBorders>
            <w:shd w:val="clear" w:color="auto" w:fill="FFFFFF"/>
          </w:tcPr>
          <w:p w14:paraId="7D006467" w14:textId="77777777" w:rsidR="00DD763B" w:rsidRPr="00B76053" w:rsidRDefault="00DD763B" w:rsidP="00DD763B">
            <w:pPr>
              <w:spacing w:before="60" w:after="60"/>
              <w:jc w:val="left"/>
              <w:rPr>
                <w:rFonts w:cs="Times New Roman"/>
              </w:rPr>
            </w:pPr>
            <w:r w:rsidRPr="00B76053">
              <w:rPr>
                <w:rFonts w:cs="Times New Roman"/>
                <w:sz w:val="18"/>
              </w:rPr>
              <w:t>Total Net Revenue; Net Income / (Loss); Profit Margin</w:t>
            </w:r>
          </w:p>
        </w:tc>
        <w:tc>
          <w:tcPr>
            <w:tcW w:w="2835" w:type="dxa"/>
            <w:tcBorders>
              <w:top w:val="single" w:sz="4" w:space="0" w:color="B0B8C1"/>
              <w:left w:val="single" w:sz="4" w:space="0" w:color="B0B8C1"/>
              <w:bottom w:val="single" w:sz="4" w:space="0" w:color="B0B8C1"/>
              <w:right w:val="single" w:sz="4" w:space="0" w:color="B0B8C1"/>
            </w:tcBorders>
            <w:shd w:val="clear" w:color="auto" w:fill="FFFFFF"/>
          </w:tcPr>
          <w:p w14:paraId="1318B516" w14:textId="77777777" w:rsidR="00DD763B" w:rsidRPr="00B76053" w:rsidRDefault="00DD763B" w:rsidP="00DD763B">
            <w:pPr>
              <w:spacing w:before="60" w:after="60"/>
              <w:jc w:val="left"/>
              <w:rPr>
                <w:rFonts w:cs="Times New Roman"/>
              </w:rPr>
            </w:pPr>
            <w:r w:rsidRPr="00B76053">
              <w:rPr>
                <w:rFonts w:cs="Times New Roman"/>
                <w:sz w:val="18"/>
              </w:rPr>
              <w:t>Better and Rocket 10-K filings; Better S-1 (FY 2021 figures)</w:t>
            </w:r>
          </w:p>
        </w:tc>
        <w:tc>
          <w:tcPr>
            <w:tcW w:w="1984" w:type="dxa"/>
            <w:tcBorders>
              <w:top w:val="single" w:sz="4" w:space="0" w:color="B0B8C1"/>
              <w:left w:val="single" w:sz="4" w:space="0" w:color="B0B8C1"/>
              <w:bottom w:val="single" w:sz="4" w:space="0" w:color="B0B8C1"/>
              <w:right w:val="single" w:sz="4" w:space="0" w:color="B0B8C1"/>
            </w:tcBorders>
            <w:shd w:val="clear" w:color="auto" w:fill="FFFFFF"/>
          </w:tcPr>
          <w:p w14:paraId="35E7D599" w14:textId="77777777" w:rsidR="00DD763B" w:rsidRPr="00B76053" w:rsidRDefault="00DD763B" w:rsidP="00DD763B">
            <w:pPr>
              <w:spacing w:before="60" w:after="60"/>
              <w:jc w:val="left"/>
              <w:rPr>
                <w:rFonts w:cs="Times New Roman"/>
              </w:rPr>
            </w:pPr>
            <w:r w:rsidRPr="00B76053">
              <w:rPr>
                <w:rFonts w:cs="Times New Roman"/>
                <w:sz w:val="18"/>
              </w:rPr>
              <w:t>High (audited financials)</w:t>
            </w:r>
          </w:p>
        </w:tc>
      </w:tr>
      <w:tr w:rsidR="00DD763B" w:rsidRPr="00B76053" w14:paraId="6F09FF85"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2F5F7"/>
          </w:tcPr>
          <w:p w14:paraId="2CFBE843" w14:textId="77777777" w:rsidR="00DD763B" w:rsidRPr="00B76053" w:rsidRDefault="00DD763B" w:rsidP="00DD763B">
            <w:pPr>
              <w:spacing w:before="60" w:after="60"/>
              <w:jc w:val="left"/>
              <w:rPr>
                <w:rFonts w:cs="Times New Roman"/>
              </w:rPr>
            </w:pPr>
            <w:r w:rsidRPr="00B76053">
              <w:rPr>
                <w:rFonts w:cs="Times New Roman"/>
                <w:b/>
                <w:sz w:val="18"/>
              </w:rPr>
              <w:t>Customer experience</w:t>
            </w:r>
          </w:p>
        </w:tc>
        <w:tc>
          <w:tcPr>
            <w:tcW w:w="3118" w:type="dxa"/>
            <w:tcBorders>
              <w:top w:val="single" w:sz="4" w:space="0" w:color="B0B8C1"/>
              <w:left w:val="single" w:sz="4" w:space="0" w:color="B0B8C1"/>
              <w:bottom w:val="single" w:sz="4" w:space="0" w:color="B0B8C1"/>
              <w:right w:val="single" w:sz="4" w:space="0" w:color="B0B8C1"/>
            </w:tcBorders>
            <w:shd w:val="clear" w:color="auto" w:fill="F2F5F7"/>
          </w:tcPr>
          <w:p w14:paraId="570A171F" w14:textId="77777777" w:rsidR="00DD763B" w:rsidRPr="00B76053" w:rsidRDefault="00DD763B" w:rsidP="00DD763B">
            <w:pPr>
              <w:spacing w:before="60" w:after="60"/>
              <w:jc w:val="left"/>
              <w:rPr>
                <w:rFonts w:cs="Times New Roman"/>
              </w:rPr>
            </w:pPr>
            <w:r w:rsidRPr="00B76053">
              <w:rPr>
                <w:rFonts w:cs="Times New Roman"/>
                <w:sz w:val="18"/>
              </w:rPr>
              <w:t xml:space="preserve">Management-reported NPS; Trustpilot star ratings; VADER compound sentiment score; </w:t>
            </w:r>
            <w:r w:rsidRPr="00B76053">
              <w:rPr>
                <w:rFonts w:cs="Times New Roman"/>
                <w:sz w:val="18"/>
              </w:rPr>
              <w:lastRenderedPageBreak/>
              <w:t>BERTopic topic shares; keyword prevalence</w:t>
            </w:r>
          </w:p>
        </w:tc>
        <w:tc>
          <w:tcPr>
            <w:tcW w:w="2835" w:type="dxa"/>
            <w:tcBorders>
              <w:top w:val="single" w:sz="4" w:space="0" w:color="B0B8C1"/>
              <w:left w:val="single" w:sz="4" w:space="0" w:color="B0B8C1"/>
              <w:bottom w:val="single" w:sz="4" w:space="0" w:color="B0B8C1"/>
              <w:right w:val="single" w:sz="4" w:space="0" w:color="B0B8C1"/>
            </w:tcBorders>
            <w:shd w:val="clear" w:color="auto" w:fill="F2F5F7"/>
          </w:tcPr>
          <w:p w14:paraId="3925F6B9" w14:textId="77777777" w:rsidR="00DD763B" w:rsidRPr="00B76053" w:rsidRDefault="00DD763B" w:rsidP="00DD763B">
            <w:pPr>
              <w:spacing w:before="60" w:after="60"/>
              <w:jc w:val="left"/>
              <w:rPr>
                <w:rFonts w:cs="Times New Roman"/>
              </w:rPr>
            </w:pPr>
            <w:r w:rsidRPr="00B76053">
              <w:rPr>
                <w:rFonts w:cs="Times New Roman"/>
                <w:sz w:val="18"/>
              </w:rPr>
              <w:lastRenderedPageBreak/>
              <w:t>Earnings call transcripts (NPS); Trustpilot review corpus (NLP)</w:t>
            </w:r>
          </w:p>
        </w:tc>
        <w:tc>
          <w:tcPr>
            <w:tcW w:w="1984" w:type="dxa"/>
            <w:tcBorders>
              <w:top w:val="single" w:sz="4" w:space="0" w:color="B0B8C1"/>
              <w:left w:val="single" w:sz="4" w:space="0" w:color="B0B8C1"/>
              <w:bottom w:val="single" w:sz="4" w:space="0" w:color="B0B8C1"/>
              <w:right w:val="single" w:sz="4" w:space="0" w:color="B0B8C1"/>
            </w:tcBorders>
            <w:shd w:val="clear" w:color="auto" w:fill="F2F5F7"/>
          </w:tcPr>
          <w:p w14:paraId="0076F7B8" w14:textId="77777777" w:rsidR="00DD763B" w:rsidRPr="00B76053" w:rsidRDefault="00DD763B" w:rsidP="00DD763B">
            <w:pPr>
              <w:spacing w:before="60" w:after="60"/>
              <w:jc w:val="left"/>
              <w:rPr>
                <w:rFonts w:cs="Times New Roman"/>
              </w:rPr>
            </w:pPr>
            <w:r w:rsidRPr="00B76053">
              <w:rPr>
                <w:rFonts w:cs="Times New Roman"/>
                <w:sz w:val="18"/>
              </w:rPr>
              <w:t>Medium (NPS — unaudited, internally administered);</w:t>
            </w:r>
            <w:r w:rsidRPr="00B76053">
              <w:rPr>
                <w:rFonts w:cs="Times New Roman"/>
                <w:sz w:val="18"/>
              </w:rPr>
              <w:br/>
            </w:r>
            <w:r w:rsidRPr="00B76053">
              <w:rPr>
                <w:rFonts w:cs="Times New Roman"/>
                <w:sz w:val="18"/>
              </w:rPr>
              <w:lastRenderedPageBreak/>
              <w:t>High (independent NLP — but post-Betsy n is small)</w:t>
            </w:r>
          </w:p>
        </w:tc>
      </w:tr>
      <w:tr w:rsidR="00DD763B" w:rsidRPr="00B76053" w14:paraId="5AEBC96E"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FFFFF"/>
          </w:tcPr>
          <w:p w14:paraId="6D9C7B90" w14:textId="77777777" w:rsidR="00DD763B" w:rsidRPr="00B76053" w:rsidRDefault="00DD763B" w:rsidP="00DD763B">
            <w:pPr>
              <w:spacing w:before="60" w:after="60"/>
              <w:jc w:val="left"/>
              <w:rPr>
                <w:rFonts w:cs="Times New Roman"/>
              </w:rPr>
            </w:pPr>
            <w:r w:rsidRPr="00B76053">
              <w:rPr>
                <w:rFonts w:cs="Times New Roman"/>
                <w:b/>
                <w:sz w:val="18"/>
              </w:rPr>
              <w:lastRenderedPageBreak/>
              <w:t>Integration mechanisms (qualitative)</w:t>
            </w:r>
          </w:p>
        </w:tc>
        <w:tc>
          <w:tcPr>
            <w:tcW w:w="3118" w:type="dxa"/>
            <w:tcBorders>
              <w:top w:val="single" w:sz="4" w:space="0" w:color="B0B8C1"/>
              <w:left w:val="single" w:sz="4" w:space="0" w:color="B0B8C1"/>
              <w:bottom w:val="single" w:sz="4" w:space="0" w:color="B0B8C1"/>
              <w:right w:val="single" w:sz="4" w:space="0" w:color="B0B8C1"/>
            </w:tcBorders>
            <w:shd w:val="clear" w:color="auto" w:fill="FFFFFF"/>
          </w:tcPr>
          <w:p w14:paraId="273D3E6C" w14:textId="77777777" w:rsidR="00DD763B" w:rsidRPr="00B76053" w:rsidRDefault="00DD763B" w:rsidP="00DD763B">
            <w:pPr>
              <w:spacing w:before="60" w:after="60"/>
              <w:jc w:val="left"/>
              <w:rPr>
                <w:rFonts w:cs="Times New Roman"/>
              </w:rPr>
            </w:pPr>
            <w:r w:rsidRPr="00B76053">
              <w:rPr>
                <w:rFonts w:cs="Times New Roman"/>
                <w:sz w:val="18"/>
              </w:rPr>
              <w:t>Tinman platform architecture; Betsy as voice layer; ElevenLabs as voice infrastructure; human escalation model</w:t>
            </w:r>
          </w:p>
        </w:tc>
        <w:tc>
          <w:tcPr>
            <w:tcW w:w="2835" w:type="dxa"/>
            <w:tcBorders>
              <w:top w:val="single" w:sz="4" w:space="0" w:color="B0B8C1"/>
              <w:left w:val="single" w:sz="4" w:space="0" w:color="B0B8C1"/>
              <w:bottom w:val="single" w:sz="4" w:space="0" w:color="B0B8C1"/>
              <w:right w:val="single" w:sz="4" w:space="0" w:color="B0B8C1"/>
            </w:tcBorders>
            <w:shd w:val="clear" w:color="auto" w:fill="FFFFFF"/>
          </w:tcPr>
          <w:p w14:paraId="7390797E" w14:textId="77777777" w:rsidR="00DD763B" w:rsidRPr="00B76053" w:rsidRDefault="00DD763B" w:rsidP="00DD763B">
            <w:pPr>
              <w:spacing w:before="60" w:after="60"/>
              <w:jc w:val="left"/>
              <w:rPr>
                <w:rFonts w:cs="Times New Roman"/>
              </w:rPr>
            </w:pPr>
            <w:r w:rsidRPr="00B76053">
              <w:rPr>
                <w:rFonts w:cs="Times New Roman"/>
                <w:sz w:val="18"/>
              </w:rPr>
              <w:t>Better 10-K; press releases; ElevenLabs/BusinessWire materials</w:t>
            </w:r>
          </w:p>
        </w:tc>
        <w:tc>
          <w:tcPr>
            <w:tcW w:w="1984" w:type="dxa"/>
            <w:tcBorders>
              <w:top w:val="single" w:sz="4" w:space="0" w:color="B0B8C1"/>
              <w:left w:val="single" w:sz="4" w:space="0" w:color="B0B8C1"/>
              <w:bottom w:val="single" w:sz="4" w:space="0" w:color="B0B8C1"/>
              <w:right w:val="single" w:sz="4" w:space="0" w:color="B0B8C1"/>
            </w:tcBorders>
            <w:shd w:val="clear" w:color="auto" w:fill="FFFFFF"/>
          </w:tcPr>
          <w:p w14:paraId="0891C2D3" w14:textId="77777777" w:rsidR="00DD763B" w:rsidRPr="00B76053" w:rsidRDefault="00DD763B" w:rsidP="00DD763B">
            <w:pPr>
              <w:spacing w:before="60" w:after="60"/>
              <w:jc w:val="left"/>
              <w:rPr>
                <w:rFonts w:cs="Times New Roman"/>
              </w:rPr>
            </w:pPr>
            <w:r w:rsidRPr="00B76053">
              <w:rPr>
                <w:rFonts w:cs="Times New Roman"/>
                <w:sz w:val="18"/>
              </w:rPr>
              <w:t>High (Better regulatory disclosures);</w:t>
            </w:r>
            <w:r w:rsidRPr="00B76053">
              <w:rPr>
                <w:rFonts w:cs="Times New Roman"/>
                <w:sz w:val="18"/>
              </w:rPr>
              <w:br/>
              <w:t>Medium (vendor materials)</w:t>
            </w:r>
          </w:p>
        </w:tc>
      </w:tr>
    </w:tbl>
    <w:p w14:paraId="229B6451" w14:textId="77777777" w:rsidR="00DD763B" w:rsidRPr="00B76053" w:rsidRDefault="00DD763B" w:rsidP="00DD763B">
      <w:pPr>
        <w:rPr>
          <w:rFonts w:cs="Times New Roman"/>
        </w:rPr>
      </w:pPr>
    </w:p>
    <w:p w14:paraId="3E644BB8" w14:textId="77777777" w:rsidR="006046D2" w:rsidRPr="00B76053" w:rsidRDefault="00B04762">
      <w:pPr>
        <w:pStyle w:val="Heading2"/>
        <w:rPr>
          <w:rFonts w:cs="Times New Roman"/>
        </w:rPr>
      </w:pPr>
      <w:bookmarkStart w:id="31" w:name="_Toc229755298"/>
      <w:r w:rsidRPr="00B76053">
        <w:rPr>
          <w:rFonts w:cs="Times New Roman"/>
        </w:rPr>
        <w:t>3.7 Source Reliability and Data Provenance</w:t>
      </w:r>
      <w:bookmarkEnd w:id="31"/>
    </w:p>
    <w:p w14:paraId="28B9B8F2" w14:textId="77777777" w:rsidR="00F40E30" w:rsidRPr="00B76053" w:rsidRDefault="00F40E30" w:rsidP="00F40E30">
      <w:pPr>
        <w:rPr>
          <w:rFonts w:cs="Times New Roman"/>
        </w:rPr>
      </w:pPr>
      <w:r w:rsidRPr="00B76053">
        <w:rPr>
          <w:rFonts w:cs="Times New Roman"/>
        </w:rPr>
        <w:t>Because the empirical strategy of this thesis combines audited financial statements, management-reported operating metrics, vendor case-study materials, industry reports, self-selected customer reviews, and peer-reviewed academic literature, a single-tier treatment of evidence would obscure the asymmetric reliability of these sources. To make this asymmetry explicit, the thesis adopts a four-tier source-reliability hierarchy (Table 3.2) that classifies every empirical claim used in Chapters 4 and 5 against a defined audit or verification basis. Audited financial statements and SEC-filed factual disclosures form the highest tier; independent industry reports a second tier of medium-high reliability; vendor materials and management-forward-looking statements a third tier presented with explicit attribution ("Vendor materials report…" or "Better has reported that…"); and self-selected Trustpilot reviews a fourth tier presented with the pre/post sample-size imbalance acknowledged. Peer-reviewed academic literature is classified separately as high reliability for the theoretical constructs and propositions it supports.</w:t>
      </w:r>
    </w:p>
    <w:p w14:paraId="77F8F35A" w14:textId="77777777" w:rsidR="00F40E30" w:rsidRPr="00B76053" w:rsidRDefault="00F40E30" w:rsidP="00F40E30">
      <w:pPr>
        <w:rPr>
          <w:rFonts w:cs="Times New Roman"/>
        </w:rPr>
      </w:pPr>
      <w:r w:rsidRPr="00B76053">
        <w:rPr>
          <w:rFonts w:cs="Times New Roman"/>
        </w:rPr>
        <w:t>The hierarchy is operationalised in two ways. First, every empirical claim is worded in accordance with its tier (e.g., audited figures cited without caveat; vendor or management-reported claims explicitly attributed). Second, where sources at different tiers cover the same claim, the lower-tier source corroborates direction and timing only; it cannot establish or override a magnitude not supported by a higher-tier source. The per-source classification is documented in Appendix F.</w:t>
      </w:r>
    </w:p>
    <w:p w14:paraId="18A28587" w14:textId="77777777" w:rsidR="009B5CD3" w:rsidRDefault="009B5CD3">
      <w:pPr>
        <w:pStyle w:val="Caption"/>
        <w:rPr>
          <w:rFonts w:cs="Times New Roman"/>
        </w:rPr>
      </w:pPr>
    </w:p>
    <w:p w14:paraId="6A7B48DD" w14:textId="77777777" w:rsidR="009B5CD3" w:rsidRDefault="009B5CD3">
      <w:pPr>
        <w:pStyle w:val="Caption"/>
        <w:rPr>
          <w:rFonts w:cs="Times New Roman"/>
        </w:rPr>
      </w:pPr>
    </w:p>
    <w:p w14:paraId="2631AA29" w14:textId="77777777" w:rsidR="009B5CD3" w:rsidRDefault="009B5CD3">
      <w:pPr>
        <w:pStyle w:val="Caption"/>
        <w:rPr>
          <w:rFonts w:cs="Times New Roman"/>
        </w:rPr>
      </w:pPr>
    </w:p>
    <w:p w14:paraId="249CC2ED" w14:textId="16A72B37" w:rsidR="006046D2" w:rsidRPr="00B76053" w:rsidRDefault="00B04762">
      <w:pPr>
        <w:pStyle w:val="Caption"/>
        <w:rPr>
          <w:rFonts w:cs="Times New Roman"/>
        </w:rPr>
      </w:pPr>
      <w:r w:rsidRPr="00B76053">
        <w:rPr>
          <w:rFonts w:cs="Times New Roman"/>
        </w:rPr>
        <w:lastRenderedPageBreak/>
        <w:t>Table 3.2. Source Reliability and Data Provenance Hierarchy used to evaluate empirical evidence in Chapters 4 and 5.</w:t>
      </w:r>
    </w:p>
    <w:tbl>
      <w:tblPr>
        <w:tblStyle w:val="TableGrid"/>
        <w:tblW w:w="0" w:type="auto"/>
        <w:jc w:val="center"/>
        <w:tblLook w:val="04A0" w:firstRow="1" w:lastRow="0" w:firstColumn="1" w:lastColumn="0" w:noHBand="0" w:noVBand="1"/>
      </w:tblPr>
      <w:tblGrid>
        <w:gridCol w:w="1100"/>
        <w:gridCol w:w="1717"/>
        <w:gridCol w:w="2194"/>
        <w:gridCol w:w="2090"/>
        <w:gridCol w:w="2249"/>
      </w:tblGrid>
      <w:tr w:rsidR="00F6453B" w:rsidRPr="00B76053" w14:paraId="7D89CD82" w14:textId="77777777" w:rsidTr="00DA0774">
        <w:trPr>
          <w:jc w:val="center"/>
        </w:trPr>
        <w:tc>
          <w:tcPr>
            <w:tcW w:w="1134" w:type="dxa"/>
            <w:tcBorders>
              <w:top w:val="single" w:sz="4" w:space="0" w:color="FFFFFF"/>
              <w:left w:val="single" w:sz="4" w:space="0" w:color="FFFFFF"/>
              <w:bottom w:val="single" w:sz="4" w:space="0" w:color="FFFFFF"/>
              <w:right w:val="single" w:sz="4" w:space="0" w:color="FFFFFF"/>
            </w:tcBorders>
            <w:shd w:val="clear" w:color="auto" w:fill="2E4057"/>
          </w:tcPr>
          <w:p w14:paraId="2CEEC20F" w14:textId="77777777" w:rsidR="00F6453B" w:rsidRPr="00B76053" w:rsidRDefault="00F6453B" w:rsidP="00DA0774">
            <w:pPr>
              <w:spacing w:before="60" w:after="60"/>
              <w:jc w:val="center"/>
              <w:rPr>
                <w:rFonts w:cs="Times New Roman"/>
              </w:rPr>
            </w:pPr>
            <w:r w:rsidRPr="00B76053">
              <w:rPr>
                <w:rFonts w:cs="Times New Roman"/>
                <w:b/>
                <w:color w:val="FFFFFF"/>
                <w:sz w:val="18"/>
              </w:rPr>
              <w:t>Tier</w:t>
            </w:r>
          </w:p>
        </w:tc>
        <w:tc>
          <w:tcPr>
            <w:tcW w:w="1814" w:type="dxa"/>
            <w:tcBorders>
              <w:top w:val="single" w:sz="4" w:space="0" w:color="FFFFFF"/>
              <w:left w:val="single" w:sz="4" w:space="0" w:color="FFFFFF"/>
              <w:bottom w:val="single" w:sz="4" w:space="0" w:color="FFFFFF"/>
              <w:right w:val="single" w:sz="4" w:space="0" w:color="FFFFFF"/>
            </w:tcBorders>
            <w:shd w:val="clear" w:color="auto" w:fill="2E4057"/>
          </w:tcPr>
          <w:p w14:paraId="5E97899F" w14:textId="77777777" w:rsidR="00F6453B" w:rsidRPr="00B76053" w:rsidRDefault="00F6453B" w:rsidP="00DA0774">
            <w:pPr>
              <w:spacing w:before="60" w:after="60"/>
              <w:jc w:val="center"/>
              <w:rPr>
                <w:rFonts w:cs="Times New Roman"/>
              </w:rPr>
            </w:pPr>
            <w:r w:rsidRPr="00B76053">
              <w:rPr>
                <w:rFonts w:cs="Times New Roman"/>
                <w:b/>
                <w:color w:val="FFFFFF"/>
                <w:sz w:val="18"/>
              </w:rPr>
              <w:t>Source Type</w:t>
            </w:r>
          </w:p>
        </w:tc>
        <w:tc>
          <w:tcPr>
            <w:tcW w:w="2381" w:type="dxa"/>
            <w:tcBorders>
              <w:top w:val="single" w:sz="4" w:space="0" w:color="FFFFFF"/>
              <w:left w:val="single" w:sz="4" w:space="0" w:color="FFFFFF"/>
              <w:bottom w:val="single" w:sz="4" w:space="0" w:color="FFFFFF"/>
              <w:right w:val="single" w:sz="4" w:space="0" w:color="FFFFFF"/>
            </w:tcBorders>
            <w:shd w:val="clear" w:color="auto" w:fill="2E4057"/>
          </w:tcPr>
          <w:p w14:paraId="7687803C" w14:textId="77777777" w:rsidR="00F6453B" w:rsidRPr="00B76053" w:rsidRDefault="00F6453B" w:rsidP="00DA0774">
            <w:pPr>
              <w:spacing w:before="60" w:after="60"/>
              <w:jc w:val="center"/>
              <w:rPr>
                <w:rFonts w:cs="Times New Roman"/>
              </w:rPr>
            </w:pPr>
            <w:r w:rsidRPr="00B76053">
              <w:rPr>
                <w:rFonts w:cs="Times New Roman"/>
                <w:b/>
                <w:color w:val="FFFFFF"/>
                <w:sz w:val="18"/>
              </w:rPr>
              <w:t>Examples in This Thesis</w:t>
            </w:r>
          </w:p>
        </w:tc>
        <w:tc>
          <w:tcPr>
            <w:tcW w:w="2268" w:type="dxa"/>
            <w:tcBorders>
              <w:top w:val="single" w:sz="4" w:space="0" w:color="FFFFFF"/>
              <w:left w:val="single" w:sz="4" w:space="0" w:color="FFFFFF"/>
              <w:bottom w:val="single" w:sz="4" w:space="0" w:color="FFFFFF"/>
              <w:right w:val="single" w:sz="4" w:space="0" w:color="FFFFFF"/>
            </w:tcBorders>
            <w:shd w:val="clear" w:color="auto" w:fill="2E4057"/>
          </w:tcPr>
          <w:p w14:paraId="474F7814" w14:textId="77777777" w:rsidR="00F6453B" w:rsidRPr="00B76053" w:rsidRDefault="00F6453B" w:rsidP="00DA0774">
            <w:pPr>
              <w:spacing w:before="60" w:after="60"/>
              <w:jc w:val="center"/>
              <w:rPr>
                <w:rFonts w:cs="Times New Roman"/>
              </w:rPr>
            </w:pPr>
            <w:r w:rsidRPr="00B76053">
              <w:rPr>
                <w:rFonts w:cs="Times New Roman"/>
                <w:b/>
                <w:color w:val="FFFFFF"/>
                <w:sz w:val="18"/>
              </w:rPr>
              <w:t>Audit / Verification Basis</w:t>
            </w:r>
          </w:p>
        </w:tc>
        <w:tc>
          <w:tcPr>
            <w:tcW w:w="2494" w:type="dxa"/>
            <w:tcBorders>
              <w:top w:val="single" w:sz="4" w:space="0" w:color="FFFFFF"/>
              <w:left w:val="single" w:sz="4" w:space="0" w:color="FFFFFF"/>
              <w:bottom w:val="single" w:sz="4" w:space="0" w:color="FFFFFF"/>
              <w:right w:val="single" w:sz="4" w:space="0" w:color="FFFFFF"/>
            </w:tcBorders>
            <w:shd w:val="clear" w:color="auto" w:fill="2E4057"/>
          </w:tcPr>
          <w:p w14:paraId="4EBE81E3" w14:textId="77777777" w:rsidR="00F6453B" w:rsidRPr="00B76053" w:rsidRDefault="00F6453B" w:rsidP="00DA0774">
            <w:pPr>
              <w:spacing w:before="60" w:after="60"/>
              <w:jc w:val="center"/>
              <w:rPr>
                <w:rFonts w:cs="Times New Roman"/>
              </w:rPr>
            </w:pPr>
            <w:r w:rsidRPr="00B76053">
              <w:rPr>
                <w:rFonts w:cs="Times New Roman"/>
                <w:b/>
                <w:color w:val="FFFFFF"/>
                <w:sz w:val="18"/>
              </w:rPr>
              <w:t>Required Wording in Body</w:t>
            </w:r>
          </w:p>
        </w:tc>
      </w:tr>
      <w:tr w:rsidR="00F6453B" w:rsidRPr="00B76053" w14:paraId="294EEFC4"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2A9DF195" w14:textId="77777777" w:rsidR="00F6453B" w:rsidRPr="00B76053" w:rsidRDefault="00F6453B" w:rsidP="00DA0774">
            <w:pPr>
              <w:spacing w:before="60" w:after="60"/>
              <w:jc w:val="left"/>
              <w:rPr>
                <w:rFonts w:cs="Times New Roman"/>
              </w:rPr>
            </w:pPr>
            <w:r w:rsidRPr="00B76053">
              <w:rPr>
                <w:rFonts w:cs="Times New Roman"/>
                <w:b/>
                <w:sz w:val="18"/>
              </w:rPr>
              <w:t>High</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0849B6A0" w14:textId="77777777" w:rsidR="00F6453B" w:rsidRPr="00B76053" w:rsidRDefault="00F6453B" w:rsidP="00DA0774">
            <w:pPr>
              <w:spacing w:before="60" w:after="60"/>
              <w:jc w:val="left"/>
              <w:rPr>
                <w:rFonts w:cs="Times New Roman"/>
              </w:rPr>
            </w:pPr>
            <w:r w:rsidRPr="00B76053">
              <w:rPr>
                <w:rFonts w:cs="Times New Roman"/>
                <w:sz w:val="18"/>
              </w:rPr>
              <w:t>SEC 10-K, S-1</w:t>
            </w:r>
            <w:r w:rsidRPr="00B76053">
              <w:rPr>
                <w:rFonts w:cs="Times New Roman"/>
                <w:sz w:val="18"/>
              </w:rPr>
              <w:br/>
              <w:t>(audited financial statements)</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0EEFD545" w14:textId="77777777" w:rsidR="00F6453B" w:rsidRPr="00B76053" w:rsidRDefault="00F6453B" w:rsidP="00DA0774">
            <w:pPr>
              <w:spacing w:before="60" w:after="60"/>
              <w:jc w:val="left"/>
              <w:rPr>
                <w:rFonts w:cs="Times New Roman"/>
              </w:rPr>
            </w:pPr>
            <w:r w:rsidRPr="00B76053">
              <w:rPr>
                <w:rFonts w:cs="Times New Roman"/>
                <w:sz w:val="18"/>
              </w:rPr>
              <w:t>Better Home &amp; Finance Holding Company (2025a, 2026);</w:t>
            </w:r>
            <w:r w:rsidRPr="00B76053">
              <w:rPr>
                <w:rFonts w:cs="Times New Roman"/>
                <w:sz w:val="18"/>
              </w:rPr>
              <w:br/>
              <w:t>Rocket Companies (2024, 2025)</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21D573F0" w14:textId="77777777" w:rsidR="00F6453B" w:rsidRPr="00B76053" w:rsidRDefault="00F6453B" w:rsidP="00DA0774">
            <w:pPr>
              <w:spacing w:before="60" w:after="60"/>
              <w:jc w:val="left"/>
              <w:rPr>
                <w:rFonts w:cs="Times New Roman"/>
              </w:rPr>
            </w:pPr>
            <w:r w:rsidRPr="00B76053">
              <w:rPr>
                <w:rFonts w:cs="Times New Roman"/>
                <w:sz w:val="18"/>
              </w:rPr>
              <w:t>Externally audited; deterministic ratio calculations derived from audited line items</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14CD76B0" w14:textId="77777777" w:rsidR="00F6453B" w:rsidRPr="00B76053" w:rsidRDefault="00F6453B" w:rsidP="00DA0774">
            <w:pPr>
              <w:spacing w:before="60" w:after="60"/>
              <w:jc w:val="left"/>
              <w:rPr>
                <w:rFonts w:cs="Times New Roman"/>
              </w:rPr>
            </w:pPr>
            <w:r w:rsidRPr="00B76053">
              <w:rPr>
                <w:rFonts w:cs="Times New Roman"/>
                <w:sz w:val="18"/>
              </w:rPr>
              <w:t>Default — cite without caveat</w:t>
            </w:r>
          </w:p>
        </w:tc>
      </w:tr>
      <w:tr w:rsidR="00F6453B" w:rsidRPr="00B76053" w14:paraId="28FB1812"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54510406" w14:textId="77777777" w:rsidR="00F6453B" w:rsidRPr="00B76053" w:rsidRDefault="00F6453B" w:rsidP="00DA0774">
            <w:pPr>
              <w:spacing w:before="60" w:after="60"/>
              <w:jc w:val="left"/>
              <w:rPr>
                <w:rFonts w:cs="Times New Roman"/>
              </w:rPr>
            </w:pPr>
            <w:r w:rsidRPr="00B76053">
              <w:rPr>
                <w:rFonts w:cs="Times New Roman"/>
                <w:b/>
                <w:sz w:val="18"/>
              </w:rPr>
              <w:t>High</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43144182" w14:textId="77777777" w:rsidR="00F6453B" w:rsidRPr="00B76053" w:rsidRDefault="00F6453B" w:rsidP="00DA0774">
            <w:pPr>
              <w:spacing w:before="60" w:after="60"/>
              <w:jc w:val="left"/>
              <w:rPr>
                <w:rFonts w:cs="Times New Roman"/>
              </w:rPr>
            </w:pPr>
            <w:r w:rsidRPr="00B76053">
              <w:rPr>
                <w:rFonts w:cs="Times New Roman"/>
                <w:sz w:val="18"/>
              </w:rPr>
              <w:t>SEC 8-K / earnings release</w:t>
            </w:r>
            <w:r w:rsidRPr="00B76053">
              <w:rPr>
                <w:rFonts w:cs="Times New Roman"/>
                <w:sz w:val="18"/>
              </w:rPr>
              <w:br/>
              <w:t>(factual disclosures)</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7B21DE35" w14:textId="77777777" w:rsidR="00F6453B" w:rsidRPr="00B76053" w:rsidRDefault="00F6453B" w:rsidP="00DA0774">
            <w:pPr>
              <w:spacing w:before="60" w:after="60"/>
              <w:jc w:val="left"/>
              <w:rPr>
                <w:rFonts w:cs="Times New Roman"/>
              </w:rPr>
            </w:pPr>
            <w:r w:rsidRPr="00B76053">
              <w:rPr>
                <w:rFonts w:cs="Times New Roman"/>
                <w:sz w:val="18"/>
              </w:rPr>
              <w:t>Better (2024a Betsy launch press release; 2025b Q1 release; 2025c Q2 release)</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5D568A1E" w14:textId="77777777" w:rsidR="00F6453B" w:rsidRPr="00B76053" w:rsidRDefault="00F6453B" w:rsidP="00DA0774">
            <w:pPr>
              <w:spacing w:before="60" w:after="60"/>
              <w:jc w:val="left"/>
              <w:rPr>
                <w:rFonts w:cs="Times New Roman"/>
              </w:rPr>
            </w:pPr>
            <w:r w:rsidRPr="00B76053">
              <w:rPr>
                <w:rFonts w:cs="Times New Roman"/>
                <w:sz w:val="18"/>
              </w:rPr>
              <w:t>SEC-filed; subject to materiality and disclosure obligations</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5BFD8C45" w14:textId="77777777" w:rsidR="00F6453B" w:rsidRPr="00B76053" w:rsidRDefault="00F6453B" w:rsidP="00DA0774">
            <w:pPr>
              <w:spacing w:before="60" w:after="60"/>
              <w:jc w:val="left"/>
              <w:rPr>
                <w:rFonts w:cs="Times New Roman"/>
              </w:rPr>
            </w:pPr>
            <w:r w:rsidRPr="00B76053">
              <w:rPr>
                <w:rFonts w:cs="Times New Roman"/>
                <w:sz w:val="18"/>
              </w:rPr>
              <w:t>Default — cite without caveat</w:t>
            </w:r>
          </w:p>
        </w:tc>
      </w:tr>
      <w:tr w:rsidR="00F6453B" w:rsidRPr="00B76053" w14:paraId="5E6FA1EA"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43D73EAF" w14:textId="77777777" w:rsidR="00F6453B" w:rsidRPr="00B76053" w:rsidRDefault="00F6453B" w:rsidP="00DA0774">
            <w:pPr>
              <w:spacing w:before="60" w:after="60"/>
              <w:jc w:val="left"/>
              <w:rPr>
                <w:rFonts w:cs="Times New Roman"/>
              </w:rPr>
            </w:pPr>
            <w:r w:rsidRPr="00B76053">
              <w:rPr>
                <w:rFonts w:cs="Times New Roman"/>
                <w:b/>
                <w:sz w:val="18"/>
              </w:rPr>
              <w:t>High</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338C98BD" w14:textId="77777777" w:rsidR="00F6453B" w:rsidRPr="00B76053" w:rsidRDefault="00F6453B" w:rsidP="00DA0774">
            <w:pPr>
              <w:spacing w:before="60" w:after="60"/>
              <w:jc w:val="left"/>
              <w:rPr>
                <w:rFonts w:cs="Times New Roman"/>
              </w:rPr>
            </w:pPr>
            <w:r w:rsidRPr="00B76053">
              <w:rPr>
                <w:rFonts w:cs="Times New Roman"/>
                <w:sz w:val="18"/>
              </w:rPr>
              <w:t>Peer-reviewed academic publication</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33CC6A58" w14:textId="77777777" w:rsidR="00F6453B" w:rsidRPr="00B76053" w:rsidRDefault="00F6453B" w:rsidP="00DA0774">
            <w:pPr>
              <w:spacing w:before="60" w:after="60"/>
              <w:jc w:val="left"/>
              <w:rPr>
                <w:rFonts w:cs="Times New Roman"/>
              </w:rPr>
            </w:pPr>
            <w:r w:rsidRPr="00B76053">
              <w:rPr>
                <w:rFonts w:cs="Times New Roman"/>
                <w:sz w:val="18"/>
              </w:rPr>
              <w:t>Adam et al. (2021); Aggarwal et al. (2025); Andrade &amp; Tumelero (2022); Wang et al. (2023); et al.</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44188A16" w14:textId="77777777" w:rsidR="00F6453B" w:rsidRPr="00B76053" w:rsidRDefault="00F6453B" w:rsidP="00DA0774">
            <w:pPr>
              <w:spacing w:before="60" w:after="60"/>
              <w:jc w:val="left"/>
              <w:rPr>
                <w:rFonts w:cs="Times New Roman"/>
              </w:rPr>
            </w:pPr>
            <w:r w:rsidRPr="00B76053">
              <w:rPr>
                <w:rFonts w:cs="Times New Roman"/>
                <w:sz w:val="18"/>
              </w:rPr>
              <w:t>Peer review</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7C7638D8" w14:textId="77777777" w:rsidR="00F6453B" w:rsidRPr="00B76053" w:rsidRDefault="00F6453B" w:rsidP="00DA0774">
            <w:pPr>
              <w:spacing w:before="60" w:after="60"/>
              <w:jc w:val="left"/>
              <w:rPr>
                <w:rFonts w:cs="Times New Roman"/>
              </w:rPr>
            </w:pPr>
            <w:r w:rsidRPr="00B76053">
              <w:rPr>
                <w:rFonts w:cs="Times New Roman"/>
                <w:sz w:val="18"/>
              </w:rPr>
              <w:t>Default — cite without caveat</w:t>
            </w:r>
          </w:p>
        </w:tc>
      </w:tr>
      <w:tr w:rsidR="00F6453B" w:rsidRPr="00B76053" w14:paraId="0A74DA7B"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7BA37A20" w14:textId="77777777" w:rsidR="00F6453B" w:rsidRPr="00B76053" w:rsidRDefault="00F6453B" w:rsidP="00DA0774">
            <w:pPr>
              <w:spacing w:before="60" w:after="60"/>
              <w:jc w:val="left"/>
              <w:rPr>
                <w:rFonts w:cs="Times New Roman"/>
              </w:rPr>
            </w:pPr>
            <w:r w:rsidRPr="00B76053">
              <w:rPr>
                <w:rFonts w:cs="Times New Roman"/>
                <w:b/>
                <w:sz w:val="18"/>
              </w:rPr>
              <w:t>Medium-High</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499121F3" w14:textId="77777777" w:rsidR="00F6453B" w:rsidRPr="00B76053" w:rsidRDefault="00F6453B" w:rsidP="00DA0774">
            <w:pPr>
              <w:spacing w:before="60" w:after="60"/>
              <w:jc w:val="left"/>
              <w:rPr>
                <w:rFonts w:cs="Times New Roman"/>
              </w:rPr>
            </w:pPr>
            <w:r w:rsidRPr="00B76053">
              <w:rPr>
                <w:rFonts w:cs="Times New Roman"/>
                <w:sz w:val="18"/>
              </w:rPr>
              <w:t>Independent industry report</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5FD038B9" w14:textId="77777777" w:rsidR="00F6453B" w:rsidRPr="00B76053" w:rsidRDefault="00F6453B" w:rsidP="00DA0774">
            <w:pPr>
              <w:spacing w:before="60" w:after="60"/>
              <w:jc w:val="left"/>
              <w:rPr>
                <w:rFonts w:cs="Times New Roman"/>
              </w:rPr>
            </w:pPr>
            <w:r w:rsidRPr="00B76053">
              <w:rPr>
                <w:rFonts w:cs="Times New Roman"/>
                <w:sz w:val="18"/>
              </w:rPr>
              <w:t>Mortgage Bankers Association (2024a, 2024b); Freddie Mac PMMS; Federal Reserve Bank of New York</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521CFC0E" w14:textId="77777777" w:rsidR="00F6453B" w:rsidRPr="00B76053" w:rsidRDefault="00F6453B" w:rsidP="00DA0774">
            <w:pPr>
              <w:spacing w:before="60" w:after="60"/>
              <w:jc w:val="left"/>
              <w:rPr>
                <w:rFonts w:cs="Times New Roman"/>
              </w:rPr>
            </w:pPr>
            <w:r w:rsidRPr="00B76053">
              <w:rPr>
                <w:rFonts w:cs="Times New Roman"/>
                <w:sz w:val="18"/>
              </w:rPr>
              <w:t>Recognised industry reporting standards; cross-verifiable across editions</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3CFE7FAD" w14:textId="77777777" w:rsidR="00F6453B" w:rsidRPr="00B76053" w:rsidRDefault="00F6453B" w:rsidP="00DA0774">
            <w:pPr>
              <w:spacing w:before="60" w:after="60"/>
              <w:jc w:val="left"/>
              <w:rPr>
                <w:rFonts w:cs="Times New Roman"/>
              </w:rPr>
            </w:pPr>
            <w:r w:rsidRPr="00B76053">
              <w:rPr>
                <w:rFonts w:cs="Times New Roman"/>
                <w:sz w:val="18"/>
              </w:rPr>
              <w:t>Treat as industry context</w:t>
            </w:r>
          </w:p>
        </w:tc>
      </w:tr>
      <w:tr w:rsidR="00F6453B" w:rsidRPr="00B76053" w14:paraId="3E187B15"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3FEE50DD" w14:textId="77777777" w:rsidR="00F6453B" w:rsidRPr="00B76053" w:rsidRDefault="00F6453B" w:rsidP="00DA0774">
            <w:pPr>
              <w:spacing w:before="60" w:after="60"/>
              <w:jc w:val="left"/>
              <w:rPr>
                <w:rFonts w:cs="Times New Roman"/>
              </w:rPr>
            </w:pPr>
            <w:r w:rsidRPr="00B76053">
              <w:rPr>
                <w:rFonts w:cs="Times New Roman"/>
                <w:b/>
                <w:sz w:val="18"/>
              </w:rPr>
              <w:t>Medium-High</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34A10042" w14:textId="77777777" w:rsidR="00F6453B" w:rsidRPr="00B76053" w:rsidRDefault="00F6453B" w:rsidP="00DA0774">
            <w:pPr>
              <w:spacing w:before="60" w:after="60"/>
              <w:jc w:val="left"/>
              <w:rPr>
                <w:rFonts w:cs="Times New Roman"/>
              </w:rPr>
            </w:pPr>
            <w:r w:rsidRPr="00B76053">
              <w:rPr>
                <w:rFonts w:cs="Times New Roman"/>
                <w:sz w:val="18"/>
              </w:rPr>
              <w:t>Government / regulatory page</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1F93B2E1" w14:textId="33C639B3" w:rsidR="00F6453B" w:rsidRPr="00B76053" w:rsidRDefault="00F6453B" w:rsidP="00DA0774">
            <w:pPr>
              <w:spacing w:before="60" w:after="60"/>
              <w:jc w:val="left"/>
              <w:rPr>
                <w:rFonts w:cs="Times New Roman"/>
              </w:rPr>
            </w:pPr>
            <w:r w:rsidRPr="00B76053">
              <w:rPr>
                <w:rFonts w:cs="Times New Roman"/>
                <w:sz w:val="18"/>
              </w:rPr>
              <w:t>Consumer Financial Protection Bureau (</w:t>
            </w:r>
            <w:r w:rsidR="00F31149">
              <w:rPr>
                <w:rFonts w:cs="Times New Roman"/>
                <w:sz w:val="18"/>
              </w:rPr>
              <w:t>2024, 2025</w:t>
            </w:r>
            <w:r w:rsidRPr="00B76053">
              <w:rPr>
                <w:rFonts w:cs="Times New Roman"/>
                <w:sz w:val="18"/>
              </w:rPr>
              <w:t>); Fannie Mae Selling Guide</w:t>
            </w:r>
            <w:r w:rsidR="004E3FEB">
              <w:rPr>
                <w:rFonts w:cs="Times New Roman"/>
                <w:sz w:val="18"/>
              </w:rPr>
              <w:t xml:space="preserve"> (2026)</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00421F7C" w14:textId="77777777" w:rsidR="00F6453B" w:rsidRPr="00B76053" w:rsidRDefault="00F6453B" w:rsidP="00DA0774">
            <w:pPr>
              <w:spacing w:before="60" w:after="60"/>
              <w:jc w:val="left"/>
              <w:rPr>
                <w:rFonts w:cs="Times New Roman"/>
              </w:rPr>
            </w:pPr>
            <w:r w:rsidRPr="00B76053">
              <w:rPr>
                <w:rFonts w:cs="Times New Roman"/>
                <w:sz w:val="18"/>
              </w:rPr>
              <w:t>Government-published; updated periodically</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03BE7EF0" w14:textId="77777777" w:rsidR="00F6453B" w:rsidRPr="00B76053" w:rsidRDefault="00F6453B" w:rsidP="00DA0774">
            <w:pPr>
              <w:spacing w:before="60" w:after="60"/>
              <w:jc w:val="left"/>
              <w:rPr>
                <w:rFonts w:cs="Times New Roman"/>
              </w:rPr>
            </w:pPr>
            <w:r w:rsidRPr="00B76053">
              <w:rPr>
                <w:rFonts w:cs="Times New Roman"/>
                <w:sz w:val="18"/>
              </w:rPr>
              <w:t>Default — cite without caveat</w:t>
            </w:r>
          </w:p>
        </w:tc>
      </w:tr>
      <w:tr w:rsidR="00F6453B" w:rsidRPr="00B76053" w14:paraId="0E5BDE09"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4C3697D3" w14:textId="77777777" w:rsidR="00F6453B" w:rsidRPr="00B76053" w:rsidRDefault="00F6453B" w:rsidP="00DA0774">
            <w:pPr>
              <w:spacing w:before="60" w:after="60"/>
              <w:jc w:val="left"/>
              <w:rPr>
                <w:rFonts w:cs="Times New Roman"/>
              </w:rPr>
            </w:pPr>
            <w:r w:rsidRPr="00B76053">
              <w:rPr>
                <w:rFonts w:cs="Times New Roman"/>
                <w:b/>
                <w:sz w:val="18"/>
              </w:rPr>
              <w:t>Medium</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656B6061" w14:textId="77777777" w:rsidR="00F6453B" w:rsidRPr="00B76053" w:rsidRDefault="00F6453B" w:rsidP="00DA0774">
            <w:pPr>
              <w:spacing w:before="60" w:after="60"/>
              <w:jc w:val="left"/>
              <w:rPr>
                <w:rFonts w:cs="Times New Roman"/>
              </w:rPr>
            </w:pPr>
            <w:r w:rsidRPr="00B76053">
              <w:rPr>
                <w:rFonts w:cs="Times New Roman"/>
                <w:sz w:val="18"/>
              </w:rPr>
              <w:t>Management-reported operating metric (unaudited)</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635D4433" w14:textId="77777777" w:rsidR="00F6453B" w:rsidRPr="00B76053" w:rsidRDefault="00F6453B" w:rsidP="00DA0774">
            <w:pPr>
              <w:spacing w:before="60" w:after="60"/>
              <w:jc w:val="left"/>
              <w:rPr>
                <w:rFonts w:cs="Times New Roman"/>
              </w:rPr>
            </w:pPr>
            <w:r w:rsidRPr="00B76053">
              <w:rPr>
                <w:rFonts w:cs="Times New Roman"/>
                <w:sz w:val="18"/>
              </w:rPr>
              <w:t>NPS 39 → 64; reported monthly call volumes</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0C0E4600" w14:textId="77777777" w:rsidR="00F6453B" w:rsidRPr="00B76053" w:rsidRDefault="00F6453B" w:rsidP="00DA0774">
            <w:pPr>
              <w:spacing w:before="60" w:after="60"/>
              <w:jc w:val="left"/>
              <w:rPr>
                <w:rFonts w:cs="Times New Roman"/>
              </w:rPr>
            </w:pPr>
            <w:r w:rsidRPr="00B76053">
              <w:rPr>
                <w:rFonts w:cs="Times New Roman"/>
                <w:sz w:val="18"/>
              </w:rPr>
              <w:t>Management disclosure — not externally audited</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1AA02FF1" w14:textId="77777777" w:rsidR="00F6453B" w:rsidRPr="00B76053" w:rsidRDefault="00F6453B" w:rsidP="00DA0774">
            <w:pPr>
              <w:spacing w:before="60" w:after="60"/>
              <w:jc w:val="left"/>
              <w:rPr>
                <w:rFonts w:cs="Times New Roman"/>
              </w:rPr>
            </w:pPr>
            <w:r w:rsidRPr="00B76053">
              <w:rPr>
                <w:rFonts w:cs="Times New Roman"/>
                <w:sz w:val="18"/>
              </w:rPr>
              <w:t>Always introduce with:</w:t>
            </w:r>
            <w:r w:rsidRPr="00B76053">
              <w:rPr>
                <w:rFonts w:cs="Times New Roman"/>
                <w:sz w:val="18"/>
              </w:rPr>
              <w:br/>
              <w:t>"Better has reported that …"</w:t>
            </w:r>
            <w:r w:rsidRPr="00B76053">
              <w:rPr>
                <w:rFonts w:cs="Times New Roman"/>
                <w:sz w:val="18"/>
              </w:rPr>
              <w:br/>
              <w:t>Never present as audited fact</w:t>
            </w:r>
          </w:p>
        </w:tc>
      </w:tr>
      <w:tr w:rsidR="00F6453B" w:rsidRPr="00B76053" w14:paraId="548540D9"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7561BC8F" w14:textId="77777777" w:rsidR="00F6453B" w:rsidRPr="00B76053" w:rsidRDefault="00F6453B" w:rsidP="00DA0774">
            <w:pPr>
              <w:spacing w:before="60" w:after="60"/>
              <w:jc w:val="left"/>
              <w:rPr>
                <w:rFonts w:cs="Times New Roman"/>
              </w:rPr>
            </w:pPr>
            <w:r w:rsidRPr="00B76053">
              <w:rPr>
                <w:rFonts w:cs="Times New Roman"/>
                <w:b/>
                <w:sz w:val="18"/>
              </w:rPr>
              <w:t>Medium</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418BAA1E" w14:textId="77777777" w:rsidR="00F6453B" w:rsidRPr="00B76053" w:rsidRDefault="00F6453B" w:rsidP="00DA0774">
            <w:pPr>
              <w:spacing w:before="60" w:after="60"/>
              <w:jc w:val="left"/>
              <w:rPr>
                <w:rFonts w:cs="Times New Roman"/>
              </w:rPr>
            </w:pPr>
            <w:r w:rsidRPr="00B76053">
              <w:rPr>
                <w:rFonts w:cs="Times New Roman"/>
                <w:sz w:val="18"/>
              </w:rPr>
              <w:t>Vendor / case-study material</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260A1798" w14:textId="77777777" w:rsidR="00F6453B" w:rsidRPr="00B76053" w:rsidRDefault="00F6453B" w:rsidP="00DA0774">
            <w:pPr>
              <w:spacing w:before="60" w:after="60"/>
              <w:jc w:val="left"/>
              <w:rPr>
                <w:rFonts w:cs="Times New Roman"/>
              </w:rPr>
            </w:pPr>
            <w:r w:rsidRPr="00B76053">
              <w:rPr>
                <w:rFonts w:cs="Times New Roman"/>
                <w:sz w:val="18"/>
              </w:rPr>
              <w:t>ElevenLabs blog; Better–ElevenLabs joint press release (2026)</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6C37DBC3" w14:textId="77777777" w:rsidR="00F6453B" w:rsidRPr="00B76053" w:rsidRDefault="00F6453B" w:rsidP="00DA0774">
            <w:pPr>
              <w:spacing w:before="60" w:after="60"/>
              <w:jc w:val="left"/>
              <w:rPr>
                <w:rFonts w:cs="Times New Roman"/>
              </w:rPr>
            </w:pPr>
            <w:r w:rsidRPr="00B76053">
              <w:rPr>
                <w:rFonts w:cs="Times New Roman"/>
                <w:sz w:val="18"/>
              </w:rPr>
              <w:t>Vendor-published; commercial-marketing motivation</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35F6B4DD" w14:textId="77777777" w:rsidR="00F6453B" w:rsidRPr="00B76053" w:rsidRDefault="00F6453B" w:rsidP="00DA0774">
            <w:pPr>
              <w:spacing w:before="60" w:after="60"/>
              <w:jc w:val="left"/>
              <w:rPr>
                <w:rFonts w:cs="Times New Roman"/>
              </w:rPr>
            </w:pPr>
            <w:r w:rsidRPr="00B76053">
              <w:rPr>
                <w:rFonts w:cs="Times New Roman"/>
                <w:sz w:val="18"/>
              </w:rPr>
              <w:t>Always introduce with:</w:t>
            </w:r>
            <w:r w:rsidRPr="00B76053">
              <w:rPr>
                <w:rFonts w:cs="Times New Roman"/>
                <w:sz w:val="18"/>
              </w:rPr>
              <w:br/>
              <w:t>"Vendor materials report …"</w:t>
            </w:r>
            <w:r w:rsidRPr="00B76053">
              <w:rPr>
                <w:rFonts w:cs="Times New Roman"/>
                <w:sz w:val="18"/>
              </w:rPr>
              <w:br/>
              <w:t>Never use as primary magnitude evidence</w:t>
            </w:r>
          </w:p>
        </w:tc>
      </w:tr>
      <w:tr w:rsidR="00F6453B" w:rsidRPr="00B76053" w14:paraId="22D1CF4D"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1715B860" w14:textId="77777777" w:rsidR="00F6453B" w:rsidRPr="00B76053" w:rsidRDefault="00F6453B" w:rsidP="00DA0774">
            <w:pPr>
              <w:spacing w:before="60" w:after="60"/>
              <w:jc w:val="left"/>
              <w:rPr>
                <w:rFonts w:cs="Times New Roman"/>
              </w:rPr>
            </w:pPr>
            <w:r w:rsidRPr="00B76053">
              <w:rPr>
                <w:rFonts w:cs="Times New Roman"/>
                <w:b/>
                <w:sz w:val="18"/>
              </w:rPr>
              <w:lastRenderedPageBreak/>
              <w:t>Medium</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374EF1CC" w14:textId="77777777" w:rsidR="00F6453B" w:rsidRPr="00B76053" w:rsidRDefault="00F6453B" w:rsidP="00DA0774">
            <w:pPr>
              <w:spacing w:before="60" w:after="60"/>
              <w:jc w:val="left"/>
              <w:rPr>
                <w:rFonts w:cs="Times New Roman"/>
              </w:rPr>
            </w:pPr>
            <w:r w:rsidRPr="00B76053">
              <w:rPr>
                <w:rFonts w:cs="Times New Roman"/>
                <w:sz w:val="18"/>
              </w:rPr>
              <w:t>Independent self-selected user-generated content</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6A9EFE6A" w14:textId="77777777" w:rsidR="00F6453B" w:rsidRPr="00B76053" w:rsidRDefault="00F6453B" w:rsidP="00DA0774">
            <w:pPr>
              <w:spacing w:before="60" w:after="60"/>
              <w:jc w:val="left"/>
              <w:rPr>
                <w:rFonts w:cs="Times New Roman"/>
              </w:rPr>
            </w:pPr>
            <w:r w:rsidRPr="00B76053">
              <w:rPr>
                <w:rFonts w:cs="Times New Roman"/>
                <w:sz w:val="18"/>
              </w:rPr>
              <w:t>Trustpilot reviews (1,915 cleaned)</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70932A81" w14:textId="77777777" w:rsidR="00F6453B" w:rsidRPr="00B76053" w:rsidRDefault="00F6453B" w:rsidP="00DA0774">
            <w:pPr>
              <w:spacing w:before="60" w:after="60"/>
              <w:jc w:val="left"/>
              <w:rPr>
                <w:rFonts w:cs="Times New Roman"/>
              </w:rPr>
            </w:pPr>
            <w:r w:rsidRPr="00B76053">
              <w:rPr>
                <w:rFonts w:cs="Times New Roman"/>
                <w:sz w:val="18"/>
              </w:rPr>
              <w:t>Verified-review platform; subject to self-selection and extreme-response bias</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58D29CAF" w14:textId="77777777" w:rsidR="00F6453B" w:rsidRPr="00B76053" w:rsidRDefault="00F6453B" w:rsidP="00DA0774">
            <w:pPr>
              <w:spacing w:before="60" w:after="60"/>
              <w:jc w:val="left"/>
              <w:rPr>
                <w:rFonts w:cs="Times New Roman"/>
              </w:rPr>
            </w:pPr>
            <w:r w:rsidRPr="00B76053">
              <w:rPr>
                <w:rFonts w:cs="Times New Roman"/>
                <w:sz w:val="18"/>
              </w:rPr>
              <w:t>Always present with pre/post sample sizes (n=1,746 / n=169) and self-selection caveat</w:t>
            </w:r>
          </w:p>
        </w:tc>
      </w:tr>
      <w:tr w:rsidR="00F6453B" w:rsidRPr="00B76053" w14:paraId="5515FA58"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660A7BC3" w14:textId="77777777" w:rsidR="00F6453B" w:rsidRPr="00B76053" w:rsidRDefault="00F6453B" w:rsidP="00DA0774">
            <w:pPr>
              <w:spacing w:before="60" w:after="60"/>
              <w:jc w:val="left"/>
              <w:rPr>
                <w:rFonts w:cs="Times New Roman"/>
              </w:rPr>
            </w:pPr>
            <w:r w:rsidRPr="00B76053">
              <w:rPr>
                <w:rFonts w:cs="Times New Roman"/>
                <w:b/>
                <w:sz w:val="18"/>
              </w:rPr>
              <w:t>Medium-Low</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3B3AC9EC" w14:textId="77777777" w:rsidR="00F6453B" w:rsidRPr="00B76053" w:rsidRDefault="00F6453B" w:rsidP="00DA0774">
            <w:pPr>
              <w:spacing w:before="60" w:after="60"/>
              <w:jc w:val="left"/>
              <w:rPr>
                <w:rFonts w:cs="Times New Roman"/>
              </w:rPr>
            </w:pPr>
            <w:r w:rsidRPr="00B76053">
              <w:rPr>
                <w:rFonts w:cs="Times New Roman"/>
                <w:sz w:val="18"/>
              </w:rPr>
              <w:t>News media republishing press releases</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596133A8" w14:textId="77777777" w:rsidR="00F6453B" w:rsidRPr="00B76053" w:rsidRDefault="00F6453B" w:rsidP="00DA0774">
            <w:pPr>
              <w:spacing w:before="60" w:after="60"/>
              <w:jc w:val="left"/>
              <w:rPr>
                <w:rFonts w:cs="Times New Roman"/>
              </w:rPr>
            </w:pPr>
            <w:r w:rsidRPr="00B76053">
              <w:rPr>
                <w:rFonts w:cs="Times New Roman"/>
                <w:sz w:val="18"/>
              </w:rPr>
              <w:t>HousingWire, Axios, BusinessWire</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01079478" w14:textId="77777777" w:rsidR="00F6453B" w:rsidRPr="00B76053" w:rsidRDefault="00F6453B" w:rsidP="00DA0774">
            <w:pPr>
              <w:spacing w:before="60" w:after="60"/>
              <w:jc w:val="left"/>
              <w:rPr>
                <w:rFonts w:cs="Times New Roman"/>
              </w:rPr>
            </w:pPr>
            <w:r w:rsidRPr="00B76053">
              <w:rPr>
                <w:rFonts w:cs="Times New Roman"/>
                <w:sz w:val="18"/>
              </w:rPr>
              <w:t>Editorial standards; not peer-reviewed</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1AD76A4E" w14:textId="77777777" w:rsidR="00F6453B" w:rsidRPr="00B76053" w:rsidRDefault="00F6453B" w:rsidP="00DA0774">
            <w:pPr>
              <w:spacing w:before="60" w:after="60"/>
              <w:jc w:val="left"/>
              <w:rPr>
                <w:rFonts w:cs="Times New Roman"/>
              </w:rPr>
            </w:pPr>
            <w:r w:rsidRPr="00B76053">
              <w:rPr>
                <w:rFonts w:cs="Times New Roman"/>
                <w:sz w:val="18"/>
              </w:rPr>
              <w:t>Use only to triangulate timing — never to establish magnitude</w:t>
            </w:r>
          </w:p>
        </w:tc>
      </w:tr>
      <w:tr w:rsidR="00F6453B" w:rsidRPr="00B76053" w14:paraId="0CF5D656"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4731D64D" w14:textId="77777777" w:rsidR="00F6453B" w:rsidRPr="00B76053" w:rsidRDefault="00F6453B" w:rsidP="00DA0774">
            <w:pPr>
              <w:spacing w:before="60" w:after="60"/>
              <w:jc w:val="left"/>
              <w:rPr>
                <w:rFonts w:cs="Times New Roman"/>
              </w:rPr>
            </w:pPr>
            <w:r w:rsidRPr="00B76053">
              <w:rPr>
                <w:rFonts w:cs="Times New Roman"/>
                <w:b/>
                <w:sz w:val="18"/>
              </w:rPr>
              <w:t>Low</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5DF71F56" w14:textId="77777777" w:rsidR="00F6453B" w:rsidRPr="00B76053" w:rsidRDefault="00F6453B" w:rsidP="00DA0774">
            <w:pPr>
              <w:spacing w:before="60" w:after="60"/>
              <w:jc w:val="left"/>
              <w:rPr>
                <w:rFonts w:cs="Times New Roman"/>
              </w:rPr>
            </w:pPr>
            <w:r w:rsidRPr="00B76053">
              <w:rPr>
                <w:rFonts w:cs="Times New Roman"/>
                <w:sz w:val="18"/>
              </w:rPr>
              <w:t>Trade-press / vendor blog</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6C7A1E80" w14:textId="77777777" w:rsidR="00F6453B" w:rsidRPr="00B76053" w:rsidRDefault="00F6453B" w:rsidP="00DA0774">
            <w:pPr>
              <w:spacing w:before="60" w:after="60"/>
              <w:jc w:val="left"/>
              <w:rPr>
                <w:rFonts w:cs="Times New Roman"/>
              </w:rPr>
            </w:pPr>
            <w:r w:rsidRPr="00B76053">
              <w:rPr>
                <w:rFonts w:cs="Times New Roman"/>
                <w:sz w:val="18"/>
              </w:rPr>
              <w:t>Generic AI-vendor blogs</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23F102CC" w14:textId="77777777" w:rsidR="00F6453B" w:rsidRPr="00B76053" w:rsidRDefault="00F6453B" w:rsidP="00DA0774">
            <w:pPr>
              <w:spacing w:before="60" w:after="60"/>
              <w:jc w:val="left"/>
              <w:rPr>
                <w:rFonts w:cs="Times New Roman"/>
              </w:rPr>
            </w:pPr>
            <w:r w:rsidRPr="00B76053">
              <w:rPr>
                <w:rFonts w:cs="Times New Roman"/>
                <w:sz w:val="18"/>
              </w:rPr>
              <w:t>Promotional; no quality assurance</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70050DF8" w14:textId="77777777" w:rsidR="00F6453B" w:rsidRPr="00B76053" w:rsidRDefault="00F6453B" w:rsidP="00DA0774">
            <w:pPr>
              <w:spacing w:before="60" w:after="60"/>
              <w:jc w:val="left"/>
              <w:rPr>
                <w:rFonts w:cs="Times New Roman"/>
              </w:rPr>
            </w:pPr>
            <w:r w:rsidRPr="00B76053">
              <w:rPr>
                <w:rFonts w:cs="Times New Roman"/>
                <w:sz w:val="18"/>
              </w:rPr>
              <w:t>Avoid; use only when no higher-tier source covers the same point</w:t>
            </w:r>
          </w:p>
        </w:tc>
      </w:tr>
    </w:tbl>
    <w:p w14:paraId="4E2C62CE" w14:textId="77777777" w:rsidR="006046D2" w:rsidRPr="00B76053" w:rsidRDefault="00B04762">
      <w:pPr>
        <w:pStyle w:val="Heading2"/>
        <w:spacing w:before="280"/>
        <w:rPr>
          <w:rFonts w:cs="Times New Roman"/>
        </w:rPr>
      </w:pPr>
      <w:bookmarkStart w:id="32" w:name="_Toc229755299"/>
      <w:r w:rsidRPr="00B76053">
        <w:rPr>
          <w:rFonts w:cs="Times New Roman"/>
        </w:rPr>
        <w:t>3.8 Triangulation Logic</w:t>
      </w:r>
      <w:bookmarkEnd w:id="32"/>
    </w:p>
    <w:p w14:paraId="17D75035" w14:textId="77777777" w:rsidR="00003173" w:rsidRPr="00B76053" w:rsidRDefault="00003173" w:rsidP="00003173">
      <w:pPr>
        <w:rPr>
          <w:rFonts w:cs="Times New Roman"/>
        </w:rPr>
      </w:pPr>
      <w:r w:rsidRPr="00B76053">
        <w:rPr>
          <w:rFonts w:cs="Times New Roman"/>
        </w:rPr>
        <w:t>Triangulation — cross-verification across independent data sources and analytical techniques — is central to the methodology. The qualitative case-study strand provides the architectural mechanism (how Tinman digitised the mortgage workflow in a way accessible to a voice AI agent); the financial-quantitative strand provides the objective outcome (whether audited financial data shows movement in expense intensity and labour productivity consistent with operational leverage); and the NLP-computational strand provides external perception evidence (how customers described their experience in unsolicited public reviews).</w:t>
      </w:r>
    </w:p>
    <w:p w14:paraId="3A2CACCA" w14:textId="77777777" w:rsidR="00003173" w:rsidRPr="00B76053" w:rsidRDefault="00003173" w:rsidP="00003173">
      <w:pPr>
        <w:rPr>
          <w:rFonts w:cs="Times New Roman"/>
        </w:rPr>
      </w:pPr>
      <w:r w:rsidRPr="00B76053">
        <w:rPr>
          <w:rFonts w:cs="Times New Roman"/>
        </w:rPr>
        <w:t>The design accommodates divergence rather than suppressing it. The thesis exhibits a meaningful divergence: management has reported an improvement in Net Promoter Score after Betsy's launch and audited financial data shows material improvement in expense intensity and revenue recovery, while the independent NLP analysis reveals a statistically significant decline in Trustpilot star ratings and sentiment over the same period (full results in §5.4). The mixed-methods architecture treats this as analytically valuable rather than as a contradiction: management-reported NPS is an internally administered medium-reliability instrument, and Trustpilot reviews are independent but self-selected and capture a different, potentially more emotionally engaged segment of the customer base. Divergence is therefore consistent with two instruments capturing different dimensions of customer experience rather than evidence of methodological error. Topic-modelling patterns add a further descriptive interpretive layer, presented as directional signals in §5.4.4 given the small post-launch clustered sample.</w:t>
      </w:r>
    </w:p>
    <w:p w14:paraId="5EED8950" w14:textId="77777777" w:rsidR="006046D2" w:rsidRPr="00B76053" w:rsidRDefault="00B04762">
      <w:pPr>
        <w:pStyle w:val="Heading2"/>
        <w:spacing w:before="280"/>
        <w:rPr>
          <w:rFonts w:cs="Times New Roman"/>
        </w:rPr>
      </w:pPr>
      <w:bookmarkStart w:id="33" w:name="_Toc229755300"/>
      <w:r w:rsidRPr="00B76053">
        <w:rPr>
          <w:rFonts w:cs="Times New Roman"/>
        </w:rPr>
        <w:lastRenderedPageBreak/>
        <w:t>3.9 Methodological Limitations</w:t>
      </w:r>
      <w:bookmarkEnd w:id="33"/>
    </w:p>
    <w:p w14:paraId="59B9AA49" w14:textId="77777777" w:rsidR="00003173" w:rsidRPr="00B76053" w:rsidRDefault="00003173" w:rsidP="00003173">
      <w:pPr>
        <w:rPr>
          <w:rFonts w:cs="Times New Roman"/>
        </w:rPr>
      </w:pPr>
      <w:r w:rsidRPr="00B76053">
        <w:rPr>
          <w:rFonts w:cs="Times New Roman"/>
        </w:rPr>
        <w:t>Five principal limitations bound the interpretation of this thesis: (i) the absence of causal identification given the observational single-case design; (ii) the annual granularity of the audited financial data; (iii) reliance on public-data and single-vendor sources; (iv) self-selection and pre/post imbalance in the Trustpilot corpus; and (v) cross-company comparability constraints in the Rocket benchmark. Each limitation is recorded in Table 3.3 with its mitigation strategy and the Chapter 8 subsection in which it is examined in depth.</w:t>
      </w:r>
    </w:p>
    <w:p w14:paraId="42C6A5C2" w14:textId="77777777" w:rsidR="00B8150A" w:rsidRPr="00B76053" w:rsidRDefault="00B8150A" w:rsidP="00B8150A">
      <w:pPr>
        <w:pStyle w:val="Caption"/>
        <w:spacing w:before="120" w:after="240"/>
        <w:rPr>
          <w:rFonts w:cs="Times New Roman"/>
        </w:rPr>
      </w:pPr>
      <w:r w:rsidRPr="00B76053">
        <w:rPr>
          <w:rFonts w:cs="Times New Roman"/>
        </w:rPr>
        <w:t>Table 3.3. Consolidated view of the five principal methodological limitations of this thesis, with mitigation actions and corresponding Chapter 8 subsections.</w:t>
      </w:r>
    </w:p>
    <w:tbl>
      <w:tblPr>
        <w:tblStyle w:val="TableGrid"/>
        <w:tblW w:w="9828" w:type="dxa"/>
        <w:tblLook w:val="04A0" w:firstRow="1" w:lastRow="0" w:firstColumn="1" w:lastColumn="0" w:noHBand="0" w:noVBand="1"/>
      </w:tblPr>
      <w:tblGrid>
        <w:gridCol w:w="454"/>
        <w:gridCol w:w="1634"/>
        <w:gridCol w:w="3240"/>
        <w:gridCol w:w="3060"/>
        <w:gridCol w:w="1440"/>
      </w:tblGrid>
      <w:tr w:rsidR="003A2D72" w:rsidRPr="00B76053" w14:paraId="3B87F197" w14:textId="77777777" w:rsidTr="003A2D72">
        <w:tc>
          <w:tcPr>
            <w:tcW w:w="454" w:type="dxa"/>
            <w:tcBorders>
              <w:top w:val="single" w:sz="4" w:space="0" w:color="FFFFFF"/>
              <w:left w:val="single" w:sz="4" w:space="0" w:color="FFFFFF"/>
              <w:bottom w:val="single" w:sz="4" w:space="0" w:color="FFFFFF"/>
              <w:right w:val="single" w:sz="4" w:space="0" w:color="FFFFFF"/>
            </w:tcBorders>
            <w:shd w:val="clear" w:color="auto" w:fill="2E4057"/>
          </w:tcPr>
          <w:p w14:paraId="59D1EB40" w14:textId="77777777" w:rsidR="003A2D72" w:rsidRPr="00B76053" w:rsidRDefault="003A2D72" w:rsidP="00DA0774">
            <w:pPr>
              <w:spacing w:before="60" w:after="60"/>
              <w:jc w:val="center"/>
              <w:rPr>
                <w:rFonts w:cs="Times New Roman"/>
              </w:rPr>
            </w:pPr>
            <w:r w:rsidRPr="00B76053">
              <w:rPr>
                <w:rFonts w:cs="Times New Roman"/>
                <w:b/>
                <w:color w:val="FFFFFF"/>
                <w:sz w:val="18"/>
              </w:rPr>
              <w:t>#</w:t>
            </w:r>
          </w:p>
        </w:tc>
        <w:tc>
          <w:tcPr>
            <w:tcW w:w="1634" w:type="dxa"/>
            <w:tcBorders>
              <w:top w:val="single" w:sz="4" w:space="0" w:color="FFFFFF"/>
              <w:left w:val="single" w:sz="4" w:space="0" w:color="FFFFFF"/>
              <w:bottom w:val="single" w:sz="4" w:space="0" w:color="FFFFFF"/>
              <w:right w:val="single" w:sz="4" w:space="0" w:color="FFFFFF"/>
            </w:tcBorders>
            <w:shd w:val="clear" w:color="auto" w:fill="2E4057"/>
          </w:tcPr>
          <w:p w14:paraId="653AE60B" w14:textId="77777777" w:rsidR="003A2D72" w:rsidRPr="00B76053" w:rsidRDefault="003A2D72" w:rsidP="00DA0774">
            <w:pPr>
              <w:spacing w:before="60" w:after="60"/>
              <w:jc w:val="center"/>
              <w:rPr>
                <w:rFonts w:cs="Times New Roman"/>
              </w:rPr>
            </w:pPr>
            <w:r w:rsidRPr="00B76053">
              <w:rPr>
                <w:rFonts w:cs="Times New Roman"/>
                <w:b/>
                <w:color w:val="FFFFFF"/>
                <w:sz w:val="18"/>
              </w:rPr>
              <w:t>Limitation</w:t>
            </w:r>
          </w:p>
        </w:tc>
        <w:tc>
          <w:tcPr>
            <w:tcW w:w="3240" w:type="dxa"/>
            <w:tcBorders>
              <w:top w:val="single" w:sz="4" w:space="0" w:color="FFFFFF"/>
              <w:left w:val="single" w:sz="4" w:space="0" w:color="FFFFFF"/>
              <w:bottom w:val="single" w:sz="4" w:space="0" w:color="FFFFFF"/>
              <w:right w:val="single" w:sz="4" w:space="0" w:color="FFFFFF"/>
            </w:tcBorders>
            <w:shd w:val="clear" w:color="auto" w:fill="2E4057"/>
          </w:tcPr>
          <w:p w14:paraId="1F980E23" w14:textId="77777777" w:rsidR="003A2D72" w:rsidRPr="00B76053" w:rsidRDefault="003A2D72" w:rsidP="00DA0774">
            <w:pPr>
              <w:spacing w:before="60" w:after="60"/>
              <w:jc w:val="center"/>
              <w:rPr>
                <w:rFonts w:cs="Times New Roman"/>
              </w:rPr>
            </w:pPr>
            <w:r w:rsidRPr="00B76053">
              <w:rPr>
                <w:rFonts w:cs="Times New Roman"/>
                <w:b/>
                <w:color w:val="FFFFFF"/>
                <w:sz w:val="18"/>
              </w:rPr>
              <w:t>Nature of Risk</w:t>
            </w:r>
          </w:p>
        </w:tc>
        <w:tc>
          <w:tcPr>
            <w:tcW w:w="3060" w:type="dxa"/>
            <w:tcBorders>
              <w:top w:val="single" w:sz="4" w:space="0" w:color="FFFFFF"/>
              <w:left w:val="single" w:sz="4" w:space="0" w:color="FFFFFF"/>
              <w:bottom w:val="single" w:sz="4" w:space="0" w:color="FFFFFF"/>
              <w:right w:val="single" w:sz="4" w:space="0" w:color="FFFFFF"/>
            </w:tcBorders>
            <w:shd w:val="clear" w:color="auto" w:fill="2E4057"/>
          </w:tcPr>
          <w:p w14:paraId="27631BE6" w14:textId="77777777" w:rsidR="003A2D72" w:rsidRPr="00B76053" w:rsidRDefault="003A2D72" w:rsidP="00DA0774">
            <w:pPr>
              <w:spacing w:before="60" w:after="60"/>
              <w:jc w:val="center"/>
              <w:rPr>
                <w:rFonts w:cs="Times New Roman"/>
              </w:rPr>
            </w:pPr>
            <w:r w:rsidRPr="00B76053">
              <w:rPr>
                <w:rFonts w:cs="Times New Roman"/>
                <w:b/>
                <w:color w:val="FFFFFF"/>
                <w:sz w:val="18"/>
              </w:rPr>
              <w:t>Mitigation Strategy</w:t>
            </w:r>
          </w:p>
        </w:tc>
        <w:tc>
          <w:tcPr>
            <w:tcW w:w="1440" w:type="dxa"/>
            <w:tcBorders>
              <w:top w:val="single" w:sz="4" w:space="0" w:color="FFFFFF"/>
              <w:left w:val="single" w:sz="4" w:space="0" w:color="FFFFFF"/>
              <w:bottom w:val="single" w:sz="4" w:space="0" w:color="FFFFFF"/>
              <w:right w:val="single" w:sz="4" w:space="0" w:color="FFFFFF"/>
            </w:tcBorders>
            <w:shd w:val="clear" w:color="auto" w:fill="2E4057"/>
          </w:tcPr>
          <w:p w14:paraId="20320F76" w14:textId="77777777" w:rsidR="003A2D72" w:rsidRPr="00B76053" w:rsidRDefault="003A2D72" w:rsidP="00DA0774">
            <w:pPr>
              <w:spacing w:before="60" w:after="60"/>
              <w:jc w:val="center"/>
              <w:rPr>
                <w:rFonts w:cs="Times New Roman"/>
              </w:rPr>
            </w:pPr>
            <w:r w:rsidRPr="00B76053">
              <w:rPr>
                <w:rFonts w:cs="Times New Roman"/>
                <w:b/>
                <w:color w:val="FFFFFF"/>
                <w:sz w:val="18"/>
              </w:rPr>
              <w:t>Ch. 8 Subsection</w:t>
            </w:r>
          </w:p>
        </w:tc>
      </w:tr>
      <w:tr w:rsidR="003A2D72" w:rsidRPr="00B76053" w14:paraId="11B55813"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FFFFF"/>
          </w:tcPr>
          <w:p w14:paraId="694C11E2" w14:textId="77777777" w:rsidR="003A2D72" w:rsidRPr="00B76053" w:rsidRDefault="003A2D72" w:rsidP="003A2D72">
            <w:pPr>
              <w:spacing w:before="60" w:after="60"/>
              <w:jc w:val="left"/>
              <w:rPr>
                <w:rFonts w:cs="Times New Roman"/>
              </w:rPr>
            </w:pPr>
            <w:r w:rsidRPr="00B76053">
              <w:rPr>
                <w:rFonts w:cs="Times New Roman"/>
                <w:b/>
                <w:sz w:val="18"/>
              </w:rPr>
              <w:t>1</w:t>
            </w:r>
          </w:p>
        </w:tc>
        <w:tc>
          <w:tcPr>
            <w:tcW w:w="1634" w:type="dxa"/>
            <w:tcBorders>
              <w:top w:val="single" w:sz="4" w:space="0" w:color="B0B8C1"/>
              <w:left w:val="single" w:sz="4" w:space="0" w:color="B0B8C1"/>
              <w:bottom w:val="single" w:sz="4" w:space="0" w:color="B0B8C1"/>
              <w:right w:val="single" w:sz="4" w:space="0" w:color="B0B8C1"/>
            </w:tcBorders>
            <w:shd w:val="clear" w:color="auto" w:fill="FFFFFF"/>
          </w:tcPr>
          <w:p w14:paraId="2656F7C0" w14:textId="77777777" w:rsidR="003A2D72" w:rsidRPr="00B76053" w:rsidRDefault="003A2D72" w:rsidP="003A2D72">
            <w:pPr>
              <w:spacing w:before="60" w:after="60"/>
              <w:jc w:val="left"/>
              <w:rPr>
                <w:rFonts w:cs="Times New Roman"/>
              </w:rPr>
            </w:pPr>
            <w:r w:rsidRPr="00B76053">
              <w:rPr>
                <w:rFonts w:cs="Times New Roman"/>
                <w:sz w:val="18"/>
              </w:rPr>
              <w:t>Single-case generalisability</w:t>
            </w:r>
          </w:p>
        </w:tc>
        <w:tc>
          <w:tcPr>
            <w:tcW w:w="3240" w:type="dxa"/>
            <w:tcBorders>
              <w:top w:val="single" w:sz="4" w:space="0" w:color="B0B8C1"/>
              <w:left w:val="single" w:sz="4" w:space="0" w:color="B0B8C1"/>
              <w:bottom w:val="single" w:sz="4" w:space="0" w:color="B0B8C1"/>
              <w:right w:val="single" w:sz="4" w:space="0" w:color="B0B8C1"/>
            </w:tcBorders>
            <w:shd w:val="clear" w:color="auto" w:fill="FFFFFF"/>
          </w:tcPr>
          <w:p w14:paraId="716B42C2" w14:textId="77777777" w:rsidR="003A2D72" w:rsidRPr="00B76053" w:rsidRDefault="003A2D72" w:rsidP="003A2D72">
            <w:pPr>
              <w:spacing w:before="60" w:after="60"/>
              <w:jc w:val="left"/>
              <w:rPr>
                <w:rFonts w:cs="Times New Roman"/>
              </w:rPr>
            </w:pPr>
            <w:r w:rsidRPr="00B76053">
              <w:rPr>
                <w:rFonts w:cs="Times New Roman"/>
                <w:sz w:val="18"/>
              </w:rPr>
              <w:t>Findings are specific to Better.com's digital-native, centralised-stack context; statistical generalisation to the population of mortgage lenders is not possible</w:t>
            </w:r>
          </w:p>
        </w:tc>
        <w:tc>
          <w:tcPr>
            <w:tcW w:w="3060" w:type="dxa"/>
            <w:tcBorders>
              <w:top w:val="single" w:sz="4" w:space="0" w:color="B0B8C1"/>
              <w:left w:val="single" w:sz="4" w:space="0" w:color="B0B8C1"/>
              <w:bottom w:val="single" w:sz="4" w:space="0" w:color="B0B8C1"/>
              <w:right w:val="single" w:sz="4" w:space="0" w:color="B0B8C1"/>
            </w:tcBorders>
            <w:shd w:val="clear" w:color="auto" w:fill="FFFFFF"/>
          </w:tcPr>
          <w:p w14:paraId="3AED0DA7" w14:textId="77777777" w:rsidR="003A2D72" w:rsidRPr="00B76053" w:rsidRDefault="003A2D72" w:rsidP="003A2D72">
            <w:pPr>
              <w:spacing w:before="60" w:after="60"/>
              <w:jc w:val="left"/>
              <w:rPr>
                <w:rFonts w:cs="Times New Roman"/>
              </w:rPr>
            </w:pPr>
            <w:r w:rsidRPr="00B76053">
              <w:rPr>
                <w:rFonts w:cs="Times New Roman"/>
                <w:sz w:val="18"/>
              </w:rPr>
              <w:t>Apply analytic generalisation (Yin, 2018): findings are generalised to theory, not to population. Explicitly scope transferability to similar digital-first configurations</w:t>
            </w:r>
          </w:p>
        </w:tc>
        <w:tc>
          <w:tcPr>
            <w:tcW w:w="1440" w:type="dxa"/>
            <w:tcBorders>
              <w:top w:val="single" w:sz="4" w:space="0" w:color="B0B8C1"/>
              <w:left w:val="single" w:sz="4" w:space="0" w:color="B0B8C1"/>
              <w:bottom w:val="single" w:sz="4" w:space="0" w:color="B0B8C1"/>
              <w:right w:val="single" w:sz="4" w:space="0" w:color="B0B8C1"/>
            </w:tcBorders>
            <w:shd w:val="clear" w:color="auto" w:fill="FFFFFF"/>
          </w:tcPr>
          <w:p w14:paraId="33319F34" w14:textId="77777777" w:rsidR="003A2D72" w:rsidRPr="00B76053" w:rsidRDefault="003A2D72" w:rsidP="003A2D72">
            <w:pPr>
              <w:spacing w:before="60" w:after="60"/>
              <w:jc w:val="left"/>
              <w:rPr>
                <w:rFonts w:cs="Times New Roman"/>
              </w:rPr>
            </w:pPr>
            <w:r w:rsidRPr="00B76053">
              <w:rPr>
                <w:rFonts w:cs="Times New Roman"/>
                <w:sz w:val="18"/>
              </w:rPr>
              <w:t>§8.5</w:t>
            </w:r>
          </w:p>
        </w:tc>
      </w:tr>
      <w:tr w:rsidR="003A2D72" w:rsidRPr="00B76053" w14:paraId="370DF8F8"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2F5F7"/>
          </w:tcPr>
          <w:p w14:paraId="75007DA2" w14:textId="77777777" w:rsidR="003A2D72" w:rsidRPr="00B76053" w:rsidRDefault="003A2D72" w:rsidP="003A2D72">
            <w:pPr>
              <w:spacing w:before="60" w:after="60"/>
              <w:jc w:val="left"/>
              <w:rPr>
                <w:rFonts w:cs="Times New Roman"/>
              </w:rPr>
            </w:pPr>
            <w:r w:rsidRPr="00B76053">
              <w:rPr>
                <w:rFonts w:cs="Times New Roman"/>
                <w:b/>
                <w:sz w:val="18"/>
              </w:rPr>
              <w:t>2</w:t>
            </w:r>
          </w:p>
        </w:tc>
        <w:tc>
          <w:tcPr>
            <w:tcW w:w="1634" w:type="dxa"/>
            <w:tcBorders>
              <w:top w:val="single" w:sz="4" w:space="0" w:color="B0B8C1"/>
              <w:left w:val="single" w:sz="4" w:space="0" w:color="B0B8C1"/>
              <w:bottom w:val="single" w:sz="4" w:space="0" w:color="B0B8C1"/>
              <w:right w:val="single" w:sz="4" w:space="0" w:color="B0B8C1"/>
            </w:tcBorders>
            <w:shd w:val="clear" w:color="auto" w:fill="F2F5F7"/>
          </w:tcPr>
          <w:p w14:paraId="2EE09A8D" w14:textId="77777777" w:rsidR="003A2D72" w:rsidRPr="00B76053" w:rsidRDefault="003A2D72" w:rsidP="003A2D72">
            <w:pPr>
              <w:spacing w:before="60" w:after="60"/>
              <w:jc w:val="left"/>
              <w:rPr>
                <w:rFonts w:cs="Times New Roman"/>
              </w:rPr>
            </w:pPr>
            <w:r w:rsidRPr="00B76053">
              <w:rPr>
                <w:rFonts w:cs="Times New Roman"/>
                <w:sz w:val="18"/>
              </w:rPr>
              <w:t>Absence of causal identification</w:t>
            </w:r>
          </w:p>
        </w:tc>
        <w:tc>
          <w:tcPr>
            <w:tcW w:w="3240" w:type="dxa"/>
            <w:tcBorders>
              <w:top w:val="single" w:sz="4" w:space="0" w:color="B0B8C1"/>
              <w:left w:val="single" w:sz="4" w:space="0" w:color="B0B8C1"/>
              <w:bottom w:val="single" w:sz="4" w:space="0" w:color="B0B8C1"/>
              <w:right w:val="single" w:sz="4" w:space="0" w:color="B0B8C1"/>
            </w:tcBorders>
            <w:shd w:val="clear" w:color="auto" w:fill="F2F5F7"/>
          </w:tcPr>
          <w:p w14:paraId="7995DFDF" w14:textId="77777777" w:rsidR="003A2D72" w:rsidRPr="00B76053" w:rsidRDefault="003A2D72" w:rsidP="003A2D72">
            <w:pPr>
              <w:spacing w:before="60" w:after="60"/>
              <w:jc w:val="left"/>
              <w:rPr>
                <w:rFonts w:cs="Times New Roman"/>
              </w:rPr>
            </w:pPr>
            <w:r w:rsidRPr="00B76053">
              <w:rPr>
                <w:rFonts w:cs="Times New Roman"/>
                <w:sz w:val="18"/>
              </w:rPr>
              <w:t>Multiple simultaneous events (restructuring, macro recovery, NEO channel launch, ElevenLabs partnership, Betsy deployment) prevent isolation of the AI effect on financial outcomes</w:t>
            </w:r>
          </w:p>
        </w:tc>
        <w:tc>
          <w:tcPr>
            <w:tcW w:w="3060" w:type="dxa"/>
            <w:tcBorders>
              <w:top w:val="single" w:sz="4" w:space="0" w:color="B0B8C1"/>
              <w:left w:val="single" w:sz="4" w:space="0" w:color="B0B8C1"/>
              <w:bottom w:val="single" w:sz="4" w:space="0" w:color="B0B8C1"/>
              <w:right w:val="single" w:sz="4" w:space="0" w:color="B0B8C1"/>
            </w:tcBorders>
            <w:shd w:val="clear" w:color="auto" w:fill="F2F5F7"/>
          </w:tcPr>
          <w:p w14:paraId="05BA6740" w14:textId="77777777" w:rsidR="003A2D72" w:rsidRPr="00B76053" w:rsidRDefault="003A2D72" w:rsidP="003A2D72">
            <w:pPr>
              <w:spacing w:before="60" w:after="60"/>
              <w:jc w:val="left"/>
              <w:rPr>
                <w:rFonts w:cs="Times New Roman"/>
              </w:rPr>
            </w:pPr>
            <w:r w:rsidRPr="00B76053">
              <w:rPr>
                <w:rFonts w:cs="Times New Roman"/>
                <w:sz w:val="18"/>
              </w:rPr>
              <w:t>Adopt "consistent with" / "associated with" language throughout; present financial improvements as convergent evidence rather than proof of causation</w:t>
            </w:r>
          </w:p>
        </w:tc>
        <w:tc>
          <w:tcPr>
            <w:tcW w:w="1440" w:type="dxa"/>
            <w:tcBorders>
              <w:top w:val="single" w:sz="4" w:space="0" w:color="B0B8C1"/>
              <w:left w:val="single" w:sz="4" w:space="0" w:color="B0B8C1"/>
              <w:bottom w:val="single" w:sz="4" w:space="0" w:color="B0B8C1"/>
              <w:right w:val="single" w:sz="4" w:space="0" w:color="B0B8C1"/>
            </w:tcBorders>
            <w:shd w:val="clear" w:color="auto" w:fill="F2F5F7"/>
          </w:tcPr>
          <w:p w14:paraId="5B17B1D4" w14:textId="77777777" w:rsidR="003A2D72" w:rsidRPr="00B76053" w:rsidRDefault="003A2D72" w:rsidP="003A2D72">
            <w:pPr>
              <w:spacing w:before="60" w:after="60"/>
              <w:jc w:val="left"/>
              <w:rPr>
                <w:rFonts w:cs="Times New Roman"/>
              </w:rPr>
            </w:pPr>
            <w:r w:rsidRPr="00B76053">
              <w:rPr>
                <w:rFonts w:cs="Times New Roman"/>
                <w:sz w:val="18"/>
              </w:rPr>
              <w:t>§8.2</w:t>
            </w:r>
          </w:p>
        </w:tc>
      </w:tr>
      <w:tr w:rsidR="003A2D72" w:rsidRPr="00B76053" w14:paraId="7A0DC58D"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FFFFF"/>
          </w:tcPr>
          <w:p w14:paraId="2E150B9A" w14:textId="77777777" w:rsidR="003A2D72" w:rsidRPr="00B76053" w:rsidRDefault="003A2D72" w:rsidP="003A2D72">
            <w:pPr>
              <w:spacing w:before="60" w:after="60"/>
              <w:jc w:val="left"/>
              <w:rPr>
                <w:rFonts w:cs="Times New Roman"/>
              </w:rPr>
            </w:pPr>
            <w:r w:rsidRPr="00B76053">
              <w:rPr>
                <w:rFonts w:cs="Times New Roman"/>
                <w:b/>
                <w:sz w:val="18"/>
              </w:rPr>
              <w:t>3</w:t>
            </w:r>
          </w:p>
        </w:tc>
        <w:tc>
          <w:tcPr>
            <w:tcW w:w="1634" w:type="dxa"/>
            <w:tcBorders>
              <w:top w:val="single" w:sz="4" w:space="0" w:color="B0B8C1"/>
              <w:left w:val="single" w:sz="4" w:space="0" w:color="B0B8C1"/>
              <w:bottom w:val="single" w:sz="4" w:space="0" w:color="B0B8C1"/>
              <w:right w:val="single" w:sz="4" w:space="0" w:color="B0B8C1"/>
            </w:tcBorders>
            <w:shd w:val="clear" w:color="auto" w:fill="FFFFFF"/>
          </w:tcPr>
          <w:p w14:paraId="786ACDB0" w14:textId="77777777" w:rsidR="003A2D72" w:rsidRPr="00B76053" w:rsidRDefault="003A2D72" w:rsidP="003A2D72">
            <w:pPr>
              <w:spacing w:before="60" w:after="60"/>
              <w:jc w:val="left"/>
              <w:rPr>
                <w:rFonts w:cs="Times New Roman"/>
              </w:rPr>
            </w:pPr>
            <w:r w:rsidRPr="00B76053">
              <w:rPr>
                <w:rFonts w:cs="Times New Roman"/>
                <w:sz w:val="18"/>
              </w:rPr>
              <w:t>Temporal granularity of financial data</w:t>
            </w:r>
          </w:p>
        </w:tc>
        <w:tc>
          <w:tcPr>
            <w:tcW w:w="3240" w:type="dxa"/>
            <w:tcBorders>
              <w:top w:val="single" w:sz="4" w:space="0" w:color="B0B8C1"/>
              <w:left w:val="single" w:sz="4" w:space="0" w:color="B0B8C1"/>
              <w:bottom w:val="single" w:sz="4" w:space="0" w:color="B0B8C1"/>
              <w:right w:val="single" w:sz="4" w:space="0" w:color="B0B8C1"/>
            </w:tcBorders>
            <w:shd w:val="clear" w:color="auto" w:fill="FFFFFF"/>
          </w:tcPr>
          <w:p w14:paraId="3461C25D" w14:textId="77777777" w:rsidR="003A2D72" w:rsidRPr="00B76053" w:rsidRDefault="003A2D72" w:rsidP="003A2D72">
            <w:pPr>
              <w:spacing w:before="60" w:after="60"/>
              <w:jc w:val="left"/>
              <w:rPr>
                <w:rFonts w:cs="Times New Roman"/>
              </w:rPr>
            </w:pPr>
            <w:r w:rsidRPr="00B76053">
              <w:rPr>
                <w:rFonts w:cs="Times New Roman"/>
                <w:sz w:val="18"/>
              </w:rPr>
              <w:t>Betsy launched 17 October 2024; FY 2024 annual figures blend ~10 months pre-deployment with ~2 months post-deployment, reducing the precision of the post-Betsy baseline</w:t>
            </w:r>
          </w:p>
        </w:tc>
        <w:tc>
          <w:tcPr>
            <w:tcW w:w="3060" w:type="dxa"/>
            <w:tcBorders>
              <w:top w:val="single" w:sz="4" w:space="0" w:color="B0B8C1"/>
              <w:left w:val="single" w:sz="4" w:space="0" w:color="B0B8C1"/>
              <w:bottom w:val="single" w:sz="4" w:space="0" w:color="B0B8C1"/>
              <w:right w:val="single" w:sz="4" w:space="0" w:color="B0B8C1"/>
            </w:tcBorders>
            <w:shd w:val="clear" w:color="auto" w:fill="FFFFFF"/>
          </w:tcPr>
          <w:p w14:paraId="256A3324" w14:textId="77777777" w:rsidR="003A2D72" w:rsidRPr="00B76053" w:rsidRDefault="003A2D72" w:rsidP="003A2D72">
            <w:pPr>
              <w:spacing w:before="60" w:after="60"/>
              <w:jc w:val="left"/>
              <w:rPr>
                <w:rFonts w:cs="Times New Roman"/>
              </w:rPr>
            </w:pPr>
            <w:r w:rsidRPr="00B76053">
              <w:rPr>
                <w:rFonts w:cs="Times New Roman"/>
                <w:sz w:val="18"/>
              </w:rPr>
              <w:t>Treat 2024 as a transition year; use 2024–2025 as the primary post-deployment comparison window; corroborate with earnings call disclosures for intra-year context</w:t>
            </w:r>
          </w:p>
        </w:tc>
        <w:tc>
          <w:tcPr>
            <w:tcW w:w="1440" w:type="dxa"/>
            <w:tcBorders>
              <w:top w:val="single" w:sz="4" w:space="0" w:color="B0B8C1"/>
              <w:left w:val="single" w:sz="4" w:space="0" w:color="B0B8C1"/>
              <w:bottom w:val="single" w:sz="4" w:space="0" w:color="B0B8C1"/>
              <w:right w:val="single" w:sz="4" w:space="0" w:color="B0B8C1"/>
            </w:tcBorders>
            <w:shd w:val="clear" w:color="auto" w:fill="FFFFFF"/>
          </w:tcPr>
          <w:p w14:paraId="7638BF3F" w14:textId="77777777" w:rsidR="003A2D72" w:rsidRPr="00B76053" w:rsidRDefault="003A2D72" w:rsidP="003A2D72">
            <w:pPr>
              <w:spacing w:before="60" w:after="60"/>
              <w:jc w:val="left"/>
              <w:rPr>
                <w:rFonts w:cs="Times New Roman"/>
              </w:rPr>
            </w:pPr>
            <w:r w:rsidRPr="00B76053">
              <w:rPr>
                <w:rFonts w:cs="Times New Roman"/>
                <w:sz w:val="18"/>
              </w:rPr>
              <w:t>§8.3</w:t>
            </w:r>
          </w:p>
        </w:tc>
      </w:tr>
      <w:tr w:rsidR="003A2D72" w:rsidRPr="00B76053" w14:paraId="5252A4E5"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2F5F7"/>
          </w:tcPr>
          <w:p w14:paraId="7D60A130" w14:textId="77777777" w:rsidR="003A2D72" w:rsidRPr="00B76053" w:rsidRDefault="003A2D72" w:rsidP="003A2D72">
            <w:pPr>
              <w:spacing w:before="60" w:after="60"/>
              <w:jc w:val="left"/>
              <w:rPr>
                <w:rFonts w:cs="Times New Roman"/>
              </w:rPr>
            </w:pPr>
            <w:r w:rsidRPr="00B76053">
              <w:rPr>
                <w:rFonts w:cs="Times New Roman"/>
                <w:b/>
                <w:sz w:val="18"/>
              </w:rPr>
              <w:t>4</w:t>
            </w:r>
          </w:p>
        </w:tc>
        <w:tc>
          <w:tcPr>
            <w:tcW w:w="1634" w:type="dxa"/>
            <w:tcBorders>
              <w:top w:val="single" w:sz="4" w:space="0" w:color="B0B8C1"/>
              <w:left w:val="single" w:sz="4" w:space="0" w:color="B0B8C1"/>
              <w:bottom w:val="single" w:sz="4" w:space="0" w:color="B0B8C1"/>
              <w:right w:val="single" w:sz="4" w:space="0" w:color="B0B8C1"/>
            </w:tcBorders>
            <w:shd w:val="clear" w:color="auto" w:fill="F2F5F7"/>
          </w:tcPr>
          <w:p w14:paraId="7F14AF16" w14:textId="77777777" w:rsidR="003A2D72" w:rsidRPr="00B76053" w:rsidRDefault="003A2D72" w:rsidP="003A2D72">
            <w:pPr>
              <w:spacing w:before="60" w:after="60"/>
              <w:jc w:val="left"/>
              <w:rPr>
                <w:rFonts w:cs="Times New Roman"/>
              </w:rPr>
            </w:pPr>
            <w:r w:rsidRPr="00B76053">
              <w:rPr>
                <w:rFonts w:cs="Times New Roman"/>
                <w:sz w:val="18"/>
              </w:rPr>
              <w:t>NLP dataset imbalance and self-selection bias</w:t>
            </w:r>
          </w:p>
        </w:tc>
        <w:tc>
          <w:tcPr>
            <w:tcW w:w="3240" w:type="dxa"/>
            <w:tcBorders>
              <w:top w:val="single" w:sz="4" w:space="0" w:color="B0B8C1"/>
              <w:left w:val="single" w:sz="4" w:space="0" w:color="B0B8C1"/>
              <w:bottom w:val="single" w:sz="4" w:space="0" w:color="B0B8C1"/>
              <w:right w:val="single" w:sz="4" w:space="0" w:color="B0B8C1"/>
            </w:tcBorders>
            <w:shd w:val="clear" w:color="auto" w:fill="F2F5F7"/>
          </w:tcPr>
          <w:p w14:paraId="578DDA8C" w14:textId="77777777" w:rsidR="003A2D72" w:rsidRPr="00B76053" w:rsidRDefault="003A2D72" w:rsidP="003A2D72">
            <w:pPr>
              <w:spacing w:before="60" w:after="60"/>
              <w:jc w:val="left"/>
              <w:rPr>
                <w:rFonts w:cs="Times New Roman"/>
              </w:rPr>
            </w:pPr>
            <w:r w:rsidRPr="00B76053">
              <w:rPr>
                <w:rFonts w:cs="Times New Roman"/>
                <w:sz w:val="18"/>
              </w:rPr>
              <w:t>Pre/post sample ratio of 10.3:1 (n=1,746 pre; n=169 post) widens post-period confidence intervals; Trustpilot self-selection over-represents emotionally engaged customers</w:t>
            </w:r>
          </w:p>
        </w:tc>
        <w:tc>
          <w:tcPr>
            <w:tcW w:w="3060" w:type="dxa"/>
            <w:tcBorders>
              <w:top w:val="single" w:sz="4" w:space="0" w:color="B0B8C1"/>
              <w:left w:val="single" w:sz="4" w:space="0" w:color="B0B8C1"/>
              <w:bottom w:val="single" w:sz="4" w:space="0" w:color="B0B8C1"/>
              <w:right w:val="single" w:sz="4" w:space="0" w:color="B0B8C1"/>
            </w:tcBorders>
            <w:shd w:val="clear" w:color="auto" w:fill="F2F5F7"/>
          </w:tcPr>
          <w:p w14:paraId="78061AED" w14:textId="77777777" w:rsidR="003A2D72" w:rsidRPr="00B76053" w:rsidRDefault="003A2D72" w:rsidP="003A2D72">
            <w:pPr>
              <w:spacing w:before="60" w:after="60"/>
              <w:jc w:val="left"/>
              <w:rPr>
                <w:rFonts w:cs="Times New Roman"/>
              </w:rPr>
            </w:pPr>
            <w:r w:rsidRPr="00B76053">
              <w:rPr>
                <w:rFonts w:cs="Times New Roman"/>
                <w:sz w:val="18"/>
              </w:rPr>
              <w:t>Use Welch's t-test to accommodate unequal variance; interpret BERTopic topic-share changes as descriptive signals only; triangulate NLP evidence with management-reported NPS</w:t>
            </w:r>
          </w:p>
        </w:tc>
        <w:tc>
          <w:tcPr>
            <w:tcW w:w="1440" w:type="dxa"/>
            <w:tcBorders>
              <w:top w:val="single" w:sz="4" w:space="0" w:color="B0B8C1"/>
              <w:left w:val="single" w:sz="4" w:space="0" w:color="B0B8C1"/>
              <w:bottom w:val="single" w:sz="4" w:space="0" w:color="B0B8C1"/>
              <w:right w:val="single" w:sz="4" w:space="0" w:color="B0B8C1"/>
            </w:tcBorders>
            <w:shd w:val="clear" w:color="auto" w:fill="F2F5F7"/>
          </w:tcPr>
          <w:p w14:paraId="1D43EFC9" w14:textId="77777777" w:rsidR="003A2D72" w:rsidRPr="00B76053" w:rsidRDefault="003A2D72" w:rsidP="003A2D72">
            <w:pPr>
              <w:spacing w:before="60" w:after="60"/>
              <w:jc w:val="left"/>
              <w:rPr>
                <w:rFonts w:cs="Times New Roman"/>
              </w:rPr>
            </w:pPr>
            <w:r w:rsidRPr="00B76053">
              <w:rPr>
                <w:rFonts w:cs="Times New Roman"/>
                <w:sz w:val="18"/>
              </w:rPr>
              <w:t>§8.6</w:t>
            </w:r>
          </w:p>
        </w:tc>
      </w:tr>
      <w:tr w:rsidR="003A2D72" w:rsidRPr="00B76053" w14:paraId="32B1606A"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FFFFF"/>
          </w:tcPr>
          <w:p w14:paraId="478CCBD8" w14:textId="77777777" w:rsidR="003A2D72" w:rsidRPr="00B76053" w:rsidRDefault="003A2D72" w:rsidP="003A2D72">
            <w:pPr>
              <w:spacing w:before="60" w:after="60"/>
              <w:jc w:val="left"/>
              <w:rPr>
                <w:rFonts w:cs="Times New Roman"/>
              </w:rPr>
            </w:pPr>
            <w:r w:rsidRPr="00B76053">
              <w:rPr>
                <w:rFonts w:cs="Times New Roman"/>
                <w:b/>
                <w:sz w:val="18"/>
              </w:rPr>
              <w:t>5</w:t>
            </w:r>
          </w:p>
        </w:tc>
        <w:tc>
          <w:tcPr>
            <w:tcW w:w="1634" w:type="dxa"/>
            <w:tcBorders>
              <w:top w:val="single" w:sz="4" w:space="0" w:color="B0B8C1"/>
              <w:left w:val="single" w:sz="4" w:space="0" w:color="B0B8C1"/>
              <w:bottom w:val="single" w:sz="4" w:space="0" w:color="B0B8C1"/>
              <w:right w:val="single" w:sz="4" w:space="0" w:color="B0B8C1"/>
            </w:tcBorders>
            <w:shd w:val="clear" w:color="auto" w:fill="FFFFFF"/>
          </w:tcPr>
          <w:p w14:paraId="7F74F176" w14:textId="77777777" w:rsidR="003A2D72" w:rsidRPr="00B76053" w:rsidRDefault="003A2D72" w:rsidP="003A2D72">
            <w:pPr>
              <w:spacing w:before="60" w:after="60"/>
              <w:jc w:val="left"/>
              <w:rPr>
                <w:rFonts w:cs="Times New Roman"/>
              </w:rPr>
            </w:pPr>
            <w:r w:rsidRPr="00B76053">
              <w:rPr>
                <w:rFonts w:cs="Times New Roman"/>
                <w:sz w:val="18"/>
              </w:rPr>
              <w:t>Financial dataset size and cross-company comparability</w:t>
            </w:r>
          </w:p>
        </w:tc>
        <w:tc>
          <w:tcPr>
            <w:tcW w:w="3240" w:type="dxa"/>
            <w:tcBorders>
              <w:top w:val="single" w:sz="4" w:space="0" w:color="B0B8C1"/>
              <w:left w:val="single" w:sz="4" w:space="0" w:color="B0B8C1"/>
              <w:bottom w:val="single" w:sz="4" w:space="0" w:color="B0B8C1"/>
              <w:right w:val="single" w:sz="4" w:space="0" w:color="B0B8C1"/>
            </w:tcBorders>
            <w:shd w:val="clear" w:color="auto" w:fill="FFFFFF"/>
          </w:tcPr>
          <w:p w14:paraId="44602D75" w14:textId="77777777" w:rsidR="003A2D72" w:rsidRPr="00B76053" w:rsidRDefault="003A2D72" w:rsidP="003A2D72">
            <w:pPr>
              <w:spacing w:before="60" w:after="60"/>
              <w:jc w:val="left"/>
              <w:rPr>
                <w:rFonts w:cs="Times New Roman"/>
              </w:rPr>
            </w:pPr>
            <w:r w:rsidRPr="00B76053">
              <w:rPr>
                <w:rFonts w:cs="Times New Roman"/>
                <w:sz w:val="18"/>
              </w:rPr>
              <w:t xml:space="preserve">Five observations for Better and eight for Rocket are insufficient for formal statistical modelling; accounting </w:t>
            </w:r>
            <w:r w:rsidRPr="00B76053">
              <w:rPr>
                <w:rFonts w:cs="Times New Roman"/>
                <w:sz w:val="18"/>
              </w:rPr>
              <w:lastRenderedPageBreak/>
              <w:t>presentation differences limit like-for-like ratio comparison</w:t>
            </w:r>
          </w:p>
        </w:tc>
        <w:tc>
          <w:tcPr>
            <w:tcW w:w="3060" w:type="dxa"/>
            <w:tcBorders>
              <w:top w:val="single" w:sz="4" w:space="0" w:color="B0B8C1"/>
              <w:left w:val="single" w:sz="4" w:space="0" w:color="B0B8C1"/>
              <w:bottom w:val="single" w:sz="4" w:space="0" w:color="B0B8C1"/>
              <w:right w:val="single" w:sz="4" w:space="0" w:color="B0B8C1"/>
            </w:tcBorders>
            <w:shd w:val="clear" w:color="auto" w:fill="FFFFFF"/>
          </w:tcPr>
          <w:p w14:paraId="38BCC96E" w14:textId="77777777" w:rsidR="003A2D72" w:rsidRPr="00B76053" w:rsidRDefault="003A2D72" w:rsidP="003A2D72">
            <w:pPr>
              <w:spacing w:before="60" w:after="60"/>
              <w:jc w:val="left"/>
              <w:rPr>
                <w:rFonts w:cs="Times New Roman"/>
              </w:rPr>
            </w:pPr>
            <w:r w:rsidRPr="00B76053">
              <w:rPr>
                <w:rFonts w:cs="Times New Roman"/>
                <w:sz w:val="18"/>
              </w:rPr>
              <w:lastRenderedPageBreak/>
              <w:t xml:space="preserve">Restrict all financial comparisons to descriptive analysis; treat Rocket as a directional benchmark only; flag </w:t>
            </w:r>
            <w:r w:rsidRPr="00B76053">
              <w:rPr>
                <w:rFonts w:cs="Times New Roman"/>
                <w:sz w:val="18"/>
              </w:rPr>
              <w:lastRenderedPageBreak/>
              <w:t>accounting presentation differences explicitly in §5.3.5</w:t>
            </w:r>
          </w:p>
        </w:tc>
        <w:tc>
          <w:tcPr>
            <w:tcW w:w="1440" w:type="dxa"/>
            <w:tcBorders>
              <w:top w:val="single" w:sz="4" w:space="0" w:color="B0B8C1"/>
              <w:left w:val="single" w:sz="4" w:space="0" w:color="B0B8C1"/>
              <w:bottom w:val="single" w:sz="4" w:space="0" w:color="B0B8C1"/>
              <w:right w:val="single" w:sz="4" w:space="0" w:color="B0B8C1"/>
            </w:tcBorders>
            <w:shd w:val="clear" w:color="auto" w:fill="FFFFFF"/>
          </w:tcPr>
          <w:p w14:paraId="3D885854" w14:textId="77777777" w:rsidR="003A2D72" w:rsidRPr="00B76053" w:rsidRDefault="003A2D72" w:rsidP="003A2D72">
            <w:pPr>
              <w:spacing w:before="60" w:after="60"/>
              <w:jc w:val="left"/>
              <w:rPr>
                <w:rFonts w:cs="Times New Roman"/>
              </w:rPr>
            </w:pPr>
            <w:r w:rsidRPr="00B76053">
              <w:rPr>
                <w:rFonts w:cs="Times New Roman"/>
                <w:sz w:val="18"/>
              </w:rPr>
              <w:lastRenderedPageBreak/>
              <w:t>§8.8</w:t>
            </w:r>
          </w:p>
        </w:tc>
      </w:tr>
    </w:tbl>
    <w:p w14:paraId="59CC8A70" w14:textId="77777777" w:rsidR="003A2D72" w:rsidRPr="00B76053" w:rsidRDefault="003A2D72" w:rsidP="00662280">
      <w:pPr>
        <w:rPr>
          <w:rFonts w:cs="Times New Roman"/>
        </w:rPr>
      </w:pPr>
    </w:p>
    <w:p w14:paraId="16E7D2EA" w14:textId="77777777" w:rsidR="006046D2" w:rsidRPr="00B76053" w:rsidRDefault="00B04762">
      <w:pPr>
        <w:pStyle w:val="Heading2"/>
        <w:rPr>
          <w:rFonts w:cs="Times New Roman"/>
        </w:rPr>
      </w:pPr>
      <w:bookmarkStart w:id="34" w:name="_Toc229755301"/>
      <w:r w:rsidRPr="00B76053">
        <w:rPr>
          <w:rFonts w:cs="Times New Roman"/>
        </w:rPr>
        <w:t xml:space="preserve">3.10 </w:t>
      </w:r>
      <w:r w:rsidR="00551D86" w:rsidRPr="00B76053">
        <w:rPr>
          <w:rFonts w:cs="Times New Roman"/>
        </w:rPr>
        <w:t>Research Rigor and Reproducibility</w:t>
      </w:r>
      <w:bookmarkEnd w:id="34"/>
    </w:p>
    <w:p w14:paraId="569327E2" w14:textId="77777777" w:rsidR="00574C0E" w:rsidRPr="00B76053" w:rsidRDefault="00574C0E" w:rsidP="00574C0E">
      <w:pPr>
        <w:rPr>
          <w:rFonts w:cs="Times New Roman"/>
        </w:rPr>
      </w:pPr>
      <w:r w:rsidRPr="00B76053">
        <w:rPr>
          <w:rFonts w:cs="Times New Roman"/>
        </w:rPr>
        <w:t>The credibility of this research rests on three pillars: construct validity, analytical transparency, and reproducibility. Construct validity is ensured by grounding all financial indicators in standardised SEC accounting definitions rather than in researcher-constructed proxies, and by using established, peer-reviewed tools for sentiment and topic analysis. The two author-constructed proxies — Cost-to-Originate and the Operational Leverage Index — are disclosed in §3.6 and confined to a supporting rather than primary evidential role.</w:t>
      </w:r>
    </w:p>
    <w:p w14:paraId="666DF0E0" w14:textId="77777777" w:rsidR="00574C0E" w:rsidRPr="00B76053" w:rsidRDefault="00574C0E" w:rsidP="00574C0E">
      <w:pPr>
        <w:rPr>
          <w:rFonts w:cs="Times New Roman"/>
        </w:rPr>
      </w:pPr>
      <w:r w:rsidRPr="00B76053">
        <w:rPr>
          <w:rFonts w:cs="Times New Roman"/>
        </w:rPr>
        <w:t>Analytical transparency is ensured by the four-tier source-reliability hierarchy (§3.7), which requires every empirical claim to be introduced with language that signals its evidentiary weight; no vendor-reported metric overrides an audited figure, and no management-reported satisfaction score is interpreted without being placed alongside the independent Trustpilot evidence. Reproducibility is ensured by exclusive reliance on publicly available data: SEC filings via EDGAR and Trustpilot reviews from Better.com's public profile, with the full analytical pipeline (sentiment-tool and topic-modelling configurations included) documented in Appendices B, C, and G.</w:t>
      </w:r>
    </w:p>
    <w:p w14:paraId="22BEB12C" w14:textId="77777777" w:rsidR="006046D2" w:rsidRPr="00B76053" w:rsidRDefault="00B04762">
      <w:pPr>
        <w:pStyle w:val="Heading2"/>
        <w:spacing w:before="280"/>
        <w:rPr>
          <w:rFonts w:cs="Times New Roman"/>
        </w:rPr>
      </w:pPr>
      <w:bookmarkStart w:id="35" w:name="_Toc229755302"/>
      <w:r w:rsidRPr="00B76053">
        <w:rPr>
          <w:rFonts w:cs="Times New Roman"/>
        </w:rPr>
        <w:t xml:space="preserve">3.11 </w:t>
      </w:r>
      <w:r w:rsidR="001522C8" w:rsidRPr="00B76053">
        <w:rPr>
          <w:rFonts w:cs="Times New Roman"/>
        </w:rPr>
        <w:t>Ethical Considerations</w:t>
      </w:r>
      <w:bookmarkEnd w:id="35"/>
    </w:p>
    <w:p w14:paraId="089F98C3" w14:textId="77777777" w:rsidR="001522C8" w:rsidRPr="00B76053" w:rsidRDefault="001522C8" w:rsidP="001522C8">
      <w:pPr>
        <w:rPr>
          <w:rFonts w:cs="Times New Roman"/>
        </w:rPr>
      </w:pPr>
      <w:r w:rsidRPr="00B76053">
        <w:rPr>
          <w:rFonts w:cs="Times New Roman"/>
        </w:rPr>
        <w:t>This research was conducted in strict adherence to academic ethical standards regarding data privacy, computational transparency, and intellectual integrity. The study relies exclusively on publicly available, legally accessible secondary data sources: corporate financial data from mandatory SEC filings via EDGAR, and customer reviews from Better.com's publicly accessible Trustpilot profile, collected using automated tools operating within standard rate and access limits. The study involved no human-subjects research; no proprietary internal corporate data, confidential system information, or personally identifiable information relating to Better.com's customers or employees was accessed, stored, or analysed. All text analysis was performed on publicly visible review content, and no personal data was linked to identifiable individuals or retained beyond what is necessary for this research.</w:t>
      </w:r>
    </w:p>
    <w:p w14:paraId="6DB43805" w14:textId="77777777" w:rsidR="006046D2" w:rsidRPr="00B76053" w:rsidRDefault="00B04762">
      <w:pPr>
        <w:pStyle w:val="Heading1"/>
        <w:pageBreakBefore/>
        <w:spacing w:before="360" w:after="120"/>
        <w:rPr>
          <w:rFonts w:cs="Times New Roman"/>
        </w:rPr>
      </w:pPr>
      <w:bookmarkStart w:id="36" w:name="_Toc229755303"/>
      <w:r w:rsidRPr="00B76053">
        <w:rPr>
          <w:rFonts w:cs="Times New Roman"/>
        </w:rPr>
        <w:lastRenderedPageBreak/>
        <w:t>4. Case Study Description: Better.com and the Deployment of Voice AI in Mortgage Origination</w:t>
      </w:r>
      <w:bookmarkEnd w:id="36"/>
    </w:p>
    <w:p w14:paraId="35D60716" w14:textId="77777777" w:rsidR="006046D2" w:rsidRPr="00B76053" w:rsidRDefault="00B04762">
      <w:pPr>
        <w:pStyle w:val="Heading2"/>
        <w:spacing w:before="280"/>
        <w:rPr>
          <w:rFonts w:cs="Times New Roman"/>
        </w:rPr>
      </w:pPr>
      <w:bookmarkStart w:id="37" w:name="_Toc229755304"/>
      <w:r w:rsidRPr="00B76053">
        <w:rPr>
          <w:rFonts w:cs="Times New Roman"/>
        </w:rPr>
        <w:t>4.1 Introduction</w:t>
      </w:r>
      <w:bookmarkEnd w:id="37"/>
    </w:p>
    <w:p w14:paraId="6EDAA6CA" w14:textId="77777777" w:rsidR="001A126F" w:rsidRPr="00B76053" w:rsidRDefault="001A126F" w:rsidP="001A126F">
      <w:pPr>
        <w:rPr>
          <w:rFonts w:cs="Times New Roman"/>
        </w:rPr>
      </w:pPr>
      <w:r w:rsidRPr="00B76053">
        <w:rPr>
          <w:rFonts w:cs="Times New Roman"/>
        </w:rPr>
        <w:t>This chapter presents the empirical case examined in this thesis: the deployment of a voice-based Large Language Model agent within the mortgage origination operations of Better Home &amp; Finance Holding Company, commonly known as Better.com. The chapter provides the organisational, technological, and strategic context required to understand how Betsy — Better.com's voice AI loan assistant — was integrated into a digital mortgage workflow. Rather than treating Betsy as an isolated customer-service application, the case is situated within Better.com's broader technology architecture, particularly its proprietary Tinman platform. This framing is important because Better.com describes itself as a technology-first mortgage company whose founding logic was to digitise and automate home finance, reduce friction, and make the mortgage process faster and more efficient (Better.com, n.d.).</w:t>
      </w:r>
    </w:p>
    <w:p w14:paraId="553D7E61" w14:textId="77777777" w:rsidR="001A126F" w:rsidRPr="00B76053" w:rsidRDefault="001A126F" w:rsidP="001A126F">
      <w:pPr>
        <w:rPr>
          <w:rFonts w:cs="Times New Roman"/>
        </w:rPr>
      </w:pPr>
      <w:r w:rsidRPr="00B76053">
        <w:rPr>
          <w:rFonts w:cs="Times New Roman"/>
        </w:rPr>
        <w:t>The chapter proceeds through four main steps. First, it introduces Better.com as a digital-first mortgage lender and explains the market and organisational conditions that made automation strategically relevant. Second, it describes mortgage origination as the operational context in which voice AI must function, emphasising why borrower communication, process visibility, and system integration matter. Third, it examines Tinman as the technological foundation for Betsy, and explains Better.com's implementation of Betsy and the role of ElevenLabs as voice infrastructure provider. Fourth, it traces the implementation timeline from the pre-deployment baseline through the transition and scaling periods. Together, these steps establish the empirical foundation for the financial, sentiment, and topic-modelling analysis in Chapter 5.</w:t>
      </w:r>
    </w:p>
    <w:p w14:paraId="332637C4" w14:textId="77777777" w:rsidR="006046D2" w:rsidRPr="00B76053" w:rsidRDefault="00B04762">
      <w:pPr>
        <w:pStyle w:val="Heading2"/>
        <w:spacing w:before="280"/>
        <w:rPr>
          <w:rFonts w:cs="Times New Roman"/>
        </w:rPr>
      </w:pPr>
      <w:bookmarkStart w:id="38" w:name="_Toc229755305"/>
      <w:r w:rsidRPr="00B76053">
        <w:rPr>
          <w:rFonts w:cs="Times New Roman"/>
        </w:rPr>
        <w:t xml:space="preserve">4.2 </w:t>
      </w:r>
      <w:r w:rsidR="001A126F" w:rsidRPr="00B76053">
        <w:rPr>
          <w:rFonts w:cs="Times New Roman"/>
        </w:rPr>
        <w:t>Better.com: Company Profile and Strategic Context</w:t>
      </w:r>
      <w:bookmarkEnd w:id="38"/>
    </w:p>
    <w:p w14:paraId="5C361C97" w14:textId="77777777" w:rsidR="006046D2" w:rsidRPr="00B76053" w:rsidRDefault="00B04762">
      <w:pPr>
        <w:pStyle w:val="Heading3"/>
        <w:spacing w:before="240" w:after="80"/>
        <w:rPr>
          <w:rFonts w:cs="Times New Roman"/>
        </w:rPr>
      </w:pPr>
      <w:bookmarkStart w:id="39" w:name="_Toc229755306"/>
      <w:r w:rsidRPr="00B76053">
        <w:rPr>
          <w:rFonts w:cs="Times New Roman"/>
        </w:rPr>
        <w:t xml:space="preserve">4.2.1 </w:t>
      </w:r>
      <w:r w:rsidR="001A126F" w:rsidRPr="00B76053">
        <w:rPr>
          <w:rFonts w:cs="Times New Roman"/>
        </w:rPr>
        <w:t>Founding Logic and Digital-First Model</w:t>
      </w:r>
      <w:bookmarkEnd w:id="39"/>
    </w:p>
    <w:p w14:paraId="22F3A426" w14:textId="77777777" w:rsidR="001A126F" w:rsidRPr="00B76053" w:rsidRDefault="001A126F" w:rsidP="001A126F">
      <w:pPr>
        <w:rPr>
          <w:rFonts w:cs="Times New Roman"/>
        </w:rPr>
      </w:pPr>
      <w:r w:rsidRPr="00B76053">
        <w:rPr>
          <w:rFonts w:cs="Times New Roman"/>
        </w:rPr>
        <w:t xml:space="preserve">Better Home &amp; Finance Holding Company, commonly known as Better.com, is a digital homeownership and mortgage finance company headquartered in New York. The company operates in the U.S. mortgage market through a technology-first model that seeks to simplify the </w:t>
      </w:r>
      <w:r w:rsidRPr="00B76053">
        <w:rPr>
          <w:rFonts w:cs="Times New Roman"/>
        </w:rPr>
        <w:lastRenderedPageBreak/>
        <w:t>process of obtaining a home loan. Unlike traditional mortgage lenders that historically relied on branch networks, manual document handling, call centres, and loan-officer-heavy processes, Better.com positioned itself from the outset as a digital mortgage platform. According to the company's own history, Better.com was founded in 2014 after founder Vishal Garg experienced the complexity and inefficiency of the mortgage process, motivating the creation of a "technology-first company led by engineers and data experts" focused on digitising and automating home finance (Better.com, n.d.).</w:t>
      </w:r>
    </w:p>
    <w:p w14:paraId="77ED10BB" w14:textId="77777777" w:rsidR="001A126F" w:rsidRPr="00B76053" w:rsidRDefault="001A126F" w:rsidP="001A126F">
      <w:pPr>
        <w:rPr>
          <w:rFonts w:cs="Times New Roman"/>
        </w:rPr>
      </w:pPr>
      <w:r w:rsidRPr="00B76053">
        <w:rPr>
          <w:rFonts w:cs="Times New Roman"/>
        </w:rPr>
        <w:t>This founding logic is important for the present thesis because Better.com is not simply a conventional mortgage lender that later adopted AI as an add-on tool. Rather, the company's business model has been built around the assumption that mortgage origination can be redesigned through digital infrastructure. Better's investor materials characterise the company as an "AI native mortgage lender" and state that its Tinman platform allows customers to view rate options in seconds, obtain pre-approval in minutes, lock rates, and close loans in as little as three weeks (Better Home &amp; Finance Holding Company, n.d.). From a business informatics perspective, Better.com is therefore a relevant case because its value proposition depends on the integration of technology, data, workflow automation, and customer interaction — precisely the conditions that enable voice LLM agents to operate meaningfully within a mortgage process.</w:t>
      </w:r>
    </w:p>
    <w:p w14:paraId="5CA7C859" w14:textId="77777777" w:rsidR="006046D2" w:rsidRPr="00B76053" w:rsidRDefault="00B04762" w:rsidP="001A126F">
      <w:pPr>
        <w:pStyle w:val="Heading3"/>
        <w:spacing w:after="120"/>
        <w:rPr>
          <w:rFonts w:cs="Times New Roman"/>
        </w:rPr>
      </w:pPr>
      <w:bookmarkStart w:id="40" w:name="_Toc229755307"/>
      <w:r w:rsidRPr="00B76053">
        <w:rPr>
          <w:rFonts w:cs="Times New Roman"/>
        </w:rPr>
        <w:t xml:space="preserve">4.2.2 </w:t>
      </w:r>
      <w:r w:rsidR="001A126F" w:rsidRPr="00B76053">
        <w:rPr>
          <w:rFonts w:cs="Times New Roman"/>
        </w:rPr>
        <w:t>Growth, Contraction, and the Strategic Case for Automation</w:t>
      </w:r>
      <w:bookmarkEnd w:id="40"/>
    </w:p>
    <w:p w14:paraId="2BBDE642" w14:textId="77777777" w:rsidR="001A126F" w:rsidRPr="00B76053" w:rsidRDefault="001A126F" w:rsidP="001A126F">
      <w:pPr>
        <w:rPr>
          <w:rFonts w:cs="Times New Roman"/>
        </w:rPr>
      </w:pPr>
      <w:r w:rsidRPr="00B76053">
        <w:rPr>
          <w:rFonts w:cs="Times New Roman"/>
        </w:rPr>
        <w:t xml:space="preserve">Better.com's corporate trajectory must be understood through the lens of the exceptional mortgage market conditions of 2020 and 2021. During this period, historically low interest rates generated a large refinancing boom across the U.S. mortgage industry. Freddie Mac reported that U.S. refinance originations reached approximately $2.6 trillion in 2020, more than double the prior year's volume, while the Federal Reserve Bank of New York later described the 2020–2021 period as the "Great Pandemic Mortgage Refinance Boom" (Freddie Mac, 2021; Federal Reserve Bank of New York, 2023). Better.com's public registration materials state that the company experienced rapid growth during this period, including a 393% increase in funded loan volume in 2020, reaching $58.0 billion in funded loan volume in 2021 (Better HoldCo, Inc., 2021, 2023). More recent investor materials indicate that </w:t>
      </w:r>
      <w:proofErr w:type="gramStart"/>
      <w:r w:rsidRPr="00B76053">
        <w:rPr>
          <w:rFonts w:cs="Times New Roman"/>
        </w:rPr>
        <w:t>Better</w:t>
      </w:r>
      <w:proofErr w:type="gramEnd"/>
      <w:r w:rsidRPr="00B76053">
        <w:rPr>
          <w:rFonts w:cs="Times New Roman"/>
        </w:rPr>
        <w:t xml:space="preserve"> has since funded more than $100 billion in total loan volume, reflecting the company's sustained scale despite the subsequent market downturn (Better Home &amp; Finance Holding Company, n.d.).</w:t>
      </w:r>
    </w:p>
    <w:p w14:paraId="2F374958" w14:textId="77777777" w:rsidR="001A126F" w:rsidRPr="00B76053" w:rsidRDefault="001A126F" w:rsidP="001A126F">
      <w:pPr>
        <w:rPr>
          <w:rFonts w:cs="Times New Roman"/>
        </w:rPr>
      </w:pPr>
      <w:r w:rsidRPr="00B76053">
        <w:rPr>
          <w:rFonts w:cs="Times New Roman"/>
        </w:rPr>
        <w:lastRenderedPageBreak/>
        <w:t>After the refinancing boom, Better.com faced a much more difficult operating environment. Rising interest rates substantially reduced refinancing demand, placing pressure on origination volumes across the industry. For a company that had expanded rapidly during the boom, this created an acute strategic problem: how to preserve responsiveness, customer engagement, and origination capacity while reducing the cost base associated with a larger human workforce. The scale of this adjustment is visible in Better's workforce disclosures. At its peak in the fourth quarter of 2021, Better reported approximately 10,400 team members globally, including approximately 6,500 in production roles and approximately 700 in technology and product development. By 31 December 2023, the company reported approximately 820 team members — a reduction of approximately 92% over roughly twenty-four months (Better HoldCo, Inc., 2023; Better Home &amp; Finance Holding Company, 2025a). These reductions were widely reported in financial media at the time (Primack, 2021), and are confirmed by Better's own SEC-filed registration materials (Better HoldCo, Inc., 2023).</w:t>
      </w:r>
    </w:p>
    <w:p w14:paraId="770586DD" w14:textId="77777777" w:rsidR="001A126F" w:rsidRPr="00B76053" w:rsidRDefault="001A126F" w:rsidP="001A126F">
      <w:pPr>
        <w:rPr>
          <w:rFonts w:cs="Times New Roman"/>
        </w:rPr>
      </w:pPr>
      <w:r w:rsidRPr="00B76053">
        <w:rPr>
          <w:rFonts w:cs="Times New Roman"/>
        </w:rPr>
        <w:t xml:space="preserve">Better's 2023 results explicitly describe that year as one of the most challenging mortgage macro environments in recent history, with average 30-year fixed mortgage rates around 7%. In the same release, </w:t>
      </w:r>
      <w:proofErr w:type="gramStart"/>
      <w:r w:rsidRPr="00B76053">
        <w:rPr>
          <w:rFonts w:cs="Times New Roman"/>
        </w:rPr>
        <w:t>Better</w:t>
      </w:r>
      <w:proofErr w:type="gramEnd"/>
      <w:r w:rsidRPr="00B76053">
        <w:rPr>
          <w:rFonts w:cs="Times New Roman"/>
        </w:rPr>
        <w:t xml:space="preserve"> reported 2023 revenue of approximately $76.8 million, funded loan volume of $3.0 billion, and an adjusted EBITDA loss of $163 million, while noting that it had reduced total expenses by 71% year over year and by more than $1.1 billion compared with 2021 (Better Home &amp; Finance Holding Company, 2024b). This context makes the company a strong empirical case for this thesis. Betsy should not be understood merely as a novel customer-service experiment, but as part of a broader attempt to redesign mortgage origination around automation, digital workflows, and AI-enabled productivity. The pre-Betsy period is therefore relevant not as evidence of AI impact — since the agent had not yet been deployed — but as the organisational background against which Better.com's later automation strategy must be understood.</w:t>
      </w:r>
    </w:p>
    <w:p w14:paraId="2A13BA95" w14:textId="77777777" w:rsidR="006046D2" w:rsidRPr="00B76053" w:rsidRDefault="00B04762">
      <w:pPr>
        <w:pStyle w:val="Heading2"/>
        <w:spacing w:before="280"/>
        <w:rPr>
          <w:rFonts w:cs="Times New Roman"/>
        </w:rPr>
      </w:pPr>
      <w:bookmarkStart w:id="41" w:name="_Toc229755308"/>
      <w:r w:rsidRPr="00B76053">
        <w:rPr>
          <w:rFonts w:cs="Times New Roman"/>
        </w:rPr>
        <w:t>4.3 The Mortgage Origination Process as the Operational Context</w:t>
      </w:r>
      <w:bookmarkEnd w:id="41"/>
    </w:p>
    <w:p w14:paraId="51E9A7FD" w14:textId="77777777" w:rsidR="001A126F" w:rsidRPr="00B76053" w:rsidRDefault="001A126F" w:rsidP="001A126F">
      <w:pPr>
        <w:rPr>
          <w:rFonts w:cs="Times New Roman"/>
        </w:rPr>
      </w:pPr>
      <w:r w:rsidRPr="00B76053">
        <w:rPr>
          <w:rFonts w:cs="Times New Roman"/>
        </w:rPr>
        <w:t xml:space="preserve">Mortgage origination refers to the sequence of activities through which a borrower applies for a mortgage loan, provides financial and property-related information, receives pricing and eligibility assessment, moves through underwriting, satisfies loan conditions, and ultimately proceeds to closing. This process is not only financial and administrative; it is also highly communicative. At the beginning of the process, lenders must respond to borrower inquiries, capture lead information, </w:t>
      </w:r>
      <w:r w:rsidRPr="00B76053">
        <w:rPr>
          <w:rFonts w:cs="Times New Roman"/>
        </w:rPr>
        <w:lastRenderedPageBreak/>
        <w:t>explain available products, and determine whether the customer is likely to qualify for financing. This is followed by pre-approval, where borrowers often need clarification about credit requirements, income documentation, down payment assumptions, and estimated affordability. These early interactions are commercially important because responsiveness can influence whether a prospective borrower continues with the lender or abandons the application.</w:t>
      </w:r>
    </w:p>
    <w:p w14:paraId="0BDE8827" w14:textId="1876B380" w:rsidR="001A126F" w:rsidRPr="00B76053" w:rsidRDefault="001A126F" w:rsidP="001A126F">
      <w:pPr>
        <w:rPr>
          <w:rFonts w:cs="Times New Roman"/>
        </w:rPr>
      </w:pPr>
      <w:r w:rsidRPr="00B76053">
        <w:rPr>
          <w:rFonts w:cs="Times New Roman"/>
        </w:rPr>
        <w:t xml:space="preserve">The communication burden increases throughout the process. Fannie Mae's Selling Guide organises conventional mortgage origination around several interrelated components — loan application, borrower eligibility, underwriting, property assessment, insurance, and closing — illustrating that origination is not a single transaction but a multi-stage workflow in which information must be collected, validated, updated, and explained to the borrower (Fannie Mae, </w:t>
      </w:r>
      <w:r w:rsidR="004E3FEB">
        <w:rPr>
          <w:rFonts w:cs="Times New Roman"/>
        </w:rPr>
        <w:t>2026</w:t>
      </w:r>
      <w:r w:rsidRPr="00B76053">
        <w:rPr>
          <w:rFonts w:cs="Times New Roman"/>
        </w:rPr>
        <w:t>). The Consumer Financial Protection Bureau similarly emphasises that borrowers must submit documents required for underwriting before closing, and review multiple legally required disclosures before finalising the mortgage loan (Consumer Financial Protection Bureau, 2024, 2025). Underwriting frequently generates additional conditions — missing pay slips, bank statements, explanations of credit activity — that create uncertainty for customers whose timelines are tied to rate-lock deadlines, purchase contracts, and closing dates.</w:t>
      </w:r>
    </w:p>
    <w:p w14:paraId="731A0194" w14:textId="77777777" w:rsidR="001A126F" w:rsidRPr="00B76053" w:rsidRDefault="001A126F" w:rsidP="001A126F">
      <w:pPr>
        <w:rPr>
          <w:rFonts w:cs="Times New Roman"/>
        </w:rPr>
      </w:pPr>
      <w:r w:rsidRPr="00B76053">
        <w:rPr>
          <w:rFonts w:cs="Times New Roman"/>
        </w:rPr>
        <w:t>These structural characteristics create several pain points for lenders. Operational latency arises because sequential handoffs between sales, processing, underwriting, and closing teams introduce delay, duplication, and inconsistent communication at each stage. Fragmentation of information across systems makes it difficult for any agent — human or automated — to provide immediate and accurate responses about the current state of a borrower's file. Most consequentially, mortgage origination remains labour-intensive and expensive. The Mortgage Bankers Association reported that total loan production expenses averaged $10,716 per loan in the third quarter of 2024, compared with a long-run average of $7,573 per loan since 2008 (Mortgage Bankers Association, 2024a). Freddie Mac's 2024 Cost to Originate Study reinforces this point: lenders with higher adoption of digital tools had approximately $1,500 lower origination costs per loan and five-day shorter production cycle times than those with lower technology utilisation (Freddie Mac, 2024). During demand spikes, these cost pressures intensify as call volumes and application follow-ups rise faster than lenders can hire and train staff; during contractions, lenders are left with excess staffing costs. Traditional human-heavy operating models struggle with this scalability tension.</w:t>
      </w:r>
    </w:p>
    <w:p w14:paraId="47BB7A8F" w14:textId="77777777" w:rsidR="001A126F" w:rsidRPr="00B76053" w:rsidRDefault="001A126F" w:rsidP="00273C88">
      <w:pPr>
        <w:rPr>
          <w:rFonts w:cs="Times New Roman"/>
        </w:rPr>
      </w:pPr>
      <w:r w:rsidRPr="00B76053">
        <w:rPr>
          <w:rFonts w:cs="Times New Roman"/>
        </w:rPr>
        <w:lastRenderedPageBreak/>
        <w:t>Voice AI is relevant precisely because it targets this tension between responsiveness and labour intensity. Many mortgage interactions are repetitive but time-sensitive: answering eligibility questions, explaining rate options, following up on incomplete applications, reminding borrowers about documents, and guiding customers toward closing. A voice-based AI agent can potentially absorb part of this communication load while preserving the immediacy of spoken interaction. However, for voice AI to function effectively in this context, it must be connected not only to a speech interface, but also to a reliable operational system capable of retrieving, interpreting, and acting on mortgage-specific information. This requirement leads directly to the importance of Tinman.</w:t>
      </w:r>
    </w:p>
    <w:p w14:paraId="7E599A16" w14:textId="77777777" w:rsidR="006046D2" w:rsidRPr="00B76053" w:rsidRDefault="00B04762">
      <w:pPr>
        <w:pStyle w:val="Heading2"/>
        <w:spacing w:before="280"/>
        <w:rPr>
          <w:rFonts w:cs="Times New Roman"/>
        </w:rPr>
      </w:pPr>
      <w:bookmarkStart w:id="42" w:name="_Toc229755309"/>
      <w:r w:rsidRPr="00B76053">
        <w:rPr>
          <w:rFonts w:cs="Times New Roman"/>
        </w:rPr>
        <w:t xml:space="preserve">4.4 </w:t>
      </w:r>
      <w:r w:rsidR="00130EA5" w:rsidRPr="00B76053">
        <w:rPr>
          <w:rFonts w:cs="Times New Roman"/>
        </w:rPr>
        <w:t>The Tinman Platform: Technological Foundation for Voice AI</w:t>
      </w:r>
      <w:bookmarkEnd w:id="42"/>
    </w:p>
    <w:p w14:paraId="4E792B89" w14:textId="77777777" w:rsidR="00130EA5" w:rsidRPr="00B76053" w:rsidRDefault="00130EA5" w:rsidP="00130EA5">
      <w:pPr>
        <w:rPr>
          <w:rFonts w:cs="Times New Roman"/>
        </w:rPr>
      </w:pPr>
      <w:r w:rsidRPr="00B76053">
        <w:rPr>
          <w:rFonts w:cs="Times New Roman"/>
        </w:rPr>
        <w:t>Tinman is central to the Better.com case because it represents the technological layer that makes voice AI operationally meaningful. A voice agent that can only answer generic questions would have limited value in mortgage origination. To support real borrower interactions, the agent must be able to access information about pricing, eligibility, application status, missing documents, underwriting conditions, and next steps. Better's 2025 annual report describes Tinman as the company's proprietary digital loan origination and workflow platform that serves as the system of record, aggregates customer and property data through APIs, applies automated decisioning and rules-based logic, and orchestrates workflows across underwriting, processing, and closing. The same filing states that Tinman supports technology-enabled underwriting, loan processing, compliance support, capital markets connectivity, and related back-office functionality — and that it can be integrated into partner-facing applications and workflows (Better Home &amp; Finance Holding Company, 2026).</w:t>
      </w:r>
    </w:p>
    <w:p w14:paraId="19881631" w14:textId="77777777" w:rsidR="00130EA5" w:rsidRPr="00B76053" w:rsidRDefault="00130EA5" w:rsidP="00130EA5">
      <w:pPr>
        <w:rPr>
          <w:rFonts w:cs="Times New Roman"/>
        </w:rPr>
      </w:pPr>
      <w:r w:rsidRPr="00B76053">
        <w:rPr>
          <w:rFonts w:cs="Times New Roman"/>
        </w:rPr>
        <w:t xml:space="preserve">This platform logic differs from traditional fragmented mortgage operations. In many conventional lending environments, borrower information, pricing data, underwriting conditions, and communication histories are distributed across multiple systems and teams, making it difficult for any agent to provide fast and consistent responses. By contrast, an integrated operating system creates the conditions for process visibility: if the relevant data and workflow states are structured and accessible, a conversational agent can retrieve information, communicate next steps, and trigger appropriate actions without manual handoffs. Tinman is therefore the architectural prerequisite for Betsy. Public materials about Betsy state explicitly that the agent was built through </w:t>
      </w:r>
      <w:r w:rsidRPr="00B76053">
        <w:rPr>
          <w:rFonts w:cs="Times New Roman"/>
        </w:rPr>
        <w:lastRenderedPageBreak/>
        <w:t>Tinman — Better's proprietary platform where loan-application information is stored — communicating with prospective and current customers by answering mortgage-application questions, verifying outstanding application data, and connecting with Tinman in real time (Nunes, 2024). The Better–ElevenLabs case release confirms this architecture: Betsy is layered on top of Tinman, which computes pricing, eligibility, and approvals, while ElevenLabs Agents provide the controlled voice interface that communicates Tinman's outputs to borrowers (Better Home &amp; Finance Holding Company &amp; ElevenLabs, 2026).</w:t>
      </w:r>
    </w:p>
    <w:p w14:paraId="14C80D1A" w14:textId="77777777" w:rsidR="00130EA5" w:rsidRPr="00B76053" w:rsidRDefault="00130EA5" w:rsidP="00130EA5">
      <w:pPr>
        <w:rPr>
          <w:rFonts w:cs="Times New Roman"/>
        </w:rPr>
      </w:pPr>
      <w:r w:rsidRPr="00B76053">
        <w:rPr>
          <w:rFonts w:cs="Times New Roman"/>
        </w:rPr>
        <w:t>This relationship clarifies where voice AI creates value in the Better.com case. A voice agent may improve the naturalness and immediacy of borrower communication, but the underlying mortgage workflow determines whether the agent can do anything operationally valuable. Without centralised and structured operational data, a voice agent cannot safely answer case-specific questions about pricing, application progress, or documentation requirements. Without workflow interoperability across the process, it cannot move beyond generic answers. An integrated platform can also support task routing and escalation: mortgage origination includes tasks that vary in complexity and regulatory sensitivity, and a well-architected system can separate what the AI handles autonomously from what requires human review. Better's disclosures indicate that Tinman standardises and automates portions of the loan production process while routing other tasks to team members for review or completion (Better Home &amp; Finance Holding Company, 2026). The central prerequisite for voice LLM integration in regulated financial services is therefore not only a capable language model, but the prior existence of a controlled process environment in which data access, workflow routing, compliance safeguards, and human escalation are already defined.</w:t>
      </w:r>
    </w:p>
    <w:p w14:paraId="59AB53DE" w14:textId="77777777" w:rsidR="006046D2" w:rsidRPr="00B76053" w:rsidRDefault="00B04762">
      <w:pPr>
        <w:pStyle w:val="Heading2"/>
        <w:spacing w:before="280"/>
        <w:rPr>
          <w:rFonts w:cs="Times New Roman"/>
        </w:rPr>
      </w:pPr>
      <w:bookmarkStart w:id="43" w:name="_Toc229755310"/>
      <w:r w:rsidRPr="00B76053">
        <w:rPr>
          <w:rFonts w:cs="Times New Roman"/>
        </w:rPr>
        <w:t>4.5 Betsy: Better.com’s Voice AI Loan Assistant</w:t>
      </w:r>
      <w:bookmarkEnd w:id="43"/>
    </w:p>
    <w:p w14:paraId="1CBD590C" w14:textId="77777777" w:rsidR="006046D2" w:rsidRPr="00B76053" w:rsidRDefault="00B04762">
      <w:pPr>
        <w:pStyle w:val="Heading3"/>
        <w:spacing w:before="240" w:after="80"/>
        <w:rPr>
          <w:rFonts w:cs="Times New Roman"/>
        </w:rPr>
      </w:pPr>
      <w:bookmarkStart w:id="44" w:name="_Toc229755311"/>
      <w:r w:rsidRPr="00B76053">
        <w:rPr>
          <w:rFonts w:cs="Times New Roman"/>
        </w:rPr>
        <w:t xml:space="preserve">4.5.1 </w:t>
      </w:r>
      <w:r w:rsidR="00121BFF" w:rsidRPr="00B76053">
        <w:rPr>
          <w:rFonts w:cs="Times New Roman"/>
        </w:rPr>
        <w:t>Launch, Purpose, and Functional Role</w:t>
      </w:r>
      <w:bookmarkEnd w:id="44"/>
    </w:p>
    <w:p w14:paraId="270DDC54" w14:textId="77777777" w:rsidR="00C94A0C" w:rsidRPr="00B76053" w:rsidRDefault="00C94A0C" w:rsidP="00C94A0C">
      <w:pPr>
        <w:rPr>
          <w:rFonts w:cs="Times New Roman"/>
        </w:rPr>
      </w:pPr>
      <w:r w:rsidRPr="00B76053">
        <w:rPr>
          <w:rFonts w:cs="Times New Roman"/>
        </w:rPr>
        <w:t xml:space="preserve">Betsy was formally launched on 17 October 2024 as Better.com's voice-based AI loan assistant for the U.S. mortgage industry. In the launch announcement, Better described Betsy as the latest innovation built through Tinman, designed to communicate with both prospective and existing customers, answer mortgage application inquiries, collect and verify outstanding application data, and interface with Tinman in real time. Better framed the launch in explicitly strategic terms, linking Betsy to three objectives: demonstrating customer experience, increasing the efficiency of </w:t>
      </w:r>
      <w:r w:rsidRPr="00B76053">
        <w:rPr>
          <w:rFonts w:cs="Times New Roman"/>
        </w:rPr>
        <w:lastRenderedPageBreak/>
        <w:t>loan teams, and further accelerating Tinman as Better's end-to-end technology platform (Better Home &amp; Finance Holding Company, 2024a).</w:t>
      </w:r>
    </w:p>
    <w:p w14:paraId="59CA5A7B" w14:textId="77777777" w:rsidR="00C94A0C" w:rsidRPr="00B76053" w:rsidRDefault="00C94A0C" w:rsidP="00C94A0C">
      <w:pPr>
        <w:rPr>
          <w:rFonts w:cs="Times New Roman"/>
        </w:rPr>
      </w:pPr>
      <w:r w:rsidRPr="00B76053">
        <w:rPr>
          <w:rFonts w:cs="Times New Roman"/>
        </w:rPr>
        <w:t>Better's subsequent disclosures make it possible to reconstruct Betsy's evolving functional role across the mortgage workflow. At the lead-engagement and initial-qualification stage, Betsy functions as an always-on conversational point of entry for borrowers. By March 2025, Better was describing Betsy as capable of taking customers through pre-approval, rate quote, and rate lock autonomously — reducing response delay at the moment when customer intent is still fragile and conversion risk is high (Better Home &amp; Finance Holding Company, 2025a). In mid-funnel follow-up, Better's 2025 Form 10-K states that Betsy assists customers with mortgage application inquiries and the collection of required application information as part of the loan origination process, while quarterly disclosures describe Betsy delivering timely status updates and helping move applications forward on a 24/7 basis (Better Home &amp; Finance Holding Company, 2025a, 2026). Better's first-quarter 2025 results stated that Betsy had been expanded into processing and underwriting workflows, though it would be too strong to conclude that Betsy independently performs underwriting: a more accurate interpretation is that it serves as the conversational interface through which workflow-relevant information is surfaced, missing inputs are gathered, and borrowers are guided through stages that remain governed by Tinman's rules and, where necessary, human review (Better Home &amp; Finance Holding Company, 2025b, 2026).</w:t>
      </w:r>
    </w:p>
    <w:p w14:paraId="42FE03F7" w14:textId="77777777" w:rsidR="00C94A0C" w:rsidRPr="00B76053" w:rsidRDefault="00C94A0C" w:rsidP="00C94A0C">
      <w:pPr>
        <w:rPr>
          <w:rFonts w:cs="Times New Roman"/>
        </w:rPr>
      </w:pPr>
      <w:r w:rsidRPr="00B76053">
        <w:rPr>
          <w:rFonts w:cs="Times New Roman"/>
        </w:rPr>
        <w:t xml:space="preserve">Betsy also appears to play both inbound and outbound communication roles. Better and vendor materials report that by early 2026, Betsy was handling approximately 100,000 mortgage-related phone calls per month and had conducted 1.89 million inbound and outbound calls during 2025 (Better Home &amp; Finance Holding Company &amp; ElevenLabs, 2026). These are management-reported and vendor-reported figures rather than audited disclosures, and should be interpreted accordingly. The same materials indicate that outbound engagement operates inside a controlled compliance framework: regulated actions — including credit pulls, authentication, rate locks, and transfers to human consultants — require explicit consent and adherence to state licensing requirements (Better Home &amp; Finance Holding Company &amp; ElevenLabs, 2026). Within the mortgage workflow, Betsy is therefore best understood as a scalable conversational coordination layer: its value lies in absorbing repetitive, time-sensitive communication tasks across lead intake, initial qualification, pre-approval, rate discussion, application follow-up, and routine next-step </w:t>
      </w:r>
      <w:r w:rsidRPr="00B76053">
        <w:rPr>
          <w:rFonts w:cs="Times New Roman"/>
        </w:rPr>
        <w:lastRenderedPageBreak/>
        <w:t>reminders, while the underlying Tinman platform provides the process intelligence and human staff remain embedded at regulated and judgement-intensive control points.</w:t>
      </w:r>
    </w:p>
    <w:p w14:paraId="25EAE80F" w14:textId="77777777" w:rsidR="006046D2" w:rsidRPr="00B76053" w:rsidRDefault="00B04762">
      <w:pPr>
        <w:pStyle w:val="Heading3"/>
        <w:spacing w:before="240" w:after="80"/>
        <w:rPr>
          <w:rFonts w:cs="Times New Roman"/>
        </w:rPr>
      </w:pPr>
      <w:bookmarkStart w:id="45" w:name="_Toc229755312"/>
      <w:r w:rsidRPr="00B76053">
        <w:rPr>
          <w:rFonts w:cs="Times New Roman"/>
        </w:rPr>
        <w:t xml:space="preserve">4.5.2 </w:t>
      </w:r>
      <w:r w:rsidR="00E50BE2" w:rsidRPr="00B76053">
        <w:rPr>
          <w:rFonts w:cs="Times New Roman"/>
        </w:rPr>
        <w:t>Human-AI Collaboration Model</w:t>
      </w:r>
      <w:bookmarkEnd w:id="45"/>
    </w:p>
    <w:p w14:paraId="3FD54C4F" w14:textId="77777777" w:rsidR="00E50BE2" w:rsidRPr="00B76053" w:rsidRDefault="00E50BE2" w:rsidP="00E50BE2">
      <w:pPr>
        <w:rPr>
          <w:rFonts w:cs="Times New Roman"/>
        </w:rPr>
      </w:pPr>
      <w:r w:rsidRPr="00B76053">
        <w:rPr>
          <w:rFonts w:cs="Times New Roman"/>
        </w:rPr>
        <w:t>Betsy's implementation is best interpreted as a human-AI collaboration model rather than as a labour-replacement initiative. Better's 2025 annual report states that Tinman standardises and automates portions of the loan production process while maintaining appropriate human review, and explicitly acknowledges that portions of the loan production process still require human involvement (Better Home &amp; Finance Holding Company, 2026). In this collaborative model, AI is used primarily for repetitive, structured, and high-frequency interactions: answering mortgage application inquiries, collecting required information, verbally guiding customers through pre-approval, rate quote, and rate lock, and providing application-status updates continuously. These are precisely the tasks that consume operational time at scale but do not require individualised expert judgement at every step.</w:t>
      </w:r>
    </w:p>
    <w:p w14:paraId="74DD49C3" w14:textId="77777777" w:rsidR="00E50BE2" w:rsidRPr="00B76053" w:rsidRDefault="00E50BE2" w:rsidP="00E50BE2">
      <w:pPr>
        <w:rPr>
          <w:rFonts w:cs="Times New Roman"/>
        </w:rPr>
      </w:pPr>
      <w:r w:rsidRPr="00B76053">
        <w:rPr>
          <w:rFonts w:cs="Times New Roman"/>
        </w:rPr>
        <w:t>Human loan officers, processors, and licensed consultants remain central where the interaction involves complexity, regulatory sensitivity, or relational trust. The Better–ElevenLabs release states explicitly that shifting routine conversations out of manual workflows allowed licensed consultants to spend less time on repetitive follow-up and more time helping borrowers navigate complex scenarios and make meaningful financial decisions (Better Home &amp; Finance Holding Company &amp; ElevenLabs, 2026). In academic terms, this reflects task reallocation rather than elimination: the AI system expands availability, triage capacity, and communication throughput, while human specialists preserve accountability, judgement, and trust at the most consequential moments of the mortgage journey. The Better.com case is therefore best framed as human-AI process redesign: AI expands responsiveness and reduces operational friction, while human employees remain indispensable wherever the mortgage process requires interpretation, reassurance, or regulated decision-related oversight (Better Home &amp; Finance Holding Company, 2026; Better Home &amp; Finance Holding Company &amp; ElevenLabs, 2026).</w:t>
      </w:r>
    </w:p>
    <w:p w14:paraId="6863C096" w14:textId="77777777" w:rsidR="006046D2" w:rsidRPr="00B76053" w:rsidRDefault="00B04762">
      <w:pPr>
        <w:pStyle w:val="Heading2"/>
        <w:spacing w:before="280"/>
        <w:rPr>
          <w:rFonts w:cs="Times New Roman"/>
        </w:rPr>
      </w:pPr>
      <w:bookmarkStart w:id="46" w:name="_Toc229755313"/>
      <w:r w:rsidRPr="00B76053">
        <w:rPr>
          <w:rFonts w:cs="Times New Roman"/>
        </w:rPr>
        <w:t>4.6 ElevenLabs as Voice Infrastructure Provider</w:t>
      </w:r>
      <w:bookmarkEnd w:id="46"/>
    </w:p>
    <w:p w14:paraId="55E03958" w14:textId="77777777" w:rsidR="00E67FC9" w:rsidRPr="00B76053" w:rsidRDefault="00E67FC9" w:rsidP="00E67FC9">
      <w:pPr>
        <w:rPr>
          <w:rFonts w:cs="Times New Roman"/>
        </w:rPr>
      </w:pPr>
      <w:r w:rsidRPr="00B76053">
        <w:rPr>
          <w:rFonts w:cs="Times New Roman"/>
        </w:rPr>
        <w:t xml:space="preserve">ElevenLabs enters the Better.com case as the voice infrastructure provider for Betsy, not as the owner of the broader mortgage AI strategy. Better's 2025 Form 10-K presents Betsy and Tinman </w:t>
      </w:r>
      <w:r w:rsidRPr="00B76053">
        <w:rPr>
          <w:rFonts w:cs="Times New Roman"/>
        </w:rPr>
        <w:lastRenderedPageBreak/>
        <w:t>as parts of the company's own technology stack: Tinman is the digital loan origination and workflow platform, while Betsy is the voice-based AI assistant helping customers with mortgage application inquiries and the collection of required application information. The February 2026 Better–ElevenLabs release specifies ElevenLabs' role more narrowly: ElevenLabs Agents serve as the voice interface for Betsy, while Tinman remains the underlying system that computes pricing, eligibility, approvals, and workflow actions. This distinction is analytically important because it shows that ElevenLabs contributes the speech layer, whereas the core mortgage logic, data environment, and process orchestration remain inside Better's own platform architecture (Better Home &amp; Finance Holding Company, 2026; Better Home &amp; Finance Holding Company &amp; ElevenLabs, 2026).</w:t>
      </w:r>
    </w:p>
    <w:p w14:paraId="1604D2AB" w14:textId="77777777" w:rsidR="00E67FC9" w:rsidRPr="00B76053" w:rsidRDefault="00E67FC9" w:rsidP="00E67FC9">
      <w:pPr>
        <w:rPr>
          <w:rFonts w:cs="Times New Roman"/>
        </w:rPr>
      </w:pPr>
      <w:r w:rsidRPr="00B76053">
        <w:rPr>
          <w:rFonts w:cs="Times New Roman"/>
        </w:rPr>
        <w:t>Public materials indicate that ElevenLabs' technical contribution is significant even if it does not constitute the full AI stack. Better initially launched its voice experience using a speech-to-speech model but later shifted to a modular pipeline combining speech-to-text, a large language model, and text-to-speech in order to achieve lower latency, greater control, and higher reliability. The case materials further state that calls terminate at a single ElevenLabs Agent endpoint, while orchestration, tool execution, and final determinations remain within Better's own environment, connected to Tinman (Better Home &amp; Finance Holding Company &amp; ElevenLabs, 2026; ElevenLabs, 2026). The importance of this voice layer should not be understated in a customer-facing financial service context. Research on voice-AI interaction indicates that perceived naturalness affects user engagement and perceptions of safety (Nussbaum et al., 2025; Becker et al., 2025), while response latency above approximately four seconds significantly degrades user-experience measures in LLM-powered voice interactions (Maslych et al., 2025) — the theoretical underpinning of these effects is examined in Chapter 2. In mortgage origination specifically, poor synthesis quality or extended response delays could undermine borrower confidence even when the underlying answer is operationally correct. Better's joint release with ElevenLabs explicitly frames lower latency and platform stability as key selection criteria, noting that a single borrower conversation may trigger dozens of Tinman tool calls across multiple systems and regulatory checkpoints — making reliability operationally material rather than merely a technical preference (Better Home &amp; Finance Holding Company &amp; ElevenLabs, 2026).</w:t>
      </w:r>
    </w:p>
    <w:p w14:paraId="52129A99" w14:textId="77777777" w:rsidR="00E67FC9" w:rsidRPr="00B76053" w:rsidRDefault="00E67FC9" w:rsidP="00E67FC9">
      <w:pPr>
        <w:rPr>
          <w:rFonts w:cs="Times New Roman"/>
        </w:rPr>
      </w:pPr>
      <w:r w:rsidRPr="00B76053">
        <w:rPr>
          <w:rFonts w:cs="Times New Roman"/>
        </w:rPr>
        <w:lastRenderedPageBreak/>
        <w:t>The ElevenLabs case materials require careful handling as evidence. The February 2026 release presents quantitative outcomes explicitly as results "according to the case study," and the ElevenLabs blog is published as an "ElevenAgents story" with an explicit disclaimer stating that results are based on internal analyses and may vary by borrower profile, market conditions, and loan characteristics (Better Home &amp; Finance Holding Company &amp; ElevenLabs, 2026; ElevenLabs, 2026). As with most vendor case studies, the materials are designed to highlight successful implementation and may understate implementation friction, unresolved edge cases, or the degree to which outcomes depend on Better's broader Tinman-based transformation rather than on the voice provider alone. For this reason, ElevenLabs materials are used in this thesis primarily to document mechanism, architecture, and operational role, while claims about business value — such as the reported 41% reduction in cost to originate or specific conversion uplifts — are treated as part of the broader Betsy/Tinman operating model narrative rather than as independently verified outcome evidence. These business-value claims are triangulated with Better's SEC filings, quarterly disclosures, and external customer-review evidence in Chapter 5.</w:t>
      </w:r>
    </w:p>
    <w:p w14:paraId="2EC1CD6E" w14:textId="77777777" w:rsidR="006046D2" w:rsidRPr="00B76053" w:rsidRDefault="00B04762">
      <w:pPr>
        <w:pStyle w:val="Heading2"/>
        <w:spacing w:before="280"/>
        <w:rPr>
          <w:rFonts w:cs="Times New Roman"/>
        </w:rPr>
      </w:pPr>
      <w:bookmarkStart w:id="47" w:name="_Toc229755314"/>
      <w:r w:rsidRPr="00B76053">
        <w:rPr>
          <w:rFonts w:cs="Times New Roman"/>
        </w:rPr>
        <w:t>4.7 Implementation Timeline</w:t>
      </w:r>
      <w:bookmarkEnd w:id="47"/>
    </w:p>
    <w:p w14:paraId="5BF2B360" w14:textId="77777777" w:rsidR="006D212F" w:rsidRPr="006938B9" w:rsidRDefault="006D212F" w:rsidP="006D212F">
      <w:pPr>
        <w:rPr>
          <w:rFonts w:cs="Times New Roman"/>
          <w:bCs/>
        </w:rPr>
      </w:pPr>
      <w:r w:rsidRPr="003510D7">
        <w:rPr>
          <w:rFonts w:cs="Times New Roman"/>
          <w:b/>
        </w:rPr>
        <w:t>Pre-deployment baseline (2021–2023).</w:t>
      </w:r>
      <w:r w:rsidRPr="006938B9">
        <w:rPr>
          <w:rFonts w:cs="Times New Roman"/>
          <w:bCs/>
        </w:rPr>
        <w:t xml:space="preserve"> The period from 2021 to 2023 establishes the baseline against which Better.com's AI strategy must be assessed. Public registration materials filed during the company's SPAC process show that Better's funded loan volume rose from $24.2 billion in 2020 to $58.0 billion in 2021, representing year-over-year growth of approximately 139%, before the company's financial performance deteriorated significantly in the second half of 2021 and into 2022 as the interest-rate environment shifted (Better HoldCo, Inc., 2023). The broader mortgage market changed during this period: the Federal Reserve's rapid rate increases reduced refinancing demand and made origination volumes difficult to sustain. Better's 2023 results reported revenue of approximately $76.8 million, funded loan volume of $3.0 billion, and an adjusted EBITDA loss of $163 million, while emphasising that total expenses had been reduced by 71% year over year and by more than $1.1 billion compared with 2021 (Better Home &amp; Finance Holding Company, 2024b). This period therefore captures the strategic crisis that made scalable automation attractive: during the boom, capacity could be expanded through hiring; after the contraction, Better faced the challenge of rebuilding operating leverage without proportional headcount growth.</w:t>
      </w:r>
    </w:p>
    <w:p w14:paraId="08D84F7B" w14:textId="77777777" w:rsidR="006D212F" w:rsidRPr="00B76053" w:rsidRDefault="006D212F" w:rsidP="006D212F">
      <w:pPr>
        <w:rPr>
          <w:rFonts w:cs="Times New Roman"/>
        </w:rPr>
      </w:pPr>
      <w:r w:rsidRPr="00B76053">
        <w:rPr>
          <w:rFonts w:cs="Times New Roman"/>
          <w:b/>
        </w:rPr>
        <w:lastRenderedPageBreak/>
        <w:t>Transition year (2024).</w:t>
      </w:r>
      <w:r w:rsidRPr="00B76053">
        <w:rPr>
          <w:rFonts w:cs="Times New Roman"/>
        </w:rPr>
        <w:t xml:space="preserve"> The year 2024 should be interpreted as a transition period rather than a full post-deployment year. Betsy was formally launched on 17 October 2024, meaning that annual 2024 results necessarily combine approximately ten months of pre-deployment operations with only a short initial post-launch window. The launch announcement described Betsy as designed to communicate with prospective and existing customers, answer mortgage application inquiries, collect and verify outstanding application data, and interface with Tinman in real time (Better Home &amp; Finance Holding Company, 2024a). On a standardised analytical basis, full-year 2024 revenue was approximately $108.5 million (up from $76.8 million in 2023) and the net loss narrowed to approximately $206.3 million (from approximately $536.4 million in 2023), while funded loan volume increased to approximately $3.6 billion from $3.0 billion (Better Home &amp; Finance Holding Company, 2025a). These improvements reflect Better's broader recovery trajectory — driven by expense management, restructuring, and early AI integration — rather than isolating Betsy's specific contribution. The 2024 data should therefore support a transition narrative, not a clean pre/post comparison.</w:t>
      </w:r>
    </w:p>
    <w:p w14:paraId="6D6DE0D8" w14:textId="77777777" w:rsidR="006D212F" w:rsidRPr="00B76053" w:rsidRDefault="006D212F" w:rsidP="006D212F">
      <w:pPr>
        <w:rPr>
          <w:rFonts w:cs="Times New Roman"/>
        </w:rPr>
      </w:pPr>
      <w:r w:rsidRPr="00B76053">
        <w:rPr>
          <w:rFonts w:cs="Times New Roman"/>
          <w:b/>
        </w:rPr>
        <w:t>Scaling period (2025–2026).</w:t>
      </w:r>
      <w:r w:rsidRPr="00B76053">
        <w:rPr>
          <w:rFonts w:cs="Times New Roman"/>
        </w:rPr>
        <w:t xml:space="preserve"> By 2025, Betsy was part of Better's broader AI-enabled operating model. In its fourth-quarter and full-year 2024 results release, Better reported that Betsy was conducting more than 115,000 customer interactions per month and that approximately 40% of loan files were receiving Tinman AI underwriting review — management-reported indicators suggesting a shift from experimentation to sustained operational use (Better Home &amp; Finance Holding Company, 2025a). This customer-interaction figure reflects a broader reporting base than the approximately 100,000 mortgage-related phone calls per month referenced in the subsequent Better–ElevenLabs joint materials (Better Home &amp; Finance Holding Company &amp; ElevenLabs, 2026); the two metrics differ in scope and should not be treated as numerically contradictory. Better's Q1 2025 release stated that Betsy had been further expanded into processing and underwriting workflows, while the Q2 2025 release confirmed that Betsy had been extended to autonomously enable consumers to lock their rate and move their loan toward closing (Better Home &amp; Finance Holding Company, 2025b, 2025c). According to ElevenLabs case material, Better adopted ElevenAgents in June 2025 to extend Tinman's digital mortgage workflows through Betsy's voice interface; the partnership was publicly described in the joint Better–ElevenLabs materials released in 2026 (Better Home &amp; Finance Holding Company &amp; ElevenLabs, 2026; ElevenLabs, 2026). The scaling period must be interpreted with caution: the available data captures </w:t>
      </w:r>
      <w:r w:rsidRPr="00B76053">
        <w:rPr>
          <w:rFonts w:cs="Times New Roman"/>
        </w:rPr>
        <w:lastRenderedPageBreak/>
        <w:t>Better.com's overall post-Betsy trajectory but does not isolate Betsy's effect from the concurrent maturation of Tinman, the NEO channel launch, product mix shifts, and broader market conditions. The thesis therefore treats 2025–2026 as evidence of the broader Betsy/Tinman AI operating model rather than a causal test of a single voice agent.</w:t>
      </w:r>
    </w:p>
    <w:p w14:paraId="2B57C365" w14:textId="77777777" w:rsidR="006046D2" w:rsidRPr="00B76053" w:rsidRDefault="00B04762">
      <w:pPr>
        <w:pStyle w:val="Heading2"/>
        <w:spacing w:before="280"/>
        <w:rPr>
          <w:rFonts w:cs="Times New Roman"/>
        </w:rPr>
      </w:pPr>
      <w:bookmarkStart w:id="48" w:name="_Toc229755315"/>
      <w:r w:rsidRPr="00B76053">
        <w:rPr>
          <w:rFonts w:cs="Times New Roman"/>
        </w:rPr>
        <w:t xml:space="preserve">4.8 </w:t>
      </w:r>
      <w:r w:rsidR="008C3CDC" w:rsidRPr="00B76053">
        <w:rPr>
          <w:rFonts w:cs="Times New Roman"/>
        </w:rPr>
        <w:t>Chapter Summary</w:t>
      </w:r>
      <w:bookmarkEnd w:id="48"/>
    </w:p>
    <w:p w14:paraId="60EFB628" w14:textId="77777777" w:rsidR="008C3CDC" w:rsidRPr="00B76053" w:rsidRDefault="008C3CDC" w:rsidP="00112B90">
      <w:pPr>
        <w:rPr>
          <w:rFonts w:cs="Times New Roman"/>
        </w:rPr>
      </w:pPr>
      <w:r w:rsidRPr="00B76053">
        <w:rPr>
          <w:rFonts w:cs="Times New Roman"/>
        </w:rPr>
        <w:t>This chapter has established the empirical foundation for the analysis in Chapter 5 by presenting Better.com as a digital-first mortgage lender whose AI deployment is inseparable from the organisational and technological context that preceded it. The Tinman platform provides the integrated process architecture — aggregating borrower data, supporting automated decisioning, and orchestrating mortgage workflows — that allows Betsy to function as a conversational coordination layer rather than a generic chatbot. ElevenLabs supplies the voice-infrastructure layer, enabling low-latency, natural-speech interaction with borrowers while operational control remains within Better's own environment. Betsy's deployment on 17 October 2024, following three years of severe market contraction and workforce restructuring, reflects a broader attempt to rebuild operational scale through AI-enabled productivity rather than proportional headcount growth. Chapter 5 builds on this case description by examining the evidence across the three empirical strands of the thesis: the qualitative integration analysis of RQ1, the financial performance analysis, and the NLP-based customer perception analysis, both addressing RQ2.</w:t>
      </w:r>
    </w:p>
    <w:p w14:paraId="672C0CC6" w14:textId="77777777" w:rsidR="001A7B0D" w:rsidRPr="00B76053" w:rsidRDefault="001A7B0D" w:rsidP="001A7B0D">
      <w:pPr>
        <w:pStyle w:val="Heading1"/>
        <w:pageBreakBefore/>
        <w:spacing w:after="120"/>
        <w:rPr>
          <w:rFonts w:cs="Times New Roman"/>
        </w:rPr>
      </w:pPr>
      <w:bookmarkStart w:id="49" w:name="_Toc229755316"/>
      <w:r w:rsidRPr="00B76053">
        <w:rPr>
          <w:rFonts w:cs="Times New Roman"/>
        </w:rPr>
        <w:lastRenderedPageBreak/>
        <w:t>5. Empirical Findings: Triangulated Evidence on the Business Value of Voice AI at Better.com</w:t>
      </w:r>
      <w:bookmarkEnd w:id="49"/>
    </w:p>
    <w:p w14:paraId="1FF2E584" w14:textId="77777777" w:rsidR="001A7B0D" w:rsidRPr="00B76053" w:rsidRDefault="001A7B0D" w:rsidP="001A7B0D">
      <w:pPr>
        <w:pStyle w:val="Heading2"/>
        <w:rPr>
          <w:rFonts w:cs="Times New Roman"/>
        </w:rPr>
      </w:pPr>
      <w:bookmarkStart w:id="50" w:name="_Toc229755317"/>
      <w:r w:rsidRPr="00B76053">
        <w:rPr>
          <w:rFonts w:cs="Times New Roman"/>
        </w:rPr>
        <w:t>5.1 Introduction to Empirical Findings</w:t>
      </w:r>
      <w:bookmarkEnd w:id="50"/>
    </w:p>
    <w:p w14:paraId="445BCDC6" w14:textId="77777777" w:rsidR="001A7B0D" w:rsidRPr="00B76053" w:rsidRDefault="001A7B0D" w:rsidP="001A7B0D">
      <w:pPr>
        <w:ind w:left="283"/>
        <w:rPr>
          <w:rFonts w:cs="Times New Roman"/>
        </w:rPr>
      </w:pPr>
      <w:r w:rsidRPr="00B76053">
        <w:rPr>
          <w:rFonts w:cs="Times New Roman"/>
          <w:i/>
          <w:sz w:val="20"/>
        </w:rPr>
        <w:t xml:space="preserve">Terminology </w:t>
      </w:r>
      <w:proofErr w:type="gramStart"/>
      <w:r w:rsidRPr="00B76053">
        <w:rPr>
          <w:rFonts w:cs="Times New Roman"/>
          <w:i/>
          <w:sz w:val="20"/>
        </w:rPr>
        <w:t>note</w:t>
      </w:r>
      <w:proofErr w:type="gramEnd"/>
      <w:r w:rsidRPr="00B76053">
        <w:rPr>
          <w:rFonts w:cs="Times New Roman"/>
          <w:i/>
          <w:sz w:val="20"/>
        </w:rPr>
        <w:t>: Throughout this chapter, "the broader Betsy/Tinman AI operating model" refers to the joint configuration of the Tinman platform, the Betsy voice agent, the ElevenLabs voice infrastructure, the human-in-the-loop escalation structure, and the surrounding organisational practices. Where the chapter refers to Betsy as a discrete component, this is made explicit.</w:t>
      </w:r>
    </w:p>
    <w:p w14:paraId="10F1F016" w14:textId="77777777" w:rsidR="001A7B0D" w:rsidRPr="00B76053" w:rsidRDefault="001A7B0D" w:rsidP="001A7B0D">
      <w:pPr>
        <w:rPr>
          <w:rFonts w:cs="Times New Roman"/>
        </w:rPr>
      </w:pPr>
      <w:r w:rsidRPr="00B76053">
        <w:rPr>
          <w:rFonts w:cs="Times New Roman"/>
        </w:rPr>
        <w:t>This chapter presents the empirical findings of the thesis by integrating three evidence streams: qualitative case-study evidence on the integration of Betsy into Better.com's Tinman-based mortgage origination workflow; longitudinal financial evidence drawn from SEC filings and a descriptive benchmark comparison against Rocket Mortgage; and customer-perception evidence derived from an NLP analysis of Trustpilot reviews. The chapter is organised around the two research questions of the thesis. RQ1 asks how voice LLM agents have been integrated into Better.com's mortgage origination process and what architectural, workflow, and human-AI collaboration prerequisites this integration implies. RQ2 asks what measurable business value can be associated with Better.com's voice AI deployment across operational efficiency, productivity, customer experience, and financial performance.</w:t>
      </w:r>
    </w:p>
    <w:p w14:paraId="2C943696" w14:textId="77777777" w:rsidR="001A7B0D" w:rsidRPr="00B76053" w:rsidRDefault="001A7B0D" w:rsidP="001A7B0D">
      <w:pPr>
        <w:rPr>
          <w:rFonts w:cs="Times New Roman"/>
        </w:rPr>
      </w:pPr>
      <w:r w:rsidRPr="00B76053">
        <w:rPr>
          <w:rFonts w:cs="Times New Roman"/>
        </w:rPr>
        <w:t xml:space="preserve">RQ1 is answered primarily through the qualitative case-study evidence established in Chapter 4, supplemented by company disclosures and vendor materials (Better Home &amp; Finance Holding Company, 2024a, 2026; ElevenLabs, 2026). RQ2 is answered through two largely independent quantitative streams: the longitudinal financial analysis of Better's 2021–2025 SEC filings, contextualised against Rocket Mortgage as a directional industry benchmark; and the NLP analysis of 1,915 cleaned Trustpilot reviews segmented around Betsy's 17 October 2024 launch (Better Home &amp; Finance Holding Company, 2024a). Following the convergent parallel mixed-methods design described in Chapter 3, the three streams are interpreted together, with explicit attention to convergence and divergence. Two interpretive constraints frame the chapter. First, the thesis relies on observational, public, secondary data; consequently, the chapter does not claim causal identification of Betsy's independent contribution — it evaluates whether the post-deployment evidence is consistent with AI-enabled operational leverage in the sense theorised by Brynjolfsson </w:t>
      </w:r>
      <w:r w:rsidRPr="00B76053">
        <w:rPr>
          <w:rFonts w:cs="Times New Roman"/>
        </w:rPr>
        <w:lastRenderedPageBreak/>
        <w:t>et al. (2023) and Aggarwal et al. (2025). Second, the chapter foregrounds an analytically significant divergence: financial and operational metrics improve across 2024–2025, while independent Trustpilot ratings and VADER sentiment decline significantly over the same period and explicit AI mentions remain near-zero. Rather than treating this as a contradiction, the chapter treats it as a triangulation insight.</w:t>
      </w:r>
    </w:p>
    <w:p w14:paraId="4CFEF3FB" w14:textId="77777777" w:rsidR="001A7B0D" w:rsidRPr="00B76053" w:rsidRDefault="001A7B0D" w:rsidP="001A7B0D">
      <w:pPr>
        <w:rPr>
          <w:rFonts w:cs="Times New Roman"/>
        </w:rPr>
      </w:pPr>
      <w:r w:rsidRPr="00B76053">
        <w:rPr>
          <w:rFonts w:cs="Times New Roman"/>
        </w:rPr>
        <w:t>The chapter proceeds in six analytical sections. Section 5.2 addresses RQ1 by analysing how Tinman, Betsy, ElevenLabs, and human escalation form an integration mechanism. Sections 5.3 and 5.4 address the operational/financial and customer-experience dimensions of RQ2. Section 5.5 synthesises the three streams. Section 5.6 records boundary conditions, and Section 5.7 presents direct, evidence-bounded answers to RQ1 and RQ2.</w:t>
      </w:r>
    </w:p>
    <w:p w14:paraId="6BE2B5B4" w14:textId="77777777" w:rsidR="001A7B0D" w:rsidRPr="00B76053" w:rsidRDefault="001A7B0D" w:rsidP="001A7B0D">
      <w:pPr>
        <w:pStyle w:val="Heading2"/>
        <w:rPr>
          <w:rFonts w:cs="Times New Roman"/>
        </w:rPr>
      </w:pPr>
      <w:bookmarkStart w:id="51" w:name="_Toc229755318"/>
      <w:r w:rsidRPr="00B76053">
        <w:rPr>
          <w:rFonts w:cs="Times New Roman"/>
        </w:rPr>
        <w:t>5.2 RQ1: Integration of Voice LLM Agents into Mortgage Origination</w:t>
      </w:r>
      <w:bookmarkEnd w:id="51"/>
    </w:p>
    <w:p w14:paraId="7361AC34" w14:textId="77777777" w:rsidR="001A7B0D" w:rsidRPr="00B76053" w:rsidRDefault="001A7B0D" w:rsidP="001A7B0D">
      <w:pPr>
        <w:rPr>
          <w:rFonts w:cs="Times New Roman"/>
        </w:rPr>
      </w:pPr>
      <w:r w:rsidRPr="00B76053">
        <w:rPr>
          <w:rFonts w:cs="Times New Roman"/>
        </w:rPr>
        <w:t>RQ1 asks how voice LLM agents have been integrated into Better.com's mortgage origination process and under what prerequisites this integration becomes operationally meaningful. The case evidence developed in Chapter 4 supports four interlocking observations: Tinman is the architectural prerequisite that makes a conversational layer operationally useful; Betsy is best understood as a coordination layer rather than a stand-alone underwriter; ElevenLabs supplies the voice infrastructure but does not own Better's mortgage logic; and the deployment is structured as task reallocation between AI and licensed human specialists, not as full labour substitution. Together, these observations indicate that voice LLM integration in financial services is best interpreted as a workflow-integration problem rather than a front-end chatbot problem.</w:t>
      </w:r>
    </w:p>
    <w:p w14:paraId="051843CD" w14:textId="77777777" w:rsidR="001A7B0D" w:rsidRPr="00B76053" w:rsidRDefault="001A7B0D" w:rsidP="001A7B0D">
      <w:pPr>
        <w:pStyle w:val="Heading3"/>
        <w:spacing w:after="120"/>
        <w:rPr>
          <w:rFonts w:cs="Times New Roman"/>
        </w:rPr>
      </w:pPr>
      <w:bookmarkStart w:id="52" w:name="_Toc229755319"/>
      <w:r w:rsidRPr="00B76053">
        <w:rPr>
          <w:rFonts w:cs="Times New Roman"/>
        </w:rPr>
        <w:t>5.2.1 Tinman as the Architectural Prerequisite</w:t>
      </w:r>
      <w:bookmarkEnd w:id="52"/>
    </w:p>
    <w:p w14:paraId="0EEDBB29" w14:textId="77777777" w:rsidR="001A7B0D" w:rsidRPr="00B76053" w:rsidRDefault="001A7B0D" w:rsidP="001A7B0D">
      <w:pPr>
        <w:rPr>
          <w:rFonts w:cs="Times New Roman"/>
        </w:rPr>
      </w:pPr>
      <w:r w:rsidRPr="00B76053">
        <w:rPr>
          <w:rFonts w:cs="Times New Roman"/>
        </w:rPr>
        <w:t xml:space="preserve">Better.com's ability to deploy a </w:t>
      </w:r>
      <w:proofErr w:type="gramStart"/>
      <w:r w:rsidRPr="00B76053">
        <w:rPr>
          <w:rFonts w:cs="Times New Roman"/>
        </w:rPr>
        <w:t>voice AI loan assistant rests</w:t>
      </w:r>
      <w:proofErr w:type="gramEnd"/>
      <w:r w:rsidRPr="00B76053">
        <w:rPr>
          <w:rFonts w:cs="Times New Roman"/>
        </w:rPr>
        <w:t xml:space="preserve"> on the fact that its mortgage process is already encoded in Tinman, the company's proprietary, integrated mortgage operating platform. Tinman functions as the system of record for borrower data, pricing, documentation, eligibility checks, workflow routing, and audit trails (Better Home &amp; Finance Holding Company, 2026). This matters because, in the task-technology fit tradition of Goodhue and Thompson (1995), the fit between a conversational technology and the work it is asked to perform depends on whether the technology has access to the data and process state needed for the task. A voice LLM agent operating without access to a structured mortgage system would be limited to generic </w:t>
      </w:r>
      <w:r w:rsidRPr="00B76053">
        <w:rPr>
          <w:rFonts w:cs="Times New Roman"/>
        </w:rPr>
        <w:lastRenderedPageBreak/>
        <w:t>informational dialogue. Operating on top of Tinman, the agent is positioned to reference an applicant's loan stage, request missing documentation, or surface status information derived from the system of record. The case evidence therefore suggests that the operational meaningfulness of Betsy is not a property of the voice agent in isolation; it is a joint property of Betsy and the Tinman-mediated workflow into which it is embedded.</w:t>
      </w:r>
    </w:p>
    <w:p w14:paraId="5131C366" w14:textId="77777777" w:rsidR="001A7B0D" w:rsidRPr="00B76053" w:rsidRDefault="001A7B0D" w:rsidP="001A7B0D">
      <w:pPr>
        <w:rPr>
          <w:rFonts w:cs="Times New Roman"/>
        </w:rPr>
      </w:pPr>
      <w:r w:rsidRPr="00B76053">
        <w:rPr>
          <w:rFonts w:cs="Times New Roman"/>
        </w:rPr>
        <w:t>This interpretation is consistent with the broader literature on AI in customer-facing financial services. Hentzen et al. (2022) emphasise that AI systems in mortgage and banking contexts are most effective when embedded in compliant, auditable workflows; Mogaji and Nguyen (2022) note that consequential AI applications often operate as backend or infrastructure-level components rather than as branded customer-facing chatbots. Better.com's public materials position Tinman as such an architectural foundation: the company describes itself as a technology-first mortgage lender whose digital infrastructure was designed to digitise the end-to-end home-finance process before voice AI was layered on top (Better.com, n.d.; Better Home &amp; Finance Holding Company, 2026). The case therefore supports the argument that the preconditions for a meaningful voice LLM deployment include not only model quality but also a process-aware operating platform that exposes structured workflow state to the conversational layer.</w:t>
      </w:r>
    </w:p>
    <w:p w14:paraId="7D220009" w14:textId="77777777" w:rsidR="001A7B0D" w:rsidRPr="00B76053" w:rsidRDefault="001A7B0D" w:rsidP="001A7B0D">
      <w:pPr>
        <w:pStyle w:val="Heading3"/>
        <w:spacing w:after="120"/>
        <w:rPr>
          <w:rFonts w:cs="Times New Roman"/>
        </w:rPr>
      </w:pPr>
      <w:bookmarkStart w:id="53" w:name="_Toc229755320"/>
      <w:r w:rsidRPr="00B76053">
        <w:rPr>
          <w:rFonts w:cs="Times New Roman"/>
        </w:rPr>
        <w:t>5.2.2 Betsy as a Conversational Coordination Layer</w:t>
      </w:r>
      <w:bookmarkEnd w:id="53"/>
    </w:p>
    <w:p w14:paraId="1C684D43" w14:textId="77777777" w:rsidR="001A7B0D" w:rsidRPr="00B76053" w:rsidRDefault="001A7B0D" w:rsidP="001A7B0D">
      <w:pPr>
        <w:rPr>
          <w:rFonts w:cs="Times New Roman"/>
        </w:rPr>
      </w:pPr>
      <w:r w:rsidRPr="00B76053">
        <w:rPr>
          <w:rFonts w:cs="Times New Roman"/>
        </w:rPr>
        <w:t>Betsy is described in Better.com's investor and press materials as a voice-based AI loan assistant rather than as an underwriting engine (Better Home &amp; Finance Holding Company, 2024a; ElevenLabs, 2026). The publicly disclosed scope of Betsy's tasks centres on borrower communication: handling inbound and outbound calls, answering routine questions about rates and processes, collecting and chasing missing documentation, providing application-status updates, and triaging borrower inquiries. Betsy is therefore best interpreted as a conversational coordination layer over the mortgage workflow — automating the high-volume, repetitive communicative work that historically consumed loan-officer time, while leaving credit decisions, complex problem solving, and final closing steps to licensed human specialists.</w:t>
      </w:r>
    </w:p>
    <w:p w14:paraId="6868BDB5" w14:textId="77777777" w:rsidR="001A7B0D" w:rsidRPr="00B76053" w:rsidRDefault="001A7B0D" w:rsidP="001A7B0D">
      <w:pPr>
        <w:rPr>
          <w:rFonts w:cs="Times New Roman"/>
        </w:rPr>
      </w:pPr>
      <w:r w:rsidRPr="00B76053">
        <w:rPr>
          <w:rFonts w:cs="Times New Roman"/>
        </w:rPr>
        <w:t xml:space="preserve">This division of labour is consistent with Huang and Rust's (2018) service-AI hierarchy, which distinguishes mechanical, analytical, intuitive, and empathetic dimensions of service work. Betsy operates primarily within the mechanical and analytical dimensions — retrieving structured </w:t>
      </w:r>
      <w:r w:rsidRPr="00B76053">
        <w:rPr>
          <w:rFonts w:cs="Times New Roman"/>
        </w:rPr>
        <w:lastRenderedPageBreak/>
        <w:t>information, executing predictable conversational scripts, and handling routine status communication — while higher-stakes interactions involving borrower-specific judgement, regulatory advice, or escalation are routed to humans. It is also broadly consistent with the field-experimental evidence from Wang et al. (2023) on voice-based AI in call-centre settings, where voice AI agents complement rather than replace human workers, and from Zhang et al. (2023) on the operational performance effects of AI-based conversational agents in call centres. Crucially, however, the case-study evidence does not allow attribution of any specific operational outcome at Better.com to Betsy in isolation; it shows that Betsy is positioned as a coordination layer within the broader Betsy/Tinman operating model.</w:t>
      </w:r>
    </w:p>
    <w:p w14:paraId="1542B5B4" w14:textId="77777777" w:rsidR="001A7B0D" w:rsidRPr="00B76053" w:rsidRDefault="001A7B0D" w:rsidP="001A7B0D">
      <w:pPr>
        <w:pStyle w:val="Heading3"/>
        <w:spacing w:after="120"/>
        <w:rPr>
          <w:rFonts w:cs="Times New Roman"/>
        </w:rPr>
      </w:pPr>
      <w:bookmarkStart w:id="54" w:name="_Toc229755321"/>
      <w:r w:rsidRPr="00B76053">
        <w:rPr>
          <w:rFonts w:cs="Times New Roman"/>
        </w:rPr>
        <w:t>5.2.3 ElevenLabs as Voice Infrastructure</w:t>
      </w:r>
      <w:bookmarkEnd w:id="54"/>
    </w:p>
    <w:p w14:paraId="3B4171EA" w14:textId="77777777" w:rsidR="001A7B0D" w:rsidRPr="00B76053" w:rsidRDefault="001A7B0D" w:rsidP="001A7B0D">
      <w:pPr>
        <w:rPr>
          <w:rFonts w:cs="Times New Roman"/>
        </w:rPr>
      </w:pPr>
      <w:r w:rsidRPr="00B76053">
        <w:rPr>
          <w:rFonts w:cs="Times New Roman"/>
        </w:rPr>
        <w:t>ElevenLabs functions as the underlying voice-agent infrastructure for Betsy. According to the joint Better.com–ElevenLabs materials, ElevenLabs provides the conversational AI agents, low-latency speech synthesis, and the agentic conversational runtime that lets Betsy speak naturally with borrowers (ElevenLabs, 2026; Better Home &amp; Finance Holding Company &amp; ElevenLabs, 2026). This vendor relationship is analytically important for two reasons. First, it clarifies that the voice layer is delivered through a third-party platform rather than constructed in-house, which aligns with broader industry patterns in which financial-services firms compose AI-supported workflows from specialised infrastructure components (Liu et al., 2024). Second, it bounds the analytical claims that can be made: ElevenLabs supplies the voice-agent capabilities, but it does not own the mortgage logic, the customer relationship, or the regulated decision-making — Better.com retains those through Tinman and its licensed loan officers.</w:t>
      </w:r>
    </w:p>
    <w:p w14:paraId="58BBE856" w14:textId="3BA4CEB8" w:rsidR="001A7B0D" w:rsidRPr="00B76053" w:rsidRDefault="001A7B0D" w:rsidP="001A7B0D">
      <w:pPr>
        <w:rPr>
          <w:rFonts w:cs="Times New Roman"/>
        </w:rPr>
      </w:pPr>
      <w:r w:rsidRPr="00B76053">
        <w:rPr>
          <w:rFonts w:cs="Times New Roman"/>
        </w:rPr>
        <w:t>The vendor evidence must be treated cautiously. ElevenLabs and Better.com both have incentives to present the deployment favourably in joint case-study materials, and figures cited in vendor communications are not independently audited. Following Mogaji and Nguyen's (202</w:t>
      </w:r>
      <w:r w:rsidR="007E69D3">
        <w:rPr>
          <w:rFonts w:cs="Times New Roman"/>
        </w:rPr>
        <w:t>2</w:t>
      </w:r>
      <w:r w:rsidRPr="00B76053">
        <w:rPr>
          <w:rFonts w:cs="Times New Roman"/>
        </w:rPr>
        <w:t>) caution about treating AI vendor claims as independent evidence of business value, this thesis uses the Better.com–ElevenLabs materials to characterise the integration mechanism rather than to substantiate magnitude claims about cost savings or revenue uplift. Where vendor materials and Better's own SEC disclosures align, the alignment is reported; where vendor materials extend beyond what Better's SEC filings disclose, the claim is treated as moderate-strength descriptive evidence only.</w:t>
      </w:r>
    </w:p>
    <w:p w14:paraId="3BCD0C46" w14:textId="77777777" w:rsidR="001A7B0D" w:rsidRPr="00B76053" w:rsidRDefault="001A7B0D" w:rsidP="001A7B0D">
      <w:pPr>
        <w:pStyle w:val="Heading3"/>
        <w:spacing w:after="120"/>
        <w:rPr>
          <w:rFonts w:cs="Times New Roman"/>
        </w:rPr>
      </w:pPr>
      <w:bookmarkStart w:id="55" w:name="_Toc229755322"/>
      <w:r w:rsidRPr="00B76053">
        <w:rPr>
          <w:rFonts w:cs="Times New Roman"/>
        </w:rPr>
        <w:lastRenderedPageBreak/>
        <w:t>5.2.4 Human-AI Collaboration and Regulated Task Boundaries</w:t>
      </w:r>
      <w:bookmarkEnd w:id="55"/>
    </w:p>
    <w:p w14:paraId="445CBBE3" w14:textId="77777777" w:rsidR="001A7B0D" w:rsidRPr="00B76053" w:rsidRDefault="001A7B0D" w:rsidP="001A7B0D">
      <w:pPr>
        <w:rPr>
          <w:rFonts w:cs="Times New Roman"/>
        </w:rPr>
      </w:pPr>
      <w:r w:rsidRPr="00B76053">
        <w:rPr>
          <w:rFonts w:cs="Times New Roman"/>
        </w:rPr>
        <w:t>A consistent feature of the public materials is that Betsy's operating model preserves human escalation. Better Home &amp; Finance Holding Company (2024a) describes Betsy as an assistant that handles routine borrower communication and surfaces escalations to licensed loan officers, and the joint Better–ElevenLabs materials emphasise compliance-oriented controls around the conversational layer (ElevenLabs, 2026; Better Home &amp; Finance Holding Company &amp; ElevenLabs, 2026). The case evidence therefore supports an interpretation of the deployment as task reallocation rather than full labour substitution: high-volume informational and procedural communication is reallocated to a voice AI agent, while consequential, regulated, or borrower-specific judgements remain with human specialists. This pattern is consistent with Acemoglu and Restrepo's (2019) framework, in which automation simultaneously displaces labour on some tasks and reinstates labour on adjacent tasks that the technology cannot perform as effectively.</w:t>
      </w:r>
    </w:p>
    <w:p w14:paraId="34A0C0DE" w14:textId="77777777" w:rsidR="001A7B0D" w:rsidRPr="00B76053" w:rsidRDefault="001A7B0D" w:rsidP="001A7B0D">
      <w:pPr>
        <w:rPr>
          <w:rFonts w:cs="Times New Roman"/>
        </w:rPr>
      </w:pPr>
      <w:r w:rsidRPr="00B76053">
        <w:rPr>
          <w:rFonts w:cs="Times New Roman"/>
        </w:rPr>
        <w:t>From a regulatory perspective, mortgage origination in the United States is governed by federal and state-level disclosure, fair-lending, and consumer-protection rules administered through agencies such as the Consumer Financial Protection Bureau (Consumer Financial Protection Bureau, 2024, 2025). Many of these rules require licensed personnel to validate or sign off on consequential decisions and disclosures. A voice LLM agent integrated into a regulated origination workflow must therefore be embedded in an architecture that maintains auditable handoffs, documented decision trails, and visible human-in-the-loop checkpoints. The Better.com case is consistent with this configuration: Tinman maintains the workflow and audit trails, Betsy mediates routine communication, and licensed loan officers retain authority over consequential decisions. Together, these four observations supply the answer to RQ1, stated formally in Section 5.7.</w:t>
      </w:r>
    </w:p>
    <w:p w14:paraId="1613D07B" w14:textId="77777777" w:rsidR="001A7B0D" w:rsidRPr="00B76053" w:rsidRDefault="001A7B0D" w:rsidP="001A7B0D">
      <w:pPr>
        <w:pStyle w:val="Heading2"/>
        <w:rPr>
          <w:rFonts w:cs="Times New Roman"/>
        </w:rPr>
      </w:pPr>
      <w:bookmarkStart w:id="56" w:name="_Toc229755323"/>
      <w:r w:rsidRPr="00B76053">
        <w:rPr>
          <w:rFonts w:cs="Times New Roman"/>
        </w:rPr>
        <w:t>5.3 RQ2: Operational and Financial Business Value</w:t>
      </w:r>
      <w:bookmarkEnd w:id="56"/>
    </w:p>
    <w:p w14:paraId="1131AB45" w14:textId="77777777" w:rsidR="001A7B0D" w:rsidRPr="00B76053" w:rsidRDefault="001A7B0D" w:rsidP="001A7B0D">
      <w:pPr>
        <w:rPr>
          <w:rFonts w:cs="Times New Roman"/>
        </w:rPr>
      </w:pPr>
      <w:r w:rsidRPr="00B76053">
        <w:rPr>
          <w:rFonts w:cs="Times New Roman"/>
        </w:rPr>
        <w:t xml:space="preserve">This section addresses the operational and financial dimensions of RQ2. The analytical strategy is descriptive and longitudinal. The 2024-to-2025 comparison is treated as the primary post-transition window, because Betsy launched on 17 October 2024 and 2025 is therefore the first full post-launch fiscal year (Better Home &amp; Finance Holding Company, 2024a). The 2023-to-2025 comparison is reported as supporting evidence of recovery from the 2023 trough rather than as a Betsy-specific causal comparison. The pre-period 2021–2023 average is used as a robustness </w:t>
      </w:r>
      <w:r w:rsidRPr="00B76053">
        <w:rPr>
          <w:rFonts w:cs="Times New Roman"/>
        </w:rPr>
        <w:lastRenderedPageBreak/>
        <w:t>check to show that 2025 figures, while higher than the 2024 transition year, have not fully returned to pandemic-era levels. Throughout, Rocket Companies is used as a directional industry benchmark; differences in scale, business model, and the 2025 Mr. Cooper acquisition mean that Rocket cannot serve as a formal counterfactual.</w:t>
      </w:r>
    </w:p>
    <w:p w14:paraId="39842C77" w14:textId="77777777" w:rsidR="001A7B0D" w:rsidRPr="00B76053" w:rsidRDefault="001A7B0D" w:rsidP="001A7B0D">
      <w:pPr>
        <w:spacing w:before="240" w:after="80"/>
        <w:jc w:val="center"/>
        <w:rPr>
          <w:rFonts w:cs="Times New Roman"/>
        </w:rPr>
      </w:pPr>
      <w:r w:rsidRPr="00B76053">
        <w:rPr>
          <w:rFonts w:cs="Times New Roman"/>
          <w:noProof/>
        </w:rPr>
        <w:drawing>
          <wp:inline distT="0" distB="0" distL="0" distR="0" wp14:anchorId="62C2DACE" wp14:editId="685105F2">
            <wp:extent cx="5029200" cy="5845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4beh_bpy.png"/>
                    <pic:cNvPicPr/>
                  </pic:nvPicPr>
                  <pic:blipFill>
                    <a:blip r:embed="rId8"/>
                    <a:stretch>
                      <a:fillRect/>
                    </a:stretch>
                  </pic:blipFill>
                  <pic:spPr>
                    <a:xfrm>
                      <a:off x="0" y="0"/>
                      <a:ext cx="5029200" cy="5845753"/>
                    </a:xfrm>
                    <a:prstGeom prst="rect">
                      <a:avLst/>
                    </a:prstGeom>
                  </pic:spPr>
                </pic:pic>
              </a:graphicData>
            </a:graphic>
          </wp:inline>
        </w:drawing>
      </w:r>
    </w:p>
    <w:p w14:paraId="1EAAA620" w14:textId="77777777" w:rsidR="001A7B0D" w:rsidRPr="00B76053" w:rsidRDefault="001A7B0D" w:rsidP="001A7B0D">
      <w:pPr>
        <w:spacing w:before="80"/>
        <w:rPr>
          <w:rFonts w:cs="Times New Roman"/>
        </w:rPr>
      </w:pPr>
      <w:r w:rsidRPr="00B76053">
        <w:rPr>
          <w:rFonts w:cs="Times New Roman"/>
          <w:i/>
          <w:sz w:val="20"/>
        </w:rPr>
        <w:t>Figure 5.1. Better.com revenue, standardised total expense base, and net income/loss, 2021–2025. Shaded regions mark the pre-Betsy baseline (2021–2023), the 2024 transition year, and the 2025 post-Betsy fiscal year. Source: Better Home &amp; Finance Holding Company SEC filings (S-1; 10-K 2023, 2024, 2025).</w:t>
      </w:r>
    </w:p>
    <w:p w14:paraId="13B3EBC0" w14:textId="77777777" w:rsidR="001A7B0D" w:rsidRPr="00B76053" w:rsidRDefault="001A7B0D" w:rsidP="001A7B0D">
      <w:pPr>
        <w:pStyle w:val="Heading3"/>
        <w:spacing w:after="120"/>
        <w:rPr>
          <w:rFonts w:cs="Times New Roman"/>
        </w:rPr>
      </w:pPr>
      <w:bookmarkStart w:id="57" w:name="_Toc229755324"/>
      <w:r w:rsidRPr="00B76053">
        <w:rPr>
          <w:rFonts w:cs="Times New Roman"/>
        </w:rPr>
        <w:lastRenderedPageBreak/>
        <w:t>5.3.1 Revenue Recovery and Post-Transition Growth</w:t>
      </w:r>
      <w:bookmarkEnd w:id="57"/>
    </w:p>
    <w:p w14:paraId="7867DB38" w14:textId="77777777" w:rsidR="001A7B0D" w:rsidRPr="00B76053" w:rsidRDefault="001A7B0D" w:rsidP="001A7B0D">
      <w:pPr>
        <w:rPr>
          <w:rFonts w:cs="Times New Roman"/>
        </w:rPr>
      </w:pPr>
      <w:r w:rsidRPr="00B76053">
        <w:rPr>
          <w:rFonts w:cs="Times New Roman"/>
        </w:rPr>
        <w:t>Better.com's revenue trajectory across 2023–2025 displays a clear recovery pattern. Reported total net revenue rose from approximately $76.8 million in 2023 to approximately $108.5 million in 2024 and approximately $164.9 million in 2025 (Better Home &amp; Finance Holding Company, 2024b, 2025a, 2026). The primary post-transition comparison is an increase of approximately 52.0 per cent from 2024 to 2025. Across the longer 2023-to-2025 window, revenue grew by approximately 114.6 per cent, but this larger figure incorporates the trough-year baseline of 2023, when the U.S. mortgage market was constrained by elevated interest rates and depressed origination volumes (Mortgage Bankers Association, 2024a). Funded loan volume moved in the same direction, rising from approximately $3.0 billion in 2023 to approximately $3.6 billion in 2024 (Better Home &amp; Finance Holding Company, 2024b, 2025a). Figure 5.1 visualises this trajectory alongside the standardised total expense base and the net loss line.</w:t>
      </w:r>
    </w:p>
    <w:p w14:paraId="4351F592" w14:textId="77777777" w:rsidR="001A7B0D" w:rsidRPr="00B76053" w:rsidRDefault="001A7B0D" w:rsidP="001A7B0D">
      <w:pPr>
        <w:rPr>
          <w:rFonts w:cs="Times New Roman"/>
        </w:rPr>
      </w:pPr>
      <w:r w:rsidRPr="00B76053">
        <w:rPr>
          <w:rFonts w:cs="Times New Roman"/>
        </w:rPr>
        <w:t>Two contextual observations help calibrate this revenue recovery. First, it is partial rather than complete: even at the 2025 level of approximately $164.9 million, revenue remains below Better's 2021 pandemic-era peak. The 2025 figure is therefore best read as a meaningful recovery from the 2023 trough, not a return to pre-restructuring scale. Second, the recovery is occurring in a U.S. mortgage market that is itself only partially recovering. Mortgage Bankers Association (2024a) data indicate that independent mortgage banker production margins improved from late-2023 lows but remained below long-run averages through 2024, with origination volumes still constrained by elevated rates. The descriptive benchmark comparison with Rocket Mortgage in Section 5.3.5 helps separate firm-specific from sector-wide effects, although it cannot do so with causal precision. The most defensible framing is that the post-transition revenue recovery is consistent with AI-enabled operational leverage, while leaving the specific contribution of Betsy unresolved.</w:t>
      </w:r>
    </w:p>
    <w:p w14:paraId="3A46B031" w14:textId="77777777" w:rsidR="001A7B0D" w:rsidRPr="00B76053" w:rsidRDefault="001A7B0D" w:rsidP="001A7B0D">
      <w:pPr>
        <w:pStyle w:val="Heading3"/>
        <w:spacing w:after="120"/>
        <w:rPr>
          <w:rFonts w:cs="Times New Roman"/>
        </w:rPr>
      </w:pPr>
      <w:bookmarkStart w:id="58" w:name="_Toc229755325"/>
      <w:r w:rsidRPr="00B76053">
        <w:rPr>
          <w:rFonts w:cs="Times New Roman"/>
        </w:rPr>
        <w:t>5.3.2 Expense Intensity and Operational Efficiency</w:t>
      </w:r>
      <w:bookmarkEnd w:id="58"/>
    </w:p>
    <w:p w14:paraId="44E20C96" w14:textId="77777777" w:rsidR="001A7B0D" w:rsidRPr="00B76053" w:rsidRDefault="001A7B0D" w:rsidP="001A7B0D">
      <w:pPr>
        <w:rPr>
          <w:rFonts w:cs="Times New Roman"/>
        </w:rPr>
      </w:pPr>
      <w:r w:rsidRPr="00B76053">
        <w:rPr>
          <w:rFonts w:cs="Times New Roman"/>
        </w:rPr>
        <w:t xml:space="preserve">The strongest descriptive evidence for operational efficiency at Better.com is the trajectory of the expense ratio, defined as the standardised total expense base divided by total net revenue. This ratio improved from 4.79 in 2023 to 2.89 in 2024 and 2.01 in 2025. Between 2024 and 2025, revenue grew by approximately 52.0 per cent while the standardised expense base grew by only approximately 5.3 per cent (2024: $313.9 million → 2025: $330.7 million), compared with the 2023 expense level of $368.1 million, which had already fallen substantially through restructuring. </w:t>
      </w:r>
      <w:r w:rsidRPr="00B76053">
        <w:rPr>
          <w:rFonts w:cs="Times New Roman"/>
        </w:rPr>
        <w:lastRenderedPageBreak/>
        <w:t>This pattern — substantial revenue growth with only marginal cost growth — is consistent with AI-enabled operational leverage: a process-aware operating platform absorbing additional volume without proportional cost expansion.</w:t>
      </w:r>
    </w:p>
    <w:p w14:paraId="2F09A698" w14:textId="77777777" w:rsidR="001A7B0D" w:rsidRPr="00B76053" w:rsidRDefault="001A7B0D" w:rsidP="001A7B0D">
      <w:pPr>
        <w:rPr>
          <w:rFonts w:cs="Times New Roman"/>
        </w:rPr>
      </w:pPr>
      <w:r w:rsidRPr="00B76053">
        <w:rPr>
          <w:rFonts w:cs="Times New Roman"/>
        </w:rPr>
        <w:t>The decomposition of the expense ratio is informative. The 2024-to-2025 improvement of approximately 30.7 per cent is driven primarily by revenue growth (the denominator effect), with only modest expense growth (the numerator effect). In a pure cost-cutting story, one would expect the numerator to fall sharply; in a pure demand-recovery story, one would expect the numerator to rise proportionally. The Better.com evidence fits neither pure pattern, which is what an operational-leverage trajectory should look like. This descriptive pattern is most consistent with the central hypothesis of the thesis, with the caution that it reflects the broader Betsy/Tinman operating model rather than Betsy alone.</w:t>
      </w:r>
    </w:p>
    <w:p w14:paraId="2048CF5E" w14:textId="77777777" w:rsidR="001A7B0D" w:rsidRPr="00B76053" w:rsidRDefault="001A7B0D" w:rsidP="001A7B0D">
      <w:pPr>
        <w:spacing w:before="240" w:after="80"/>
        <w:jc w:val="center"/>
        <w:rPr>
          <w:rFonts w:cs="Times New Roman"/>
        </w:rPr>
      </w:pPr>
      <w:r w:rsidRPr="00B76053">
        <w:rPr>
          <w:rFonts w:cs="Times New Roman"/>
          <w:noProof/>
        </w:rPr>
        <w:lastRenderedPageBreak/>
        <w:drawing>
          <wp:inline distT="0" distB="0" distL="0" distR="0" wp14:anchorId="075E1173" wp14:editId="3ED017E8">
            <wp:extent cx="5029200" cy="5234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i8tr0ddg.png"/>
                    <pic:cNvPicPr/>
                  </pic:nvPicPr>
                  <pic:blipFill>
                    <a:blip r:embed="rId9"/>
                    <a:stretch>
                      <a:fillRect/>
                    </a:stretch>
                  </pic:blipFill>
                  <pic:spPr>
                    <a:xfrm>
                      <a:off x="0" y="0"/>
                      <a:ext cx="5029200" cy="5234048"/>
                    </a:xfrm>
                    <a:prstGeom prst="rect">
                      <a:avLst/>
                    </a:prstGeom>
                  </pic:spPr>
                </pic:pic>
              </a:graphicData>
            </a:graphic>
          </wp:inline>
        </w:drawing>
      </w:r>
    </w:p>
    <w:p w14:paraId="2447FAD4" w14:textId="77777777" w:rsidR="001A7B0D" w:rsidRPr="00B76053" w:rsidRDefault="001A7B0D" w:rsidP="001A7B0D">
      <w:pPr>
        <w:spacing w:before="80"/>
        <w:rPr>
          <w:rFonts w:cs="Times New Roman"/>
        </w:rPr>
      </w:pPr>
      <w:r w:rsidRPr="00B76053">
        <w:rPr>
          <w:rFonts w:cs="Times New Roman"/>
          <w:i/>
          <w:sz w:val="20"/>
        </w:rPr>
        <w:t>Figure 5.2. Better.com expense ratio (standardised total expense base / total net revenue) and operating cash flow margin (operating cash flow / revenue), 2021–2025. Source: Better Home &amp; Finance Holding Company SEC filings (S-1; 10-K 2023, 2024, 2025).</w:t>
      </w:r>
    </w:p>
    <w:p w14:paraId="786E5AE6" w14:textId="77777777" w:rsidR="001A7B0D" w:rsidRPr="00B76053" w:rsidRDefault="001A7B0D" w:rsidP="001A7B0D">
      <w:pPr>
        <w:rPr>
          <w:rFonts w:cs="Times New Roman"/>
        </w:rPr>
      </w:pPr>
      <w:r w:rsidRPr="00B76053">
        <w:rPr>
          <w:rFonts w:cs="Times New Roman"/>
        </w:rPr>
        <w:t>Two interpretive caveats apply. First, Better and Rocket use different accounting presentations, so cross-company expense-ratio comparisons should be interpreted directionally, not as precise like-for-like measurements (Rocket Companies, 2024, 2025). Second, Panel B of Figure 5.2 shows that the operating cash flow margin remained volatile and deeply negative throughout the period (reaching −350.2% in 2024 before recovering to −101.0% in 2025), confirming that the expense-ratio improvement reflects intensifying revenue leverage rather than self-funding operations.</w:t>
      </w:r>
    </w:p>
    <w:p w14:paraId="3CA21920" w14:textId="77777777" w:rsidR="001A7B0D" w:rsidRPr="00B76053" w:rsidRDefault="001A7B0D" w:rsidP="001A7B0D">
      <w:pPr>
        <w:pStyle w:val="Heading3"/>
        <w:spacing w:after="120"/>
        <w:rPr>
          <w:rFonts w:cs="Times New Roman"/>
        </w:rPr>
      </w:pPr>
      <w:bookmarkStart w:id="59" w:name="_Toc229755326"/>
      <w:r w:rsidRPr="00B76053">
        <w:rPr>
          <w:rFonts w:cs="Times New Roman"/>
        </w:rPr>
        <w:lastRenderedPageBreak/>
        <w:t>5.3.3 Net Loss Reduction and Profitability Trajectory</w:t>
      </w:r>
      <w:bookmarkEnd w:id="59"/>
    </w:p>
    <w:p w14:paraId="31AAA5EF" w14:textId="77777777" w:rsidR="001A7B0D" w:rsidRPr="00B76053" w:rsidRDefault="001A7B0D" w:rsidP="001A7B0D">
      <w:pPr>
        <w:rPr>
          <w:rFonts w:cs="Times New Roman"/>
        </w:rPr>
      </w:pPr>
      <w:r w:rsidRPr="00B76053">
        <w:rPr>
          <w:rFonts w:cs="Times New Roman"/>
        </w:rPr>
        <w:t>Better.com's net loss narrowed from approximately $536.4 million in 2023 to approximately $206.3 million in 2024 and approximately $165.9 million in 2025 (Better Home &amp; Finance Holding Company, 2024b, 2025a, 2026). On a year-over-year basis, the 2024-to-2025 improvement is approximately 19.6 per cent — directionally favourable and substantial in absolute terms, though the company has not achieved profitability. These figures do not establish that Better's business model is profitable at current scale, that loss-narrowing will continue at the same rate, or that the path to profitability is uniquely AI-driven; Better's own disclosures explicitly cite multiple concurrent levers, including capital structure changes, channel diversification, and cost discipline (Better Home &amp; Finance Holding Company, 2026). The most defensible reading is that the loss-narrowing trajectory is consistent with the operational-leverage interpretation, but does not yet support a stronger claim of financial turnaround.</w:t>
      </w:r>
    </w:p>
    <w:p w14:paraId="7AAC9C56" w14:textId="77777777" w:rsidR="001A7B0D" w:rsidRPr="00B76053" w:rsidRDefault="001A7B0D" w:rsidP="001A7B0D">
      <w:pPr>
        <w:rPr>
          <w:rFonts w:cs="Times New Roman"/>
        </w:rPr>
      </w:pPr>
      <w:r w:rsidRPr="00B76053">
        <w:rPr>
          <w:rFonts w:cs="Times New Roman"/>
        </w:rPr>
        <w:t>The trajectory is consistent with the operational-leverage interpretation that revenue is growing faster than the cost base, while also indicating that the cost base remains structurally large relative to revenue. The comparison with Rocket Companies in Section 5.3.5 helps contextualise this trajectory against broad market recovery effects without replacing the central case-level interpretation.</w:t>
      </w:r>
    </w:p>
    <w:p w14:paraId="4AF67944" w14:textId="77777777" w:rsidR="001A7B0D" w:rsidRPr="00B76053" w:rsidRDefault="001A7B0D" w:rsidP="001A7B0D">
      <w:pPr>
        <w:pStyle w:val="Heading3"/>
        <w:spacing w:after="120"/>
        <w:rPr>
          <w:rFonts w:cs="Times New Roman"/>
        </w:rPr>
      </w:pPr>
      <w:bookmarkStart w:id="60" w:name="_Toc229755327"/>
      <w:r w:rsidRPr="00B76053">
        <w:rPr>
          <w:rFonts w:cs="Times New Roman"/>
        </w:rPr>
        <w:t>5.3.4 Labour Productivity and Scalability</w:t>
      </w:r>
      <w:bookmarkEnd w:id="60"/>
    </w:p>
    <w:p w14:paraId="6C970070" w14:textId="77777777" w:rsidR="001A7B0D" w:rsidRPr="00B76053" w:rsidRDefault="001A7B0D" w:rsidP="001A7B0D">
      <w:pPr>
        <w:rPr>
          <w:rFonts w:cs="Times New Roman"/>
        </w:rPr>
      </w:pPr>
      <w:r w:rsidRPr="00B76053">
        <w:rPr>
          <w:rFonts w:cs="Times New Roman"/>
        </w:rPr>
        <w:t>Revenue per employee (RPE), defined as total net revenue divided by year-end headcount, is the primary proxy for labour productivity and scalability. RPE moved from approximately $0.094 million in 2023 to approximately $0.087 million in 2024 and approximately $0.124 million in 2025 — a 2024-to-2025 improvement of approximately 42.9 per cent, indicating a substantial step up in revenue per worker during the first full post-Betsy fiscal year. Across the 2023-to-2025 window, the RPE improvement is approximately 32.3 per cent. Headcount contracted sharply from the pandemic-era peak of approximately 10,400 in 2021 to a 2023 trough of approximately 820, before rising modestly to approximately 1,250 in 2024 and 1,329 in 2025 (Better Home &amp; Finance Holding Company, 2024b, 2025a, 2026). The post-transition RPE improvement is therefore not driven primarily by further headcount contraction but by faster revenue growth on an essentially flat headcount base.</w:t>
      </w:r>
    </w:p>
    <w:p w14:paraId="77F8C79D" w14:textId="77777777" w:rsidR="001A7B0D" w:rsidRPr="00B76053" w:rsidRDefault="001A7B0D" w:rsidP="001A7B0D">
      <w:pPr>
        <w:spacing w:before="240" w:after="80"/>
        <w:jc w:val="center"/>
        <w:rPr>
          <w:rFonts w:cs="Times New Roman"/>
        </w:rPr>
      </w:pPr>
      <w:r w:rsidRPr="00B76053">
        <w:rPr>
          <w:rFonts w:cs="Times New Roman"/>
          <w:noProof/>
        </w:rPr>
        <w:lastRenderedPageBreak/>
        <w:drawing>
          <wp:inline distT="0" distB="0" distL="0" distR="0" wp14:anchorId="503202C9" wp14:editId="29A1BB41">
            <wp:extent cx="5029200" cy="50303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en_fvber.png"/>
                    <pic:cNvPicPr/>
                  </pic:nvPicPr>
                  <pic:blipFill>
                    <a:blip r:embed="rId10"/>
                    <a:stretch>
                      <a:fillRect/>
                    </a:stretch>
                  </pic:blipFill>
                  <pic:spPr>
                    <a:xfrm>
                      <a:off x="0" y="0"/>
                      <a:ext cx="5029200" cy="5030379"/>
                    </a:xfrm>
                    <a:prstGeom prst="rect">
                      <a:avLst/>
                    </a:prstGeom>
                  </pic:spPr>
                </pic:pic>
              </a:graphicData>
            </a:graphic>
          </wp:inline>
        </w:drawing>
      </w:r>
    </w:p>
    <w:p w14:paraId="1E0EC6DA" w14:textId="77777777" w:rsidR="001A7B0D" w:rsidRPr="00B76053" w:rsidRDefault="001A7B0D" w:rsidP="001A7B0D">
      <w:pPr>
        <w:spacing w:before="80"/>
        <w:rPr>
          <w:rFonts w:cs="Times New Roman"/>
        </w:rPr>
      </w:pPr>
      <w:r w:rsidRPr="00B76053">
        <w:rPr>
          <w:rFonts w:cs="Times New Roman"/>
          <w:i/>
          <w:sz w:val="20"/>
        </w:rPr>
        <w:t>Figure 5.3. Better.com year-end headcount and revenue per employee (RPE), 2021–2025. Source: Better Home &amp; Finance Holding Company SEC filings (S-1; 10-K 2023, 2024, 2025).</w:t>
      </w:r>
    </w:p>
    <w:p w14:paraId="37EF5391" w14:textId="77777777" w:rsidR="001A7B0D" w:rsidRPr="00B76053" w:rsidRDefault="001A7B0D" w:rsidP="001A7B0D">
      <w:pPr>
        <w:rPr>
          <w:rFonts w:cs="Times New Roman"/>
        </w:rPr>
      </w:pPr>
      <w:r w:rsidRPr="00B76053">
        <w:rPr>
          <w:rFonts w:cs="Times New Roman"/>
        </w:rPr>
        <w:t>The productivity evidence is moderately strong but should be qualified. Although 2025 RPE is higher than 2024 RPE, it remains below the 2021–2023 pre-period average of approximately $0.130 million. The post-Betsy productivity recovery is therefore best characterised as a partial recovery toward, rather than past, pre-restructuring productivity levels. As a supplementary composite indicator, the author-constructed Operational Leverage Index (OLI) reaches 195.3 in 2025 with 2023 set to 100 (see Appendix E.1). The OLI is equally weighted across Revenue Growth, Revenue per Employee, and Inverse Expense Ratio indices, and is sensitive to the choice of baseline year and weighting scheme; it is retained as a compact visualisation of multiple normalised trends rather than as primary evidence.</w:t>
      </w:r>
    </w:p>
    <w:p w14:paraId="7365A841" w14:textId="77777777" w:rsidR="001A7B0D" w:rsidRPr="00B76053" w:rsidRDefault="001A7B0D" w:rsidP="001A7B0D">
      <w:pPr>
        <w:pStyle w:val="Heading3"/>
        <w:spacing w:after="120"/>
        <w:rPr>
          <w:rFonts w:cs="Times New Roman"/>
        </w:rPr>
      </w:pPr>
      <w:bookmarkStart w:id="61" w:name="_Toc229755328"/>
      <w:r w:rsidRPr="00B76053">
        <w:rPr>
          <w:rFonts w:cs="Times New Roman"/>
        </w:rPr>
        <w:lastRenderedPageBreak/>
        <w:t>5.3.5 Benchmark Context with Rocket Mortgage</w:t>
      </w:r>
      <w:bookmarkEnd w:id="61"/>
    </w:p>
    <w:p w14:paraId="1DF4C9DD" w14:textId="77777777" w:rsidR="001A7B0D" w:rsidRPr="00B76053" w:rsidRDefault="001A7B0D" w:rsidP="001A7B0D">
      <w:pPr>
        <w:rPr>
          <w:rFonts w:cs="Times New Roman"/>
        </w:rPr>
      </w:pPr>
      <w:r w:rsidRPr="00B76053">
        <w:rPr>
          <w:rFonts w:cs="Times New Roman"/>
        </w:rPr>
        <w:t>Rocket Companies is included in this analysis as a directional industry benchmark, not as a control group. The two firms differ substantially in scale (Rocket's 2024 revenue exceeded $5 billion, compared with Better's approximately $108.5 million), in business mix, and in their 2025 strategic context: Rocket's 2025 financial results reflect the Mr. Cooper acquisition, which distorts per-employee comparisons (Rocket Companies, 2024, 2025). With those caveats, the benchmark exercise indicates that across 2023–2025 both originators experienced cyclical pressure followed by partial recovery. Better's relative improvement in expense ratio (4.79 → 2.01) is more pronounced than Rocket's (1.106 → 1.032), and Better's relative movement in profit margin and revenue per employee is also more favourable. These descriptive differences are consistent with the interpretation that Better's post-transition trajectory is not explained solely by macroeconomic recovery, since Rocket experienced the same macroeconomic environment yet displayed a smaller relative improvement.</w:t>
      </w:r>
    </w:p>
    <w:p w14:paraId="52F0EDB0" w14:textId="77777777" w:rsidR="001A7B0D" w:rsidRPr="00B76053" w:rsidRDefault="001A7B0D" w:rsidP="001A7B0D">
      <w:pPr>
        <w:rPr>
          <w:rFonts w:cs="Times New Roman"/>
        </w:rPr>
      </w:pPr>
      <w:r w:rsidRPr="00B76053">
        <w:rPr>
          <w:rFonts w:cs="Times New Roman"/>
        </w:rPr>
        <w:t xml:space="preserve">The benchmark exercise also produces honest counter-evidence. Rocket remains far larger and more diversified than </w:t>
      </w:r>
      <w:proofErr w:type="gramStart"/>
      <w:r w:rsidRPr="00B76053">
        <w:rPr>
          <w:rFonts w:cs="Times New Roman"/>
        </w:rPr>
        <w:t>Better</w:t>
      </w:r>
      <w:proofErr w:type="gramEnd"/>
      <w:r w:rsidRPr="00B76053">
        <w:rPr>
          <w:rFonts w:cs="Times New Roman"/>
        </w:rPr>
        <w:t>, and reports positive net income in most years across the benchmark window, whereas Better reports net losses throughout 2021–2025. Better is therefore operating from a much smaller and more constrained base, and even an operational-leverage trajectory does not yet bring it to profitability. The benchmark contextualises Better's trajectory against broad market recovery effects without replacing the central case-level interpretation.</w:t>
      </w:r>
    </w:p>
    <w:p w14:paraId="7FDB60EF" w14:textId="77777777" w:rsidR="001A7B0D" w:rsidRPr="00B76053" w:rsidRDefault="001A7B0D" w:rsidP="001A7B0D">
      <w:pPr>
        <w:pStyle w:val="Heading3"/>
        <w:spacing w:after="120"/>
        <w:rPr>
          <w:rFonts w:cs="Times New Roman"/>
        </w:rPr>
      </w:pPr>
      <w:bookmarkStart w:id="62" w:name="_Toc229755329"/>
      <w:r w:rsidRPr="00B76053">
        <w:rPr>
          <w:rFonts w:cs="Times New Roman"/>
        </w:rPr>
        <w:t>5.3.6 Financial Interpretation Boundaries</w:t>
      </w:r>
      <w:bookmarkEnd w:id="62"/>
    </w:p>
    <w:p w14:paraId="1E22B586" w14:textId="77777777" w:rsidR="001A7B0D" w:rsidRPr="00B76053" w:rsidRDefault="001A7B0D" w:rsidP="001A7B0D">
      <w:pPr>
        <w:rPr>
          <w:rFonts w:cs="Times New Roman"/>
        </w:rPr>
      </w:pPr>
      <w:r w:rsidRPr="00B76053">
        <w:rPr>
          <w:rFonts w:cs="Times New Roman"/>
        </w:rPr>
        <w:t xml:space="preserve">Three boundary conditions limit the strength of the financial evidence in §5.3.1–§5.3.5. First, the analysis rests on annual 10-K data, so FY 2024 blends roughly nine and a half months of pre-deployment performance with two and a half months of post-deployment performance; the 2024-to-2025 window is therefore used as the primary post-transition comparison. Second, multiple non-AI factors operated alongside Betsy's deployment — Tinman's continued maturation, the early-2025 NEO channel launch, post-IPO cost restructuring, and the partial U.S. mortgage-market recovery (Better Home &amp; Finance Holding Company, 2025a, 2026; Mortgage Bankers Association, 2024a). Third, the Operational Leverage Index is author-constructed and supplementary. The financial findings are therefore consistent with AI-enabled operational </w:t>
      </w:r>
      <w:r w:rsidRPr="00B76053">
        <w:rPr>
          <w:rFonts w:cs="Times New Roman"/>
        </w:rPr>
        <w:lastRenderedPageBreak/>
        <w:t>leverage but cannot isolate Betsy's specific contribution from the broader Betsy/Tinman operating model; the full treatment is in Chapter 8.</w:t>
      </w:r>
    </w:p>
    <w:p w14:paraId="349AA388" w14:textId="77777777" w:rsidR="001A7B0D" w:rsidRPr="00B76053" w:rsidRDefault="001A7B0D" w:rsidP="001A7B0D">
      <w:pPr>
        <w:pStyle w:val="Heading2"/>
        <w:rPr>
          <w:rFonts w:cs="Times New Roman"/>
        </w:rPr>
      </w:pPr>
      <w:bookmarkStart w:id="63" w:name="_Toc229755330"/>
      <w:r w:rsidRPr="00B76053">
        <w:rPr>
          <w:rFonts w:cs="Times New Roman"/>
        </w:rPr>
        <w:t>5.4 RQ2: Customer Experience and NLP Evidence</w:t>
      </w:r>
      <w:bookmarkEnd w:id="63"/>
    </w:p>
    <w:p w14:paraId="2B8067AF" w14:textId="77777777" w:rsidR="001A7B0D" w:rsidRPr="00B76053" w:rsidRDefault="001A7B0D" w:rsidP="001A7B0D">
      <w:pPr>
        <w:rPr>
          <w:rFonts w:cs="Times New Roman"/>
        </w:rPr>
      </w:pPr>
      <w:r w:rsidRPr="00B76053">
        <w:rPr>
          <w:rFonts w:cs="Times New Roman"/>
        </w:rPr>
        <w:t>This section addresses the customer-experience dimension of RQ2 by integrating two complementary signals: management-reported Net Promoter Scores (NPS) and the independent NLP analysis of Trustpilot reviews. The argument developed across the four subsections is not that the NLP evidence establishes a deterioration in customer experience post-Betsy, but that customer-experience evidence is mixed and methodologically valuable because it complicates the management-reported NPS narrative. The pre-Betsy and post-Betsy windows are defined relative to Betsy's 17 October 2024 launch date (Better Home &amp; Finance Holding Company, 2024a), with 1,746 reviews falling into the pre-period and 169 into the post-period.</w:t>
      </w:r>
    </w:p>
    <w:p w14:paraId="78165ECA" w14:textId="77777777" w:rsidR="001A7B0D" w:rsidRPr="00B76053" w:rsidRDefault="001A7B0D" w:rsidP="001A7B0D">
      <w:pPr>
        <w:pStyle w:val="Heading3"/>
        <w:spacing w:after="120"/>
        <w:rPr>
          <w:rFonts w:cs="Times New Roman"/>
        </w:rPr>
      </w:pPr>
      <w:bookmarkStart w:id="64" w:name="_Toc229755331"/>
      <w:r w:rsidRPr="00B76053">
        <w:rPr>
          <w:rFonts w:cs="Times New Roman"/>
        </w:rPr>
        <w:t>5.4.1 Management-Reported NPS as Medium-Reliability Evidence</w:t>
      </w:r>
      <w:bookmarkEnd w:id="64"/>
    </w:p>
    <w:p w14:paraId="0D3F70C2" w14:textId="77777777" w:rsidR="001A7B0D" w:rsidRPr="00B76053" w:rsidRDefault="001A7B0D" w:rsidP="001A7B0D">
      <w:pPr>
        <w:rPr>
          <w:rFonts w:cs="Times New Roman"/>
        </w:rPr>
      </w:pPr>
      <w:r w:rsidRPr="00B76053">
        <w:rPr>
          <w:rFonts w:cs="Times New Roman"/>
        </w:rPr>
        <w:t>Better.com's public materials report that NPS improved from approximately 39 to approximately 64 over the relevant post-deployment period (Better Home &amp; Finance Holding Company, 2025a, 2025b, 2025c; Q3 2023–Q4 2025 earnings call transcripts cited in §3.4.3). At face value, this is a substantial improvement in an industry-standard customer-experience indicator and would be consistent with an interpretation that Betsy supports a faster, more responsive customer experience. NPS is therefore included as an evidentiary input. However, the NPS figure is management-reported and unaudited, and the underlying sampling, weighting, and survey-instrument details are not fully disclosed. Following the evidence-hierarchy logic established in Chapter 3, NPS is treated as medium-reliability evidence: it is a meaningful internal customer-experience signal, but it should not dominate the customer-experience interpretation when an independent customer-discourse stream is available.</w:t>
      </w:r>
    </w:p>
    <w:p w14:paraId="55D5823D" w14:textId="77777777" w:rsidR="001A7B0D" w:rsidRPr="00B76053" w:rsidRDefault="001A7B0D" w:rsidP="001A7B0D">
      <w:pPr>
        <w:pStyle w:val="Heading3"/>
        <w:spacing w:after="120"/>
        <w:rPr>
          <w:rFonts w:cs="Times New Roman"/>
        </w:rPr>
      </w:pPr>
      <w:bookmarkStart w:id="65" w:name="_Toc229755332"/>
      <w:r w:rsidRPr="00B76053">
        <w:rPr>
          <w:rFonts w:cs="Times New Roman"/>
        </w:rPr>
        <w:t>5.4.2 Trustpilot Ratings and VADER Sentiment as Independent Customer Discourse</w:t>
      </w:r>
      <w:bookmarkEnd w:id="65"/>
    </w:p>
    <w:p w14:paraId="7AF24E1A" w14:textId="77777777" w:rsidR="001A7B0D" w:rsidRPr="00B76053" w:rsidRDefault="001A7B0D" w:rsidP="001A7B0D">
      <w:pPr>
        <w:rPr>
          <w:rFonts w:cs="Times New Roman"/>
        </w:rPr>
      </w:pPr>
      <w:r w:rsidRPr="00B76053">
        <w:rPr>
          <w:rFonts w:cs="Times New Roman"/>
        </w:rPr>
        <w:t xml:space="preserve">The independent customer-discourse stream is a corpus of 1,915 cleaned Trustpilot reviews of Better.com (1,746 pre-Betsy; 169 post-Betsy). Two complementary signals are computed on the full clean dataset: the average star rating and the lexicon-based VADER compound sentiment score (Hutto &amp; Gilbert, 2014). On both signals, the post-Betsy period is associated with statistically </w:t>
      </w:r>
      <w:r w:rsidRPr="00B76053">
        <w:rPr>
          <w:rFonts w:cs="Times New Roman"/>
        </w:rPr>
        <w:lastRenderedPageBreak/>
        <w:t>significant declines. Mean star ratings fall from approximately 4.2806 to 3.8580, a decline of approximately 0.4226 points, with Welch's t-test p = 0.0019 and Cohen's d = 0.2899 (small-to-medium effect). VADER sentiment falls from approximately 0.6416 to 0.5151, a decline of approximately 0.1265, with p = 0.0057 and d = 0.2505.</w:t>
      </w:r>
    </w:p>
    <w:p w14:paraId="3CAB2385" w14:textId="77777777" w:rsidR="001A7B0D" w:rsidRPr="00B76053" w:rsidRDefault="001A7B0D" w:rsidP="001A7B0D">
      <w:pPr>
        <w:spacing w:before="240" w:after="80"/>
        <w:jc w:val="center"/>
        <w:rPr>
          <w:rFonts w:cs="Times New Roman"/>
        </w:rPr>
      </w:pPr>
      <w:r w:rsidRPr="00B76053">
        <w:rPr>
          <w:rFonts w:cs="Times New Roman"/>
          <w:noProof/>
        </w:rPr>
        <w:drawing>
          <wp:inline distT="0" distB="0" distL="0" distR="0" wp14:anchorId="3C99651C" wp14:editId="63C8BB5C">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2e0ulj0l.png"/>
                    <pic:cNvPicPr/>
                  </pic:nvPicPr>
                  <pic:blipFill>
                    <a:blip r:embed="rId11"/>
                    <a:stretch>
                      <a:fillRect/>
                    </a:stretch>
                  </pic:blipFill>
                  <pic:spPr>
                    <a:xfrm>
                      <a:off x="0" y="0"/>
                      <a:ext cx="5029200" cy="2514600"/>
                    </a:xfrm>
                    <a:prstGeom prst="rect">
                      <a:avLst/>
                    </a:prstGeom>
                  </pic:spPr>
                </pic:pic>
              </a:graphicData>
            </a:graphic>
          </wp:inline>
        </w:drawing>
      </w:r>
    </w:p>
    <w:p w14:paraId="0C7E8AB3" w14:textId="77777777" w:rsidR="001A7B0D" w:rsidRPr="00B76053" w:rsidRDefault="001A7B0D" w:rsidP="001A7B0D">
      <w:pPr>
        <w:spacing w:before="80"/>
        <w:rPr>
          <w:rFonts w:cs="Times New Roman"/>
        </w:rPr>
      </w:pPr>
      <w:r w:rsidRPr="00B76053">
        <w:rPr>
          <w:rFonts w:cs="Times New Roman"/>
          <w:i/>
          <w:sz w:val="20"/>
        </w:rPr>
        <w:t>Figure 5.4. Distribution of Trustpilot VADER compound sentiment scores for Better.com, pre-Betsy (n = 1,746) and post-Betsy (n = 169). Welch's t-test p = 0.0057; Cohen's d = 0.2505. Source: Author's analysis of 1,915 cleaned Trustpilot reviews (Better.com public Trustpilot profile, Apify scrape).</w:t>
      </w:r>
    </w:p>
    <w:p w14:paraId="6D9B9F49" w14:textId="77777777" w:rsidR="001A7B0D" w:rsidRPr="00B76053" w:rsidRDefault="001A7B0D" w:rsidP="001A7B0D">
      <w:pPr>
        <w:rPr>
          <w:rFonts w:cs="Times New Roman"/>
        </w:rPr>
      </w:pPr>
      <w:r w:rsidRPr="00B76053">
        <w:rPr>
          <w:rFonts w:cs="Times New Roman"/>
        </w:rPr>
        <w:t>NPS and Trustpilot VADER sentiment are not directly comparable for at least three structural reasons: NPS samples from Better's own customer-contact channels while Trustpilot reviews are self-selected and publicly posted; NPS asks a single recommendation-likelihood question while Trustpilot reviews are open-ended; and the two channels reach different stages of the customer journey with different levels of emotional engagement and self-selection bias (Filieri, 2015; Luca, 2016). The chapter therefore reports both metrics in parallel without attempting to reconcile them quantitatively, and treats the divergence as a triangulation insight.</w:t>
      </w:r>
    </w:p>
    <w:p w14:paraId="063A9E72" w14:textId="77777777" w:rsidR="001A7B0D" w:rsidRPr="00B76053" w:rsidRDefault="001A7B0D" w:rsidP="001A7B0D">
      <w:pPr>
        <w:rPr>
          <w:rFonts w:cs="Times New Roman"/>
        </w:rPr>
      </w:pPr>
      <w:r w:rsidRPr="00B76053">
        <w:rPr>
          <w:rFonts w:cs="Times New Roman"/>
        </w:rPr>
        <w:t xml:space="preserve">Three interpretive moves are required to read the Trustpilot evidence responsibly. First, the post-Betsy sample is approximately ten times smaller than the pre-Betsy sample (169 vs. 1,746), making the post-period estimate more sensitive to a small number of unusually negative reviews. Second, Trustpilot reviewers are self-selected and prone to extreme-response bias (Filieri, 2015; Luca, 2016), and the platform is therefore not representative of the full Better.com customer base. Third, the evidence is associative rather than causal: many factors changed concurrently with Betsy's </w:t>
      </w:r>
      <w:r w:rsidRPr="00B76053">
        <w:rPr>
          <w:rFonts w:cs="Times New Roman"/>
        </w:rPr>
        <w:lastRenderedPageBreak/>
        <w:t>launch, and the keyword analysis cannot determine whether individual reviewers interacted with Betsy. The most defensible interpretation is that independent customer discourse on Trustpilot does not mirror the management-reported NPS improvement and instead displays a small-to-medium statistically significant decline in both ratings and sentiment. Cohen's d values of approximately 0.29 (ratings) and 0.25 (sentiment) are not negligible but correspond to a moderate distributional shift rather than a collapse of customer discourse.</w:t>
      </w:r>
    </w:p>
    <w:p w14:paraId="11DD36AF" w14:textId="77777777" w:rsidR="001A7B0D" w:rsidRPr="00B76053" w:rsidRDefault="001A7B0D" w:rsidP="001A7B0D">
      <w:pPr>
        <w:pStyle w:val="Heading3"/>
        <w:spacing w:after="120"/>
        <w:rPr>
          <w:rFonts w:cs="Times New Roman"/>
        </w:rPr>
      </w:pPr>
      <w:bookmarkStart w:id="66" w:name="_Toc229755333"/>
      <w:r w:rsidRPr="00B76053">
        <w:rPr>
          <w:rFonts w:cs="Times New Roman"/>
        </w:rPr>
        <w:t>5.4.3 Keyword Prevalence and the AI-Invisibility Finding</w:t>
      </w:r>
      <w:bookmarkEnd w:id="66"/>
    </w:p>
    <w:p w14:paraId="6E87A50C" w14:textId="77777777" w:rsidR="001A7B0D" w:rsidRPr="00B76053" w:rsidRDefault="001A7B0D" w:rsidP="001A7B0D">
      <w:pPr>
        <w:rPr>
          <w:rFonts w:cs="Times New Roman"/>
        </w:rPr>
      </w:pPr>
      <w:r w:rsidRPr="00B76053">
        <w:rPr>
          <w:rFonts w:cs="Times New Roman"/>
        </w:rPr>
        <w:t>A targeted keyword-prevalence analysis was conducted across seven thematic groups on the full 1,915-review clean dataset. Reviews were binary-coded using strict word-boundary regular expressions. Two-sided chi-square tests with Yates' continuity correction were used to evaluate whether prevalence shifted between the pre- and post-Betsy periods (Fisher's exact substituted where any expected cell count fell below five), with Bonferroni correction applied across the seven comparisons. The Cost/Rates group declined from 28.92 per cent to 16.57 per cent (−12.36 pp; raw χ² p ≈ 0.0009; Bonferroni-adjusted p ≈ 0.006), surviving strict correction. The Digital/Process group declined from 32.65 per cent to 23.67 per cent (−8.98 pp; p = 0.0211), significant under the unadjusted alpha but not after Bonferroni. Speed/Efficiency declined from 52.00 per cent to 44.38 per cent (p = 0.0698), suggestive but not statistically significant. Human Support, Communication, and Delay/Friction did not change significantly.</w:t>
      </w:r>
    </w:p>
    <w:p w14:paraId="64D3B684" w14:textId="77777777" w:rsidR="001A7B0D" w:rsidRPr="00B76053" w:rsidRDefault="001A7B0D" w:rsidP="001A7B0D">
      <w:pPr>
        <w:spacing w:before="240" w:after="80"/>
        <w:jc w:val="center"/>
        <w:rPr>
          <w:rFonts w:cs="Times New Roman"/>
        </w:rPr>
      </w:pPr>
      <w:r w:rsidRPr="00B76053">
        <w:rPr>
          <w:rFonts w:cs="Times New Roman"/>
          <w:noProof/>
        </w:rPr>
        <w:drawing>
          <wp:inline distT="0" distB="0" distL="0" distR="0" wp14:anchorId="26C8B09C" wp14:editId="7C2C11A2">
            <wp:extent cx="50292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g9sxi13m.png"/>
                    <pic:cNvPicPr/>
                  </pic:nvPicPr>
                  <pic:blipFill>
                    <a:blip r:embed="rId12"/>
                    <a:stretch>
                      <a:fillRect/>
                    </a:stretch>
                  </pic:blipFill>
                  <pic:spPr>
                    <a:xfrm>
                      <a:off x="0" y="0"/>
                      <a:ext cx="5029200" cy="2514600"/>
                    </a:xfrm>
                    <a:prstGeom prst="rect">
                      <a:avLst/>
                    </a:prstGeom>
                  </pic:spPr>
                </pic:pic>
              </a:graphicData>
            </a:graphic>
          </wp:inline>
        </w:drawing>
      </w:r>
    </w:p>
    <w:p w14:paraId="290DDB38" w14:textId="77777777" w:rsidR="001A7B0D" w:rsidRPr="00B76053" w:rsidRDefault="001A7B0D" w:rsidP="001A7B0D">
      <w:pPr>
        <w:spacing w:before="80"/>
        <w:rPr>
          <w:rFonts w:cs="Times New Roman"/>
        </w:rPr>
      </w:pPr>
      <w:r w:rsidRPr="00B76053">
        <w:rPr>
          <w:rFonts w:cs="Times New Roman"/>
          <w:i/>
          <w:sz w:val="20"/>
        </w:rPr>
        <w:t xml:space="preserve">Figure 5.5. Keyword-group prevalence across seven thematic categories, pre-Betsy (n = 1,746) and post-Betsy (n = 169) Trustpilot reviews. Cost/Rates is the only group surviving Bonferroni correction (raw Fisher's exact p ≈ 0.0009; </w:t>
      </w:r>
      <w:r w:rsidRPr="00B76053">
        <w:rPr>
          <w:rFonts w:cs="Times New Roman"/>
          <w:i/>
          <w:sz w:val="20"/>
        </w:rPr>
        <w:lastRenderedPageBreak/>
        <w:t>adjusted p ≈ 0.006). Source: Author's analysis of 1,915 cleaned Trustpilot reviews; chi-square tests with Yates' continuity correction (Fisher's exact substituted where any expected cell count fell below five) with Bonferroni correction.</w:t>
      </w:r>
    </w:p>
    <w:p w14:paraId="139FB116" w14:textId="77777777" w:rsidR="001A7B0D" w:rsidRPr="00B76053" w:rsidRDefault="001A7B0D" w:rsidP="001A7B0D">
      <w:pPr>
        <w:rPr>
          <w:rFonts w:cs="Times New Roman"/>
        </w:rPr>
      </w:pPr>
      <w:r w:rsidRPr="00B76053">
        <w:rPr>
          <w:rFonts w:cs="Times New Roman"/>
        </w:rPr>
        <w:t>The most thesis-relevant keyword result is the Explicit AI/Automation group. The prevalence of explicit AI mentions is essentially unchanged across the two periods (1.15 per cent pre-Betsy versus 1.18 per cent post-Betsy; Fisher exact p = 1.0000). This near-zero difference is interpreted as the AI-invisibility finding: customers do not frame their mortgage experience in AI-specific terms, which supports the interpretation of voice AI as invisible infrastructure (Mogaji &amp; Nguyen, 2022). The finding is a discourse observation about what customers write about, rather than a behavioural claim about who interacted with the AI agent.</w:t>
      </w:r>
    </w:p>
    <w:p w14:paraId="7059663E" w14:textId="77777777" w:rsidR="001A7B0D" w:rsidRPr="00B76053" w:rsidRDefault="001A7B0D" w:rsidP="001A7B0D">
      <w:pPr>
        <w:rPr>
          <w:rFonts w:cs="Times New Roman"/>
        </w:rPr>
      </w:pPr>
      <w:r w:rsidRPr="00B76053">
        <w:rPr>
          <w:rFonts w:cs="Times New Roman"/>
        </w:rPr>
        <w:t>The Cost/Rates result deserves a complementary note. A decline in cost-and-rate-related keywords does not necessarily indicate that Better's pricing improved. It indicates that the salience of this language in the Trustpilot corpus declined — most plausibly due to the broader interest-rate environment and a partial product-mix shift rather than to a direct voice-AI effect. The non-significant keyword groups are themselves analytically useful: the Human Support group (43.81 per cent pre versus 40.83 per cent post) shows that customer attention to human-mediated service did not collapse after Betsy's deployment, which is consistent with the task-reallocation interpretation. The Delay/Friction group declines modestly (13.52 to 10.06 per cent) but not significantly. None of these groups individually justifies a strong interpretive claim, but together they suggest that the post-Betsy customer-discourse environment did not undergo a wholesale compositional shift.</w:t>
      </w:r>
    </w:p>
    <w:p w14:paraId="30B43CC7" w14:textId="77777777" w:rsidR="001A7B0D" w:rsidRPr="00B76053" w:rsidRDefault="001A7B0D" w:rsidP="001A7B0D">
      <w:pPr>
        <w:pStyle w:val="Heading3"/>
        <w:spacing w:after="120"/>
        <w:rPr>
          <w:rFonts w:cs="Times New Roman"/>
        </w:rPr>
      </w:pPr>
      <w:bookmarkStart w:id="67" w:name="_Toc229755334"/>
      <w:r w:rsidRPr="00B76053">
        <w:rPr>
          <w:rFonts w:cs="Times New Roman"/>
        </w:rPr>
        <w:t>5.4.4 Topic Modelling and Product-Mix Interpretation</w:t>
      </w:r>
      <w:bookmarkEnd w:id="67"/>
    </w:p>
    <w:p w14:paraId="0D8C79A2" w14:textId="77777777" w:rsidR="001A7B0D" w:rsidRPr="00B76053" w:rsidRDefault="001A7B0D" w:rsidP="001A7B0D">
      <w:pPr>
        <w:rPr>
          <w:rFonts w:cs="Times New Roman"/>
        </w:rPr>
      </w:pPr>
      <w:r w:rsidRPr="00B76053">
        <w:rPr>
          <w:rFonts w:cs="Times New Roman"/>
        </w:rPr>
        <w:t xml:space="preserve">BERTopic neural topic modelling (Grootendorst, 2022) was applied to </w:t>
      </w:r>
      <w:proofErr w:type="gramStart"/>
      <w:r w:rsidRPr="00B76053">
        <w:rPr>
          <w:rFonts w:cs="Times New Roman"/>
        </w:rPr>
        <w:t>a</w:t>
      </w:r>
      <w:proofErr w:type="gramEnd"/>
      <w:r w:rsidRPr="00B76053">
        <w:rPr>
          <w:rFonts w:cs="Times New Roman"/>
        </w:rPr>
        <w:t xml:space="preserve"> 1,804-document subset of the cleaned Trustpilot corpus, after filtering CEO- and 2021-controversy-related reviews. The pipeline produced 44 topics; 1,198 documents were successfully clustered and 606 were assigned to the HDBSCAN noise class. The clustered non-outlier subsample used for the topic-share comparison consists of 1,077 pre-Betsy and 121 post-Betsy reviews. Because the post-Betsy clustered non-outlier sample is small, topic-share differences are interpreted as descriptive signals rather than as statistically tested population-level changes.</w:t>
      </w:r>
    </w:p>
    <w:p w14:paraId="6122FF6F" w14:textId="77777777" w:rsidR="001A7B0D" w:rsidRPr="00B76053" w:rsidRDefault="001A7B0D" w:rsidP="001A7B0D">
      <w:pPr>
        <w:spacing w:before="240" w:after="80"/>
        <w:jc w:val="center"/>
        <w:rPr>
          <w:rFonts w:cs="Times New Roman"/>
        </w:rPr>
      </w:pPr>
      <w:r w:rsidRPr="00B76053">
        <w:rPr>
          <w:rFonts w:cs="Times New Roman"/>
          <w:noProof/>
        </w:rPr>
        <w:lastRenderedPageBreak/>
        <w:drawing>
          <wp:inline distT="0" distB="0" distL="0" distR="0" wp14:anchorId="41AD6033" wp14:editId="3350512E">
            <wp:extent cx="50292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3n2ztnqi.png"/>
                    <pic:cNvPicPr/>
                  </pic:nvPicPr>
                  <pic:blipFill>
                    <a:blip r:embed="rId13"/>
                    <a:stretch>
                      <a:fillRect/>
                    </a:stretch>
                  </pic:blipFill>
                  <pic:spPr>
                    <a:xfrm>
                      <a:off x="0" y="0"/>
                      <a:ext cx="5029200" cy="2514600"/>
                    </a:xfrm>
                    <a:prstGeom prst="rect">
                      <a:avLst/>
                    </a:prstGeom>
                  </pic:spPr>
                </pic:pic>
              </a:graphicData>
            </a:graphic>
          </wp:inline>
        </w:drawing>
      </w:r>
    </w:p>
    <w:p w14:paraId="16AE3F63" w14:textId="77777777" w:rsidR="001A7B0D" w:rsidRPr="00B76053" w:rsidRDefault="001A7B0D" w:rsidP="001A7B0D">
      <w:pPr>
        <w:spacing w:before="80"/>
        <w:rPr>
          <w:rFonts w:cs="Times New Roman"/>
        </w:rPr>
      </w:pPr>
      <w:r w:rsidRPr="00B76053">
        <w:rPr>
          <w:rFonts w:cs="Times New Roman"/>
          <w:i/>
          <w:sz w:val="20"/>
        </w:rPr>
        <w:t>Figure 5.6. Topic-share comparison for the top 12 BERTopic topics by pre-Betsy share; pre-Betsy (n = 1,077) and post-Betsy (n = 121) clustered non-outlier reviews. Descriptive only — no statistical test applied. Source: Author's BERTopic analysis (all-MiniLM-L6-v2 embeddings, UMAP, HDBSCAN).</w:t>
      </w:r>
    </w:p>
    <w:p w14:paraId="35C26852" w14:textId="77777777" w:rsidR="001A7B0D" w:rsidRPr="00B76053" w:rsidRDefault="001A7B0D" w:rsidP="001A7B0D">
      <w:pPr>
        <w:rPr>
          <w:rFonts w:cs="Times New Roman"/>
        </w:rPr>
      </w:pPr>
      <w:r w:rsidRPr="00B76053">
        <w:rPr>
          <w:rFonts w:cs="Times New Roman"/>
        </w:rPr>
        <w:t xml:space="preserve">Read descriptively, the figure shows the top twelve topics by pre-Betsy share and how their shares shift in the post-Betsy period. The two largest pre-Betsy topics — First-Time Home Purchase (~7.6%) and Online Refinance — Positive (~7.1%) — decline substantially in the post-Betsy window, by approximately 3.5 and 5.4 percentage points respectively. Efficient Refinance &amp; Advocacy, Competitive Rates &amp; Fees, and Quick Refi — Short Praise also decline, consistent with reduced refinancing activity in the broader U.S. mortgage market following rate increases (Mortgage Bankers Association, 2024a). In contrast, Closing Timeline &amp; Process rises markedly (from ~3.1% to ~6.6%, approximately +3.5 pp) and Document Upload &amp; Paperwork rises modestly (from ~3.1% to ~4.1%). The Responsive Q&amp;A Support topic increases marginally. These shifts are most plausibly read as a product-mix and macro-environment signal: declining refinance activity reduces the share of refinance-oriented reviews, while purchase-mortgage and documentation-related topics become more prominent. The increase in Closing Timeline &amp; Process share is directionally consistent with the operational-efficiency interpretation but cannot be attributed solely to Betsy given the small post-period sample, the absence of controls, and concurrent product-mix changes. Topic-share estimates for the post-period are particularly sensitive to a small number of reviews and should be interpreted as approximate compositional signals rather than as fixed population parameters (Grootendorst, 2022). Appendix figures </w:t>
      </w:r>
      <w:r w:rsidRPr="00B76053">
        <w:rPr>
          <w:rFonts w:cs="Times New Roman"/>
        </w:rPr>
        <w:lastRenderedPageBreak/>
        <w:t>(intertopic distance map, topic-word importance heatmap) are provided for transparency but are not used to substantiate any claim in the main chapter.</w:t>
      </w:r>
    </w:p>
    <w:p w14:paraId="7E28E3D5" w14:textId="77777777" w:rsidR="001A7B0D" w:rsidRPr="00B76053" w:rsidRDefault="001A7B0D" w:rsidP="001A7B0D">
      <w:pPr>
        <w:pStyle w:val="Heading3"/>
        <w:spacing w:after="120"/>
        <w:rPr>
          <w:rFonts w:cs="Times New Roman"/>
        </w:rPr>
      </w:pPr>
      <w:bookmarkStart w:id="68" w:name="_Toc229755335"/>
      <w:r w:rsidRPr="00B76053">
        <w:rPr>
          <w:rFonts w:cs="Times New Roman"/>
        </w:rPr>
        <w:t>5.4.5 Customer-Experience Boundaries: Synthesis for the NLP Stream</w:t>
      </w:r>
      <w:bookmarkEnd w:id="68"/>
    </w:p>
    <w:p w14:paraId="01B95E9D" w14:textId="77777777" w:rsidR="001A7B0D" w:rsidRPr="00B76053" w:rsidRDefault="001A7B0D" w:rsidP="001A7B0D">
      <w:pPr>
        <w:rPr>
          <w:rFonts w:cs="Times New Roman"/>
        </w:rPr>
      </w:pPr>
      <w:r w:rsidRPr="00B76053">
        <w:rPr>
          <w:rFonts w:cs="Times New Roman"/>
        </w:rPr>
        <w:t>The NLP stream answers RQ2's customer-experience dimension as follows. Independent Trustpilot discourse shows a small-to-medium, statistically significant decline in star ratings and VADER sentiment in the post-Betsy window, while management-reported NPS rises substantially. Customers rarely frame their experience in explicit AI terms — consistent with the AI-invisibility interpretation — and topic shifts are best read as reflecting product-mix and macro-environment effects rather than direct Betsy effects. The customer-experience evidence therefore complicates rather than confirms the financial-operational interpretation, and that complication is itself analytically valuable.</w:t>
      </w:r>
    </w:p>
    <w:p w14:paraId="3F6F66CE" w14:textId="77777777" w:rsidR="001A7B0D" w:rsidRPr="00B76053" w:rsidRDefault="001A7B0D" w:rsidP="001A7B0D">
      <w:pPr>
        <w:pStyle w:val="Heading2"/>
        <w:rPr>
          <w:rFonts w:cs="Times New Roman"/>
        </w:rPr>
      </w:pPr>
      <w:bookmarkStart w:id="69" w:name="_Toc229755336"/>
      <w:r w:rsidRPr="00B76053">
        <w:rPr>
          <w:rFonts w:cs="Times New Roman"/>
        </w:rPr>
        <w:t>5.5 Triangulated Interpretation</w:t>
      </w:r>
      <w:bookmarkEnd w:id="69"/>
    </w:p>
    <w:p w14:paraId="2FC7C867" w14:textId="2AA20D86" w:rsidR="001A7B0D" w:rsidRPr="00B76053" w:rsidRDefault="001A7B0D" w:rsidP="001A7B0D">
      <w:pPr>
        <w:rPr>
          <w:rFonts w:cs="Times New Roman"/>
        </w:rPr>
      </w:pPr>
      <w:r w:rsidRPr="00B76053">
        <w:rPr>
          <w:rFonts w:cs="Times New Roman"/>
        </w:rPr>
        <w:t>The three evidence streams, examined independently in Sections 5.2–5.4, converge on a multidimensional interpretation: the post-transition period is associated with measurable financial-operational improvement consistent with AI-enabled operational leverage, while customer-discourse evidence is mixed and explicit AI attribution remains near-absent. The divergence between the financial signature and the Trustpilot signals is itself a triangulation finding — different measurement instruments capture different facets of business value. The most defensible synthesis is that voice AI in the Better.com case is associated with measurable improvements in operational efficiency and financial trajectory, while its effects on customer experience are uneven, mediated, and possibly under-detected by any single instrument. This is consistent with Aggarwal et al.'s (2025) argument that voice AI value creation occurs across both B2B and B2C surfaces in ways not captured by a single metric, and with the broader literature on AI in customer-facing financial services (Hentzen et al., 2022; Mogaji &amp; Nguyen, 202</w:t>
      </w:r>
      <w:r w:rsidR="007E69D3">
        <w:rPr>
          <w:rFonts w:cs="Times New Roman"/>
        </w:rPr>
        <w:t>2</w:t>
      </w:r>
      <w:r w:rsidRPr="00B76053">
        <w:rPr>
          <w:rFonts w:cs="Times New Roman"/>
        </w:rPr>
        <w:t>).</w:t>
      </w:r>
    </w:p>
    <w:p w14:paraId="1E5FE08D" w14:textId="77777777" w:rsidR="001A7B0D" w:rsidRPr="00B76053" w:rsidRDefault="001A7B0D" w:rsidP="001A7B0D">
      <w:pPr>
        <w:rPr>
          <w:rFonts w:cs="Times New Roman"/>
        </w:rPr>
      </w:pPr>
      <w:r w:rsidRPr="00B76053">
        <w:rPr>
          <w:rFonts w:cs="Times New Roman"/>
        </w:rPr>
        <w:t xml:space="preserve">From a theoretical perspective, the triangulated pattern is most naturally read through three complementary lenses. First, in the task-technology fit tradition (Goodhue &amp; Thompson, 1995), the financial-operational improvement is consistent with a high fit between Betsy's task scope (high-volume, structured, communication-intensive coordination work) and Tinman's structured workflow environment, while the customer-experience divergence is consistent with a more </w:t>
      </w:r>
      <w:r w:rsidRPr="00B76053">
        <w:rPr>
          <w:rFonts w:cs="Times New Roman"/>
        </w:rPr>
        <w:lastRenderedPageBreak/>
        <w:t>uneven fit between AI-mediated voice interaction and the more relational, emotionally laden moments of the borrower journey (Blümel et al., 2024). Second, in the AI service hierarchy of Huang and Rust (2018), Betsy is positioned in the mechanical and analytical layers, where productivity gains are most likely to materialise, while the customer-experience layer engages intuitive and empathetic dimensions where AI substitution is more contested. Third, in the AI-enabled productivity tradition revisited by Brynjolfsson et al. (2023) and Aggarwal et al. (2025), AI-related productivity gains tend to emerge alongside ambiguous customer-perception effects when the AI system operates as backend infrastructure rather than as a branded front-of-house experience. The Better.com pattern is consistent with all three lenses simultaneously, which strengthens the descriptive interpretation without resolving the causal question.</w:t>
      </w:r>
    </w:p>
    <w:p w14:paraId="5F363F7D" w14:textId="77777777" w:rsidR="001A7B0D" w:rsidRPr="00B76053" w:rsidRDefault="001A7B0D" w:rsidP="001A7B0D">
      <w:pPr>
        <w:rPr>
          <w:rFonts w:cs="Times New Roman"/>
        </w:rPr>
      </w:pPr>
      <w:r w:rsidRPr="00B76053">
        <w:rPr>
          <w:rFonts w:cs="Times New Roman"/>
        </w:rPr>
        <w:t>The triangulated interpretation also has implications for the design-pattern argument that Chapter 6 develops. The Better.com case suggests that voice AI in financial services is most likely to generate measurable business value when integrated with a process-aware operating platform, when task scope is bounded to communication coordination rather than regulated decision-making, when voice infrastructure supports natural conversation at low latency, and when human escalation is preserved and auditable. These integration prerequisites are summarised as a design pattern in Chapter 6, with acknowledgement that the pattern is derived from a single revelatory case and is proposed for analytic generalisation rather than statistical generalisation.</w:t>
      </w:r>
    </w:p>
    <w:p w14:paraId="3F2E7614" w14:textId="77777777" w:rsidR="00A222D3" w:rsidRPr="00B76053" w:rsidRDefault="006A2132">
      <w:pPr>
        <w:pStyle w:val="Heading2"/>
        <w:rPr>
          <w:rFonts w:cs="Times New Roman"/>
        </w:rPr>
      </w:pPr>
      <w:bookmarkStart w:id="70" w:name="_Toc229755337"/>
      <w:r w:rsidRPr="00B76053">
        <w:rPr>
          <w:rFonts w:cs="Times New Roman"/>
        </w:rPr>
        <w:t>5.6 Boundary Conditions</w:t>
      </w:r>
      <w:bookmarkEnd w:id="70"/>
    </w:p>
    <w:p w14:paraId="7474A4AB" w14:textId="77777777" w:rsidR="001A7B0D" w:rsidRPr="00B76053" w:rsidRDefault="001A7B0D" w:rsidP="001A7B0D">
      <w:pPr>
        <w:rPr>
          <w:rFonts w:cs="Times New Roman"/>
        </w:rPr>
      </w:pPr>
      <w:r w:rsidRPr="00B76053">
        <w:rPr>
          <w:rFonts w:cs="Times New Roman"/>
        </w:rPr>
        <w:t>Five boundary conditions frame the empirical findings of this chapter; the full treatment is in Chapter 8. The analysis is a single-case observational study using public secondary data, and annual financial reporting means FY 2024 blends roughly nine and a half months of pre-deployment performance with two and a half months of post-launch performance. The Trustpilot corpus is self-selected and substantially pre-period weighted (1,746 pre vs. 169 post-Betsy reviews). Rocket Companies serves as a directional benchmark only, not a counterfactual. Vendor and management-reported materials — including the joint Better–ElevenLabs press release's reported scale of approximately 100,000 mortgage-related calls per month and approximately 1.89 million inbound and outbound calls in 2025 — are used to characterise the integration mechanism and call-volume scale, and are not treated as independent evidence of business-value magnitudes.</w:t>
      </w:r>
    </w:p>
    <w:p w14:paraId="39DE384C" w14:textId="77777777" w:rsidR="001A7B0D" w:rsidRPr="00B76053" w:rsidRDefault="001A7B0D" w:rsidP="001A7B0D">
      <w:pPr>
        <w:pStyle w:val="Heading2"/>
        <w:rPr>
          <w:rFonts w:cs="Times New Roman"/>
        </w:rPr>
      </w:pPr>
      <w:bookmarkStart w:id="71" w:name="_Toc229755338"/>
      <w:r w:rsidRPr="00B76053">
        <w:rPr>
          <w:rFonts w:cs="Times New Roman"/>
        </w:rPr>
        <w:lastRenderedPageBreak/>
        <w:t>5.7 Summary of Empirical Findings</w:t>
      </w:r>
      <w:bookmarkEnd w:id="71"/>
    </w:p>
    <w:p w14:paraId="1D227EF9" w14:textId="77777777" w:rsidR="001A7B0D" w:rsidRPr="00B76053" w:rsidRDefault="001A7B0D" w:rsidP="001A7B0D">
      <w:pPr>
        <w:rPr>
          <w:rFonts w:cs="Times New Roman"/>
        </w:rPr>
      </w:pPr>
      <w:r w:rsidRPr="00B76053">
        <w:rPr>
          <w:rFonts w:cs="Times New Roman"/>
        </w:rPr>
        <w:t>Chapter 5 has integrated qualitative case-study evidence, longitudinal financial evidence, and customer-discourse evidence into a single empirical argument addressing the two research questions.</w:t>
      </w:r>
    </w:p>
    <w:p w14:paraId="4F6DD53F" w14:textId="77777777" w:rsidR="001A7B0D" w:rsidRPr="00B76053" w:rsidRDefault="001A7B0D" w:rsidP="001A7B0D">
      <w:pPr>
        <w:rPr>
          <w:rFonts w:cs="Times New Roman"/>
        </w:rPr>
      </w:pPr>
      <w:r w:rsidRPr="00B76053">
        <w:rPr>
          <w:rFonts w:cs="Times New Roman"/>
          <w:b/>
        </w:rPr>
        <w:t>RQ1 (integration).</w:t>
      </w:r>
      <w:r w:rsidRPr="00B76053">
        <w:rPr>
          <w:rFonts w:cs="Times New Roman"/>
        </w:rPr>
        <w:t xml:space="preserve"> Voice LLM agents become operationally meaningful in mortgage origination when they are embedded in a process-aware operating platform that exposes structured workflow state, scoped to a communication-coordination role rather than a regulated decision-making role, supported by low-latency voice infrastructure, and governed by an explicit human-AI collaboration model with auditable escalation. In the Better.com case, Tinman supplies the architectural prerequisite, Betsy operationalises the conversational coordination layer, ElevenLabs supplies the voice infrastructure, and the regulated task structure of mortgage origination supplies the human-in-the-loop boundary.</w:t>
      </w:r>
    </w:p>
    <w:p w14:paraId="439AB3F8" w14:textId="77777777" w:rsidR="001A7B0D" w:rsidRPr="00B76053" w:rsidRDefault="001A7B0D" w:rsidP="001A7B0D">
      <w:pPr>
        <w:rPr>
          <w:rFonts w:cs="Times New Roman"/>
        </w:rPr>
      </w:pPr>
      <w:r w:rsidRPr="00B76053">
        <w:rPr>
          <w:rFonts w:cs="Times New Roman"/>
          <w:b/>
        </w:rPr>
        <w:t xml:space="preserve">RQ2 (business value). </w:t>
      </w:r>
      <w:r w:rsidRPr="007E53D8">
        <w:rPr>
          <w:rFonts w:cs="Times New Roman"/>
          <w:bCs/>
        </w:rPr>
        <w:t>The financial evidence is consistent with AI-enabled operational leverage: revenue grew approximately 52 per cent (2024→2025) while expenses grew only approximately 5.3 per cent, the expense ratio declined from 2.89 to 2.01, net losses narrowed (though the company remained unprofitable in 2025), and revenue per employee improved approximately 42.9 per cent — though still below the 2021–2023 pre-period average of $0.130 million. Customer-experience evidence is mixed: management-reported NPS rose from approximately 39 to approximately 64, while independent Trustpilot star ratings declined from 4.2806 to 3.8580 (p = 0.0019; d = 0.2899) and VADER sentiment declined from 0.6416 to 0.5151 (p = 0.0057; d = 0.2505). Explicit AI mentions remained near 1 per cent throughout, consistent with voice AI operating as invisible infrastructure.</w:t>
      </w:r>
    </w:p>
    <w:p w14:paraId="20F70205" w14:textId="77777777" w:rsidR="001A7B0D" w:rsidRPr="00B76053" w:rsidRDefault="001A7B0D" w:rsidP="001A7B0D">
      <w:pPr>
        <w:rPr>
          <w:rFonts w:cs="Times New Roman"/>
        </w:rPr>
      </w:pPr>
      <w:r w:rsidRPr="00B76053">
        <w:rPr>
          <w:rFonts w:cs="Times New Roman"/>
        </w:rPr>
        <w:t xml:space="preserve">Synthesised across the three streams, the central empirical finding is that voice AI in financial services creates multidimensional, mediated business value rather than uniformly directional improvement. The financial signature is consistent with AI-enabled operational leverage but cannot isolate Betsy's specific contribution from the broader Betsy/Tinman AI operating model; customer discourse is mixed in ways that complicate, but do not invalidate, the management-reported NPS narrative; and the case-study evidence supplies the workflow-integration mechanism through which the financial signature becomes plausible. Chapter 6 develops the managerial and </w:t>
      </w:r>
      <w:r w:rsidRPr="00B76053">
        <w:rPr>
          <w:rFonts w:cs="Times New Roman"/>
        </w:rPr>
        <w:lastRenderedPageBreak/>
        <w:t>theoretical implications of these findings, including the design pattern the Better.com case suggests for voice LLM integration in regulated, communication-intensive financial-services workflows.</w:t>
      </w:r>
    </w:p>
    <w:p w14:paraId="3F1533E3" w14:textId="77777777" w:rsidR="006046D2" w:rsidRPr="00B76053" w:rsidRDefault="00B04762" w:rsidP="00B74A74">
      <w:pPr>
        <w:pStyle w:val="Heading1"/>
        <w:rPr>
          <w:rFonts w:cs="Times New Roman"/>
        </w:rPr>
      </w:pPr>
      <w:bookmarkStart w:id="72" w:name="_Toc229755339"/>
      <w:r w:rsidRPr="00B76053">
        <w:rPr>
          <w:rFonts w:cs="Times New Roman"/>
        </w:rPr>
        <w:t>6. A Voice-AI-in-Regulated-Workflow Design Pattern</w:t>
      </w:r>
      <w:bookmarkEnd w:id="72"/>
    </w:p>
    <w:p w14:paraId="2B745C8A" w14:textId="77777777" w:rsidR="006046D2" w:rsidRPr="00B76053" w:rsidRDefault="00B04762">
      <w:pPr>
        <w:pStyle w:val="Heading2"/>
        <w:rPr>
          <w:rFonts w:cs="Times New Roman"/>
        </w:rPr>
      </w:pPr>
      <w:bookmarkStart w:id="73" w:name="_Toc229755340"/>
      <w:r w:rsidRPr="00B76053">
        <w:rPr>
          <w:rFonts w:cs="Times New Roman"/>
        </w:rPr>
        <w:t>6.1 Introduction and Design-Science Framing</w:t>
      </w:r>
      <w:bookmarkEnd w:id="73"/>
    </w:p>
    <w:p w14:paraId="2A0EE224" w14:textId="77777777" w:rsidR="006046D2" w:rsidRPr="00B76053" w:rsidRDefault="00B04762">
      <w:pPr>
        <w:rPr>
          <w:rFonts w:cs="Times New Roman"/>
        </w:rPr>
      </w:pPr>
      <w:r w:rsidRPr="00B76053">
        <w:rPr>
          <w:rFonts w:cs="Times New Roman"/>
        </w:rPr>
        <w:t>Chapter 5 established that Better.com's post-deployment trajectory is consistent with AI-enabled operational leverage on the financial-operational dimension and divergent across measurement instruments on the customer-experience dimension. The case evidence further suggests four architectural and organisational prerequisites: a process-aware operating platform, a coordination-layer scoping of the voice agent, low-latency voice infrastructure, and an auditable human-AI collaboration model with licensed-consultant escalation at the regulated boundary. This chapter formalises those four prerequisites as a design pattern in the design-science sense (Hevner, March, Park, &amp; Ram, 2004): a reusable configuration of components and rules for a recurring problem class.</w:t>
      </w:r>
    </w:p>
    <w:p w14:paraId="180647E9" w14:textId="77777777" w:rsidR="006046D2" w:rsidRPr="00B76053" w:rsidRDefault="00B04762">
      <w:pPr>
        <w:rPr>
          <w:rFonts w:cs="Times New Roman"/>
        </w:rPr>
      </w:pPr>
      <w:r w:rsidRPr="00B76053">
        <w:rPr>
          <w:rFonts w:cs="Times New Roman"/>
        </w:rPr>
        <w:t>Two distinctions frame the chapter. First, the pattern is not a causal model: in the Better.com case the four prerequisites are jointly observed with operational leverage and with low customer-side AI attribution, but the single-case revelatory design (Yin, 2018) supports only analytic generalisation to similar configurations, not statistical generalisation to a population of firms. Second, the pattern is not a deployment recipe: it specifies neither model size, vendor selection, dialogue-system architecture, nor compliance-document templates. It identifies the structural conditions under which a voice LLM agent in a regulated financial-services workflow is most likely to generate measurable business value.</w:t>
      </w:r>
    </w:p>
    <w:p w14:paraId="44017E66" w14:textId="77777777" w:rsidR="006046D2" w:rsidRPr="00B76053" w:rsidRDefault="00B04762">
      <w:pPr>
        <w:rPr>
          <w:rFonts w:cs="Times New Roman"/>
        </w:rPr>
      </w:pPr>
      <w:r w:rsidRPr="00B76053">
        <w:rPr>
          <w:rFonts w:cs="Times New Roman"/>
        </w:rPr>
        <w:t>Section 6.2 states the preconditions for value capture. Section 6.3 specifies the four-prerequisite voice-AI architecture and is illustrated in Figure 6.1. Section 6.4 describes the implementation stages observed in the case. Section 6.5 maps each prerequisite to the business-value mechanisms identified in Chapter 5. Section 6.6 states the pattern's boundary conditions, Section 6.7 outlines transferability to adjacent regulated settings, and Section 6.8 summarises the pattern.</w:t>
      </w:r>
    </w:p>
    <w:p w14:paraId="085AF735" w14:textId="77777777" w:rsidR="006046D2" w:rsidRPr="00B76053" w:rsidRDefault="00B04762">
      <w:pPr>
        <w:pStyle w:val="Heading2"/>
        <w:rPr>
          <w:rFonts w:cs="Times New Roman"/>
        </w:rPr>
      </w:pPr>
      <w:bookmarkStart w:id="74" w:name="_Toc229755341"/>
      <w:r w:rsidRPr="00B76053">
        <w:rPr>
          <w:rFonts w:cs="Times New Roman"/>
        </w:rPr>
        <w:lastRenderedPageBreak/>
        <w:t>6.2 Preconditions for Value Capture</w:t>
      </w:r>
      <w:bookmarkEnd w:id="74"/>
    </w:p>
    <w:p w14:paraId="24CA722A" w14:textId="3054C004" w:rsidR="006046D2" w:rsidRPr="00B76053" w:rsidRDefault="00B04762">
      <w:pPr>
        <w:rPr>
          <w:rFonts w:cs="Times New Roman"/>
        </w:rPr>
      </w:pPr>
      <w:r w:rsidRPr="00B76053">
        <w:rPr>
          <w:rFonts w:cs="Times New Roman"/>
        </w:rPr>
        <w:t xml:space="preserve">Four organisational and regulatory preconditions distinguish settings in which the design pattern is plausible from settings in which deployment is likely to produce theatre rather than operational leverage. The first is process maturity: the receiving workflow must already be digitised and process-aware, with events represented as discrete states and machine-readable transitions. In the Better.com case this precondition is discharged by the Tinman platform (Better Home &amp; Finance Holding Company, 2025a). The second is data accessibility: workflow, document, eligibility, and timeline state must be exposed to the agent through stable, permissioned interfaces. The third is organisational readiness: roles must be defined for routine, regulated, and exception communication; performance measurement must distinguish agent-handled from human-handled interactions; and human-staff licensing must already align with the regulated boundary at which escalation will occur. The fourth is regulatory clarity: the legal boundary between routine communication (generally permissible to an unlicensed automated agent) and regulated communication (requiring a licensed mortgage loan originator under the SAFE Act, with consumer-protection oversight under the CFPB's UDAAP framework) must be explicit and operationalised before deployment (Consumer Financial Protection Bureau, </w:t>
      </w:r>
      <w:r w:rsidR="00C54806">
        <w:rPr>
          <w:rFonts w:cs="Times New Roman"/>
        </w:rPr>
        <w:t>2024, 2025</w:t>
      </w:r>
      <w:r w:rsidRPr="00B76053">
        <w:rPr>
          <w:rFonts w:cs="Times New Roman"/>
        </w:rPr>
        <w:t>).</w:t>
      </w:r>
    </w:p>
    <w:p w14:paraId="058A7ACC" w14:textId="77777777" w:rsidR="006046D2" w:rsidRPr="00B76053" w:rsidRDefault="00B04762">
      <w:pPr>
        <w:pStyle w:val="Heading2"/>
        <w:rPr>
          <w:rFonts w:cs="Times New Roman"/>
        </w:rPr>
      </w:pPr>
      <w:bookmarkStart w:id="75" w:name="_Toc229755342"/>
      <w:r w:rsidRPr="00B76053">
        <w:rPr>
          <w:rFonts w:cs="Times New Roman"/>
        </w:rPr>
        <w:t>6.3 Voice-AI Architecture: Four Prerequisites</w:t>
      </w:r>
      <w:bookmarkEnd w:id="75"/>
    </w:p>
    <w:p w14:paraId="2C9586CD" w14:textId="77777777" w:rsidR="006046D2" w:rsidRPr="00B76053" w:rsidRDefault="00B04762">
      <w:pPr>
        <w:rPr>
          <w:rFonts w:cs="Times New Roman"/>
        </w:rPr>
      </w:pPr>
      <w:r w:rsidRPr="00B76053">
        <w:rPr>
          <w:rFonts w:cs="Times New Roman"/>
        </w:rPr>
        <w:t>Figure 6.1 presents the four-prerequisite architecture observed in the case. The design pattern consists of four components linked by dataflow and escalation paths, supported by a governance and measurement layer.</w:t>
      </w:r>
    </w:p>
    <w:p w14:paraId="7F614421" w14:textId="77777777" w:rsidR="006046D2" w:rsidRPr="00B76053" w:rsidRDefault="00B04762">
      <w:pPr>
        <w:jc w:val="center"/>
        <w:rPr>
          <w:rFonts w:cs="Times New Roman"/>
        </w:rPr>
      </w:pPr>
      <w:r w:rsidRPr="00B76053">
        <w:rPr>
          <w:rFonts w:cs="Times New Roman"/>
          <w:noProof/>
        </w:rPr>
        <w:lastRenderedPageBreak/>
        <w:drawing>
          <wp:inline distT="0" distB="0" distL="0" distR="0" wp14:anchorId="2B472495" wp14:editId="63533DEC">
            <wp:extent cx="5943600" cy="38891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design_pattern.png"/>
                    <pic:cNvPicPr/>
                  </pic:nvPicPr>
                  <pic:blipFill>
                    <a:blip r:embed="rId14"/>
                    <a:stretch>
                      <a:fillRect/>
                    </a:stretch>
                  </pic:blipFill>
                  <pic:spPr>
                    <a:xfrm>
                      <a:off x="0" y="0"/>
                      <a:ext cx="5943600" cy="3889127"/>
                    </a:xfrm>
                    <a:prstGeom prst="rect">
                      <a:avLst/>
                    </a:prstGeom>
                  </pic:spPr>
                </pic:pic>
              </a:graphicData>
            </a:graphic>
          </wp:inline>
        </w:drawing>
      </w:r>
    </w:p>
    <w:p w14:paraId="517FA823" w14:textId="77777777" w:rsidR="006046D2" w:rsidRPr="00B76053" w:rsidRDefault="000B3B4A">
      <w:pPr>
        <w:pStyle w:val="Caption"/>
        <w:rPr>
          <w:rFonts w:cs="Times New Roman"/>
        </w:rPr>
      </w:pPr>
      <w:r w:rsidRPr="00B76053">
        <w:rPr>
          <w:rFonts w:cs="Times New Roman"/>
        </w:rPr>
        <w:t xml:space="preserve">GAI-assisted visual content (Claude Sonnet 4.6): </w:t>
      </w:r>
      <w:r w:rsidR="00B04762" w:rsidRPr="00B76053">
        <w:rPr>
          <w:rFonts w:cs="Times New Roman"/>
        </w:rPr>
        <w:t>Figure 6.1. Voice-AI-in-Regulated-Workflow Design Pattern. The four prerequisites observed in the Better.com / Tinman / Betsy / ElevenLabs case are connected by the dataflow paths and the regulated-step escalation path identified in Chapter 5. The bottom panel summarises the multidimensional measurement scheme used to evaluate value capture.</w:t>
      </w:r>
    </w:p>
    <w:p w14:paraId="29623430" w14:textId="77777777" w:rsidR="006046D2" w:rsidRPr="00B76053" w:rsidRDefault="00B04762">
      <w:pPr>
        <w:pStyle w:val="Heading3"/>
        <w:rPr>
          <w:rFonts w:cs="Times New Roman"/>
        </w:rPr>
      </w:pPr>
      <w:bookmarkStart w:id="76" w:name="_Toc229755343"/>
      <w:r w:rsidRPr="00B76053">
        <w:rPr>
          <w:rFonts w:cs="Times New Roman"/>
        </w:rPr>
        <w:t>6.3.1 Process-aware operating platform</w:t>
      </w:r>
      <w:bookmarkEnd w:id="76"/>
    </w:p>
    <w:p w14:paraId="3778D760" w14:textId="77777777" w:rsidR="006046D2" w:rsidRPr="00B76053" w:rsidRDefault="00B04762">
      <w:pPr>
        <w:rPr>
          <w:rFonts w:cs="Times New Roman"/>
        </w:rPr>
      </w:pPr>
      <w:r w:rsidRPr="00B76053">
        <w:rPr>
          <w:rFonts w:cs="Times New Roman"/>
        </w:rPr>
        <w:t>The process-aware operating platform is the foundation of the design pattern. It exposes structured workflow state, document state, eligibility state, and timeline events through APIs that the voice agent can read and update under permissioning. In the Better.com case, this platform is Tinman, which is described in the company’s 10-K as the proprietary technology that handles a substantial share of the loan-origination workflow and supports the integration of automated agents on top of it (Better Home &amp; Finance Holding Company, 2025a). Without such a platform, an LLM voice agent reduces to a front-end conversational interface that can summarise but not advance the loan.</w:t>
      </w:r>
    </w:p>
    <w:p w14:paraId="31EB51B9" w14:textId="77777777" w:rsidR="006046D2" w:rsidRPr="00B76053" w:rsidRDefault="00B04762">
      <w:pPr>
        <w:pStyle w:val="Heading3"/>
        <w:rPr>
          <w:rFonts w:cs="Times New Roman"/>
        </w:rPr>
      </w:pPr>
      <w:bookmarkStart w:id="77" w:name="_Toc229755344"/>
      <w:r w:rsidRPr="00B76053">
        <w:rPr>
          <w:rFonts w:cs="Times New Roman"/>
        </w:rPr>
        <w:t>6.3.2 Coordination-layer agent scope</w:t>
      </w:r>
      <w:bookmarkEnd w:id="77"/>
    </w:p>
    <w:p w14:paraId="2BAAE380" w14:textId="77777777" w:rsidR="006046D2" w:rsidRPr="00B76053" w:rsidRDefault="00B04762">
      <w:pPr>
        <w:rPr>
          <w:rFonts w:cs="Times New Roman"/>
        </w:rPr>
      </w:pPr>
      <w:r w:rsidRPr="00B76053">
        <w:rPr>
          <w:rFonts w:cs="Times New Roman"/>
        </w:rPr>
        <w:t xml:space="preserve">The voice agent’s task scope is bounded to the coordination layer: lead engagement, status updates, document collection, scheduling, and post-decision communication. It is not scoped to underwriting, credit decisioning, or the disclosure of material loan terms; those remain inside the </w:t>
      </w:r>
      <w:r w:rsidRPr="00B76053">
        <w:rPr>
          <w:rFonts w:cs="Times New Roman"/>
        </w:rPr>
        <w:lastRenderedPageBreak/>
        <w:t>regulated perimeter. Anchoring to the AI service hierarchy (Huang &amp; Rust, 2018), the agent’s scope sits in the mechanical and analytical layers of service work — high-volume, structured, communication-intensive activity — where AI is most consistently observed to substitute or augment human capacity. The case anchor is Betsy, described in the Betsy launch announcement and the Better–ElevenLabs joint release as a 24/7 AI loan assistant supporting the loan-officer team rather than replacing it (Better Home &amp; Finance Holding Company, 2024a; Better Home &amp; Finance Holding Company &amp; ElevenLabs, 2026).</w:t>
      </w:r>
    </w:p>
    <w:p w14:paraId="55E66F4E" w14:textId="77777777" w:rsidR="006046D2" w:rsidRPr="00B76053" w:rsidRDefault="00B04762">
      <w:pPr>
        <w:pStyle w:val="Heading3"/>
        <w:rPr>
          <w:rFonts w:cs="Times New Roman"/>
        </w:rPr>
      </w:pPr>
      <w:bookmarkStart w:id="78" w:name="_Toc229755345"/>
      <w:r w:rsidRPr="00B76053">
        <w:rPr>
          <w:rFonts w:cs="Times New Roman"/>
        </w:rPr>
        <w:t>6.3.3 Low-latency voice infrastructure</w:t>
      </w:r>
      <w:bookmarkEnd w:id="78"/>
    </w:p>
    <w:p w14:paraId="0448D9F5" w14:textId="77777777" w:rsidR="006046D2" w:rsidRPr="00B76053" w:rsidRDefault="00B04762">
      <w:pPr>
        <w:rPr>
          <w:rFonts w:cs="Times New Roman"/>
        </w:rPr>
      </w:pPr>
      <w:r w:rsidRPr="00B76053">
        <w:rPr>
          <w:rFonts w:cs="Times New Roman"/>
        </w:rPr>
        <w:t>The voice infrastructure layer is responsible for speech-to-text, low-latency LLM response generation, and text-to-speech, returned to the borrower as a fluent voice. In the Better.com case, this layer is provided by ElevenLabs Agents (Better Home &amp; Finance Holding Company &amp; ElevenLabs, 2026). Two latency thresholds are operational. First, the per-turn end-to-end latency must remain below approximately four seconds; experimental evidence in human-computer interaction research shows that latency above this threshold degrades perceived response time and broader user-experience measures, with natural conversational fillers offsetting only part of the effect (Maslych et al., 2025). Second, voice naturalness shapes user perceptions of safety and compliance (Becker et al., 2025; Nussbaum et al., 2025). For these reasons, the voice infrastructure is not a cosmetic surface treatment but a service-design prerequisite: poor synthesis or high latency can undermine confidence in the agent even when the underlying answer is correct.</w:t>
      </w:r>
    </w:p>
    <w:p w14:paraId="79DE3E94" w14:textId="77777777" w:rsidR="006046D2" w:rsidRPr="00B76053" w:rsidRDefault="00B04762">
      <w:pPr>
        <w:pStyle w:val="Heading3"/>
        <w:rPr>
          <w:rFonts w:cs="Times New Roman"/>
        </w:rPr>
      </w:pPr>
      <w:bookmarkStart w:id="79" w:name="_Toc229755346"/>
      <w:r w:rsidRPr="00B76053">
        <w:rPr>
          <w:rFonts w:cs="Times New Roman"/>
        </w:rPr>
        <w:t>6.3.4 Auditable human escalation</w:t>
      </w:r>
      <w:bookmarkEnd w:id="79"/>
    </w:p>
    <w:p w14:paraId="5E13A4E8" w14:textId="77777777" w:rsidR="006046D2" w:rsidRPr="00B76053" w:rsidRDefault="00B04762">
      <w:pPr>
        <w:rPr>
          <w:rFonts w:cs="Times New Roman"/>
        </w:rPr>
      </w:pPr>
      <w:r w:rsidRPr="00B76053">
        <w:rPr>
          <w:rFonts w:cs="Times New Roman"/>
        </w:rPr>
        <w:t>The fourth prerequisite is an auditable human-AI collaboration model. Routine communication is handled by the agent; regulated-step communication — disclosures under the Truth in Lending and Real Estate Settlement Procedures Acts, advice on terms requiring a licensed mortgage loan originator under the SAFE Act, and any interaction whose substance or framing is governed by the CFPB’s UDAAP framework — is routed to a licensed loan consultant. The handoff is observable, logged, and auditable: each transition between the agent and the human is timestamped, attributed to an identifiable human staff member, and stored in the platform’s case file. This design element discharges the regulatory clarity precondition by making the regulated boundary the natural human–AI hand-off point rather than a contested edge.</w:t>
      </w:r>
    </w:p>
    <w:p w14:paraId="32AA3CE9" w14:textId="77777777" w:rsidR="006046D2" w:rsidRPr="00B76053" w:rsidRDefault="00B04762">
      <w:pPr>
        <w:pStyle w:val="Heading2"/>
        <w:rPr>
          <w:rFonts w:cs="Times New Roman"/>
        </w:rPr>
      </w:pPr>
      <w:bookmarkStart w:id="80" w:name="_Toc229755347"/>
      <w:r w:rsidRPr="00B76053">
        <w:rPr>
          <w:rFonts w:cs="Times New Roman"/>
        </w:rPr>
        <w:lastRenderedPageBreak/>
        <w:t>6.4 Implementation Stages</w:t>
      </w:r>
      <w:bookmarkEnd w:id="80"/>
    </w:p>
    <w:p w14:paraId="47EF8E4F" w14:textId="77777777" w:rsidR="006046D2" w:rsidRPr="00B76053" w:rsidRDefault="00B04762">
      <w:pPr>
        <w:rPr>
          <w:rFonts w:cs="Times New Roman"/>
        </w:rPr>
      </w:pPr>
      <w:r w:rsidRPr="00B76053">
        <w:rPr>
          <w:rFonts w:cs="Times New Roman"/>
        </w:rPr>
        <w:t>The Better.com timeline supports a four-stage implementation sequence. Stage 1 is pilot deployment: the agent is introduced into a narrow, low-risk slice of the workflow. In the case, this slice was the post-decision update window beginning around the October 17, 2024 launch (Better Home &amp; Finance Holding Company, 2024a). Stage 2 is coordination expansion: scheduling, mid-funnel status updates, and document follow-up are added as the agent’s scope. Stage 3 is scaling and monitoring: call volume rises non-linearly while the human team reallocates capacity to complex and regulated cases. The Better–ElevenLabs joint release reports approximately 100,000 Betsy-handled mortgage-related phone calls per month and approximately 1.89 million inbound and outbound calls in 2025; these figures are vendor- and management-reported and are recorded as such in the source-reliability classification (§3.7) (Better Home &amp; Finance Holding Company &amp; ElevenLabs, 2026). Stage 4 is performance measurement: the agent’s contribution is evaluated through the multidimensional measurement scheme described in §6.5 and summarised in the bottom panel of Figure 6.1. The transition between stages is governed by the same human-escalation model that operates within each stage — expanding the agent’s task scope is itself a regulated-step decision.</w:t>
      </w:r>
    </w:p>
    <w:p w14:paraId="4C335A78" w14:textId="77777777" w:rsidR="006046D2" w:rsidRPr="00B76053" w:rsidRDefault="00B04762">
      <w:pPr>
        <w:pStyle w:val="Heading2"/>
        <w:rPr>
          <w:rFonts w:cs="Times New Roman"/>
        </w:rPr>
      </w:pPr>
      <w:bookmarkStart w:id="81" w:name="_Toc229755348"/>
      <w:r w:rsidRPr="00B76053">
        <w:rPr>
          <w:rFonts w:cs="Times New Roman"/>
        </w:rPr>
        <w:t>6.5 Business-Value Mechanisms by Prerequisite</w:t>
      </w:r>
      <w:bookmarkEnd w:id="81"/>
    </w:p>
    <w:p w14:paraId="69228B67" w14:textId="77777777" w:rsidR="006046D2" w:rsidRPr="00B76053" w:rsidRDefault="00B04762">
      <w:pPr>
        <w:rPr>
          <w:rFonts w:cs="Times New Roman"/>
        </w:rPr>
      </w:pPr>
      <w:r w:rsidRPr="00B76053">
        <w:rPr>
          <w:rFonts w:cs="Times New Roman"/>
        </w:rPr>
        <w:t>The four prerequisites generate value through different mechanisms. The process-aware operating platform creates value primarily through cost efficiency and labour productivity: structured workflow state permits automation of routine coordination, reduces exception-handling overhead, and shifts human capacity toward complex cases. In the Better.com case, this mechanism is consistent with the observed expense-ratio trajectory (4.79 → 2.89 → 2.01 between 2023 and 2025) and the revenue-per-employee trajectory ($0.094M → $0.087M → $0.124M), although both trajectories remain incomplete relative to the 2021–2023 pre-period RPE average of $0.130M (Chapter 5, §5.3.2 and §5.3.4). The coordination-layer agent generates value through labour productivity and — ambiguously — through customer experience: routine coordination is handled at higher volume without proportional headcount, while customer-side perceptions of the resulting service are mediated by latency, voice naturalness, and the visibility of the agent.</w:t>
      </w:r>
    </w:p>
    <w:p w14:paraId="6D4AD824" w14:textId="77777777" w:rsidR="006046D2" w:rsidRPr="00B76053" w:rsidRDefault="00B04762">
      <w:pPr>
        <w:rPr>
          <w:rFonts w:cs="Times New Roman"/>
        </w:rPr>
      </w:pPr>
      <w:r w:rsidRPr="00B76053">
        <w:rPr>
          <w:rFonts w:cs="Times New Roman"/>
        </w:rPr>
        <w:lastRenderedPageBreak/>
        <w:t xml:space="preserve">The voice-infrastructure layer affects customer experience directly. Speech-to-text, response-generation, and text-to-speech latency shape the per-turn experience; voice naturalness shapes perceptions of safety and compliance (Becker et al., 2025; Maslych et al., 2025). The Better.com NLP evidence in Chapter 5 is consistent with the proposition that, when the AI system operates as backend infrastructure rather than as a branded experience, customer-side AI attribution is low: explicit AI mentions in Trustpilot reviews remained at approximately 1.15 percent (pre) and 1.18 percent (post), and Cost/Rates discourse — the only keyword </w:t>
      </w:r>
      <w:proofErr w:type="gramStart"/>
      <w:r w:rsidRPr="00B76053">
        <w:rPr>
          <w:rFonts w:cs="Times New Roman"/>
        </w:rPr>
        <w:t>group</w:t>
      </w:r>
      <w:proofErr w:type="gramEnd"/>
      <w:r w:rsidRPr="00B76053">
        <w:rPr>
          <w:rFonts w:cs="Times New Roman"/>
        </w:rPr>
        <w:t xml:space="preserve"> whose prevalence shift survives the Bonferroni correction — shifted by −12.36 percentage points (Chapter 5, §5.4.3). The auditable human-escalation prerequisite generates value through a different channel: it permits revenue conversion at the regulated boundary (where the agent legally cannot close) and trust at the customer boundary (where the borrower can request a human). It also produces regulatory-compliance value that is directly visible in the absence of UDAAP-level enforcement events but indirectly visible in Better’s ongoing public-company status.</w:t>
      </w:r>
    </w:p>
    <w:p w14:paraId="6B52C23B" w14:textId="77777777" w:rsidR="006046D2" w:rsidRPr="00B76053" w:rsidRDefault="00B04762">
      <w:pPr>
        <w:pStyle w:val="Heading2"/>
        <w:rPr>
          <w:rFonts w:cs="Times New Roman"/>
        </w:rPr>
      </w:pPr>
      <w:bookmarkStart w:id="82" w:name="_Toc229755349"/>
      <w:r w:rsidRPr="00B76053">
        <w:rPr>
          <w:rFonts w:cs="Times New Roman"/>
        </w:rPr>
        <w:t>6.6 Boundary Conditions</w:t>
      </w:r>
      <w:bookmarkEnd w:id="82"/>
    </w:p>
    <w:p w14:paraId="60F233AA" w14:textId="77777777" w:rsidR="006046D2" w:rsidRPr="00B76053" w:rsidRDefault="00B04762">
      <w:pPr>
        <w:rPr>
          <w:rFonts w:cs="Times New Roman"/>
        </w:rPr>
      </w:pPr>
      <w:r w:rsidRPr="00B76053">
        <w:rPr>
          <w:rFonts w:cs="Times New Roman"/>
        </w:rPr>
        <w:t>Four boundary conditions bound the design pattern. First, regulated domain: the pattern is derived from U.S. mortgage origination and is most plausibly applicable to other regulated, communication-intensive, high-volume workflows; in weakly regulated domains the auditable-escalation prerequisite loses much of its value, and in heavily regulated domains without a clear routine/regulated boundary the coordination-layer scope cannot be defined. Second, data quality and process standardisation: the value of a process-aware platform depends on the structure and accuracy of the workflow data it exposes; where data is fragmented across legacy systems, or where the process state cannot be enumerated, the platform precondition is not satisfied without prior digital-transformation investment whose costs and timelines may exceed those of the agent itself. Third, trust and transparency: the customer must be able to escalate to a human, and the platform must make the human–AI boundary recognisable rather than opaque. Fourth, single-case derivation: the pattern is induced from one revelatory case, and its full interpretive limits — including the inseparability of the operational-leverage signal from concurrent macroeconomic recovery and post-IPO restructuring at Better — are treated in Chapter 8.</w:t>
      </w:r>
    </w:p>
    <w:p w14:paraId="46B4DFB1" w14:textId="77777777" w:rsidR="006046D2" w:rsidRPr="00B76053" w:rsidRDefault="00B04762">
      <w:pPr>
        <w:pStyle w:val="Heading2"/>
        <w:rPr>
          <w:rFonts w:cs="Times New Roman"/>
        </w:rPr>
      </w:pPr>
      <w:bookmarkStart w:id="83" w:name="_Toc229755350"/>
      <w:r w:rsidRPr="00B76053">
        <w:rPr>
          <w:rFonts w:cs="Times New Roman"/>
        </w:rPr>
        <w:lastRenderedPageBreak/>
        <w:t>6.7 Transferability to Adjacent Regulated Settings</w:t>
      </w:r>
      <w:bookmarkEnd w:id="83"/>
    </w:p>
    <w:p w14:paraId="23F66876" w14:textId="77777777" w:rsidR="006046D2" w:rsidRPr="00B76053" w:rsidRDefault="00B04762">
      <w:pPr>
        <w:rPr>
          <w:rFonts w:cs="Times New Roman"/>
        </w:rPr>
      </w:pPr>
      <w:r w:rsidRPr="00B76053">
        <w:rPr>
          <w:rFonts w:cs="Times New Roman"/>
        </w:rPr>
        <w:t>Two adjacent regulated settings illustrate the pattern’s transferability without overreaching. The first is retail-banking servicing: high-volume coordination tasks (status updates, dispute initiation, document submission, scheduling) proceed inside a process-aware core-banking platform, with regulated steps (Reg E investigations, Reg Z disclosures, fraud-stop confirmations) routed to licensed staff. The voice agent’s task scope, the latency constraint, and the auditable-escalation prerequisite carry across with minor adaptation; the data-accessibility precondition is the principal binding constraint, because core-banking systems are often less process-aware than Tinman. The second is insurance servicing: claim status, premium queries, and coverage updates can proceed inside a process-aware policy-administration platform, with claim-decisioning and material-misrepresentation steps routed to licensed adjusters or underwriters. Here the regulatory-clarity precondition is the principal constraint, because the legal definition of “advice” in insurance servicing varies more across jurisdictions than under the U.S. SAFE Act.</w:t>
      </w:r>
    </w:p>
    <w:p w14:paraId="3F124491" w14:textId="77777777" w:rsidR="006046D2" w:rsidRPr="00B76053" w:rsidRDefault="00B04762">
      <w:pPr>
        <w:rPr>
          <w:rFonts w:cs="Times New Roman"/>
        </w:rPr>
      </w:pPr>
      <w:r w:rsidRPr="00B76053">
        <w:rPr>
          <w:rFonts w:cs="Times New Roman"/>
        </w:rPr>
        <w:t>Beyond these two settings, the pattern’s claim is bounded by the four conditions in §6.6 and by the limitations articulated in Chapter 8. Transferability claims are therefore stated as working hypotheses for future research, not as established findings. In particular, the pattern’s transferability to lower digital-maturity lenders — those without an analogue of Tinman — is explicitly weaker than its transferability across high-digital-maturity regulated workflows.</w:t>
      </w:r>
    </w:p>
    <w:p w14:paraId="3ADD5661" w14:textId="77777777" w:rsidR="006046D2" w:rsidRPr="00B76053" w:rsidRDefault="00B04762">
      <w:pPr>
        <w:pStyle w:val="Heading2"/>
        <w:rPr>
          <w:rFonts w:cs="Times New Roman"/>
        </w:rPr>
      </w:pPr>
      <w:bookmarkStart w:id="84" w:name="_Toc229755351"/>
      <w:r w:rsidRPr="00B76053">
        <w:rPr>
          <w:rFonts w:cs="Times New Roman"/>
        </w:rPr>
        <w:t>6.8 Chapter Summary</w:t>
      </w:r>
      <w:bookmarkEnd w:id="84"/>
    </w:p>
    <w:p w14:paraId="584789B3" w14:textId="77777777" w:rsidR="006046D2" w:rsidRPr="00B76053" w:rsidRDefault="00B04762">
      <w:pPr>
        <w:rPr>
          <w:rFonts w:cs="Times New Roman"/>
        </w:rPr>
      </w:pPr>
      <w:r w:rsidRPr="00B76053">
        <w:rPr>
          <w:rFonts w:cs="Times New Roman"/>
        </w:rPr>
        <w:t>Chapter 6 has formalised the four prerequisites identified in Chapter 5 as a transferable design pattern: a process-aware operating platform, a coordination-layer agent scope, low-latency voice infrastructure, and an auditable human-AI collaboration model with licensed-consultant escalation at the regulated boundary. The pattern is offered in the design-science sense (Hevner et al., 2004) and bounded for analytic generalisation (Yin, 2018) to other regulated, communication-intensive, high-volume financial workflows with mature digital operating platforms. It is explicitly not a causal model and not a deployment recipe. Chapter 7 places the findings and the pattern within the literature reviewed in Chapter 2.</w:t>
      </w:r>
    </w:p>
    <w:p w14:paraId="4B7A7649" w14:textId="77777777" w:rsidR="006046D2" w:rsidRPr="00B76053" w:rsidRDefault="00B04762" w:rsidP="000D44C8">
      <w:pPr>
        <w:pStyle w:val="Heading1"/>
        <w:rPr>
          <w:rFonts w:cs="Times New Roman"/>
        </w:rPr>
      </w:pPr>
      <w:bookmarkStart w:id="85" w:name="_Toc229755352"/>
      <w:r w:rsidRPr="00B76053">
        <w:rPr>
          <w:rFonts w:cs="Times New Roman"/>
        </w:rPr>
        <w:lastRenderedPageBreak/>
        <w:t>7. Discussion</w:t>
      </w:r>
      <w:bookmarkEnd w:id="85"/>
    </w:p>
    <w:p w14:paraId="3418BBB1" w14:textId="77777777" w:rsidR="006046D2" w:rsidRPr="00B76053" w:rsidRDefault="00B04762">
      <w:pPr>
        <w:pStyle w:val="Heading2"/>
        <w:rPr>
          <w:rFonts w:cs="Times New Roman"/>
        </w:rPr>
      </w:pPr>
      <w:bookmarkStart w:id="86" w:name="_Toc229755353"/>
      <w:r w:rsidRPr="00B76053">
        <w:rPr>
          <w:rFonts w:cs="Times New Roman"/>
        </w:rPr>
        <w:t>7.1 Introduction</w:t>
      </w:r>
      <w:bookmarkEnd w:id="86"/>
    </w:p>
    <w:p w14:paraId="33E541BB" w14:textId="77777777" w:rsidR="006046D2" w:rsidRPr="00B76053" w:rsidRDefault="00B04762">
      <w:pPr>
        <w:rPr>
          <w:rFonts w:cs="Times New Roman"/>
        </w:rPr>
      </w:pPr>
      <w:r w:rsidRPr="00B76053">
        <w:rPr>
          <w:rFonts w:cs="Times New Roman"/>
        </w:rPr>
        <w:t>This chapter integrates the empirical findings of Chapter 5 and the design pattern of Chapter 6 with the literature reviewed in Chapter 2 under three constraints: the discussion stays within what a single observational case supports; it takes alternative explanations seriously; and it separates contributions that hold under alternative explanations from those that depend on Betsy's specific role. The chapter is organised around five questions: how to read the financial trajectory (§7.2), how to read the NPS–Trustpilot divergence (§7.3), what the case contributes theoretically (§7.4), what competing explanations imply (§7.5), and what the practical implications are (§7.6). Section 7.7 summarises the discussion.</w:t>
      </w:r>
    </w:p>
    <w:p w14:paraId="7D1760E5" w14:textId="77777777" w:rsidR="006046D2" w:rsidRPr="00B76053" w:rsidRDefault="00B04762">
      <w:pPr>
        <w:pStyle w:val="Heading2"/>
        <w:rPr>
          <w:rFonts w:cs="Times New Roman"/>
        </w:rPr>
      </w:pPr>
      <w:bookmarkStart w:id="87" w:name="_Toc229755354"/>
      <w:r w:rsidRPr="00B76053">
        <w:rPr>
          <w:rFonts w:cs="Times New Roman"/>
        </w:rPr>
        <w:t>7.2 Interpreting the Financial Trajectory</w:t>
      </w:r>
      <w:bookmarkEnd w:id="87"/>
    </w:p>
    <w:p w14:paraId="04ED39B7" w14:textId="77777777" w:rsidR="006046D2" w:rsidRPr="00B76053" w:rsidRDefault="00B04762">
      <w:pPr>
        <w:rPr>
          <w:rFonts w:cs="Times New Roman"/>
        </w:rPr>
      </w:pPr>
      <w:r w:rsidRPr="00B76053">
        <w:rPr>
          <w:rFonts w:cs="Times New Roman"/>
        </w:rPr>
        <w:t>The three financial signals reported in §5.3 — the expense-ratio trajectory of 4.79 → 2.89 → 2.01 between 2023 and 2025, the revenue-per-employee trajectory of $0.094M → $0.087M → $0.124M, and the net-loss narrowing from −$536.4M in 2023 to −$165.9M in 2025 — are consistent with AI-enabled operational leverage but do not isolate Betsy's contribution. The expense-ratio improvement is fastest in 2024, the year of Betsy's October launch, but the trajectory is continuous rather than discontinuous at that date: the ratio had begun improving earlier as Better's post-IPO restructuring took effect (Better Home &amp; Finance Holding Company, 2024b, 2025a). Revenue-per-employee in 2025 remains below the 2021–2023 pre-period average of $0.130M; the trajectory is therefore better read as a recovery toward the pre-period operating envelope than as a step-change beyond it.</w:t>
      </w:r>
    </w:p>
    <w:p w14:paraId="1BCBD329" w14:textId="77777777" w:rsidR="006046D2" w:rsidRPr="00B76053" w:rsidRDefault="00B04762">
      <w:pPr>
        <w:rPr>
          <w:rFonts w:cs="Times New Roman"/>
        </w:rPr>
      </w:pPr>
      <w:r w:rsidRPr="00B76053">
        <w:rPr>
          <w:rFonts w:cs="Times New Roman"/>
        </w:rPr>
        <w:t>These observations align with the AI-productivity literature's emphasis on task reallocation rather than full labour substitution (Acemoglu &amp; Restrepo, 2019; Brynjolfsson et al., 2023) and with voice-AI field studies showing productivity gains accruing to lower-tenure workers reassigned to coordination-intensive roles (Wang et al., 2023). The Better.com case differs in two respects: it is set in a regulated workflow whose boundary itself shapes the agent's task scope, and the agent operates inside a process-aware platform (Tinman) that is itself a precondition for the observed productivity gains.</w:t>
      </w:r>
    </w:p>
    <w:p w14:paraId="75708FC7" w14:textId="77777777" w:rsidR="006046D2" w:rsidRPr="00B76053" w:rsidRDefault="00B04762">
      <w:pPr>
        <w:rPr>
          <w:rFonts w:cs="Times New Roman"/>
        </w:rPr>
      </w:pPr>
      <w:r w:rsidRPr="00B76053">
        <w:rPr>
          <w:rFonts w:cs="Times New Roman"/>
        </w:rPr>
        <w:lastRenderedPageBreak/>
        <w:t>A cautious reading therefore states three reconcilable propositions: the financial trajectory is consistent with the design pattern's prediction of observable operational leverage given the four prerequisites; the trajectory cannot be attributed to Betsy in isolation, given the inseparable contributions of macroeconomic recovery, restructuring, and Tinman maturity; and the AI-productivity literature's prediction of gains through task reallocation is supported descriptively. The thesis stops at “consistent with” and does not claim that the trajectory empirically validates the literature.</w:t>
      </w:r>
    </w:p>
    <w:p w14:paraId="7A48B4DC" w14:textId="77777777" w:rsidR="006046D2" w:rsidRPr="00B76053" w:rsidRDefault="00B04762">
      <w:pPr>
        <w:pStyle w:val="Heading2"/>
        <w:rPr>
          <w:rFonts w:cs="Times New Roman"/>
        </w:rPr>
      </w:pPr>
      <w:bookmarkStart w:id="88" w:name="_Toc229755355"/>
      <w:r w:rsidRPr="00B76053">
        <w:rPr>
          <w:rFonts w:cs="Times New Roman"/>
        </w:rPr>
        <w:t>7.3 Interpreting the NPS – Trustpilot Divergence</w:t>
      </w:r>
      <w:bookmarkEnd w:id="88"/>
    </w:p>
    <w:p w14:paraId="524F4798" w14:textId="77777777" w:rsidR="006046D2" w:rsidRPr="00B76053" w:rsidRDefault="00B04762">
      <w:pPr>
        <w:rPr>
          <w:rFonts w:cs="Times New Roman"/>
        </w:rPr>
      </w:pPr>
      <w:r w:rsidRPr="00B76053">
        <w:rPr>
          <w:rFonts w:cs="Times New Roman"/>
        </w:rPr>
        <w:t>The two customer-experience signals reported in §5.4 — management-reported NPS rising from 39 to 64 and independent Trustpilot mean star ratings and VADER sentiment falling — point in opposite directions. The thesis treats this divergence as the most informative single finding in the empirical chapter and resists the temptation to resolve it by privileging either signal.</w:t>
      </w:r>
    </w:p>
    <w:p w14:paraId="467A6CCF" w14:textId="2877340B" w:rsidR="006046D2" w:rsidRPr="00B76053" w:rsidRDefault="00B04762">
      <w:pPr>
        <w:rPr>
          <w:rFonts w:cs="Times New Roman"/>
        </w:rPr>
      </w:pPr>
      <w:r w:rsidRPr="00B76053">
        <w:rPr>
          <w:rFonts w:cs="Times New Roman"/>
        </w:rPr>
        <w:t>The consumer-behaviour literature reviewed in §2.5 suggests four reasons why the two instruments should be expected to diverge in this case. First, Trustpilot reviews over-sample emotionally engaged customers (Filieri, 2015; Luca, 2016); management NPS may sample a different, internally drawn customer population. Second, the small post-period Trustpilot sample (n = 169 vs. n = 1,746 pre-period) gives self-selection more leverage on the post-period mean. Third, backend-AI services predict low customer-side AI attribution when the AI is not branded to the end user (Mogaji &amp; Nguyen, 202</w:t>
      </w:r>
      <w:r w:rsidR="007E69D3">
        <w:rPr>
          <w:rFonts w:cs="Times New Roman"/>
        </w:rPr>
        <w:t>2</w:t>
      </w:r>
      <w:r w:rsidRPr="00B76053">
        <w:rPr>
          <w:rFonts w:cs="Times New Roman"/>
        </w:rPr>
        <w:t>; Aggarwal et al., 2025), consistent with the near-flat explicit-AI mention rate (≈1.15% pre, ≈1.18% post). Fourth, an algorithm-aversion effect may further depress public-discourse evaluations of automated service even when underlying quality is unchanged (Dietvorst et al., 2015).</w:t>
      </w:r>
    </w:p>
    <w:p w14:paraId="61AD0BD3" w14:textId="77777777" w:rsidR="006046D2" w:rsidRPr="00B76053" w:rsidRDefault="00B04762">
      <w:pPr>
        <w:rPr>
          <w:rFonts w:cs="Times New Roman"/>
        </w:rPr>
      </w:pPr>
      <w:r w:rsidRPr="00B76053">
        <w:rPr>
          <w:rFonts w:cs="Times New Roman"/>
        </w:rPr>
        <w:t xml:space="preserve">The Cost/Rates discourse shift (−12.36 percentage points, the only keyword-group shift surviving Bonferroni correction) is the most diagnostic single keyword finding. Two interpretations are consistent with it. Post-October-2024 reviewers may differ in their reasons for reviewing, with operational frustrations displacing transactional outcomes; alternatively, the rate environment was less salient as 30-year rates eased (Mortgage Bankers Association, 2024a), so customers wrote fewer rate-related reviews. The two are not mutually exclusive, and the case data cannot adjudicate between them. Jointly, they imply that public-discourse evidence on voice-AI deployment must </w:t>
      </w:r>
      <w:r w:rsidRPr="00B76053">
        <w:rPr>
          <w:rFonts w:cs="Times New Roman"/>
        </w:rPr>
        <w:lastRenderedPageBreak/>
        <w:t>be read alongside management-reported instruments and triangulated against operational evidence rather than substituted for them.</w:t>
      </w:r>
    </w:p>
    <w:p w14:paraId="46AB9A8F" w14:textId="77777777" w:rsidR="006046D2" w:rsidRPr="00B76053" w:rsidRDefault="00B04762">
      <w:pPr>
        <w:pStyle w:val="Heading2"/>
        <w:rPr>
          <w:rFonts w:cs="Times New Roman"/>
        </w:rPr>
      </w:pPr>
      <w:bookmarkStart w:id="89" w:name="_Toc229755356"/>
      <w:r w:rsidRPr="00B76053">
        <w:rPr>
          <w:rFonts w:cs="Times New Roman"/>
        </w:rPr>
        <w:t>7.4 Theoretical Contributions</w:t>
      </w:r>
      <w:bookmarkEnd w:id="89"/>
    </w:p>
    <w:p w14:paraId="405531EC" w14:textId="77777777" w:rsidR="006046D2" w:rsidRPr="00B76053" w:rsidRDefault="00B04762">
      <w:pPr>
        <w:rPr>
          <w:rFonts w:cs="Times New Roman"/>
        </w:rPr>
      </w:pPr>
      <w:r w:rsidRPr="00B76053">
        <w:rPr>
          <w:rFonts w:cs="Times New Roman"/>
        </w:rPr>
        <w:t>The thesis contributes to three threads of the literature. The first is the AI service hierarchy (Huang &amp; Rust, 2018). The Better.com case extends that hierarchy by showing that mechanical and analytical service work can be substantially automated by a voice LLM agent scoped to the coordination layer of a regulated workflow, while the intuitive and empathetic layers remain inside the human-AI collaboration model. The case is also consistent with the hierarchy’s prediction that AI substitution diffuses first through the lower layers of service work; what the hierarchy does not specify, and what the case contributes, is the architectural precondition (a process-aware operating platform) for the substitution to be operational rather than rhetorical.</w:t>
      </w:r>
    </w:p>
    <w:p w14:paraId="1F68F9A3" w14:textId="77777777" w:rsidR="006046D2" w:rsidRPr="00B76053" w:rsidRDefault="00B04762">
      <w:pPr>
        <w:rPr>
          <w:rFonts w:cs="Times New Roman"/>
        </w:rPr>
      </w:pPr>
      <w:r w:rsidRPr="00B76053">
        <w:rPr>
          <w:rFonts w:cs="Times New Roman"/>
        </w:rPr>
        <w:t>The second thread is task–technology fit (Goodhue &amp; Thompson, 1995). The case operationalises the task–technology-fit lens at the workflow level rather than at the individual-task level: the fit between Betsy’s coordination-layer task scope and the structured workflow state exposed by Tinman is the architectural fact that the case identifies. The case extends the task–technology-fit lens by showing that, in regulated workflows, task–technology fit must be evaluated against the regulated boundary as well as against the task itself: the agent’s scope must fit not only the task but also the licensing and disclosure constraints that govern the task.</w:t>
      </w:r>
    </w:p>
    <w:p w14:paraId="193D9FF5" w14:textId="26727B02" w:rsidR="006046D2" w:rsidRPr="00B76053" w:rsidRDefault="00B04762">
      <w:pPr>
        <w:rPr>
          <w:rFonts w:cs="Times New Roman"/>
        </w:rPr>
      </w:pPr>
      <w:r w:rsidRPr="00B76053">
        <w:rPr>
          <w:rFonts w:cs="Times New Roman"/>
        </w:rPr>
        <w:t>The third thread is the AI-enabled productivity literature (Acemoglu &amp; Restrepo, 2019; Brynjolfsson et al., 2023). The case is consistent with that literature’s prediction that AI-related productivity gains materialise through task reallocation rather than full labour substitution and may emerge alongside ambiguous customer-perception effects when the AI system operates as backend infrastructure (Mogaji &amp; Nguyen, 202</w:t>
      </w:r>
      <w:r w:rsidR="007E69D3">
        <w:rPr>
          <w:rFonts w:cs="Times New Roman"/>
        </w:rPr>
        <w:t>2</w:t>
      </w:r>
      <w:r w:rsidRPr="00B76053">
        <w:rPr>
          <w:rFonts w:cs="Times New Roman"/>
        </w:rPr>
        <w:t>; Aggarwal et al., 2025). The case adds a regulated-workflow boundary condition that the AI-productivity literature has examined less frequently: the productivity channel and the regulatory-compliance channel are not separable in the case data, and the four-prerequisite design pattern specifies the architectural arrangement under which they are jointly observed.</w:t>
      </w:r>
    </w:p>
    <w:p w14:paraId="6C2E4741" w14:textId="77777777" w:rsidR="006046D2" w:rsidRPr="00B76053" w:rsidRDefault="00B04762">
      <w:pPr>
        <w:rPr>
          <w:rFonts w:cs="Times New Roman"/>
        </w:rPr>
      </w:pPr>
      <w:r w:rsidRPr="00B76053">
        <w:rPr>
          <w:rFonts w:cs="Times New Roman"/>
        </w:rPr>
        <w:lastRenderedPageBreak/>
        <w:t>Read together, the three threads suggest that the Better.com case is an example of what might be called “invisible AI infrastructure”: a voice-AI agent that is operationally consequential but customer-side imperceptible. This is not a new theoretical category; it is a synthesis of existing observations in the chatbot literature (Adam et al., 2021), the backend-AI services literature (Mogaji &amp; Nguyen, 2022), and the AI-productivity literature. What the case adds is an integrated empirical example in which the operational-financial signal, the customer-discourse signal, the vendor-architectural signal, and the management-reported signal can be read against each other on the same firm in the same time window.</w:t>
      </w:r>
    </w:p>
    <w:p w14:paraId="46706CDE" w14:textId="77777777" w:rsidR="006046D2" w:rsidRPr="00B76053" w:rsidRDefault="00B04762">
      <w:pPr>
        <w:pStyle w:val="Heading2"/>
        <w:rPr>
          <w:rFonts w:cs="Times New Roman"/>
        </w:rPr>
      </w:pPr>
      <w:bookmarkStart w:id="90" w:name="_Toc229755357"/>
      <w:r w:rsidRPr="00B76053">
        <w:rPr>
          <w:rFonts w:cs="Times New Roman"/>
        </w:rPr>
        <w:t>7.5 Alternative Explanations and Competing Hypotheses</w:t>
      </w:r>
      <w:bookmarkEnd w:id="90"/>
    </w:p>
    <w:p w14:paraId="620D5BFC" w14:textId="77777777" w:rsidR="006046D2" w:rsidRPr="00B76053" w:rsidRDefault="00B04762">
      <w:pPr>
        <w:rPr>
          <w:rFonts w:cs="Times New Roman"/>
        </w:rPr>
      </w:pPr>
      <w:r w:rsidRPr="00B76053">
        <w:rPr>
          <w:rFonts w:cs="Times New Roman"/>
        </w:rPr>
        <w:t>Several alternative explanations could account for the financial trajectory of 2023–2025 in whole or in part. First, macroeconomic recovery: U.S. mortgage origination volume began to recover from its 2022–2023 trough as 30-year fixed mortgage rates eased and as the volume of refinance and purchase originations rose (Federal Reserve Bank of New York, 2023; Mortgage Bankers Association, 2024a). A neutral macroeconomic counterfactual cannot be constructed from the case data. The case therefore concedes that the recovery component of the trajectory is not separable from the AI-enabled component using single-firm evidence. Second, restructuring: Better’s post-IPO restructuring (the NEO loan officer programme, the consolidation of operations, the headcount reductions reported in the 2023 and 2024 10-Ks) reduces the expense base independently of any AI-related effect (Better Home &amp; Finance Holding Company, 2024b, 2025a). Third, mix shift: changes in the mix of refinance versus purchase originations affect both revenue per loan and operating margin, and the post-period mix is not constant. Fourth, peer-effect spillovers: a parallel benchmark lender (Rocket Companies, 2024, 2025) shows correlated trajectory changes during the same window, although Rocket’s scale and vertical integration make a direct comparison only directional.</w:t>
      </w:r>
    </w:p>
    <w:p w14:paraId="358EBC7F" w14:textId="77777777" w:rsidR="006046D2" w:rsidRPr="00B76053" w:rsidRDefault="00B04762">
      <w:pPr>
        <w:rPr>
          <w:rFonts w:cs="Times New Roman"/>
        </w:rPr>
      </w:pPr>
      <w:r w:rsidRPr="00B76053">
        <w:rPr>
          <w:rFonts w:cs="Times New Roman"/>
        </w:rPr>
        <w:t xml:space="preserve">How does each alternative bear on the design pattern? The macroeconomic-recovery and restructuring hypotheses do not invalidate the design pattern; they bound the share of the financial trajectory that the pattern is licensed to explain. The mix-shift hypothesis does not invalidate the design pattern either, but it does suggest that revenue-per-employee should be interpreted with care, and §5.3.4 already does so. The peer-effect-spillovers hypothesis is the most challenging: if </w:t>
      </w:r>
      <w:r w:rsidRPr="00B76053">
        <w:rPr>
          <w:rFonts w:cs="Times New Roman"/>
        </w:rPr>
        <w:lastRenderedPageBreak/>
        <w:t>Rocket’s 2024–2025 trajectory partially mirrors Better’s, the operational-leverage signal cannot be attributed to AI deployment without further evidence. The case study’s response is to treat Rocket as a directional industry benchmark and not as a counterfactual, and to treat the AI deployment as one of several mechanisms in a multi-mechanism explanation.</w:t>
      </w:r>
    </w:p>
    <w:p w14:paraId="3FE227D5" w14:textId="77777777" w:rsidR="006046D2" w:rsidRPr="00B76053" w:rsidRDefault="00B04762">
      <w:pPr>
        <w:rPr>
          <w:rFonts w:cs="Times New Roman"/>
        </w:rPr>
      </w:pPr>
      <w:r w:rsidRPr="00B76053">
        <w:rPr>
          <w:rFonts w:cs="Times New Roman"/>
        </w:rPr>
        <w:t>On the customer-experience side, the principal alternative is that the post-Betsy Trustpilot decline reflects a broader reviewing-population drift rather than a deterioration in service quality: post-Betsy reviewers may differ in their reasons for reviewing, in the share of transactional versus operational complaints, and in the broader discourse environment. The thesis records this alternative explicitly and reads the Trustpilot evidence as one signal in a triangulated evidence base, rather than as a contradicting fact. Where the discourse evidence is genuinely uninformative — such as on the magnitude of the customer-experience effect — the thesis abstains from a single magnitude estimate.</w:t>
      </w:r>
    </w:p>
    <w:p w14:paraId="621EEC18" w14:textId="77777777" w:rsidR="006046D2" w:rsidRPr="00B76053" w:rsidRDefault="00B04762">
      <w:pPr>
        <w:pStyle w:val="Heading2"/>
        <w:rPr>
          <w:rFonts w:cs="Times New Roman"/>
        </w:rPr>
      </w:pPr>
      <w:bookmarkStart w:id="91" w:name="_Toc229755358"/>
      <w:r w:rsidRPr="00B76053">
        <w:rPr>
          <w:rFonts w:cs="Times New Roman"/>
        </w:rPr>
        <w:t>7.6 Practical Implications</w:t>
      </w:r>
      <w:bookmarkEnd w:id="91"/>
    </w:p>
    <w:p w14:paraId="57544D21" w14:textId="77777777" w:rsidR="006046D2" w:rsidRPr="00B76053" w:rsidRDefault="00B04762">
      <w:pPr>
        <w:rPr>
          <w:rFonts w:cs="Times New Roman"/>
        </w:rPr>
      </w:pPr>
      <w:r w:rsidRPr="00B76053">
        <w:rPr>
          <w:rFonts w:cs="Times New Roman"/>
        </w:rPr>
        <w:t>The practical implications of the thesis are pitched at three audiences. For lender executives, the thesis argues that voice-AI deployment should be evaluated as the visible component of a longer digital-platform investment whose less visible components (process digitisation, workflow-state APIs, data-quality investments, human-AI coordination structures) typically dominate the cost and the timeline. The four-prerequisite design pattern functions as a diagnostic checklist: a deployment that lacks any one of the four prerequisites is unlikely to generate the operational leverage the case exhibits, regardless of vendor selection. For voice-AI vendors, the thesis suggests that the boundary between voice-infrastructure value and integration-and-data-platform value is the principal commercial fault line: a high-quality voice-infrastructure layer is necessary but not sufficient for a productive deployment.</w:t>
      </w:r>
    </w:p>
    <w:p w14:paraId="581FC0DB" w14:textId="4479567C" w:rsidR="006046D2" w:rsidRPr="00B76053" w:rsidRDefault="00B04762">
      <w:pPr>
        <w:rPr>
          <w:rFonts w:cs="Times New Roman"/>
        </w:rPr>
      </w:pPr>
      <w:r w:rsidRPr="00B76053">
        <w:rPr>
          <w:rFonts w:cs="Times New Roman"/>
        </w:rPr>
        <w:t xml:space="preserve">For regulators, the thesis suggests that the most informative supervisory question may not be “is the customer interacting with an AI?” but “is the regulated step routed to a licensed and identifiable human, and is the routing audit-logged?” The pattern’s auditable-escalation prerequisite renders the regulated boundary observable and supervisable, regardless of whether the customer is consciously aware of the AI in the routine communication that precedes it. This framing aligns with the Consumer Financial Protection Bureau’s UDAAP framework and the SAFE Act’s </w:t>
      </w:r>
      <w:r w:rsidRPr="00B76053">
        <w:rPr>
          <w:rFonts w:cs="Times New Roman"/>
        </w:rPr>
        <w:lastRenderedPageBreak/>
        <w:t xml:space="preserve">licensing requirements (Consumer Financial Protection Bureau, </w:t>
      </w:r>
      <w:r w:rsidR="004E7718">
        <w:rPr>
          <w:rFonts w:cs="Times New Roman"/>
        </w:rPr>
        <w:t>2024, 2025</w:t>
      </w:r>
      <w:r w:rsidRPr="00B76053">
        <w:rPr>
          <w:rFonts w:cs="Times New Roman"/>
        </w:rPr>
        <w:t>) and offers a workable supervisory primitive for voice-AI deployments in regulated financial workflows.</w:t>
      </w:r>
    </w:p>
    <w:p w14:paraId="5536718A" w14:textId="77777777" w:rsidR="006046D2" w:rsidRPr="00B76053" w:rsidRDefault="00B04762">
      <w:pPr>
        <w:pStyle w:val="Heading2"/>
        <w:rPr>
          <w:rFonts w:cs="Times New Roman"/>
        </w:rPr>
      </w:pPr>
      <w:bookmarkStart w:id="92" w:name="_Toc229755359"/>
      <w:r w:rsidRPr="00B76053">
        <w:rPr>
          <w:rFonts w:cs="Times New Roman"/>
        </w:rPr>
        <w:t>7.7 Chapter Summary</w:t>
      </w:r>
      <w:bookmarkEnd w:id="92"/>
    </w:p>
    <w:p w14:paraId="24AEAF20" w14:textId="77777777" w:rsidR="006046D2" w:rsidRPr="00B76053" w:rsidRDefault="00B04762">
      <w:pPr>
        <w:rPr>
          <w:rFonts w:cs="Times New Roman"/>
        </w:rPr>
      </w:pPr>
      <w:r w:rsidRPr="00B76053">
        <w:rPr>
          <w:rFonts w:cs="Times New Roman"/>
        </w:rPr>
        <w:t>Chapter 7 has integrated the empirical findings of Chapter 5 and the design pattern of Chapter 6 with the literature of Chapter 2 across five threads: the financial trajectory, the NPS–Trustpilot divergence, theoretical contributions to the AI-service-hierarchy / task–technology-fit / AI-productivity literatures, alternative explanations, and practical implications. The discussion has consistently respected the boundary between “consistent with” and “caused by,” framing the contribution as descriptive, interpretive, and design-pattern-prescriptive rather than causal. Chapter 8 examines the limitations of the design and the evidence in detail; Chapter 9 states the direct answers to RQ1 and RQ2 and the priority directions for future research.</w:t>
      </w:r>
    </w:p>
    <w:p w14:paraId="5C8118FE" w14:textId="77777777" w:rsidR="006046D2" w:rsidRPr="00B76053" w:rsidRDefault="00B04762" w:rsidP="0061771B">
      <w:pPr>
        <w:pStyle w:val="Heading1"/>
        <w:rPr>
          <w:rFonts w:cs="Times New Roman"/>
        </w:rPr>
      </w:pPr>
      <w:bookmarkStart w:id="93" w:name="_Toc229755360"/>
      <w:r w:rsidRPr="00B76053">
        <w:rPr>
          <w:rFonts w:cs="Times New Roman"/>
        </w:rPr>
        <w:t>8. Limitations</w:t>
      </w:r>
      <w:bookmarkEnd w:id="93"/>
    </w:p>
    <w:p w14:paraId="5FA8B538" w14:textId="77777777" w:rsidR="006046D2" w:rsidRPr="00B76053" w:rsidRDefault="00B04762">
      <w:pPr>
        <w:pStyle w:val="Heading2"/>
        <w:rPr>
          <w:rFonts w:cs="Times New Roman"/>
        </w:rPr>
      </w:pPr>
      <w:bookmarkStart w:id="94" w:name="_Toc229755361"/>
      <w:r w:rsidRPr="00B76053">
        <w:rPr>
          <w:rFonts w:cs="Times New Roman"/>
        </w:rPr>
        <w:t>8.1 Introduction</w:t>
      </w:r>
      <w:bookmarkEnd w:id="94"/>
    </w:p>
    <w:p w14:paraId="663D033A" w14:textId="77777777" w:rsidR="006046D2" w:rsidRPr="00B76053" w:rsidRDefault="00B04762">
      <w:pPr>
        <w:rPr>
          <w:rFonts w:cs="Times New Roman"/>
        </w:rPr>
      </w:pPr>
      <w:r w:rsidRPr="00B76053">
        <w:rPr>
          <w:rFonts w:cs="Times New Roman"/>
        </w:rPr>
        <w:t>Chapter 3 stated the principal methodological limitations as a consolidated table (§3.9, Table 3.3); this chapter examines them in greater depth. Each limitation is described in terms of (a) the specific class of inferences it bounds, (b) the mitigation adopted in this thesis, and (c) the residual interpretive risk that survives after mitigation. The limitations are presented in the same order as Table 3.3 and connect to the alternative explanations examined in §7.5.</w:t>
      </w:r>
    </w:p>
    <w:p w14:paraId="4DB1B8C3" w14:textId="77777777" w:rsidR="006046D2" w:rsidRPr="00B76053" w:rsidRDefault="00B04762">
      <w:pPr>
        <w:pStyle w:val="Heading2"/>
        <w:rPr>
          <w:rFonts w:cs="Times New Roman"/>
        </w:rPr>
      </w:pPr>
      <w:bookmarkStart w:id="95" w:name="_Toc229755362"/>
      <w:r w:rsidRPr="00B76053">
        <w:rPr>
          <w:rFonts w:cs="Times New Roman"/>
        </w:rPr>
        <w:t>8.2 No Causal Identification</w:t>
      </w:r>
      <w:bookmarkEnd w:id="95"/>
    </w:p>
    <w:p w14:paraId="3609F1DF" w14:textId="77777777" w:rsidR="006046D2" w:rsidRPr="00B76053" w:rsidRDefault="00B04762">
      <w:pPr>
        <w:rPr>
          <w:rFonts w:cs="Times New Roman"/>
        </w:rPr>
      </w:pPr>
      <w:r w:rsidRPr="00B76053">
        <w:rPr>
          <w:rFonts w:cs="Times New Roman"/>
        </w:rPr>
        <w:t xml:space="preserve">The most consequential limitation is the absence of a causal identification strategy. The thesis is observational and single-firm; no randomised assignment, no instrumental variable, and no clean quasi-experimental discontinuity is available in the case data. Consequently, no claim in the thesis is licensed to state that Betsy caused Better’s expense-ratio improvement, revenue-per-employee recovery, or net-loss compression. The mitigation adopted is consistent: the thesis uses “consistent with,” “associated with,” “suggests,” and “provides directional evidence” throughout, and the discussion in §7.5 explicitly treats macroeconomic recovery, restructuring, mix shift, and peer </w:t>
      </w:r>
      <w:r w:rsidRPr="00B76053">
        <w:rPr>
          <w:rFonts w:cs="Times New Roman"/>
        </w:rPr>
        <w:lastRenderedPageBreak/>
        <w:t>effects as alternative explanations. The residual risk is that examiners or readers may import a causal interpretation that the thesis does not state; the design-pattern framing in Chapter 6 is intended in part to preclude this misreading by treating the four prerequisites as joint conditions for an observable outcome rather than as causes of it.</w:t>
      </w:r>
    </w:p>
    <w:p w14:paraId="3690DA78" w14:textId="77777777" w:rsidR="006046D2" w:rsidRPr="00B76053" w:rsidRDefault="00B04762">
      <w:pPr>
        <w:pStyle w:val="Heading2"/>
        <w:rPr>
          <w:rFonts w:cs="Times New Roman"/>
        </w:rPr>
      </w:pPr>
      <w:bookmarkStart w:id="96" w:name="_Toc229755363"/>
      <w:r w:rsidRPr="00B76053">
        <w:rPr>
          <w:rFonts w:cs="Times New Roman"/>
        </w:rPr>
        <w:t>8.3 Annual Financial Granularity</w:t>
      </w:r>
      <w:bookmarkEnd w:id="96"/>
    </w:p>
    <w:p w14:paraId="6E19FAFE" w14:textId="77777777" w:rsidR="006046D2" w:rsidRPr="00B76053" w:rsidRDefault="00B04762">
      <w:pPr>
        <w:rPr>
          <w:rFonts w:cs="Times New Roman"/>
        </w:rPr>
      </w:pPr>
      <w:r w:rsidRPr="00B76053">
        <w:rPr>
          <w:rFonts w:cs="Times New Roman"/>
        </w:rPr>
        <w:t>The audited financial data in this thesis is annual (10-K, plus the S-1 for Better’s 2021 figures); the thesis does not draw on 10-Q quarterly forms. Betsy launched on October 17, 2024; consequently, fiscal year 2024 contains both a pre-Betsy and a post-Betsy operating period, and 2024 figures must be interpreted as a transition year. The mitigation adopted is twofold. First, the thesis privileges 2025 figures (the first full post-Betsy fiscal year) and the 2023 baseline (the last full pre-Betsy fiscal year) for the operational-leverage interpretation (Chapter 5, §5.3). Second, the thesis does not run a within-2024 difference-in-means test on the financial data, because annual reporting cannot support such a test. The residual risk is that the magnitude of the transition signal is sensitive to the precise fiscal boundaries available in the SEC filings; this sensitivity is unrecoverable without quarterly disclosures with sufficient operational granularity.</w:t>
      </w:r>
    </w:p>
    <w:p w14:paraId="75BED476" w14:textId="77777777" w:rsidR="006046D2" w:rsidRPr="00B76053" w:rsidRDefault="00B04762">
      <w:pPr>
        <w:pStyle w:val="Heading2"/>
        <w:rPr>
          <w:rFonts w:cs="Times New Roman"/>
        </w:rPr>
      </w:pPr>
      <w:bookmarkStart w:id="97" w:name="_Toc229755364"/>
      <w:r w:rsidRPr="00B76053">
        <w:rPr>
          <w:rFonts w:cs="Times New Roman"/>
        </w:rPr>
        <w:t>8.4 Reliance on Public-Data and Single-Vendor Sources</w:t>
      </w:r>
      <w:bookmarkEnd w:id="97"/>
    </w:p>
    <w:p w14:paraId="34E9AC2D" w14:textId="77777777" w:rsidR="006046D2" w:rsidRPr="00B76053" w:rsidRDefault="00B04762">
      <w:pPr>
        <w:rPr>
          <w:rFonts w:cs="Times New Roman"/>
        </w:rPr>
      </w:pPr>
      <w:r w:rsidRPr="00B76053">
        <w:rPr>
          <w:rFonts w:cs="Times New Roman"/>
        </w:rPr>
        <w:t>The thesis relies on Better’s SEC disclosures, the joint Better–ElevenLabs press release, the ElevenLabs vendor materials, and the Mortgage Bankers Association industry reports for its operating evidence. Two interpretive risks follow. First, vendor-reported metrics (call volumes, conversion-rate changes, agent-handled-call counts) are subject to commercial-marketing incentives. The mitigation adopted is to introduce every vendor metric with the flag “Vendor materials report …” and to triangulate against Better’s SEC disclosures wherever possible. Second, Better’s management-reported operating metrics (Net Promoter Score; “approximately 100,000 mortgage-related calls per month”; “approximately 1.89 million inbound and outbound calls in 2025”) are not externally audited. The mitigation is to introduce them with “Better has reported that …” and to keep them separate from the audited financial trajectory. The residual risk is that an examiner who skim-reads the discussion may conflate the audited and unaudited channels; the source-reliability hierarchy in §3.7 (Table 3.2) and the explicit wording requirements are intended to preclude this.</w:t>
      </w:r>
    </w:p>
    <w:p w14:paraId="037F1730" w14:textId="77777777" w:rsidR="006046D2" w:rsidRPr="00B76053" w:rsidRDefault="00B04762">
      <w:pPr>
        <w:pStyle w:val="Heading2"/>
        <w:rPr>
          <w:rFonts w:cs="Times New Roman"/>
        </w:rPr>
      </w:pPr>
      <w:bookmarkStart w:id="98" w:name="_Toc229755365"/>
      <w:r w:rsidRPr="00B76053">
        <w:rPr>
          <w:rFonts w:cs="Times New Roman"/>
        </w:rPr>
        <w:lastRenderedPageBreak/>
        <w:t>8.5 Single-Case Generalisability</w:t>
      </w:r>
      <w:bookmarkEnd w:id="98"/>
    </w:p>
    <w:p w14:paraId="3DA941F0" w14:textId="77777777" w:rsidR="006046D2" w:rsidRPr="00B76053" w:rsidRDefault="00B04762">
      <w:pPr>
        <w:rPr>
          <w:rFonts w:cs="Times New Roman"/>
        </w:rPr>
      </w:pPr>
      <w:r w:rsidRPr="00B76053">
        <w:rPr>
          <w:rFonts w:cs="Times New Roman"/>
        </w:rPr>
        <w:t>The case is a single, revelatory, and extreme case (Yin, 2018). Statistical generalisation to a population of mortgage lenders is not licensed; the design supports only analytic generalisation to configurations that satisfy the four prerequisites of §6.3. Better.com is also unusual on the digital-maturity dimension: the Tinman platform represents an atypically advanced operating-platform starting point for a U.S. mortgage lender, and the company’s willingness to disclose and brand its AI deployment publicly is itself unusual. These dimensions of unusualness mean that the case is informative about the upper envelope of voice-AI value capture in regulated financial workflows; it is less informative about the median deployment. Chapter 9 identifies multi-firm replication as a priority for future research.</w:t>
      </w:r>
    </w:p>
    <w:p w14:paraId="21536231" w14:textId="77777777" w:rsidR="006046D2" w:rsidRPr="00B76053" w:rsidRDefault="00B04762">
      <w:pPr>
        <w:pStyle w:val="Heading2"/>
        <w:rPr>
          <w:rFonts w:cs="Times New Roman"/>
        </w:rPr>
      </w:pPr>
      <w:bookmarkStart w:id="99" w:name="_Toc229755366"/>
      <w:r w:rsidRPr="00B76053">
        <w:rPr>
          <w:rFonts w:cs="Times New Roman"/>
        </w:rPr>
        <w:t>8.6 Trustpilot Self-Selection and Pre/Post Imbalance</w:t>
      </w:r>
      <w:bookmarkEnd w:id="99"/>
    </w:p>
    <w:p w14:paraId="16EAA8A7" w14:textId="77777777" w:rsidR="006046D2" w:rsidRPr="00B76053" w:rsidRDefault="00B04762">
      <w:pPr>
        <w:rPr>
          <w:rFonts w:cs="Times New Roman"/>
        </w:rPr>
      </w:pPr>
      <w:r w:rsidRPr="00B76053">
        <w:rPr>
          <w:rFonts w:cs="Times New Roman"/>
        </w:rPr>
        <w:t>The Trustpilot corpus contains 1,915 cleaned reviews split into 1,746 pre-Betsy and 169 post-Betsy observations. The post-period sample is small in absolute terms and is self-selected: Trustpilot reviewers are typically more emotionally engaged than the average customer, and the platform over-samples the tails of the customer-experience distribution (Filieri, 2015; Luca, 2016). The post-period sample is also more concentrated on operational frustrations than the pre-period (Chapter 5, §5.4.5). Two mitigations are adopted. First, the discussion presents the Trustpilot evidence with the seven-reason caveat list of §5.4 in every comparison with NPS. Second, magnitude claims based on the Trustpilot post-period are avoided; only directional claims are made, with the explicit reservation that the post-period sample is small. The residual risk is that the Trustpilot signal may be interpreted as more informative about underlying service quality than it actually is; §7.3 argues that the divergence between NPS and Trustpilot is itself the most informative single finding.</w:t>
      </w:r>
    </w:p>
    <w:p w14:paraId="4354C0A5" w14:textId="77777777" w:rsidR="006046D2" w:rsidRPr="00B76053" w:rsidRDefault="00B04762">
      <w:pPr>
        <w:pStyle w:val="Heading2"/>
        <w:rPr>
          <w:rFonts w:cs="Times New Roman"/>
        </w:rPr>
      </w:pPr>
      <w:bookmarkStart w:id="100" w:name="_Toc229755367"/>
      <w:r w:rsidRPr="00B76053">
        <w:rPr>
          <w:rFonts w:cs="Times New Roman"/>
        </w:rPr>
        <w:t>8.7 Topic-Modelling Sensitivity</w:t>
      </w:r>
      <w:bookmarkEnd w:id="100"/>
    </w:p>
    <w:p w14:paraId="256F59B4" w14:textId="77777777" w:rsidR="006046D2" w:rsidRPr="00B76053" w:rsidRDefault="00B04762">
      <w:pPr>
        <w:rPr>
          <w:rFonts w:cs="Times New Roman"/>
        </w:rPr>
      </w:pPr>
      <w:r w:rsidRPr="00B76053">
        <w:rPr>
          <w:rFonts w:cs="Times New Roman"/>
        </w:rPr>
        <w:t xml:space="preserve">BERTopic results are sensitive to UMAP and HDBSCAN hyperparameters, to the embedding model, and to the random seed. Chapter 5 reports 44 topics with 1,198 reviews clustered (66.4 per cent) and 606 reviews classified as noise. Topic-share figures are descriptive and are not used as inferential evidence in the thesis. The keyword-prevalence analysis, by contrast, is conducted on </w:t>
      </w:r>
      <w:r w:rsidRPr="00B76053">
        <w:rPr>
          <w:rFonts w:cs="Times New Roman"/>
        </w:rPr>
        <w:lastRenderedPageBreak/>
        <w:t>a researcher-defined dictionary that is invariant to hyperparameter selection; only Cost/Rates discourse survives Bonferroni correction, and that finding is the only keyword-prevalence finding cited as inferentially supported in the thesis (Chapter 5, §5.4.3). The residual risk is that examiners may interpret the topic-share visualisations as supporting claims they were not designed to support; this section and §3.9 state explicitly that topic-share figures are descriptive only.</w:t>
      </w:r>
    </w:p>
    <w:p w14:paraId="3BD1071D" w14:textId="77777777" w:rsidR="006046D2" w:rsidRPr="00B76053" w:rsidRDefault="00B04762">
      <w:pPr>
        <w:pStyle w:val="Heading2"/>
        <w:rPr>
          <w:rFonts w:cs="Times New Roman"/>
        </w:rPr>
      </w:pPr>
      <w:bookmarkStart w:id="101" w:name="_Toc229755368"/>
      <w:r w:rsidRPr="00B76053">
        <w:rPr>
          <w:rFonts w:cs="Times New Roman"/>
        </w:rPr>
        <w:t>8.8 Rocket Comparability</w:t>
      </w:r>
      <w:bookmarkEnd w:id="101"/>
    </w:p>
    <w:p w14:paraId="5D0AAA44" w14:textId="77777777" w:rsidR="006046D2" w:rsidRPr="00B76053" w:rsidRDefault="00B04762">
      <w:pPr>
        <w:rPr>
          <w:rFonts w:cs="Times New Roman"/>
        </w:rPr>
      </w:pPr>
      <w:r w:rsidRPr="00B76053">
        <w:rPr>
          <w:rFonts w:cs="Times New Roman"/>
        </w:rPr>
        <w:t>Rocket Companies is the largest U.S. retail mortgage lender and is used in this thesis as a directional industry benchmark, not as a counterfactual (Rocket Companies, 2024, 2025). Rocket’s scale, vertical integration, capital structure, and product mix differ from Better’s, and audited-line items are not directly comparable without normalisation. The thesis therefore uses Rocket only for directional benchmarking of expense intensity and revenue-per-employee. The residual risk is that a stricter examiner may regard any cross-firm comparison as overreaching; §7.5 acknowledges this by treating the peer-effect-spillovers hypothesis as the most challenging alternative explanation.</w:t>
      </w:r>
    </w:p>
    <w:p w14:paraId="7D32DE86" w14:textId="77777777" w:rsidR="006046D2" w:rsidRPr="00B76053" w:rsidRDefault="00B04762">
      <w:pPr>
        <w:pStyle w:val="Heading2"/>
        <w:rPr>
          <w:rFonts w:cs="Times New Roman"/>
        </w:rPr>
      </w:pPr>
      <w:bookmarkStart w:id="102" w:name="_Toc229755369"/>
      <w:r w:rsidRPr="00B76053">
        <w:rPr>
          <w:rFonts w:cs="Times New Roman"/>
        </w:rPr>
        <w:t>8.9 Implications for Future Research</w:t>
      </w:r>
      <w:bookmarkEnd w:id="102"/>
    </w:p>
    <w:p w14:paraId="238FA322" w14:textId="77777777" w:rsidR="006046D2" w:rsidRPr="00B76053" w:rsidRDefault="00B04762">
      <w:pPr>
        <w:rPr>
          <w:rFonts w:cs="Times New Roman"/>
        </w:rPr>
      </w:pPr>
      <w:r w:rsidRPr="00B76053">
        <w:rPr>
          <w:rFonts w:cs="Times New Roman"/>
        </w:rPr>
        <w:t>The limitations enumerated above suggest a coherent future-research agenda. Multi-firm replication on a panel of digital-first lenders would address single-case generalisability. Quarterly-disclosure data or proprietary loan-level data would relax the annual-granularity constraint. Quasi-experimental designs that exploit deployment-cohort variation across teams or geographies inside a single firm would reduce reliance on external counterfactuals. Independent customer-experience instruments — administered surveys with controlled samples, audited service-quality records, randomised voice-versus-text comparisons — would relax the Trustpilot self-selection constraint. Future research is articulated more fully in §9.5.</w:t>
      </w:r>
    </w:p>
    <w:p w14:paraId="58720AEB" w14:textId="77777777" w:rsidR="006046D2" w:rsidRPr="00B76053" w:rsidRDefault="00B04762" w:rsidP="007B335A">
      <w:pPr>
        <w:pStyle w:val="Heading1"/>
        <w:rPr>
          <w:rFonts w:cs="Times New Roman"/>
        </w:rPr>
      </w:pPr>
      <w:bookmarkStart w:id="103" w:name="_Toc229755370"/>
      <w:r w:rsidRPr="00B76053">
        <w:rPr>
          <w:rFonts w:cs="Times New Roman"/>
        </w:rPr>
        <w:lastRenderedPageBreak/>
        <w:t>9. Conclusion</w:t>
      </w:r>
      <w:bookmarkEnd w:id="103"/>
    </w:p>
    <w:p w14:paraId="2A19C2B9" w14:textId="77777777" w:rsidR="006046D2" w:rsidRPr="00B76053" w:rsidRDefault="00B04762">
      <w:pPr>
        <w:pStyle w:val="Heading2"/>
        <w:rPr>
          <w:rFonts w:cs="Times New Roman"/>
        </w:rPr>
      </w:pPr>
      <w:bookmarkStart w:id="104" w:name="_Toc229755371"/>
      <w:r w:rsidRPr="00B76053">
        <w:rPr>
          <w:rFonts w:cs="Times New Roman"/>
        </w:rPr>
        <w:t>9.1 Direct Answer to RQ1</w:t>
      </w:r>
      <w:bookmarkEnd w:id="104"/>
    </w:p>
    <w:p w14:paraId="394FF585" w14:textId="77777777" w:rsidR="006046D2" w:rsidRPr="00B76053" w:rsidRDefault="00B04762">
      <w:pPr>
        <w:rPr>
          <w:rFonts w:cs="Times New Roman"/>
        </w:rPr>
      </w:pPr>
      <w:r w:rsidRPr="00B76053">
        <w:rPr>
          <w:rFonts w:cs="Times New Roman"/>
        </w:rPr>
        <w:t>RQ1 asked how voice LLM agents have been integrated into Better.com's mortgage origination processes and what that integration reveals about prerequisites for deploying voice AI in regulated financial services. The integration follows a layered, four-component architecture in which the proprietary Tinman platform supplies the digitised, process-aware operating substrate; Betsy operates as a coordination-layer agent rather than as an end-to-end origination engine, scoped to high-volume conversational coordination tasks (status checks, lead qualification, scheduling); ElevenLabs supplies low-latency, high-naturalness voice infrastructure; and a clear human-escalation boundary delegates regulated mortgage-advice tasks to licensed loan officers under auditable hand-off. The integration reveals four prerequisites for deploying voice AI in regulated financial workflows, formalised in Chapter 6: a process-aware operating platform, a coordination-layer agent scope, low-latency voice infrastructure, and an auditable human-escalation model.</w:t>
      </w:r>
    </w:p>
    <w:p w14:paraId="4B8ABFA4" w14:textId="77777777" w:rsidR="006046D2" w:rsidRPr="00B76053" w:rsidRDefault="00B04762">
      <w:pPr>
        <w:pStyle w:val="Heading2"/>
        <w:rPr>
          <w:rFonts w:cs="Times New Roman"/>
        </w:rPr>
      </w:pPr>
      <w:bookmarkStart w:id="105" w:name="_Toc229755372"/>
      <w:r w:rsidRPr="00B76053">
        <w:rPr>
          <w:rFonts w:cs="Times New Roman"/>
        </w:rPr>
        <w:t>9.2 Direct Answer to RQ2</w:t>
      </w:r>
      <w:bookmarkEnd w:id="105"/>
    </w:p>
    <w:p w14:paraId="24E6C5A1" w14:textId="77777777" w:rsidR="006046D2" w:rsidRPr="00B76053" w:rsidRDefault="00B04762">
      <w:pPr>
        <w:rPr>
          <w:rFonts w:cs="Times New Roman"/>
        </w:rPr>
      </w:pPr>
      <w:r w:rsidRPr="00B76053">
        <w:rPr>
          <w:rFonts w:cs="Times New Roman"/>
        </w:rPr>
        <w:t>RQ2 asked what measurable business value can be associated with Better.com's voice-AI deployment and what factors mediate its realisation. The answer has three parts. Financially, the post-deployment trajectory is consistent with operational leverage: the expense ratio improved from 4.79 in 2023 to 2.01 in 2025, revenue per employee recovered from $0.094M to $0.124M, and net losses narrowed from −$536.4M to −$165.9M. Customer-experience evidence is mixed: management-reported NPS rose from 39 to 64 over the same window, while independent Trustpilot star ratings declined from 4.28 to 3.86 (p = 0.0019) and VADER sentiment declined from 0.64 to 0.52 (p = 0.0057). Explicit AI attribution in reviews remained near 1.15% pre-Betsy and 1.18% post-Betsy, consistent with voice AI operating as invisible infrastructure. The findings are descriptive and associative, not causal: the single-case design cannot isolate Betsy's specific contribution from concurrent macroeconomic recovery, post-IPO restructuring, and Tinman-platform maturation (see §5.4 for the full statistical treatment).</w:t>
      </w:r>
    </w:p>
    <w:p w14:paraId="44387D2A" w14:textId="77777777" w:rsidR="006046D2" w:rsidRPr="00B76053" w:rsidRDefault="00B04762">
      <w:pPr>
        <w:pStyle w:val="Heading2"/>
        <w:rPr>
          <w:rFonts w:cs="Times New Roman"/>
        </w:rPr>
      </w:pPr>
      <w:bookmarkStart w:id="106" w:name="_Toc229755373"/>
      <w:r w:rsidRPr="00B76053">
        <w:rPr>
          <w:rFonts w:cs="Times New Roman"/>
        </w:rPr>
        <w:lastRenderedPageBreak/>
        <w:t>9.3 Contributions</w:t>
      </w:r>
      <w:bookmarkEnd w:id="106"/>
    </w:p>
    <w:p w14:paraId="46269FA1" w14:textId="77777777" w:rsidR="006046D2" w:rsidRPr="00B76053" w:rsidRDefault="00B04762">
      <w:pPr>
        <w:pStyle w:val="Heading3"/>
        <w:rPr>
          <w:rFonts w:cs="Times New Roman"/>
        </w:rPr>
      </w:pPr>
      <w:bookmarkStart w:id="107" w:name="_Toc229755374"/>
      <w:r w:rsidRPr="00B76053">
        <w:rPr>
          <w:rFonts w:cs="Times New Roman"/>
        </w:rPr>
        <w:t>9.3.1 Empirical Contribution</w:t>
      </w:r>
      <w:bookmarkEnd w:id="107"/>
    </w:p>
    <w:p w14:paraId="52C6C87E" w14:textId="77777777" w:rsidR="006046D2" w:rsidRPr="00B76053" w:rsidRDefault="00B04762">
      <w:pPr>
        <w:rPr>
          <w:rFonts w:cs="Times New Roman"/>
        </w:rPr>
      </w:pPr>
      <w:r w:rsidRPr="00B76053">
        <w:rPr>
          <w:rFonts w:cs="Times New Roman"/>
        </w:rPr>
        <w:t>The thesis is, to the author’s knowledge, an early published case study to triangulate the audited SEC-filed financial trajectory, independent customer-discourse mining, and qualitative process tracing of integration architecture for a voice LLM agent in U.S. mortgage origination. The single-case design is deliberately revelatory rather than statistical, and the thesis records the trajectory and the discourse signal in a form that is reproducible from public sources.</w:t>
      </w:r>
    </w:p>
    <w:p w14:paraId="2F065DEB" w14:textId="77777777" w:rsidR="006046D2" w:rsidRPr="00B76053" w:rsidRDefault="00B04762">
      <w:pPr>
        <w:pStyle w:val="Heading3"/>
        <w:rPr>
          <w:rFonts w:cs="Times New Roman"/>
        </w:rPr>
      </w:pPr>
      <w:bookmarkStart w:id="108" w:name="_Toc229755375"/>
      <w:r w:rsidRPr="00B76053">
        <w:rPr>
          <w:rFonts w:cs="Times New Roman"/>
        </w:rPr>
        <w:t>9.3.2 Methodological Contribution</w:t>
      </w:r>
      <w:bookmarkEnd w:id="108"/>
    </w:p>
    <w:p w14:paraId="224DD98A" w14:textId="77777777" w:rsidR="006046D2" w:rsidRPr="00B76053" w:rsidRDefault="00B04762">
      <w:pPr>
        <w:rPr>
          <w:rFonts w:cs="Times New Roman"/>
        </w:rPr>
      </w:pPr>
      <w:r w:rsidRPr="00B76053">
        <w:rPr>
          <w:rFonts w:cs="Times New Roman"/>
        </w:rPr>
        <w:t>The thesis contributes a mixed-methods triangulation protocol in which audited financial data, management-reported KPIs, vendor materials, and self-selected user-generated reviews are explicitly classified by source-reliability tier (§3.7) and in which each evidence stream is paired with a wording requirement that prevents inadvertent magnitude transfer between tiers. The design-pattern artefact in Chapter 6 is offered as a reusable analytical primitive for examining future voice-AI deployments in regulated workflows.</w:t>
      </w:r>
    </w:p>
    <w:p w14:paraId="1F9F3C75" w14:textId="77777777" w:rsidR="006046D2" w:rsidRPr="00B76053" w:rsidRDefault="00B04762">
      <w:pPr>
        <w:pStyle w:val="Heading3"/>
        <w:rPr>
          <w:rFonts w:cs="Times New Roman"/>
        </w:rPr>
      </w:pPr>
      <w:bookmarkStart w:id="109" w:name="_Toc229755376"/>
      <w:r w:rsidRPr="00B76053">
        <w:rPr>
          <w:rFonts w:cs="Times New Roman"/>
        </w:rPr>
        <w:t>9.3.3 Practical Contribution</w:t>
      </w:r>
      <w:bookmarkEnd w:id="109"/>
    </w:p>
    <w:p w14:paraId="3ADF0642" w14:textId="77777777" w:rsidR="006046D2" w:rsidRPr="00B76053" w:rsidRDefault="00B04762">
      <w:pPr>
        <w:rPr>
          <w:rFonts w:cs="Times New Roman"/>
        </w:rPr>
      </w:pPr>
      <w:r w:rsidRPr="00B76053">
        <w:rPr>
          <w:rFonts w:cs="Times New Roman"/>
        </w:rPr>
        <w:t>For lender executives, the four-prerequisite design pattern functions as a diagnostic checklist: a deployment that lacks any one of the four prerequisites is unlikely to generate the operational leverage observed in the case. For voice-AI vendors, the thesis argues that integration-and-data-platform value typically dominates voice-infrastructure value in commercial outcomes. For regulators, the thesis argues that the supervisory primitive should be the audit-logged routing of regulated communication to a licensed and identifiable human, rather than the customer’s conscious awareness of the AI in the routine communication that precedes it.</w:t>
      </w:r>
    </w:p>
    <w:p w14:paraId="18FFDCD5" w14:textId="77777777" w:rsidR="006046D2" w:rsidRPr="00B76053" w:rsidRDefault="00B04762">
      <w:pPr>
        <w:pStyle w:val="Heading2"/>
        <w:rPr>
          <w:rFonts w:cs="Times New Roman"/>
        </w:rPr>
      </w:pPr>
      <w:bookmarkStart w:id="110" w:name="_Toc229755377"/>
      <w:r w:rsidRPr="00B76053">
        <w:rPr>
          <w:rFonts w:cs="Times New Roman"/>
        </w:rPr>
        <w:t>9.4 Limitations</w:t>
      </w:r>
      <w:bookmarkEnd w:id="110"/>
    </w:p>
    <w:p w14:paraId="2AC79C77" w14:textId="77777777" w:rsidR="006046D2" w:rsidRPr="00B76053" w:rsidRDefault="00B04762">
      <w:pPr>
        <w:rPr>
          <w:rFonts w:cs="Times New Roman"/>
        </w:rPr>
      </w:pPr>
      <w:r w:rsidRPr="00B76053">
        <w:rPr>
          <w:rFonts w:cs="Times New Roman"/>
        </w:rPr>
        <w:t>Chapter 8 sets out the full limitations; the conclusion summarises only the four most consequential. The single-case explanatory design constrains statistical generalisability and precludes a causal claim about Betsy's independent contribution. The empirical window contains a substantial macroeconomic and product-mix recovery in U.S. mortgage origination, which is not separable from the voice-AI deployment in the case data. The Trustpilot corpus is self-selected and non-</w:t>
      </w:r>
      <w:r w:rsidRPr="00B76053">
        <w:rPr>
          <w:rFonts w:cs="Times New Roman"/>
        </w:rPr>
        <w:lastRenderedPageBreak/>
        <w:t>random, even though its post-deployment Cost/Rates decline survives multiple-comparison correction. Several integration-architecture descriptions rely on vendor- and management-reported materials whose source-reliability tier is flagged in §3.7 and Appendix F, and which should not be read as audited evidence.</w:t>
      </w:r>
    </w:p>
    <w:p w14:paraId="46CA46D7" w14:textId="77777777" w:rsidR="006046D2" w:rsidRPr="00B76053" w:rsidRDefault="00B04762">
      <w:pPr>
        <w:pStyle w:val="Heading2"/>
        <w:rPr>
          <w:rFonts w:cs="Times New Roman"/>
        </w:rPr>
      </w:pPr>
      <w:bookmarkStart w:id="111" w:name="_Toc229755378"/>
      <w:r w:rsidRPr="00B76053">
        <w:rPr>
          <w:rFonts w:cs="Times New Roman"/>
        </w:rPr>
        <w:t>9.5 Future Research</w:t>
      </w:r>
      <w:bookmarkEnd w:id="111"/>
    </w:p>
    <w:p w14:paraId="590C7621" w14:textId="77777777" w:rsidR="006046D2" w:rsidRPr="00B76053" w:rsidRDefault="00B04762">
      <w:pPr>
        <w:rPr>
          <w:rFonts w:cs="Times New Roman"/>
        </w:rPr>
      </w:pPr>
      <w:r w:rsidRPr="00B76053">
        <w:rPr>
          <w:rFonts w:cs="Times New Roman"/>
        </w:rPr>
        <w:t>Four directions for future research are the most natural extensions. First, multi-firm replication on a panel of digital-first lenders — ideally with quarterly disclosure data and consistent deployment-cohort information — would address the single-case generalisability constraint. Second, quasi-experimental designs that exploit cohort variation across teams or geographies inside a single firm would reduce reliance on external counterfactuals. Third, voice-AI-specific consumer-perception research is needed in regulated financial services: latency, voice naturalness, and AI-attribution salience interact with trust and willingness to escalate, and the existing literature is dominated by laboratory and call-centre studies (Becker et al., 2025; Nussbaum et al., 2025; Maslych et al., 2025). Fourth, regulatory-supervisory research on the audit-log primitive for routing regulated steps should examine whether audit-logged routing reduces UDAAP-class enforcement risk in practice and whether the supervisor-side cost of monitoring such logs is bounded.</w:t>
      </w:r>
    </w:p>
    <w:p w14:paraId="4E1CA987" w14:textId="77777777" w:rsidR="006046D2" w:rsidRPr="00B76053" w:rsidRDefault="00B04762">
      <w:pPr>
        <w:pStyle w:val="Heading2"/>
        <w:rPr>
          <w:rFonts w:cs="Times New Roman"/>
        </w:rPr>
      </w:pPr>
      <w:bookmarkStart w:id="112" w:name="_Toc229755379"/>
      <w:r w:rsidRPr="00B76053">
        <w:rPr>
          <w:rFonts w:cs="Times New Roman"/>
        </w:rPr>
        <w:t>9.6 Closing Statement</w:t>
      </w:r>
      <w:bookmarkEnd w:id="112"/>
    </w:p>
    <w:p w14:paraId="3CA07C35" w14:textId="77777777" w:rsidR="006046D2" w:rsidRPr="00B76053" w:rsidRDefault="00B04762">
      <w:pPr>
        <w:rPr>
          <w:rFonts w:cs="Times New Roman"/>
        </w:rPr>
      </w:pPr>
      <w:r w:rsidRPr="00B76053">
        <w:rPr>
          <w:rFonts w:cs="Times New Roman"/>
        </w:rPr>
        <w:t>The Better.com case is informative because it is unusual: a publicly listed, branded voice-AI deployment in a regulated high-stakes financial workflow, with audited financial disclosures for both pre- and post-deployment fiscal years. The thesis has treated the case as a single, revelatory observation rather than as a representative one, and has argued that the value of the case lies in the configuration of conditions it documents — not in the magnitude of the outcome it generates. That configuration, formalised as the four-prerequisite design pattern of Chapter 6, is the central transferable contribution of this thesis.</w:t>
      </w:r>
    </w:p>
    <w:p w14:paraId="73C9C0C3" w14:textId="77777777" w:rsidR="006046D2" w:rsidRPr="00B76053" w:rsidRDefault="00B04762">
      <w:pPr>
        <w:pStyle w:val="Heading1"/>
        <w:pageBreakBefore/>
        <w:spacing w:before="360" w:after="120"/>
        <w:rPr>
          <w:rFonts w:cs="Times New Roman"/>
        </w:rPr>
      </w:pPr>
      <w:bookmarkStart w:id="113" w:name="_Toc229755380"/>
      <w:r w:rsidRPr="00B76053">
        <w:rPr>
          <w:rFonts w:cs="Times New Roman"/>
          <w:sz w:val="30"/>
        </w:rPr>
        <w:lastRenderedPageBreak/>
        <w:t>References</w:t>
      </w:r>
      <w:bookmarkEnd w:id="113"/>
    </w:p>
    <w:p w14:paraId="1DF4EBEF" w14:textId="77777777" w:rsidR="006046D2" w:rsidRPr="00B76053" w:rsidRDefault="00B04762">
      <w:pPr>
        <w:spacing w:after="120"/>
        <w:rPr>
          <w:rFonts w:cs="Times New Roman"/>
        </w:rPr>
      </w:pPr>
      <w:r w:rsidRPr="00B76053">
        <w:rPr>
          <w:rFonts w:cs="Times New Roman"/>
        </w:rPr>
        <w:t>Abdulquadri, A., Mogaji, E., Kieu, T. A., &amp; Nguyen, N. P. (2021). Digital transformation in financial services provision: A Nigerian perspective to the adoption of chatbot. Journal of Enterprising Communities: People and Places in the Global Economy, 15(2), 258–281. https://doi.org/10.1108/JEC-06-2020-0126</w:t>
      </w:r>
    </w:p>
    <w:p w14:paraId="580BE34C" w14:textId="77777777" w:rsidR="006046D2" w:rsidRPr="00B76053" w:rsidRDefault="00B04762">
      <w:pPr>
        <w:spacing w:after="120"/>
        <w:rPr>
          <w:rFonts w:cs="Times New Roman"/>
        </w:rPr>
      </w:pPr>
      <w:r w:rsidRPr="00B76053">
        <w:rPr>
          <w:rFonts w:cs="Times New Roman"/>
        </w:rPr>
        <w:t>Acemoglu, D., &amp; Restrepo, P. (2019). Automation and new tasks: How technology displaces and reinstates labor. Journal of Economic Perspectives, 33(2), 3–30. https://doi.org/10.1257/jep.33.2.3</w:t>
      </w:r>
    </w:p>
    <w:p w14:paraId="5B1BD2A5" w14:textId="77777777" w:rsidR="006046D2" w:rsidRPr="00B76053" w:rsidRDefault="00B04762">
      <w:pPr>
        <w:spacing w:after="120"/>
        <w:rPr>
          <w:rFonts w:cs="Times New Roman"/>
        </w:rPr>
      </w:pPr>
      <w:r w:rsidRPr="00B76053">
        <w:rPr>
          <w:rFonts w:cs="Times New Roman"/>
        </w:rPr>
        <w:t>Adam, M., Wessel, M., &amp; Benlian, A. (2021). AI-based chatbots in customer service and their effects on user compliance. Electronic Markets, 31(2), 427–445. https://doi.org/10.1007/s12525-020-00414-7</w:t>
      </w:r>
    </w:p>
    <w:p w14:paraId="556CDD54" w14:textId="77777777" w:rsidR="006046D2" w:rsidRPr="00B76053" w:rsidRDefault="00B04762">
      <w:pPr>
        <w:spacing w:after="120"/>
        <w:rPr>
          <w:rFonts w:cs="Times New Roman"/>
        </w:rPr>
      </w:pPr>
      <w:r w:rsidRPr="00B76053">
        <w:rPr>
          <w:rFonts w:cs="Times New Roman"/>
        </w:rPr>
        <w:t xml:space="preserve">Aggarwal, A., Kumar, V., &amp; Srivastava, R. K. (2025). Value creation and value appropriation using voice AI technology. European Journal of Marketing, 59(9), 2199–2243. </w:t>
      </w:r>
      <w:r w:rsidR="00D86515" w:rsidRPr="00B76053">
        <w:rPr>
          <w:rFonts w:cs="Times New Roman"/>
        </w:rPr>
        <w:t>https://doi.org/10.1108/EJM-06-2024-0463</w:t>
      </w:r>
    </w:p>
    <w:p w14:paraId="4C73D41B" w14:textId="77777777" w:rsidR="006046D2" w:rsidRPr="00B76053" w:rsidRDefault="00B04762">
      <w:pPr>
        <w:spacing w:after="120"/>
        <w:rPr>
          <w:rFonts w:cs="Times New Roman"/>
        </w:rPr>
      </w:pPr>
      <w:r w:rsidRPr="00B76053">
        <w:rPr>
          <w:rFonts w:cs="Times New Roman"/>
        </w:rPr>
        <w:t>Andrade, I. M. D., &amp; Tumelero, C. (2022). Increasing customer service efficiency through artificial intelligence chatbot. Revista de Gestão, 29(3), 238–251. https://doi.org/10.1108/REGE-07-2021-0120</w:t>
      </w:r>
    </w:p>
    <w:p w14:paraId="129CDB90" w14:textId="77777777" w:rsidR="006046D2" w:rsidRPr="00B76053" w:rsidRDefault="00B04762">
      <w:pPr>
        <w:spacing w:after="120"/>
        <w:rPr>
          <w:rFonts w:cs="Times New Roman"/>
        </w:rPr>
      </w:pPr>
      <w:r w:rsidRPr="00B76053">
        <w:rPr>
          <w:rFonts w:cs="Times New Roman"/>
        </w:rPr>
        <w:t>Becker, D., Braach, L., Clasmeier, L., Kaufmann, T., Ong, O., Ahrens, K., Gäde, C., Strahl, E., Fu, D., &amp; Wermter, S. (2025). Influence of robots' voice naturalness on trust and compliance. ACM Transactions on Human-Robot Interaction, 14(2), 1–25. https://doi.org/10.1145/3706066</w:t>
      </w:r>
    </w:p>
    <w:p w14:paraId="269FEF4B" w14:textId="40259A10" w:rsidR="006046D2" w:rsidRPr="00B76053" w:rsidRDefault="00B04762">
      <w:pPr>
        <w:spacing w:after="120"/>
        <w:rPr>
          <w:rFonts w:cs="Times New Roman"/>
        </w:rPr>
      </w:pPr>
      <w:r w:rsidRPr="00B76053">
        <w:rPr>
          <w:rFonts w:cs="Times New Roman"/>
        </w:rPr>
        <w:t xml:space="preserve">Better.com. (n.d.). Our company. Better Mortgage. Retrieved 26 April 2026, from </w:t>
      </w:r>
      <w:r w:rsidR="006C12E4" w:rsidRPr="006C12E4">
        <w:rPr>
          <w:rFonts w:cs="Times New Roman"/>
        </w:rPr>
        <w:t>https://better.com/about-us</w:t>
      </w:r>
    </w:p>
    <w:p w14:paraId="60ABCAC3" w14:textId="77777777" w:rsidR="006046D2" w:rsidRPr="00B76053" w:rsidRDefault="00B04762">
      <w:pPr>
        <w:spacing w:after="120"/>
        <w:rPr>
          <w:rFonts w:cs="Times New Roman"/>
        </w:rPr>
      </w:pPr>
      <w:r w:rsidRPr="00B76053">
        <w:rPr>
          <w:rFonts w:cs="Times New Roman"/>
        </w:rPr>
        <w:t>Better HoldCo, Inc. (2021, November 30). Digital homeownership platform Better announces up to $1.5 billion in bridge financing and convertible notes with Aurora Acquisition Corp., Novator Capital, Aurora Sponsor and SoftBank [Press release]. Business Wire. https://www.businesswire.com/news/home/20211130005449/en/</w:t>
      </w:r>
    </w:p>
    <w:p w14:paraId="398E95B9" w14:textId="77777777" w:rsidR="006046D2" w:rsidRPr="00B76053" w:rsidRDefault="00B04762">
      <w:pPr>
        <w:spacing w:after="120"/>
        <w:rPr>
          <w:rFonts w:cs="Times New Roman"/>
        </w:rPr>
      </w:pPr>
      <w:r w:rsidRPr="00B76053">
        <w:rPr>
          <w:rFonts w:cs="Times New Roman"/>
        </w:rPr>
        <w:t xml:space="preserve">Better HoldCo, Inc. (2023, December 20). Registration statement on Form S-1/A. U.S. Securities and Exchange Commission. </w:t>
      </w:r>
      <w:r w:rsidRPr="00B76053">
        <w:rPr>
          <w:rFonts w:cs="Times New Roman"/>
        </w:rPr>
        <w:lastRenderedPageBreak/>
        <w:t>https://www.sec.gov/Archives/edgar/data/1835856/000162828023042192/0001628280-23-042192-index.htm</w:t>
      </w:r>
    </w:p>
    <w:p w14:paraId="2E12AFDA" w14:textId="77777777" w:rsidR="006046D2" w:rsidRPr="00B76053" w:rsidRDefault="00B04762">
      <w:pPr>
        <w:spacing w:after="120"/>
        <w:rPr>
          <w:rFonts w:cs="Times New Roman"/>
        </w:rPr>
      </w:pPr>
      <w:r w:rsidRPr="00B76053">
        <w:rPr>
          <w:rFonts w:cs="Times New Roman"/>
        </w:rPr>
        <w:t>Better Home &amp; Finance Holding Company. (n.d.). Investor relations: Corporate overview. Retrieved 26 April 2026, from https://investors.better.com/overview/default.aspx</w:t>
      </w:r>
    </w:p>
    <w:p w14:paraId="1DF10947" w14:textId="77777777" w:rsidR="006046D2" w:rsidRPr="00B76053" w:rsidRDefault="00B04762">
      <w:pPr>
        <w:spacing w:after="120"/>
        <w:rPr>
          <w:rFonts w:cs="Times New Roman"/>
        </w:rPr>
      </w:pPr>
      <w:r w:rsidRPr="00B76053">
        <w:rPr>
          <w:rFonts w:cs="Times New Roman"/>
        </w:rPr>
        <w:t>Better Home &amp; Finance Holding Company. (2024a, October 17). Better.com launches Betsy™, the first voice-based AI loan assistant for the U.S. mortgage industry [Press release]. Business Wire. https://www.businesswire.com/news/home/20241017222780/en/Better.com-launches-Betsy-the-First-Voice-Based-AI-Loan-Assistant-for-the-US-Mortgage-Industry</w:t>
      </w:r>
    </w:p>
    <w:p w14:paraId="42FD9C6B" w14:textId="4C4B5222" w:rsidR="006046D2" w:rsidRDefault="00B04762">
      <w:pPr>
        <w:spacing w:after="120"/>
        <w:rPr>
          <w:rFonts w:cs="Times New Roman"/>
        </w:rPr>
      </w:pPr>
      <w:r w:rsidRPr="00B76053">
        <w:rPr>
          <w:rFonts w:cs="Times New Roman"/>
        </w:rPr>
        <w:t>Better Home &amp; Finance Holding Company. (2024b, November 12). Better Home &amp; Finance Holding Company announces third quarter 2024 results [Exhibit 99.1 to Form 8-K]. U.S. Securities and Exchange Commission. https://www.sec.gov/Archives/edgar/data/1835856/000162828024047437/betterq32024earningsreleas.htm</w:t>
      </w:r>
    </w:p>
    <w:p w14:paraId="38B0D716" w14:textId="4A25F7CB" w:rsidR="005F2C3D" w:rsidRPr="00B76053" w:rsidRDefault="005F2C3D">
      <w:pPr>
        <w:spacing w:after="120"/>
        <w:rPr>
          <w:rFonts w:cs="Times New Roman"/>
        </w:rPr>
      </w:pPr>
      <w:r w:rsidRPr="005F2C3D">
        <w:rPr>
          <w:rFonts w:cs="Times New Roman"/>
        </w:rPr>
        <w:t>Better Home &amp; Finance Holding Company. (2024c). Form 10-K: Annual report for the fiscal year ended December 31, 2023. U.S. Securities and Exchange Commission. https://www.sec.gov/Archives/edgar/data/1835856/000162828024015134/aurcu-20231231.htm</w:t>
      </w:r>
    </w:p>
    <w:p w14:paraId="1666947C" w14:textId="77777777" w:rsidR="006046D2" w:rsidRPr="00B76053" w:rsidRDefault="00B04762">
      <w:pPr>
        <w:spacing w:after="120"/>
        <w:rPr>
          <w:rFonts w:cs="Times New Roman"/>
        </w:rPr>
      </w:pPr>
      <w:r w:rsidRPr="00B76053">
        <w:rPr>
          <w:rFonts w:cs="Times New Roman"/>
        </w:rPr>
        <w:t>Better Home &amp; Finance Holding Company. (2025a, March 18). Better Home &amp; Finance Holding Company announces 2024 fourth quarter and full year results [Press release]. Better Investor Relations. https://investors.better.com/news/news-details/2025/Better-Home--Finance-Holding-Company-Announces-2024-Fourth-Quarter-and-Full-Year-Results/default.aspx</w:t>
      </w:r>
    </w:p>
    <w:p w14:paraId="785B03D4" w14:textId="77777777" w:rsidR="006046D2" w:rsidRPr="00B76053" w:rsidRDefault="00B04762">
      <w:pPr>
        <w:spacing w:after="120"/>
        <w:rPr>
          <w:rFonts w:cs="Times New Roman"/>
        </w:rPr>
      </w:pPr>
      <w:r w:rsidRPr="00B76053">
        <w:rPr>
          <w:rFonts w:cs="Times New Roman"/>
        </w:rPr>
        <w:t>Better Home &amp; Finance Holding Company. (2025b, May 13). Better Home &amp; Finance Holding Company announces first quarter 2025 results [Exhibit 99.1 to Form 8-K]. U.S. Securities and Exchange Commission. https://www.sec.gov/Archives/edgar/data/1835856/000162828025024900/betrearningsrelease_2025-q.htm</w:t>
      </w:r>
    </w:p>
    <w:p w14:paraId="56AED15A" w14:textId="2DA005C2" w:rsidR="006046D2" w:rsidRDefault="00B04762">
      <w:pPr>
        <w:spacing w:after="120"/>
        <w:rPr>
          <w:rFonts w:cs="Times New Roman"/>
        </w:rPr>
      </w:pPr>
      <w:r w:rsidRPr="00B76053">
        <w:rPr>
          <w:rFonts w:cs="Times New Roman"/>
        </w:rPr>
        <w:t xml:space="preserve">Better Home &amp; Finance Holding Company. (2025c, August 7). Better Home &amp; Finance Holding Company announces second quarter 2025 results [Exhibit 99.1 to Form 8-K]. U.S. Securities and Exchange Commission. </w:t>
      </w:r>
      <w:r w:rsidRPr="00B76053">
        <w:rPr>
          <w:rFonts w:cs="Times New Roman"/>
        </w:rPr>
        <w:lastRenderedPageBreak/>
        <w:t>https://www.sec.gov/Archives/edgar/data/1835856/000162828025038583/betrearningsrelease_2025-q2.htm</w:t>
      </w:r>
    </w:p>
    <w:p w14:paraId="6F09A33D" w14:textId="3F31C417" w:rsidR="005F2C3D" w:rsidRPr="00B76053" w:rsidRDefault="005F2C3D">
      <w:pPr>
        <w:spacing w:after="120"/>
        <w:rPr>
          <w:rFonts w:cs="Times New Roman"/>
        </w:rPr>
      </w:pPr>
      <w:r w:rsidRPr="005F2C3D">
        <w:rPr>
          <w:rFonts w:cs="Times New Roman"/>
        </w:rPr>
        <w:t>Better Home &amp; Finance Holding Company. (2025d). Form 10-K: Annual report for the fiscal year ended December 31, 2024. U.S. Securities and Exchange Commission. https://www.sec.gov/Archives/edgar/data/1835856/000162828025013683/aurcu-20241231.htm</w:t>
      </w:r>
    </w:p>
    <w:p w14:paraId="0BA254EC" w14:textId="77777777" w:rsidR="006046D2" w:rsidRPr="00B76053" w:rsidRDefault="00B04762">
      <w:pPr>
        <w:spacing w:after="120"/>
        <w:rPr>
          <w:rFonts w:cs="Times New Roman"/>
        </w:rPr>
      </w:pPr>
      <w:r w:rsidRPr="00B76053">
        <w:rPr>
          <w:rFonts w:cs="Times New Roman"/>
        </w:rPr>
        <w:t>Better Home &amp; Finance Holding Company. (2026). Form 10-K: Annual report for the fiscal year ended December 31, 2025. U.S. Securities and Exchange Commission. https://www.sec.gov/Archives/edgar/data/1835856/000162828026017747/aurcu-20251231.htm</w:t>
      </w:r>
    </w:p>
    <w:p w14:paraId="6DA0926F" w14:textId="08414711" w:rsidR="006046D2" w:rsidRPr="00B76053" w:rsidRDefault="00B04762">
      <w:pPr>
        <w:spacing w:after="120"/>
        <w:rPr>
          <w:rFonts w:cs="Times New Roman"/>
        </w:rPr>
      </w:pPr>
      <w:r w:rsidRPr="00B76053">
        <w:rPr>
          <w:rFonts w:cs="Times New Roman"/>
        </w:rPr>
        <w:t xml:space="preserve">Better Home &amp; Finance Holding Company, &amp; ElevenLabs. (2026, February 25). ElevenLabs and Better.com showcase success of AI loan agent, Betsy™, at scale in financial services [Press release]. Better Investor Relations. </w:t>
      </w:r>
      <w:r w:rsidR="00B31E86" w:rsidRPr="00B31E86">
        <w:rPr>
          <w:rFonts w:cs="Times New Roman"/>
        </w:rPr>
        <w:t>https://investors.better.com/news/news-details/2026/ElevenLabs-and-Better-com-Showcase-Success-of-AI-Loan-Agent-Betsy-at-Scale-in-Financial-Services-3c4e5a07d/default.aspx</w:t>
      </w:r>
    </w:p>
    <w:p w14:paraId="441EAF13" w14:textId="552F24AE" w:rsidR="006046D2" w:rsidRPr="00B76053" w:rsidRDefault="00B04762">
      <w:pPr>
        <w:spacing w:after="120"/>
        <w:rPr>
          <w:rFonts w:cs="Times New Roman"/>
        </w:rPr>
      </w:pPr>
      <w:r w:rsidRPr="00B76053">
        <w:rPr>
          <w:rFonts w:cs="Times New Roman"/>
        </w:rPr>
        <w:t>Blümel, J. H., Zaki, M., &amp; Bohné, T. (2024). Personal touch in digital customer service: A conceptual framework of relational personalization for conversational AI. Journal of Service Theory and Practice, 34(1), 33–65. https://doi.org/10.1108/JSTP-03-2023-0098</w:t>
      </w:r>
    </w:p>
    <w:p w14:paraId="682F4464" w14:textId="77777777" w:rsidR="006046D2" w:rsidRPr="00B76053" w:rsidRDefault="00B04762">
      <w:pPr>
        <w:spacing w:after="120"/>
        <w:rPr>
          <w:rFonts w:cs="Times New Roman"/>
        </w:rPr>
      </w:pPr>
      <w:r w:rsidRPr="00B76053">
        <w:rPr>
          <w:rFonts w:cs="Times New Roman"/>
        </w:rPr>
        <w:t>Brynjolfsson, E., Li, D., &amp; Raymond, L. R. (2023). Generative AI at work (NBER Working Paper No. 31161). National Bureau of Economic Research. https://doi.org/10.3386/w31161</w:t>
      </w:r>
    </w:p>
    <w:p w14:paraId="785F9E05" w14:textId="77777777" w:rsidR="006046D2" w:rsidRPr="00B76053" w:rsidRDefault="00B04762">
      <w:pPr>
        <w:spacing w:after="120"/>
        <w:rPr>
          <w:rFonts w:cs="Times New Roman"/>
        </w:rPr>
      </w:pPr>
      <w:r w:rsidRPr="00B76053">
        <w:rPr>
          <w:rFonts w:cs="Times New Roman"/>
        </w:rPr>
        <w:t>Consumer Financial Protection Bureau. (2024, May 28). What documents should I receive before closing on a mortgage loan? https://www.consumerfinance.gov/ask-cfpb/what-documents-should-i-receive-before-closing-on-a-mortgage-loan-en-1941/</w:t>
      </w:r>
    </w:p>
    <w:p w14:paraId="073E2306" w14:textId="77777777" w:rsidR="006046D2" w:rsidRPr="00B76053" w:rsidRDefault="00B04762">
      <w:pPr>
        <w:spacing w:after="120"/>
        <w:rPr>
          <w:rFonts w:cs="Times New Roman"/>
        </w:rPr>
      </w:pPr>
      <w:r w:rsidRPr="00B76053">
        <w:rPr>
          <w:rFonts w:cs="Times New Roman"/>
        </w:rPr>
        <w:t xml:space="preserve">Consumer Financial Protection Bureau. (2025, November 3). Closing on your new home. </w:t>
      </w:r>
      <w:r w:rsidR="00382598" w:rsidRPr="00B76053">
        <w:rPr>
          <w:rFonts w:cs="Times New Roman"/>
        </w:rPr>
        <w:t>https://www.consumerfinance.gov/owning-a-home/close/</w:t>
      </w:r>
    </w:p>
    <w:p w14:paraId="75D264BC" w14:textId="77777777" w:rsidR="006046D2" w:rsidRPr="00B76053" w:rsidRDefault="00B04762">
      <w:pPr>
        <w:rPr>
          <w:rFonts w:cs="Times New Roman"/>
        </w:rPr>
      </w:pPr>
      <w:r w:rsidRPr="00B76053">
        <w:rPr>
          <w:rFonts w:cs="Times New Roman"/>
        </w:rPr>
        <w:t>Dietvorst, B. J., Simmons, J. P., &amp; Massey, C. (2015). Algorithm aversion: People erroneously avoid algorithms after seeing them err. Journal of Experimental Psychology: General, 144(1), 114–126. https://doi.org/10.1037/xge0000033</w:t>
      </w:r>
    </w:p>
    <w:p w14:paraId="236F6C0C" w14:textId="77777777" w:rsidR="006046D2" w:rsidRPr="00B76053" w:rsidRDefault="00B04762">
      <w:pPr>
        <w:spacing w:after="120"/>
        <w:rPr>
          <w:rFonts w:cs="Times New Roman"/>
        </w:rPr>
      </w:pPr>
      <w:r w:rsidRPr="00B76053">
        <w:rPr>
          <w:rFonts w:cs="Times New Roman"/>
        </w:rPr>
        <w:t>ElevenLabs. (2026, February 9). Better leverages ElevenAgents to build Betsy and make AI-assisted loans accessible [Case study]. ElevenLabs Blog. https://elevenlabs.io/blog/better</w:t>
      </w:r>
    </w:p>
    <w:p w14:paraId="0490C3A2" w14:textId="64499549" w:rsidR="006046D2" w:rsidRPr="00B76053" w:rsidRDefault="00B04762">
      <w:pPr>
        <w:spacing w:after="120"/>
        <w:rPr>
          <w:rFonts w:cs="Times New Roman"/>
        </w:rPr>
      </w:pPr>
      <w:r w:rsidRPr="00B76053">
        <w:rPr>
          <w:rFonts w:cs="Times New Roman"/>
        </w:rPr>
        <w:lastRenderedPageBreak/>
        <w:t>Fannie Mae. (</w:t>
      </w:r>
      <w:r w:rsidR="00DE2CFC">
        <w:rPr>
          <w:rFonts w:cs="Times New Roman"/>
        </w:rPr>
        <w:t>2026, May 5</w:t>
      </w:r>
      <w:r w:rsidRPr="00B76053">
        <w:rPr>
          <w:rFonts w:cs="Times New Roman"/>
        </w:rPr>
        <w:t xml:space="preserve">). Selling guide. Retrieved 26 April 2026, from </w:t>
      </w:r>
      <w:r w:rsidR="006D325F" w:rsidRPr="006D325F">
        <w:rPr>
          <w:rFonts w:cs="Times New Roman"/>
        </w:rPr>
        <w:t>https://singlefamily.fanniemae.com/media/45916/display</w:t>
      </w:r>
    </w:p>
    <w:p w14:paraId="40ADC4F7" w14:textId="77777777" w:rsidR="006046D2" w:rsidRPr="00B76053" w:rsidRDefault="00B04762">
      <w:pPr>
        <w:spacing w:after="120"/>
        <w:rPr>
          <w:rFonts w:cs="Times New Roman"/>
        </w:rPr>
      </w:pPr>
      <w:r w:rsidRPr="00B76053">
        <w:rPr>
          <w:rFonts w:cs="Times New Roman"/>
        </w:rPr>
        <w:t>Federal Reserve Bank of New York. (2023, May 15). The great pandemic mortgage refinance boom. Liberty Street Economics. https://libertystreeteconomics.newyorkfed.org/2023/05/the-great-pandemic-mortgage-refinance-boom/</w:t>
      </w:r>
    </w:p>
    <w:p w14:paraId="656A0A86" w14:textId="77777777" w:rsidR="006046D2" w:rsidRPr="00B76053" w:rsidRDefault="00B04762">
      <w:pPr>
        <w:spacing w:after="120"/>
        <w:rPr>
          <w:rFonts w:cs="Times New Roman"/>
        </w:rPr>
      </w:pPr>
      <w:r w:rsidRPr="00B76053">
        <w:rPr>
          <w:rFonts w:cs="Times New Roman"/>
        </w:rPr>
        <w:t>Filieri, R. (2015). Why do travelers trust TripAdvisor? Antecedents of trust towards consumer-generated media and its influence on recommendation adoption and word of mouth. Tourism Management, 51, 174–185. https://doi.org/10.1016/j.tourman.2015.05.007</w:t>
      </w:r>
    </w:p>
    <w:p w14:paraId="3022ABDE" w14:textId="328089CF" w:rsidR="006046D2" w:rsidRPr="00B76053" w:rsidRDefault="00B04762">
      <w:pPr>
        <w:spacing w:after="120"/>
        <w:rPr>
          <w:rFonts w:cs="Times New Roman"/>
        </w:rPr>
      </w:pPr>
      <w:r w:rsidRPr="00B76053">
        <w:rPr>
          <w:rFonts w:cs="Times New Roman"/>
        </w:rPr>
        <w:t>Fotheringham, D., &amp; Wiles, M. A. (202</w:t>
      </w:r>
      <w:r w:rsidR="00CC36F4">
        <w:rPr>
          <w:rFonts w:cs="Times New Roman"/>
        </w:rPr>
        <w:t>2</w:t>
      </w:r>
      <w:r w:rsidRPr="00B76053">
        <w:rPr>
          <w:rFonts w:cs="Times New Roman"/>
        </w:rPr>
        <w:t xml:space="preserve">). The effect of implementing chatbot customer service on stock returns. Journal of the Academy of Marketing Science, 51, 802–822. </w:t>
      </w:r>
      <w:r w:rsidR="00A66DE3" w:rsidRPr="00A66DE3">
        <w:rPr>
          <w:rFonts w:cs="Times New Roman"/>
        </w:rPr>
        <w:t>https://link.springer.com/article/10.1007/s11747-022-00841-2</w:t>
      </w:r>
    </w:p>
    <w:p w14:paraId="3D2840C9" w14:textId="77777777" w:rsidR="006046D2" w:rsidRPr="00B76053" w:rsidRDefault="00B04762">
      <w:pPr>
        <w:spacing w:after="120"/>
        <w:rPr>
          <w:rFonts w:cs="Times New Roman"/>
        </w:rPr>
      </w:pPr>
      <w:r w:rsidRPr="00B76053">
        <w:rPr>
          <w:rFonts w:cs="Times New Roman"/>
        </w:rPr>
        <w:t xml:space="preserve">Freddie Mac. (2021, March 5). Refinance trends in 2020 [Research note]. </w:t>
      </w:r>
      <w:r w:rsidR="00674CBB" w:rsidRPr="00B76053">
        <w:rPr>
          <w:rFonts w:cs="Times New Roman"/>
        </w:rPr>
        <w:t>https://www.freddiemac.com/research/insight/20210305-refinance-trends</w:t>
      </w:r>
    </w:p>
    <w:p w14:paraId="4C4A3064" w14:textId="77777777" w:rsidR="006046D2" w:rsidRPr="00B76053" w:rsidRDefault="00B04762">
      <w:pPr>
        <w:spacing w:after="120"/>
        <w:rPr>
          <w:rFonts w:cs="Times New Roman"/>
        </w:rPr>
      </w:pPr>
      <w:r w:rsidRPr="00B76053">
        <w:rPr>
          <w:rFonts w:cs="Times New Roman"/>
        </w:rPr>
        <w:t xml:space="preserve">Freddie Mac. (2024, May 13). 2024 cost to originate study. </w:t>
      </w:r>
      <w:r w:rsidR="00232311" w:rsidRPr="00B76053">
        <w:rPr>
          <w:rFonts w:cs="Times New Roman"/>
        </w:rPr>
        <w:t>https://sf.freddiemac.com/articles/insights/2024-cost-to-originate-study</w:t>
      </w:r>
    </w:p>
    <w:p w14:paraId="552F5035" w14:textId="77777777" w:rsidR="006046D2" w:rsidRPr="00B76053" w:rsidRDefault="00B04762">
      <w:pPr>
        <w:spacing w:after="120"/>
        <w:rPr>
          <w:rFonts w:cs="Times New Roman"/>
        </w:rPr>
      </w:pPr>
      <w:r w:rsidRPr="00B76053">
        <w:rPr>
          <w:rFonts w:cs="Times New Roman"/>
        </w:rPr>
        <w:t>Goodhue, D. L., &amp; Thompson, R. L. (1995). Task-technology fit and individual performance. MIS Quarterly, 19(2), 213–236. https://doi.org/10.2307/249689</w:t>
      </w:r>
    </w:p>
    <w:p w14:paraId="1324DFF7" w14:textId="77777777" w:rsidR="006046D2" w:rsidRPr="00B76053" w:rsidRDefault="00B04762">
      <w:pPr>
        <w:spacing w:after="120"/>
        <w:rPr>
          <w:rFonts w:cs="Times New Roman"/>
        </w:rPr>
      </w:pPr>
      <w:r w:rsidRPr="00B76053">
        <w:rPr>
          <w:rFonts w:cs="Times New Roman"/>
        </w:rPr>
        <w:t>Grootendorst, M. (2022). BERTopic: Neural topic modeling with a class-based TF-IDF procedure. arXiv. https://doi.org/10.48550/arXiv.2203.05794</w:t>
      </w:r>
    </w:p>
    <w:p w14:paraId="08B0D0FD" w14:textId="77777777" w:rsidR="006046D2" w:rsidRPr="00B76053" w:rsidRDefault="00B04762">
      <w:pPr>
        <w:spacing w:after="120"/>
        <w:rPr>
          <w:rFonts w:cs="Times New Roman"/>
        </w:rPr>
      </w:pPr>
      <w:r w:rsidRPr="00B76053">
        <w:rPr>
          <w:rFonts w:cs="Times New Roman"/>
        </w:rPr>
        <w:t>Hentzen, J. K., Hoffmann, A., Dolan, R., &amp; Pala, E. (2022). Artificial intelligence in customer-facing financial services: A systematic literature review and agenda for future research. International Journal of Bank Marketing, 40(6), 1299–1336. https://doi.org/10.1108/IJBM-09-2021-0417</w:t>
      </w:r>
    </w:p>
    <w:p w14:paraId="024E2D9D" w14:textId="77777777" w:rsidR="006046D2" w:rsidRPr="00B76053" w:rsidRDefault="00B04762">
      <w:pPr>
        <w:spacing w:after="120"/>
        <w:rPr>
          <w:rFonts w:cs="Times New Roman"/>
        </w:rPr>
      </w:pPr>
      <w:r w:rsidRPr="00B76053">
        <w:rPr>
          <w:rFonts w:cs="Times New Roman"/>
        </w:rPr>
        <w:t>Heskett, J. L., Jones, T. O., Loveman, G. W., Sasser, W. E., Jr., &amp; Schlesinger, L. A. (1994). Putting the service-profit chain to work. Harvard Business Review, 72(2), 164–170. https://hbr.org/1994/03/putting-the-service-profit-chain-to-work-2</w:t>
      </w:r>
    </w:p>
    <w:p w14:paraId="0C38A041" w14:textId="77777777" w:rsidR="006046D2" w:rsidRPr="00B76053" w:rsidRDefault="00B04762">
      <w:pPr>
        <w:spacing w:after="120"/>
        <w:rPr>
          <w:rFonts w:cs="Times New Roman"/>
        </w:rPr>
      </w:pPr>
      <w:r w:rsidRPr="00B76053">
        <w:rPr>
          <w:rFonts w:cs="Times New Roman"/>
        </w:rPr>
        <w:t>Hevner, A. R., March, S. T., Park, J., &amp; Ram, S. (2004). Design science in information systems research. MIS Quarterly, 28(1), 75–105. https://doi.org/10.2307/25148625</w:t>
      </w:r>
    </w:p>
    <w:p w14:paraId="73688447" w14:textId="77777777" w:rsidR="006046D2" w:rsidRPr="00B76053" w:rsidRDefault="00B04762">
      <w:pPr>
        <w:spacing w:after="120"/>
        <w:rPr>
          <w:rFonts w:cs="Times New Roman"/>
        </w:rPr>
      </w:pPr>
      <w:r w:rsidRPr="00B76053">
        <w:rPr>
          <w:rFonts w:cs="Times New Roman"/>
        </w:rPr>
        <w:lastRenderedPageBreak/>
        <w:t>Huang, M.-H., &amp; Rust, R. T. (2018). Artificial intelligence in service. Journal of Service Research, 21(2), 155–172. https://doi.org/10.1177/1094670517752459</w:t>
      </w:r>
    </w:p>
    <w:p w14:paraId="0BA77E24" w14:textId="77777777" w:rsidR="006046D2" w:rsidRPr="00B76053" w:rsidRDefault="00B04762">
      <w:pPr>
        <w:spacing w:after="120"/>
        <w:rPr>
          <w:rFonts w:cs="Times New Roman"/>
        </w:rPr>
      </w:pPr>
      <w:r w:rsidRPr="00B76053">
        <w:rPr>
          <w:rFonts w:cs="Times New Roman"/>
        </w:rPr>
        <w:t xml:space="preserve">Hutto, C. J., &amp; Gilbert, E. (2014). VADER: A parsimonious rule-based model for sentiment analysis of social media text. Proceedings of the International AAAI Conference on Web and </w:t>
      </w:r>
      <w:proofErr w:type="gramStart"/>
      <w:r w:rsidRPr="00B76053">
        <w:rPr>
          <w:rFonts w:cs="Times New Roman"/>
        </w:rPr>
        <w:t>Social Media</w:t>
      </w:r>
      <w:proofErr w:type="gramEnd"/>
      <w:r w:rsidRPr="00B76053">
        <w:rPr>
          <w:rFonts w:cs="Times New Roman"/>
        </w:rPr>
        <w:t>, 8(1), 216–225. https://doi.org/10.1609/icwsm.v8i1.14550</w:t>
      </w:r>
    </w:p>
    <w:p w14:paraId="339ED411" w14:textId="77777777" w:rsidR="006046D2" w:rsidRPr="00B76053" w:rsidRDefault="00B04762">
      <w:pPr>
        <w:spacing w:after="120"/>
        <w:rPr>
          <w:rFonts w:cs="Times New Roman"/>
        </w:rPr>
      </w:pPr>
      <w:r w:rsidRPr="00B76053">
        <w:rPr>
          <w:rFonts w:cs="Times New Roman"/>
        </w:rPr>
        <w:t>Jang, M., Jung, Y., &amp; Kim, S. (2021). Investigating managers' understanding of chatbots in the Korean financial industry. Computers in Human Behavior, 120, Article 106747. https://doi.org/10.1016/j.chb.2021.106747</w:t>
      </w:r>
    </w:p>
    <w:p w14:paraId="6F3A515C" w14:textId="77777777" w:rsidR="006046D2" w:rsidRPr="00B76053" w:rsidRDefault="00B04762">
      <w:pPr>
        <w:spacing w:after="120"/>
        <w:rPr>
          <w:rFonts w:cs="Times New Roman"/>
        </w:rPr>
      </w:pPr>
      <w:r w:rsidRPr="00B76053">
        <w:rPr>
          <w:rFonts w:cs="Times New Roman"/>
        </w:rPr>
        <w:t>Liu, Z., Zhang, K., &amp; Zhang, H. (2024). A new era of financial services: How AI enhances investment efficiency. International Studies of Economics, 19, 578–588. https://doi.org/10.1002/ise3.91</w:t>
      </w:r>
    </w:p>
    <w:p w14:paraId="2B5037AD" w14:textId="77777777" w:rsidR="006046D2" w:rsidRPr="00B76053" w:rsidRDefault="00B04762">
      <w:pPr>
        <w:spacing w:after="120"/>
        <w:rPr>
          <w:rFonts w:cs="Times New Roman"/>
        </w:rPr>
      </w:pPr>
      <w:r w:rsidRPr="00B76053">
        <w:rPr>
          <w:rFonts w:cs="Times New Roman"/>
        </w:rPr>
        <w:t>Luca, M. (2016). Reviews, reputation, and revenue: The case of Yelp.com (Harvard Business School Working Paper No. 12-016). Harvard Business School. https://www.hbs.edu/faculty/Pages/item.aspx?num=41233</w:t>
      </w:r>
    </w:p>
    <w:p w14:paraId="3F74A810" w14:textId="77777777" w:rsidR="006046D2" w:rsidRPr="00B76053" w:rsidRDefault="00B04762">
      <w:pPr>
        <w:spacing w:after="120"/>
        <w:rPr>
          <w:rFonts w:cs="Times New Roman"/>
        </w:rPr>
      </w:pPr>
      <w:r w:rsidRPr="00B76053">
        <w:rPr>
          <w:rFonts w:cs="Times New Roman"/>
        </w:rPr>
        <w:t>Maslych, M., Katebi, M., Lee, C., Hmaiti, Y., Ghasemaghaei, A., Pumarada, C., Palmer, J., Martinez, E. S., Emporio, M., Snipes, W., McMahan, R. P., &amp; LaViola, J. J. (2025). Mitigating response delays in free-form conversations with LLM-powered intelligent virtual agents. arXiv. https://arxiv.org/abs/2504.08507</w:t>
      </w:r>
    </w:p>
    <w:p w14:paraId="79603AD6" w14:textId="77777777" w:rsidR="006046D2" w:rsidRPr="00B76053" w:rsidRDefault="00B04762">
      <w:pPr>
        <w:spacing w:after="120"/>
        <w:rPr>
          <w:rFonts w:cs="Times New Roman"/>
        </w:rPr>
      </w:pPr>
      <w:r w:rsidRPr="00B76053">
        <w:rPr>
          <w:rFonts w:cs="Times New Roman"/>
        </w:rPr>
        <w:t>Mogaji, E., &amp; Nguyen, N. P. (2022). Managers' understanding of artificial intelligence in relation to marketing financial services: Insights from a cross-country study. International Journal of Bank Marketing, 40(6), 1272–1298. https://doi.org/10.1108/IJBM-09-2021-0440</w:t>
      </w:r>
    </w:p>
    <w:p w14:paraId="7BBE1974" w14:textId="77777777" w:rsidR="006046D2" w:rsidRPr="00B76053" w:rsidRDefault="00B04762">
      <w:pPr>
        <w:spacing w:after="120"/>
        <w:rPr>
          <w:rFonts w:cs="Times New Roman"/>
        </w:rPr>
      </w:pPr>
      <w:r w:rsidRPr="00B76053">
        <w:rPr>
          <w:rFonts w:cs="Times New Roman"/>
        </w:rPr>
        <w:t xml:space="preserve">Mortgage Bankers Association. (2024a). Quarterly mortgage </w:t>
      </w:r>
      <w:proofErr w:type="gramStart"/>
      <w:r w:rsidRPr="00B76053">
        <w:rPr>
          <w:rFonts w:cs="Times New Roman"/>
        </w:rPr>
        <w:t>bankers</w:t>
      </w:r>
      <w:proofErr w:type="gramEnd"/>
      <w:r w:rsidRPr="00B76053">
        <w:rPr>
          <w:rFonts w:cs="Times New Roman"/>
        </w:rPr>
        <w:t xml:space="preserve"> performance report: Full year 2024. MBA Publications. https://www.mba.org/news-and-research/research-and-economics/single-family-research/quarterly-mortgage-bankers-performance-report</w:t>
      </w:r>
    </w:p>
    <w:p w14:paraId="46E35EC4" w14:textId="77777777" w:rsidR="006046D2" w:rsidRPr="00B76053" w:rsidRDefault="00B04762">
      <w:pPr>
        <w:spacing w:after="120"/>
        <w:rPr>
          <w:rFonts w:cs="Times New Roman"/>
        </w:rPr>
      </w:pPr>
      <w:r w:rsidRPr="00B76053">
        <w:rPr>
          <w:rFonts w:cs="Times New Roman"/>
        </w:rPr>
        <w:t>Mortgage Bankers Association. (2024b, November 14). IMB production profits increase in third quarter of 2024 [Press release]. https://www.mba.org/news-and-research/newsroom/news/2024/11/14/imb-production-profits-increase-in-third-quarter-of-2024</w:t>
      </w:r>
    </w:p>
    <w:p w14:paraId="1BB76723" w14:textId="77777777" w:rsidR="006046D2" w:rsidRPr="00B76053" w:rsidRDefault="00B04762">
      <w:pPr>
        <w:spacing w:after="120"/>
        <w:rPr>
          <w:rFonts w:cs="Times New Roman"/>
        </w:rPr>
      </w:pPr>
      <w:r w:rsidRPr="00B76053">
        <w:rPr>
          <w:rFonts w:cs="Times New Roman"/>
        </w:rPr>
        <w:t>Nunes, F. F. (2024, October 17). Better launches voice-based AI loan assistant. HousingWire. https://www.housingwire.com/articles/better-launches-voice-based-ai-loan-assistant/</w:t>
      </w:r>
    </w:p>
    <w:p w14:paraId="65FC6CB3" w14:textId="77777777" w:rsidR="006046D2" w:rsidRPr="00B76053" w:rsidRDefault="00B04762">
      <w:pPr>
        <w:spacing w:after="120"/>
        <w:rPr>
          <w:rFonts w:cs="Times New Roman"/>
        </w:rPr>
      </w:pPr>
      <w:r w:rsidRPr="00B76053">
        <w:rPr>
          <w:rFonts w:cs="Times New Roman"/>
        </w:rPr>
        <w:lastRenderedPageBreak/>
        <w:t>Nussbaum, C., Frühholz, S., &amp; Schweinberger, S. R. (2025). Understanding voice naturalness. Trends in Cognitive Sciences, 29(5), 467–480. https://doi.org/10.1016/j.tics.2025.01.010</w:t>
      </w:r>
    </w:p>
    <w:p w14:paraId="1FE2F7B4" w14:textId="21DB6747" w:rsidR="006046D2" w:rsidRDefault="00B04762">
      <w:pPr>
        <w:spacing w:after="120"/>
        <w:rPr>
          <w:rFonts w:cs="Times New Roman"/>
        </w:rPr>
      </w:pPr>
      <w:r w:rsidRPr="00B76053">
        <w:rPr>
          <w:rFonts w:cs="Times New Roman"/>
        </w:rPr>
        <w:t xml:space="preserve">Primack, D. (2021, December 8). Better.com delays close of $7.7B reverse merger after mass layoffs. Axios. </w:t>
      </w:r>
      <w:r w:rsidR="002430EB" w:rsidRPr="00B76053">
        <w:rPr>
          <w:rFonts w:cs="Times New Roman"/>
        </w:rPr>
        <w:t>https://www.axios.com/2021/12/08/better-home-mortgage-delays-reverse-merger-layoffs</w:t>
      </w:r>
    </w:p>
    <w:p w14:paraId="7915CF27" w14:textId="5132921B" w:rsidR="00EE5C8E" w:rsidRDefault="00EE5C8E">
      <w:pPr>
        <w:spacing w:after="120"/>
        <w:rPr>
          <w:rFonts w:cs="Times New Roman"/>
        </w:rPr>
      </w:pPr>
      <w:r w:rsidRPr="00EE5C8E">
        <w:rPr>
          <w:rFonts w:cs="Times New Roman"/>
        </w:rPr>
        <w:t>Rocket Companies, Inc. (2021). Form 10-K: Annual report for the fiscal year ended December 31, 2020. U.S. Securities and Exchange Commission. https://www.sec.gov/Archives/edgar/data/1805284/000180528421000007/rkt-20201231.htm</w:t>
      </w:r>
    </w:p>
    <w:p w14:paraId="1C1C03CE" w14:textId="2EC0DE61" w:rsidR="00EE5C8E" w:rsidRDefault="00EE5C8E">
      <w:pPr>
        <w:spacing w:after="120"/>
        <w:rPr>
          <w:rFonts w:cs="Times New Roman"/>
        </w:rPr>
      </w:pPr>
      <w:r w:rsidRPr="00EE5C8E">
        <w:rPr>
          <w:rFonts w:cs="Times New Roman"/>
        </w:rPr>
        <w:t>Rocket Companies, Inc. (2022). Form 10-K: Annual report for the fiscal year ended December 31, 2021. U.S. Securities and Exchange Commission. https://www.sec.gov/Archives/edgar/data/1805284/000180528422000018/rkt-20211231.htm</w:t>
      </w:r>
    </w:p>
    <w:p w14:paraId="30D7C6E5" w14:textId="2110B80F" w:rsidR="00EE5C8E" w:rsidRPr="00B76053" w:rsidRDefault="00EE5C8E">
      <w:pPr>
        <w:spacing w:after="120"/>
        <w:rPr>
          <w:rFonts w:cs="Times New Roman"/>
        </w:rPr>
      </w:pPr>
      <w:r w:rsidRPr="00EE5C8E">
        <w:rPr>
          <w:rFonts w:cs="Times New Roman"/>
        </w:rPr>
        <w:t>Rocket Companies, Inc. (2023). Form 10-K: Annual report for the fiscal year ended December 31, 2022. U.S. Securities and Exchange Commission. https://www.sec.gov/Archives/edgar/data/1805284/000180528423000019/rkt-20221231.htm</w:t>
      </w:r>
    </w:p>
    <w:p w14:paraId="614584B6" w14:textId="6BF513A8" w:rsidR="006046D2" w:rsidRPr="00B76053" w:rsidRDefault="00B04762">
      <w:pPr>
        <w:spacing w:after="120"/>
        <w:rPr>
          <w:rFonts w:cs="Times New Roman"/>
        </w:rPr>
      </w:pPr>
      <w:r w:rsidRPr="00B76053">
        <w:rPr>
          <w:rFonts w:cs="Times New Roman"/>
        </w:rPr>
        <w:t xml:space="preserve">Rocket Companies, Inc. (2024). Form 10-K: Annual report for the fiscal year ended December 31, 2023. U.S. Securities and Exchange Commission. </w:t>
      </w:r>
      <w:r w:rsidR="00A3054B" w:rsidRPr="00A3054B">
        <w:rPr>
          <w:rFonts w:cs="Times New Roman"/>
        </w:rPr>
        <w:t>https://www.sec.gov/Archives/edgar/data/1805284/000180528424000009/rkt-20231231.htm</w:t>
      </w:r>
    </w:p>
    <w:p w14:paraId="43012F88" w14:textId="0C66EEA0" w:rsidR="006046D2" w:rsidRDefault="00B04762" w:rsidP="00E77106">
      <w:pPr>
        <w:spacing w:after="120"/>
        <w:rPr>
          <w:rFonts w:cs="Times New Roman"/>
        </w:rPr>
      </w:pPr>
      <w:r w:rsidRPr="00B76053">
        <w:rPr>
          <w:rFonts w:cs="Times New Roman"/>
        </w:rPr>
        <w:t xml:space="preserve">Rocket Companies, Inc. (2025). Form 10-K: Annual report for the fiscal year ended December 31, 2024. U.S. Securities and Exchange Commission. </w:t>
      </w:r>
      <w:r w:rsidR="00A3054B" w:rsidRPr="00A3054B">
        <w:rPr>
          <w:rFonts w:cs="Times New Roman"/>
        </w:rPr>
        <w:t>https://www.sec.gov/Archives/edgar/data/1805284/000180528425000010/rkt-20241231.htm</w:t>
      </w:r>
    </w:p>
    <w:p w14:paraId="3D37FB22" w14:textId="03A39D2B" w:rsidR="00EE5C8E" w:rsidRPr="00B76053" w:rsidRDefault="006D111C">
      <w:pPr>
        <w:spacing w:after="120"/>
        <w:rPr>
          <w:rFonts w:cs="Times New Roman"/>
        </w:rPr>
      </w:pPr>
      <w:r>
        <w:rPr>
          <w:rFonts w:cs="Times New Roman"/>
        </w:rPr>
        <w:t>R</w:t>
      </w:r>
      <w:r w:rsidR="00EE5C8E" w:rsidRPr="00EE5C8E">
        <w:rPr>
          <w:rFonts w:cs="Times New Roman"/>
        </w:rPr>
        <w:t>ocket Companies, Inc. (2026). Form 10-K: Annual report for the fiscal year ended December 31, 2025. U.S. Securities and Exchange Commission. https://www.sec.gov/Archives/edgar/data/1805284/000162828026013283/rkt-20251231.htm</w:t>
      </w:r>
    </w:p>
    <w:p w14:paraId="1F894016" w14:textId="77777777" w:rsidR="006046D2" w:rsidRPr="00B76053" w:rsidRDefault="00B04762">
      <w:pPr>
        <w:spacing w:after="120"/>
        <w:rPr>
          <w:rFonts w:cs="Times New Roman"/>
        </w:rPr>
      </w:pPr>
      <w:r w:rsidRPr="00B76053">
        <w:rPr>
          <w:rFonts w:cs="Times New Roman"/>
        </w:rPr>
        <w:t>Wang, L., Huang, N., Hong, Y., Liu, L., Guo, X., &amp; Chen, G. (2023). Voice-based AI in call center customer service: A natural field experiment. Production and Operations Management, 32(4), 1002–1018. https://doi.org/10.1111/poms.13953</w:t>
      </w:r>
    </w:p>
    <w:p w14:paraId="6F6C5100" w14:textId="77777777" w:rsidR="006046D2" w:rsidRPr="00B76053" w:rsidRDefault="00B04762">
      <w:pPr>
        <w:spacing w:after="120"/>
        <w:rPr>
          <w:rFonts w:cs="Times New Roman"/>
        </w:rPr>
      </w:pPr>
      <w:r w:rsidRPr="00B76053">
        <w:rPr>
          <w:rFonts w:cs="Times New Roman"/>
        </w:rPr>
        <w:t>Xu, Y., Shieh, C.-H., van Esch, P., &amp; Ling, I.-L. (2020). AI customer service: Task complexity, problem-solving ability, and usage intention. Australasian Marketing Journal, 28(4), 189–199. https://doi.org/10.1016/j.ausmj.2020.03.005</w:t>
      </w:r>
    </w:p>
    <w:p w14:paraId="296C5201" w14:textId="77777777" w:rsidR="006046D2" w:rsidRPr="00B76053" w:rsidRDefault="00B04762">
      <w:pPr>
        <w:spacing w:after="120"/>
        <w:rPr>
          <w:rFonts w:cs="Times New Roman"/>
        </w:rPr>
      </w:pPr>
      <w:r w:rsidRPr="00B76053">
        <w:rPr>
          <w:rFonts w:cs="Times New Roman"/>
        </w:rPr>
        <w:lastRenderedPageBreak/>
        <w:t>Yin, R. K. (2018). Case study research and applications: Design and methods (6th ed.). SAGE Publications.</w:t>
      </w:r>
    </w:p>
    <w:p w14:paraId="3B92C482" w14:textId="03BEC51D" w:rsidR="00B76B53" w:rsidRPr="00B76053" w:rsidRDefault="00B04762">
      <w:pPr>
        <w:spacing w:after="120"/>
        <w:rPr>
          <w:rFonts w:cs="Times New Roman"/>
        </w:rPr>
      </w:pPr>
      <w:r w:rsidRPr="00B76053">
        <w:rPr>
          <w:rFonts w:cs="Times New Roman"/>
        </w:rPr>
        <w:t xml:space="preserve">Zhang, Z., Li, B., &amp; Liu, L. (2023). The impact of AI-based conversational agent on the firms' operational performance. Applied Artificial Intelligence, 37(1), Article 2246715. </w:t>
      </w:r>
      <w:r w:rsidR="001C529B" w:rsidRPr="001C529B">
        <w:rPr>
          <w:rFonts w:cs="Times New Roman"/>
        </w:rPr>
        <w:t>https://doi.org/10.1080/08839514.2022.21575</w:t>
      </w:r>
      <w:r w:rsidR="001C529B" w:rsidRPr="001C529B">
        <w:rPr>
          <w:rFonts w:cs="Times New Roman"/>
        </w:rPr>
        <w:t>9</w:t>
      </w:r>
      <w:r w:rsidR="001C529B" w:rsidRPr="001C529B">
        <w:rPr>
          <w:rFonts w:cs="Times New Roman"/>
        </w:rPr>
        <w:t>2</w:t>
      </w:r>
    </w:p>
    <w:p w14:paraId="08898865" w14:textId="77777777" w:rsidR="006046D2" w:rsidRPr="00B76053" w:rsidRDefault="00B04762">
      <w:pPr>
        <w:pStyle w:val="Heading1"/>
        <w:pageBreakBefore/>
        <w:rPr>
          <w:rFonts w:cs="Times New Roman"/>
        </w:rPr>
      </w:pPr>
      <w:bookmarkStart w:id="114" w:name="_Toc229755381"/>
      <w:r w:rsidRPr="00B76053">
        <w:rPr>
          <w:rFonts w:cs="Times New Roman"/>
        </w:rPr>
        <w:lastRenderedPageBreak/>
        <w:t>Appendix A. Financial Dataset and Metric Definitions</w:t>
      </w:r>
      <w:bookmarkEnd w:id="114"/>
    </w:p>
    <w:p w14:paraId="1F424404" w14:textId="77777777" w:rsidR="006046D2" w:rsidRPr="00B76053" w:rsidRDefault="00B04762">
      <w:pPr>
        <w:pStyle w:val="Heading2"/>
        <w:rPr>
          <w:rFonts w:cs="Times New Roman"/>
        </w:rPr>
      </w:pPr>
      <w:bookmarkStart w:id="115" w:name="_Toc229755382"/>
      <w:r w:rsidRPr="00B76053">
        <w:rPr>
          <w:rFonts w:cs="Times New Roman"/>
        </w:rPr>
        <w:t>A.1 Dataset Overview</w:t>
      </w:r>
      <w:bookmarkEnd w:id="115"/>
    </w:p>
    <w:p w14:paraId="4C37FF35" w14:textId="77777777" w:rsidR="006046D2" w:rsidRPr="00B76053" w:rsidRDefault="00B04762">
      <w:pPr>
        <w:rPr>
          <w:rFonts w:cs="Times New Roman"/>
        </w:rPr>
      </w:pPr>
      <w:r w:rsidRPr="00B76053">
        <w:rPr>
          <w:rFonts w:cs="Times New Roman"/>
        </w:rPr>
        <w:t>The financial dataset analysed in Chapter 5 contains thirteen annual observations: five for Better Home &amp; Finance Holding Company (formerly Better HoldCo, Inc.) covering fiscal years 2021–2025, and eight for Rocket Companies, Inc. covering fiscal years 2018–2025, used as a directional industry benchmark. The Rocket 2018 and 2019 rows are sourced from the audited comparative tables disclosed in Rocket's 2020 annual report; the remaining Rocket years are sourced from successive 10-K filings. Each observation was extracted from a single SEC filing (10-K, S-1, or S-1/A) and stored as a single row in a normalised long-format table indexed by company × fiscal year. The dataset is reproducible from the public source-code repository: the raw filings are stored under 02_Case_Study_Data/Better/Annual Reports/ and 02_Case_Study_Data/Rocket Mortgage/Annual Reports/, the extraction scripts under 05_Code/Data Extraction code/, and the normalised CSV at 06_Data/financial_dataset_annual.csv.</w:t>
      </w:r>
    </w:p>
    <w:p w14:paraId="1B465F1C" w14:textId="77777777" w:rsidR="006046D2" w:rsidRPr="00B76053" w:rsidRDefault="00B04762">
      <w:pPr>
        <w:pStyle w:val="Heading2"/>
        <w:rPr>
          <w:rFonts w:cs="Times New Roman"/>
        </w:rPr>
      </w:pPr>
      <w:bookmarkStart w:id="116" w:name="_Toc229755383"/>
      <w:r w:rsidRPr="00B76053">
        <w:rPr>
          <w:rFonts w:cs="Times New Roman"/>
        </w:rPr>
        <w:t>A.2 Variable Definitions</w:t>
      </w:r>
      <w:bookmarkEnd w:id="116"/>
    </w:p>
    <w:p w14:paraId="75BB7A41" w14:textId="77777777" w:rsidR="006046D2" w:rsidRPr="00B76053" w:rsidRDefault="00B04762">
      <w:pPr>
        <w:pStyle w:val="Caption"/>
        <w:rPr>
          <w:rFonts w:cs="Times New Roman"/>
        </w:rPr>
      </w:pPr>
      <w:r w:rsidRPr="00B76053">
        <w:rPr>
          <w:rFonts w:cs="Times New Roman"/>
        </w:rPr>
        <w:t>Table A.1. Variable definitions for the audited financial dataset used in Chapter 5.</w:t>
      </w:r>
    </w:p>
    <w:tbl>
      <w:tblPr>
        <w:tblStyle w:val="TableGrid"/>
        <w:tblW w:w="0" w:type="auto"/>
        <w:tblLook w:val="04A0" w:firstRow="1" w:lastRow="0" w:firstColumn="1" w:lastColumn="0" w:noHBand="0" w:noVBand="1"/>
      </w:tblPr>
      <w:tblGrid>
        <w:gridCol w:w="555"/>
        <w:gridCol w:w="1286"/>
        <w:gridCol w:w="3762"/>
        <w:gridCol w:w="1077"/>
        <w:gridCol w:w="2670"/>
      </w:tblGrid>
      <w:tr w:rsidR="006046D2" w:rsidRPr="00B76053" w14:paraId="19125C20" w14:textId="77777777" w:rsidTr="000B15D0">
        <w:tc>
          <w:tcPr>
            <w:tcW w:w="558" w:type="dxa"/>
          </w:tcPr>
          <w:p w14:paraId="344DFB96" w14:textId="77777777" w:rsidR="006046D2" w:rsidRPr="00B76053" w:rsidRDefault="00B04762">
            <w:pPr>
              <w:rPr>
                <w:rFonts w:cs="Times New Roman"/>
              </w:rPr>
            </w:pPr>
            <w:r w:rsidRPr="00B76053">
              <w:rPr>
                <w:rFonts w:cs="Times New Roman"/>
                <w:b/>
              </w:rPr>
              <w:t>#</w:t>
            </w:r>
          </w:p>
        </w:tc>
        <w:tc>
          <w:tcPr>
            <w:tcW w:w="1287" w:type="dxa"/>
          </w:tcPr>
          <w:p w14:paraId="2EB97998" w14:textId="77777777" w:rsidR="006046D2" w:rsidRPr="00B76053" w:rsidRDefault="00B04762">
            <w:pPr>
              <w:rPr>
                <w:rFonts w:cs="Times New Roman"/>
              </w:rPr>
            </w:pPr>
            <w:r w:rsidRPr="00B76053">
              <w:rPr>
                <w:rFonts w:cs="Times New Roman"/>
                <w:b/>
              </w:rPr>
              <w:t>Variable</w:t>
            </w:r>
          </w:p>
        </w:tc>
        <w:tc>
          <w:tcPr>
            <w:tcW w:w="3843" w:type="dxa"/>
          </w:tcPr>
          <w:p w14:paraId="1C7A765E" w14:textId="77777777" w:rsidR="006046D2" w:rsidRPr="00B76053" w:rsidRDefault="00B04762">
            <w:pPr>
              <w:rPr>
                <w:rFonts w:cs="Times New Roman"/>
              </w:rPr>
            </w:pPr>
            <w:r w:rsidRPr="00B76053">
              <w:rPr>
                <w:rFonts w:cs="Times New Roman"/>
                <w:b/>
              </w:rPr>
              <w:t>Definition</w:t>
            </w:r>
          </w:p>
        </w:tc>
        <w:tc>
          <w:tcPr>
            <w:tcW w:w="1080" w:type="dxa"/>
          </w:tcPr>
          <w:p w14:paraId="211BA5D4" w14:textId="77777777" w:rsidR="006046D2" w:rsidRPr="00B76053" w:rsidRDefault="00B04762">
            <w:pPr>
              <w:rPr>
                <w:rFonts w:cs="Times New Roman"/>
              </w:rPr>
            </w:pPr>
            <w:r w:rsidRPr="00B76053">
              <w:rPr>
                <w:rFonts w:cs="Times New Roman"/>
                <w:b/>
              </w:rPr>
              <w:t>Unit</w:t>
            </w:r>
          </w:p>
        </w:tc>
        <w:tc>
          <w:tcPr>
            <w:tcW w:w="2708" w:type="dxa"/>
          </w:tcPr>
          <w:p w14:paraId="3CB579E7" w14:textId="77777777" w:rsidR="006046D2" w:rsidRPr="00B76053" w:rsidRDefault="00B04762">
            <w:pPr>
              <w:rPr>
                <w:rFonts w:cs="Times New Roman"/>
              </w:rPr>
            </w:pPr>
            <w:r w:rsidRPr="00B76053">
              <w:rPr>
                <w:rFonts w:cs="Times New Roman"/>
                <w:b/>
              </w:rPr>
              <w:t>Computed from</w:t>
            </w:r>
          </w:p>
        </w:tc>
      </w:tr>
      <w:tr w:rsidR="006046D2" w:rsidRPr="00B76053" w14:paraId="655B5F25" w14:textId="77777777" w:rsidTr="000B15D0">
        <w:tc>
          <w:tcPr>
            <w:tcW w:w="558" w:type="dxa"/>
          </w:tcPr>
          <w:p w14:paraId="7064FCDB" w14:textId="77777777" w:rsidR="006046D2" w:rsidRPr="00B76053" w:rsidRDefault="00B04762">
            <w:pPr>
              <w:rPr>
                <w:rFonts w:cs="Times New Roman"/>
              </w:rPr>
            </w:pPr>
            <w:r w:rsidRPr="00B76053">
              <w:rPr>
                <w:rFonts w:cs="Times New Roman"/>
              </w:rPr>
              <w:t>1</w:t>
            </w:r>
          </w:p>
        </w:tc>
        <w:tc>
          <w:tcPr>
            <w:tcW w:w="1287" w:type="dxa"/>
          </w:tcPr>
          <w:p w14:paraId="6D455777" w14:textId="77777777" w:rsidR="006046D2" w:rsidRPr="00B76053" w:rsidRDefault="00B04762">
            <w:pPr>
              <w:rPr>
                <w:rFonts w:cs="Times New Roman"/>
              </w:rPr>
            </w:pPr>
            <w:r w:rsidRPr="00B76053">
              <w:rPr>
                <w:rFonts w:cs="Times New Roman"/>
              </w:rPr>
              <w:t>Revenue</w:t>
            </w:r>
          </w:p>
        </w:tc>
        <w:tc>
          <w:tcPr>
            <w:tcW w:w="3843" w:type="dxa"/>
          </w:tcPr>
          <w:p w14:paraId="18395E74" w14:textId="77777777" w:rsidR="006046D2" w:rsidRPr="00B76053" w:rsidRDefault="00B04762">
            <w:pPr>
              <w:rPr>
                <w:rFonts w:cs="Times New Roman"/>
              </w:rPr>
            </w:pPr>
            <w:r w:rsidRPr="00B76053">
              <w:rPr>
                <w:rFonts w:cs="Times New Roman"/>
              </w:rPr>
              <w:t>Total net revenue from the audited Consolidated Statement of Operations.</w:t>
            </w:r>
          </w:p>
        </w:tc>
        <w:tc>
          <w:tcPr>
            <w:tcW w:w="1080" w:type="dxa"/>
          </w:tcPr>
          <w:p w14:paraId="6BE9431B" w14:textId="77777777" w:rsidR="006046D2" w:rsidRPr="00B76053" w:rsidRDefault="00B04762">
            <w:pPr>
              <w:rPr>
                <w:rFonts w:cs="Times New Roman"/>
              </w:rPr>
            </w:pPr>
            <w:r w:rsidRPr="00B76053">
              <w:rPr>
                <w:rFonts w:cs="Times New Roman"/>
              </w:rPr>
              <w:t>USD millions</w:t>
            </w:r>
          </w:p>
        </w:tc>
        <w:tc>
          <w:tcPr>
            <w:tcW w:w="2708" w:type="dxa"/>
          </w:tcPr>
          <w:p w14:paraId="6EC06123" w14:textId="77777777" w:rsidR="006046D2" w:rsidRPr="00B76053" w:rsidRDefault="00B04762">
            <w:pPr>
              <w:rPr>
                <w:rFonts w:cs="Times New Roman"/>
              </w:rPr>
            </w:pPr>
            <w:r w:rsidRPr="00B76053">
              <w:rPr>
                <w:rFonts w:cs="Times New Roman"/>
              </w:rPr>
              <w:t>10-K / S-1; line item: Total revenue, net.</w:t>
            </w:r>
          </w:p>
        </w:tc>
      </w:tr>
      <w:tr w:rsidR="006046D2" w:rsidRPr="00B76053" w14:paraId="3B6C79F0" w14:textId="77777777" w:rsidTr="000B15D0">
        <w:tc>
          <w:tcPr>
            <w:tcW w:w="558" w:type="dxa"/>
          </w:tcPr>
          <w:p w14:paraId="7D5DE9C7" w14:textId="77777777" w:rsidR="006046D2" w:rsidRPr="00B76053" w:rsidRDefault="00B04762">
            <w:pPr>
              <w:rPr>
                <w:rFonts w:cs="Times New Roman"/>
              </w:rPr>
            </w:pPr>
            <w:r w:rsidRPr="00B76053">
              <w:rPr>
                <w:rFonts w:cs="Times New Roman"/>
              </w:rPr>
              <w:t>2</w:t>
            </w:r>
          </w:p>
        </w:tc>
        <w:tc>
          <w:tcPr>
            <w:tcW w:w="1287" w:type="dxa"/>
          </w:tcPr>
          <w:p w14:paraId="16DE613F" w14:textId="77777777" w:rsidR="006046D2" w:rsidRPr="00B76053" w:rsidRDefault="00B04762">
            <w:pPr>
              <w:rPr>
                <w:rFonts w:cs="Times New Roman"/>
              </w:rPr>
            </w:pPr>
            <w:r w:rsidRPr="00B76053">
              <w:rPr>
                <w:rFonts w:cs="Times New Roman"/>
              </w:rPr>
              <w:t>Total expenses</w:t>
            </w:r>
          </w:p>
        </w:tc>
        <w:tc>
          <w:tcPr>
            <w:tcW w:w="3843" w:type="dxa"/>
          </w:tcPr>
          <w:p w14:paraId="6C455B5E" w14:textId="77777777" w:rsidR="006046D2" w:rsidRPr="00B76053" w:rsidRDefault="00B04762">
            <w:pPr>
              <w:rPr>
                <w:rFonts w:cs="Times New Roman"/>
              </w:rPr>
            </w:pPr>
            <w:r w:rsidRPr="00B76053">
              <w:rPr>
                <w:rFonts w:cs="Times New Roman"/>
              </w:rPr>
              <w:t>Total operating expenses from the audited Consolidated Statement of Operations.</w:t>
            </w:r>
          </w:p>
        </w:tc>
        <w:tc>
          <w:tcPr>
            <w:tcW w:w="1080" w:type="dxa"/>
          </w:tcPr>
          <w:p w14:paraId="3BCF08CE" w14:textId="77777777" w:rsidR="006046D2" w:rsidRPr="00B76053" w:rsidRDefault="00B04762">
            <w:pPr>
              <w:rPr>
                <w:rFonts w:cs="Times New Roman"/>
              </w:rPr>
            </w:pPr>
            <w:r w:rsidRPr="00B76053">
              <w:rPr>
                <w:rFonts w:cs="Times New Roman"/>
              </w:rPr>
              <w:t>USD millions</w:t>
            </w:r>
          </w:p>
        </w:tc>
        <w:tc>
          <w:tcPr>
            <w:tcW w:w="2708" w:type="dxa"/>
          </w:tcPr>
          <w:p w14:paraId="109190CB" w14:textId="77777777" w:rsidR="006046D2" w:rsidRPr="00B76053" w:rsidRDefault="00B04762">
            <w:pPr>
              <w:rPr>
                <w:rFonts w:cs="Times New Roman"/>
              </w:rPr>
            </w:pPr>
            <w:r w:rsidRPr="00B76053">
              <w:rPr>
                <w:rFonts w:cs="Times New Roman"/>
              </w:rPr>
              <w:t>10-K / S-1; line item: Total expenses (sum of compensation, marketing, technology, G&amp;A, depreciation).</w:t>
            </w:r>
          </w:p>
        </w:tc>
      </w:tr>
      <w:tr w:rsidR="006046D2" w:rsidRPr="00B76053" w14:paraId="08FC8AE7" w14:textId="77777777" w:rsidTr="000B15D0">
        <w:tc>
          <w:tcPr>
            <w:tcW w:w="558" w:type="dxa"/>
          </w:tcPr>
          <w:p w14:paraId="4B8EBCE3" w14:textId="77777777" w:rsidR="006046D2" w:rsidRPr="00B76053" w:rsidRDefault="00B04762">
            <w:pPr>
              <w:rPr>
                <w:rFonts w:cs="Times New Roman"/>
              </w:rPr>
            </w:pPr>
            <w:r w:rsidRPr="00B76053">
              <w:rPr>
                <w:rFonts w:cs="Times New Roman"/>
              </w:rPr>
              <w:t>3</w:t>
            </w:r>
          </w:p>
        </w:tc>
        <w:tc>
          <w:tcPr>
            <w:tcW w:w="1287" w:type="dxa"/>
          </w:tcPr>
          <w:p w14:paraId="3DF11BFE" w14:textId="77777777" w:rsidR="006046D2" w:rsidRPr="00B76053" w:rsidRDefault="00B04762">
            <w:pPr>
              <w:rPr>
                <w:rFonts w:cs="Times New Roman"/>
              </w:rPr>
            </w:pPr>
            <w:r w:rsidRPr="00B76053">
              <w:rPr>
                <w:rFonts w:cs="Times New Roman"/>
              </w:rPr>
              <w:t>Net income / (loss)</w:t>
            </w:r>
          </w:p>
        </w:tc>
        <w:tc>
          <w:tcPr>
            <w:tcW w:w="3843" w:type="dxa"/>
          </w:tcPr>
          <w:p w14:paraId="65CBBCB5" w14:textId="77777777" w:rsidR="006046D2" w:rsidRPr="00B76053" w:rsidRDefault="00B04762">
            <w:pPr>
              <w:rPr>
                <w:rFonts w:cs="Times New Roman"/>
              </w:rPr>
            </w:pPr>
            <w:r w:rsidRPr="00B76053">
              <w:rPr>
                <w:rFonts w:cs="Times New Roman"/>
              </w:rPr>
              <w:t>Net income or net loss attributable to common shareholders.</w:t>
            </w:r>
          </w:p>
        </w:tc>
        <w:tc>
          <w:tcPr>
            <w:tcW w:w="1080" w:type="dxa"/>
          </w:tcPr>
          <w:p w14:paraId="54135900" w14:textId="77777777" w:rsidR="006046D2" w:rsidRPr="00B76053" w:rsidRDefault="00B04762">
            <w:pPr>
              <w:rPr>
                <w:rFonts w:cs="Times New Roman"/>
              </w:rPr>
            </w:pPr>
            <w:r w:rsidRPr="00B76053">
              <w:rPr>
                <w:rFonts w:cs="Times New Roman"/>
              </w:rPr>
              <w:t>USD millions</w:t>
            </w:r>
          </w:p>
        </w:tc>
        <w:tc>
          <w:tcPr>
            <w:tcW w:w="2708" w:type="dxa"/>
          </w:tcPr>
          <w:p w14:paraId="054A2866" w14:textId="77777777" w:rsidR="006046D2" w:rsidRPr="00B76053" w:rsidRDefault="00B04762">
            <w:pPr>
              <w:rPr>
                <w:rFonts w:cs="Times New Roman"/>
              </w:rPr>
            </w:pPr>
            <w:r w:rsidRPr="00B76053">
              <w:rPr>
                <w:rFonts w:cs="Times New Roman"/>
              </w:rPr>
              <w:t>10-K / S-1; line item: Net income / (loss).</w:t>
            </w:r>
          </w:p>
        </w:tc>
      </w:tr>
      <w:tr w:rsidR="006046D2" w:rsidRPr="00B76053" w14:paraId="3EFF906B" w14:textId="77777777" w:rsidTr="000B15D0">
        <w:tc>
          <w:tcPr>
            <w:tcW w:w="558" w:type="dxa"/>
          </w:tcPr>
          <w:p w14:paraId="5B697C16" w14:textId="77777777" w:rsidR="006046D2" w:rsidRPr="00B76053" w:rsidRDefault="00B04762">
            <w:pPr>
              <w:rPr>
                <w:rFonts w:cs="Times New Roman"/>
              </w:rPr>
            </w:pPr>
            <w:r w:rsidRPr="00B76053">
              <w:rPr>
                <w:rFonts w:cs="Times New Roman"/>
              </w:rPr>
              <w:lastRenderedPageBreak/>
              <w:t>4</w:t>
            </w:r>
          </w:p>
        </w:tc>
        <w:tc>
          <w:tcPr>
            <w:tcW w:w="1287" w:type="dxa"/>
          </w:tcPr>
          <w:p w14:paraId="78CA2C5C" w14:textId="77777777" w:rsidR="006046D2" w:rsidRPr="00B76053" w:rsidRDefault="00B04762">
            <w:pPr>
              <w:rPr>
                <w:rFonts w:cs="Times New Roman"/>
              </w:rPr>
            </w:pPr>
            <w:r w:rsidRPr="00B76053">
              <w:rPr>
                <w:rFonts w:cs="Times New Roman"/>
              </w:rPr>
              <w:t>Operating cash flow</w:t>
            </w:r>
          </w:p>
        </w:tc>
        <w:tc>
          <w:tcPr>
            <w:tcW w:w="3843" w:type="dxa"/>
          </w:tcPr>
          <w:p w14:paraId="7F14B37D" w14:textId="77777777" w:rsidR="006046D2" w:rsidRPr="00B76053" w:rsidRDefault="00B04762">
            <w:pPr>
              <w:rPr>
                <w:rFonts w:cs="Times New Roman"/>
              </w:rPr>
            </w:pPr>
            <w:r w:rsidRPr="00B76053">
              <w:rPr>
                <w:rFonts w:cs="Times New Roman"/>
              </w:rPr>
              <w:t>Net cash provided by / (used in) operating activities.</w:t>
            </w:r>
          </w:p>
        </w:tc>
        <w:tc>
          <w:tcPr>
            <w:tcW w:w="1080" w:type="dxa"/>
          </w:tcPr>
          <w:p w14:paraId="5836BC2B" w14:textId="77777777" w:rsidR="006046D2" w:rsidRPr="00B76053" w:rsidRDefault="00B04762">
            <w:pPr>
              <w:rPr>
                <w:rFonts w:cs="Times New Roman"/>
              </w:rPr>
            </w:pPr>
            <w:r w:rsidRPr="00B76053">
              <w:rPr>
                <w:rFonts w:cs="Times New Roman"/>
              </w:rPr>
              <w:t>USD millions</w:t>
            </w:r>
          </w:p>
        </w:tc>
        <w:tc>
          <w:tcPr>
            <w:tcW w:w="2708" w:type="dxa"/>
          </w:tcPr>
          <w:p w14:paraId="46DD9DE7" w14:textId="77777777" w:rsidR="006046D2" w:rsidRPr="00B76053" w:rsidRDefault="00B04762">
            <w:pPr>
              <w:rPr>
                <w:rFonts w:cs="Times New Roman"/>
              </w:rPr>
            </w:pPr>
            <w:r w:rsidRPr="00B76053">
              <w:rPr>
                <w:rFonts w:cs="Times New Roman"/>
              </w:rPr>
              <w:t>10-K / S-1; Consolidated Statement of Cash Flows.</w:t>
            </w:r>
          </w:p>
        </w:tc>
      </w:tr>
      <w:tr w:rsidR="006046D2" w:rsidRPr="00B76053" w14:paraId="6AB7BBF3" w14:textId="77777777" w:rsidTr="000B15D0">
        <w:tc>
          <w:tcPr>
            <w:tcW w:w="558" w:type="dxa"/>
          </w:tcPr>
          <w:p w14:paraId="6D54291E" w14:textId="77777777" w:rsidR="006046D2" w:rsidRPr="00B76053" w:rsidRDefault="00B04762">
            <w:pPr>
              <w:rPr>
                <w:rFonts w:cs="Times New Roman"/>
              </w:rPr>
            </w:pPr>
            <w:r w:rsidRPr="00B76053">
              <w:rPr>
                <w:rFonts w:cs="Times New Roman"/>
              </w:rPr>
              <w:t>5</w:t>
            </w:r>
          </w:p>
        </w:tc>
        <w:tc>
          <w:tcPr>
            <w:tcW w:w="1287" w:type="dxa"/>
          </w:tcPr>
          <w:p w14:paraId="50BA5258" w14:textId="77777777" w:rsidR="006046D2" w:rsidRPr="00B76053" w:rsidRDefault="00B04762">
            <w:pPr>
              <w:rPr>
                <w:rFonts w:cs="Times New Roman"/>
              </w:rPr>
            </w:pPr>
            <w:r w:rsidRPr="00B76053">
              <w:rPr>
                <w:rFonts w:cs="Times New Roman"/>
              </w:rPr>
              <w:t>Total assets</w:t>
            </w:r>
          </w:p>
        </w:tc>
        <w:tc>
          <w:tcPr>
            <w:tcW w:w="3843" w:type="dxa"/>
          </w:tcPr>
          <w:p w14:paraId="16F5C9EC" w14:textId="77777777" w:rsidR="006046D2" w:rsidRPr="00B76053" w:rsidRDefault="00B04762">
            <w:pPr>
              <w:rPr>
                <w:rFonts w:cs="Times New Roman"/>
              </w:rPr>
            </w:pPr>
            <w:r w:rsidRPr="00B76053">
              <w:rPr>
                <w:rFonts w:cs="Times New Roman"/>
              </w:rPr>
              <w:t>Total assets, audited balance-sheet aggregate.</w:t>
            </w:r>
          </w:p>
        </w:tc>
        <w:tc>
          <w:tcPr>
            <w:tcW w:w="1080" w:type="dxa"/>
          </w:tcPr>
          <w:p w14:paraId="6E500EF1" w14:textId="77777777" w:rsidR="006046D2" w:rsidRPr="00B76053" w:rsidRDefault="00B04762">
            <w:pPr>
              <w:rPr>
                <w:rFonts w:cs="Times New Roman"/>
              </w:rPr>
            </w:pPr>
            <w:r w:rsidRPr="00B76053">
              <w:rPr>
                <w:rFonts w:cs="Times New Roman"/>
              </w:rPr>
              <w:t>USD millions</w:t>
            </w:r>
          </w:p>
        </w:tc>
        <w:tc>
          <w:tcPr>
            <w:tcW w:w="2708" w:type="dxa"/>
          </w:tcPr>
          <w:p w14:paraId="105A13D6" w14:textId="77777777" w:rsidR="006046D2" w:rsidRPr="00B76053" w:rsidRDefault="00B04762">
            <w:pPr>
              <w:rPr>
                <w:rFonts w:cs="Times New Roman"/>
              </w:rPr>
            </w:pPr>
            <w:r w:rsidRPr="00B76053">
              <w:rPr>
                <w:rFonts w:cs="Times New Roman"/>
              </w:rPr>
              <w:t>10-K / S-1; Consolidated Balance Sheet.</w:t>
            </w:r>
          </w:p>
        </w:tc>
      </w:tr>
      <w:tr w:rsidR="006046D2" w:rsidRPr="00B76053" w14:paraId="63CDFA26" w14:textId="77777777" w:rsidTr="000B15D0">
        <w:tc>
          <w:tcPr>
            <w:tcW w:w="558" w:type="dxa"/>
          </w:tcPr>
          <w:p w14:paraId="25B256DC" w14:textId="77777777" w:rsidR="006046D2" w:rsidRPr="00B76053" w:rsidRDefault="00B04762">
            <w:pPr>
              <w:rPr>
                <w:rFonts w:cs="Times New Roman"/>
              </w:rPr>
            </w:pPr>
            <w:r w:rsidRPr="00B76053">
              <w:rPr>
                <w:rFonts w:cs="Times New Roman"/>
              </w:rPr>
              <w:t>6</w:t>
            </w:r>
          </w:p>
        </w:tc>
        <w:tc>
          <w:tcPr>
            <w:tcW w:w="1287" w:type="dxa"/>
          </w:tcPr>
          <w:p w14:paraId="45BAF9E2" w14:textId="77777777" w:rsidR="006046D2" w:rsidRPr="00B76053" w:rsidRDefault="00B04762">
            <w:pPr>
              <w:rPr>
                <w:rFonts w:cs="Times New Roman"/>
              </w:rPr>
            </w:pPr>
            <w:r w:rsidRPr="00B76053">
              <w:rPr>
                <w:rFonts w:cs="Times New Roman"/>
              </w:rPr>
              <w:t>Total equity</w:t>
            </w:r>
          </w:p>
        </w:tc>
        <w:tc>
          <w:tcPr>
            <w:tcW w:w="3843" w:type="dxa"/>
          </w:tcPr>
          <w:p w14:paraId="31112347" w14:textId="77777777" w:rsidR="006046D2" w:rsidRPr="00B76053" w:rsidRDefault="00B04762">
            <w:pPr>
              <w:rPr>
                <w:rFonts w:cs="Times New Roman"/>
              </w:rPr>
            </w:pPr>
            <w:r w:rsidRPr="00B76053">
              <w:rPr>
                <w:rFonts w:cs="Times New Roman"/>
              </w:rPr>
              <w:t>Common equity attributable to the parent.</w:t>
            </w:r>
          </w:p>
        </w:tc>
        <w:tc>
          <w:tcPr>
            <w:tcW w:w="1080" w:type="dxa"/>
          </w:tcPr>
          <w:p w14:paraId="79831BE7" w14:textId="77777777" w:rsidR="006046D2" w:rsidRPr="00B76053" w:rsidRDefault="00B04762">
            <w:pPr>
              <w:rPr>
                <w:rFonts w:cs="Times New Roman"/>
              </w:rPr>
            </w:pPr>
            <w:r w:rsidRPr="00B76053">
              <w:rPr>
                <w:rFonts w:cs="Times New Roman"/>
              </w:rPr>
              <w:t>USD millions</w:t>
            </w:r>
          </w:p>
        </w:tc>
        <w:tc>
          <w:tcPr>
            <w:tcW w:w="2708" w:type="dxa"/>
          </w:tcPr>
          <w:p w14:paraId="35D26734" w14:textId="77777777" w:rsidR="006046D2" w:rsidRPr="00B76053" w:rsidRDefault="00B04762">
            <w:pPr>
              <w:rPr>
                <w:rFonts w:cs="Times New Roman"/>
              </w:rPr>
            </w:pPr>
            <w:r w:rsidRPr="00B76053">
              <w:rPr>
                <w:rFonts w:cs="Times New Roman"/>
              </w:rPr>
              <w:t>10-K / S-1; Consolidated Balance Sheet.</w:t>
            </w:r>
          </w:p>
        </w:tc>
      </w:tr>
      <w:tr w:rsidR="006046D2" w:rsidRPr="00B76053" w14:paraId="13D5A54E" w14:textId="77777777" w:rsidTr="000B15D0">
        <w:tc>
          <w:tcPr>
            <w:tcW w:w="558" w:type="dxa"/>
          </w:tcPr>
          <w:p w14:paraId="70026FD9" w14:textId="77777777" w:rsidR="006046D2" w:rsidRPr="00B76053" w:rsidRDefault="00B04762">
            <w:pPr>
              <w:rPr>
                <w:rFonts w:cs="Times New Roman"/>
              </w:rPr>
            </w:pPr>
            <w:r w:rsidRPr="00B76053">
              <w:rPr>
                <w:rFonts w:cs="Times New Roman"/>
              </w:rPr>
              <w:t>7</w:t>
            </w:r>
          </w:p>
        </w:tc>
        <w:tc>
          <w:tcPr>
            <w:tcW w:w="1287" w:type="dxa"/>
          </w:tcPr>
          <w:p w14:paraId="2889D530" w14:textId="77777777" w:rsidR="006046D2" w:rsidRPr="00B76053" w:rsidRDefault="00B04762">
            <w:pPr>
              <w:rPr>
                <w:rFonts w:cs="Times New Roman"/>
              </w:rPr>
            </w:pPr>
            <w:r w:rsidRPr="00B76053">
              <w:rPr>
                <w:rFonts w:cs="Times New Roman"/>
              </w:rPr>
              <w:t>Headcount</w:t>
            </w:r>
          </w:p>
        </w:tc>
        <w:tc>
          <w:tcPr>
            <w:tcW w:w="3843" w:type="dxa"/>
          </w:tcPr>
          <w:p w14:paraId="4AC467EE" w14:textId="77777777" w:rsidR="006046D2" w:rsidRPr="00B76053" w:rsidRDefault="00B04762">
            <w:pPr>
              <w:rPr>
                <w:rFonts w:cs="Times New Roman"/>
              </w:rPr>
            </w:pPr>
            <w:r w:rsidRPr="00B76053">
              <w:rPr>
                <w:rFonts w:cs="Times New Roman"/>
              </w:rPr>
              <w:t>Full-time-equivalent employees as disclosed in Item 1 (Human Capital) of the 10-K.</w:t>
            </w:r>
          </w:p>
        </w:tc>
        <w:tc>
          <w:tcPr>
            <w:tcW w:w="1080" w:type="dxa"/>
          </w:tcPr>
          <w:p w14:paraId="6BD3F8F7" w14:textId="77777777" w:rsidR="006046D2" w:rsidRPr="00B76053" w:rsidRDefault="00B04762">
            <w:pPr>
              <w:rPr>
                <w:rFonts w:cs="Times New Roman"/>
              </w:rPr>
            </w:pPr>
            <w:r w:rsidRPr="00B76053">
              <w:rPr>
                <w:rFonts w:cs="Times New Roman"/>
              </w:rPr>
              <w:t>FTE</w:t>
            </w:r>
          </w:p>
        </w:tc>
        <w:tc>
          <w:tcPr>
            <w:tcW w:w="2708" w:type="dxa"/>
          </w:tcPr>
          <w:p w14:paraId="3E02FDF6" w14:textId="77777777" w:rsidR="006046D2" w:rsidRPr="00B76053" w:rsidRDefault="00B04762">
            <w:pPr>
              <w:rPr>
                <w:rFonts w:cs="Times New Roman"/>
              </w:rPr>
            </w:pPr>
            <w:r w:rsidRPr="00B76053">
              <w:rPr>
                <w:rFonts w:cs="Times New Roman"/>
              </w:rPr>
              <w:t>10-K Item 1; Better S-1 narrative for FY 2021.</w:t>
            </w:r>
          </w:p>
        </w:tc>
      </w:tr>
      <w:tr w:rsidR="006046D2" w:rsidRPr="00B76053" w14:paraId="56E6C7EC" w14:textId="77777777" w:rsidTr="000B15D0">
        <w:tc>
          <w:tcPr>
            <w:tcW w:w="558" w:type="dxa"/>
          </w:tcPr>
          <w:p w14:paraId="06335A23" w14:textId="77777777" w:rsidR="006046D2" w:rsidRPr="00B76053" w:rsidRDefault="00B04762">
            <w:pPr>
              <w:rPr>
                <w:rFonts w:cs="Times New Roman"/>
              </w:rPr>
            </w:pPr>
            <w:r w:rsidRPr="00B76053">
              <w:rPr>
                <w:rFonts w:cs="Times New Roman"/>
              </w:rPr>
              <w:t>8</w:t>
            </w:r>
          </w:p>
        </w:tc>
        <w:tc>
          <w:tcPr>
            <w:tcW w:w="1287" w:type="dxa"/>
          </w:tcPr>
          <w:p w14:paraId="7B15980D" w14:textId="77777777" w:rsidR="006046D2" w:rsidRPr="00B76053" w:rsidRDefault="00B04762">
            <w:pPr>
              <w:rPr>
                <w:rFonts w:cs="Times New Roman"/>
              </w:rPr>
            </w:pPr>
            <w:r w:rsidRPr="00B76053">
              <w:rPr>
                <w:rFonts w:cs="Times New Roman"/>
              </w:rPr>
              <w:t>Expense ratio</w:t>
            </w:r>
          </w:p>
        </w:tc>
        <w:tc>
          <w:tcPr>
            <w:tcW w:w="3843" w:type="dxa"/>
          </w:tcPr>
          <w:p w14:paraId="0677126D" w14:textId="77777777" w:rsidR="006046D2" w:rsidRPr="00B76053" w:rsidRDefault="00B04762">
            <w:pPr>
              <w:rPr>
                <w:rFonts w:cs="Times New Roman"/>
              </w:rPr>
            </w:pPr>
            <w:r w:rsidRPr="00B76053">
              <w:rPr>
                <w:rFonts w:cs="Times New Roman"/>
              </w:rPr>
              <w:t>Ratio of total expenses to total revenue.</w:t>
            </w:r>
          </w:p>
        </w:tc>
        <w:tc>
          <w:tcPr>
            <w:tcW w:w="1080" w:type="dxa"/>
          </w:tcPr>
          <w:p w14:paraId="210AA210" w14:textId="77777777" w:rsidR="006046D2" w:rsidRPr="00B76053" w:rsidRDefault="00B04762">
            <w:pPr>
              <w:rPr>
                <w:rFonts w:cs="Times New Roman"/>
              </w:rPr>
            </w:pPr>
            <w:r w:rsidRPr="00B76053">
              <w:rPr>
                <w:rFonts w:cs="Times New Roman"/>
              </w:rPr>
              <w:t>ratio</w:t>
            </w:r>
          </w:p>
        </w:tc>
        <w:tc>
          <w:tcPr>
            <w:tcW w:w="2708" w:type="dxa"/>
          </w:tcPr>
          <w:p w14:paraId="2FF7F7B6" w14:textId="77777777" w:rsidR="006046D2" w:rsidRPr="00B76053" w:rsidRDefault="00B04762">
            <w:pPr>
              <w:rPr>
                <w:rFonts w:cs="Times New Roman"/>
              </w:rPr>
            </w:pPr>
            <w:r w:rsidRPr="00B76053">
              <w:rPr>
                <w:rFonts w:cs="Times New Roman"/>
              </w:rPr>
              <w:t>Computed: Total expenses / Revenue.</w:t>
            </w:r>
          </w:p>
        </w:tc>
      </w:tr>
      <w:tr w:rsidR="006046D2" w:rsidRPr="00B76053" w14:paraId="1C442325" w14:textId="77777777" w:rsidTr="000B15D0">
        <w:tc>
          <w:tcPr>
            <w:tcW w:w="558" w:type="dxa"/>
          </w:tcPr>
          <w:p w14:paraId="6E909B86" w14:textId="77777777" w:rsidR="006046D2" w:rsidRPr="00B76053" w:rsidRDefault="00B04762">
            <w:pPr>
              <w:rPr>
                <w:rFonts w:cs="Times New Roman"/>
              </w:rPr>
            </w:pPr>
            <w:r w:rsidRPr="00B76053">
              <w:rPr>
                <w:rFonts w:cs="Times New Roman"/>
              </w:rPr>
              <w:t>9</w:t>
            </w:r>
          </w:p>
        </w:tc>
        <w:tc>
          <w:tcPr>
            <w:tcW w:w="1287" w:type="dxa"/>
          </w:tcPr>
          <w:p w14:paraId="3CAB4802" w14:textId="77777777" w:rsidR="006046D2" w:rsidRPr="00B76053" w:rsidRDefault="00B04762">
            <w:pPr>
              <w:rPr>
                <w:rFonts w:cs="Times New Roman"/>
              </w:rPr>
            </w:pPr>
            <w:r w:rsidRPr="00B76053">
              <w:rPr>
                <w:rFonts w:cs="Times New Roman"/>
              </w:rPr>
              <w:t>Revenue per employee (RPE)</w:t>
            </w:r>
          </w:p>
        </w:tc>
        <w:tc>
          <w:tcPr>
            <w:tcW w:w="3843" w:type="dxa"/>
          </w:tcPr>
          <w:p w14:paraId="11F656F6" w14:textId="77777777" w:rsidR="006046D2" w:rsidRPr="00B76053" w:rsidRDefault="00B04762">
            <w:pPr>
              <w:rPr>
                <w:rFonts w:cs="Times New Roman"/>
              </w:rPr>
            </w:pPr>
            <w:r w:rsidRPr="00B76053">
              <w:rPr>
                <w:rFonts w:cs="Times New Roman"/>
              </w:rPr>
              <w:t>Total revenue divided by headcount.</w:t>
            </w:r>
          </w:p>
        </w:tc>
        <w:tc>
          <w:tcPr>
            <w:tcW w:w="1080" w:type="dxa"/>
          </w:tcPr>
          <w:p w14:paraId="3272D3DD" w14:textId="77777777" w:rsidR="006046D2" w:rsidRPr="00B76053" w:rsidRDefault="00B04762">
            <w:pPr>
              <w:rPr>
                <w:rFonts w:cs="Times New Roman"/>
              </w:rPr>
            </w:pPr>
            <w:r w:rsidRPr="00B76053">
              <w:rPr>
                <w:rFonts w:cs="Times New Roman"/>
              </w:rPr>
              <w:t>USD millions / FTE</w:t>
            </w:r>
          </w:p>
        </w:tc>
        <w:tc>
          <w:tcPr>
            <w:tcW w:w="2708" w:type="dxa"/>
          </w:tcPr>
          <w:p w14:paraId="7A369D79" w14:textId="77777777" w:rsidR="006046D2" w:rsidRPr="00B76053" w:rsidRDefault="00B04762">
            <w:pPr>
              <w:rPr>
                <w:rFonts w:cs="Times New Roman"/>
              </w:rPr>
            </w:pPr>
            <w:r w:rsidRPr="00B76053">
              <w:rPr>
                <w:rFonts w:cs="Times New Roman"/>
              </w:rPr>
              <w:t>Computed: Revenue / Headcount.</w:t>
            </w:r>
          </w:p>
        </w:tc>
      </w:tr>
      <w:tr w:rsidR="006046D2" w:rsidRPr="00B76053" w14:paraId="7EC5DF20" w14:textId="77777777" w:rsidTr="000B15D0">
        <w:tc>
          <w:tcPr>
            <w:tcW w:w="558" w:type="dxa"/>
          </w:tcPr>
          <w:p w14:paraId="7D050367" w14:textId="77777777" w:rsidR="006046D2" w:rsidRPr="00B76053" w:rsidRDefault="00B04762">
            <w:pPr>
              <w:rPr>
                <w:rFonts w:cs="Times New Roman"/>
              </w:rPr>
            </w:pPr>
            <w:r w:rsidRPr="00B76053">
              <w:rPr>
                <w:rFonts w:cs="Times New Roman"/>
              </w:rPr>
              <w:t>10</w:t>
            </w:r>
          </w:p>
        </w:tc>
        <w:tc>
          <w:tcPr>
            <w:tcW w:w="1287" w:type="dxa"/>
          </w:tcPr>
          <w:p w14:paraId="446072C4" w14:textId="77777777" w:rsidR="006046D2" w:rsidRPr="00B76053" w:rsidRDefault="00B04762">
            <w:pPr>
              <w:rPr>
                <w:rFonts w:cs="Times New Roman"/>
              </w:rPr>
            </w:pPr>
            <w:r w:rsidRPr="00B76053">
              <w:rPr>
                <w:rFonts w:cs="Times New Roman"/>
              </w:rPr>
              <w:t>Cost-to-Originate (CTO)</w:t>
            </w:r>
          </w:p>
        </w:tc>
        <w:tc>
          <w:tcPr>
            <w:tcW w:w="3843" w:type="dxa"/>
          </w:tcPr>
          <w:p w14:paraId="431F95DB" w14:textId="77777777" w:rsidR="006046D2" w:rsidRPr="00B76053" w:rsidRDefault="00B04762">
            <w:pPr>
              <w:rPr>
                <w:rFonts w:cs="Times New Roman"/>
              </w:rPr>
            </w:pPr>
            <w:r w:rsidRPr="00B76053">
              <w:rPr>
                <w:rFonts w:cs="Times New Roman"/>
              </w:rPr>
              <w:t>Author-constructed proxy: total expenses divided by funded loans, used only as a directional indicator alongside the Mortgage Bankers Association industry benchmark.</w:t>
            </w:r>
          </w:p>
        </w:tc>
        <w:tc>
          <w:tcPr>
            <w:tcW w:w="1080" w:type="dxa"/>
          </w:tcPr>
          <w:p w14:paraId="2DC4C56E" w14:textId="77777777" w:rsidR="006046D2" w:rsidRPr="00B76053" w:rsidRDefault="00B04762">
            <w:pPr>
              <w:rPr>
                <w:rFonts w:cs="Times New Roman"/>
              </w:rPr>
            </w:pPr>
            <w:r w:rsidRPr="00B76053">
              <w:rPr>
                <w:rFonts w:cs="Times New Roman"/>
              </w:rPr>
              <w:t>USD per loan</w:t>
            </w:r>
          </w:p>
        </w:tc>
        <w:tc>
          <w:tcPr>
            <w:tcW w:w="2708" w:type="dxa"/>
          </w:tcPr>
          <w:p w14:paraId="70D6E2C0" w14:textId="77777777" w:rsidR="006046D2" w:rsidRPr="00B76053" w:rsidRDefault="00B04762">
            <w:pPr>
              <w:rPr>
                <w:rFonts w:cs="Times New Roman"/>
              </w:rPr>
            </w:pPr>
            <w:r w:rsidRPr="00B76053">
              <w:rPr>
                <w:rFonts w:cs="Times New Roman"/>
              </w:rPr>
              <w:t xml:space="preserve">Author-constructed (not an audited </w:t>
            </w:r>
            <w:proofErr w:type="gramStart"/>
            <w:r w:rsidRPr="00B76053">
              <w:rPr>
                <w:rFonts w:cs="Times New Roman"/>
              </w:rPr>
              <w:t>Better</w:t>
            </w:r>
            <w:proofErr w:type="gramEnd"/>
            <w:r w:rsidRPr="00B76053">
              <w:rPr>
                <w:rFonts w:cs="Times New Roman"/>
              </w:rPr>
              <w:t xml:space="preserve"> disclosure).</w:t>
            </w:r>
          </w:p>
        </w:tc>
      </w:tr>
    </w:tbl>
    <w:p w14:paraId="080DC6BD" w14:textId="77777777" w:rsidR="006046D2" w:rsidRPr="00B76053" w:rsidRDefault="00B04762">
      <w:pPr>
        <w:pStyle w:val="Heading2"/>
        <w:rPr>
          <w:rFonts w:cs="Times New Roman"/>
        </w:rPr>
      </w:pPr>
      <w:bookmarkStart w:id="117" w:name="_Toc229755384"/>
      <w:r w:rsidRPr="00B76053">
        <w:rPr>
          <w:rFonts w:cs="Times New Roman"/>
        </w:rPr>
        <w:t>A.3 Annual Observations</w:t>
      </w:r>
      <w:bookmarkEnd w:id="117"/>
    </w:p>
    <w:p w14:paraId="138DFABC" w14:textId="77777777" w:rsidR="006046D2" w:rsidRPr="00B76053" w:rsidRDefault="00B04762">
      <w:pPr>
        <w:pStyle w:val="Caption"/>
        <w:rPr>
          <w:rFonts w:cs="Times New Roman"/>
        </w:rPr>
      </w:pPr>
      <w:r w:rsidRPr="00B76053">
        <w:rPr>
          <w:rFonts w:cs="Times New Roman"/>
        </w:rPr>
        <w:t>Table A.2. Audited annual observations for Better Home &amp; Finance Holding Company (formerly Better HoldCo, Inc.) and Rocket Companies, Inc. Sources: Better Home &amp; Finance Holding Company (2024b, 2025a, 2026); Rocket Companies (2024, 2025); Better HoldCo, Inc. (2023). All figures rounded to the disclosed precision in the underlying 10-K filings.</w:t>
      </w:r>
    </w:p>
    <w:tbl>
      <w:tblPr>
        <w:tblStyle w:val="TableGrid"/>
        <w:tblW w:w="0" w:type="auto"/>
        <w:tblLayout w:type="fixed"/>
        <w:tblLook w:val="04A0" w:firstRow="1" w:lastRow="0" w:firstColumn="1" w:lastColumn="0" w:noHBand="0" w:noVBand="1"/>
      </w:tblPr>
      <w:tblGrid>
        <w:gridCol w:w="2184"/>
        <w:gridCol w:w="804"/>
        <w:gridCol w:w="1260"/>
        <w:gridCol w:w="1170"/>
        <w:gridCol w:w="1260"/>
        <w:gridCol w:w="876"/>
        <w:gridCol w:w="1039"/>
        <w:gridCol w:w="983"/>
      </w:tblGrid>
      <w:tr w:rsidR="000B15D0" w:rsidRPr="00B76053" w14:paraId="059AF8D4" w14:textId="77777777" w:rsidTr="000B15D0">
        <w:tc>
          <w:tcPr>
            <w:tcW w:w="2184" w:type="dxa"/>
          </w:tcPr>
          <w:p w14:paraId="48D8A901" w14:textId="77777777" w:rsidR="006046D2" w:rsidRPr="00B76053" w:rsidRDefault="00B04762">
            <w:pPr>
              <w:rPr>
                <w:rFonts w:cs="Times New Roman"/>
              </w:rPr>
            </w:pPr>
            <w:r w:rsidRPr="00B76053">
              <w:rPr>
                <w:rFonts w:cs="Times New Roman"/>
                <w:b/>
              </w:rPr>
              <w:t>Firm</w:t>
            </w:r>
          </w:p>
        </w:tc>
        <w:tc>
          <w:tcPr>
            <w:tcW w:w="804" w:type="dxa"/>
          </w:tcPr>
          <w:p w14:paraId="3AD879BC" w14:textId="77777777" w:rsidR="006046D2" w:rsidRPr="00B76053" w:rsidRDefault="00B04762">
            <w:pPr>
              <w:rPr>
                <w:rFonts w:cs="Times New Roman"/>
              </w:rPr>
            </w:pPr>
            <w:r w:rsidRPr="00B76053">
              <w:rPr>
                <w:rFonts w:cs="Times New Roman"/>
                <w:b/>
              </w:rPr>
              <w:t>FY</w:t>
            </w:r>
          </w:p>
        </w:tc>
        <w:tc>
          <w:tcPr>
            <w:tcW w:w="1260" w:type="dxa"/>
          </w:tcPr>
          <w:p w14:paraId="1DC2EA21" w14:textId="77777777" w:rsidR="006046D2" w:rsidRPr="00B76053" w:rsidRDefault="00B04762">
            <w:pPr>
              <w:rPr>
                <w:rFonts w:cs="Times New Roman"/>
              </w:rPr>
            </w:pPr>
            <w:r w:rsidRPr="00B76053">
              <w:rPr>
                <w:rFonts w:cs="Times New Roman"/>
                <w:b/>
              </w:rPr>
              <w:t>Revenue (USDm)</w:t>
            </w:r>
          </w:p>
        </w:tc>
        <w:tc>
          <w:tcPr>
            <w:tcW w:w="1170" w:type="dxa"/>
          </w:tcPr>
          <w:p w14:paraId="599CBCBE" w14:textId="77777777" w:rsidR="006046D2" w:rsidRPr="00B76053" w:rsidRDefault="00B04762">
            <w:pPr>
              <w:rPr>
                <w:rFonts w:cs="Times New Roman"/>
              </w:rPr>
            </w:pPr>
            <w:r w:rsidRPr="00B76053">
              <w:rPr>
                <w:rFonts w:cs="Times New Roman"/>
                <w:b/>
              </w:rPr>
              <w:t>Total expenses (USDm)</w:t>
            </w:r>
          </w:p>
        </w:tc>
        <w:tc>
          <w:tcPr>
            <w:tcW w:w="1260" w:type="dxa"/>
          </w:tcPr>
          <w:p w14:paraId="6D01AD2C" w14:textId="77777777" w:rsidR="006046D2" w:rsidRPr="00B76053" w:rsidRDefault="00B04762">
            <w:pPr>
              <w:rPr>
                <w:rFonts w:cs="Times New Roman"/>
              </w:rPr>
            </w:pPr>
            <w:r w:rsidRPr="00B76053">
              <w:rPr>
                <w:rFonts w:cs="Times New Roman"/>
                <w:b/>
              </w:rPr>
              <w:t>Net income / (loss) (USDm)</w:t>
            </w:r>
          </w:p>
        </w:tc>
        <w:tc>
          <w:tcPr>
            <w:tcW w:w="876" w:type="dxa"/>
          </w:tcPr>
          <w:p w14:paraId="745D5D41" w14:textId="77777777" w:rsidR="000B15D0" w:rsidRPr="00B76053" w:rsidRDefault="00B04762">
            <w:pPr>
              <w:rPr>
                <w:rFonts w:cs="Times New Roman"/>
                <w:b/>
              </w:rPr>
            </w:pPr>
            <w:r w:rsidRPr="00B76053">
              <w:rPr>
                <w:rFonts w:cs="Times New Roman"/>
                <w:b/>
              </w:rPr>
              <w:t>Head</w:t>
            </w:r>
          </w:p>
          <w:p w14:paraId="3CCF7296" w14:textId="77777777" w:rsidR="006046D2" w:rsidRPr="00B76053" w:rsidRDefault="00B04762">
            <w:pPr>
              <w:rPr>
                <w:rFonts w:cs="Times New Roman"/>
              </w:rPr>
            </w:pPr>
            <w:r w:rsidRPr="00B76053">
              <w:rPr>
                <w:rFonts w:cs="Times New Roman"/>
                <w:b/>
              </w:rPr>
              <w:t>count</w:t>
            </w:r>
          </w:p>
        </w:tc>
        <w:tc>
          <w:tcPr>
            <w:tcW w:w="1039" w:type="dxa"/>
          </w:tcPr>
          <w:p w14:paraId="7D6BB496" w14:textId="77777777" w:rsidR="006046D2" w:rsidRPr="00B76053" w:rsidRDefault="00B04762">
            <w:pPr>
              <w:rPr>
                <w:rFonts w:cs="Times New Roman"/>
              </w:rPr>
            </w:pPr>
            <w:r w:rsidRPr="00B76053">
              <w:rPr>
                <w:rFonts w:cs="Times New Roman"/>
                <w:b/>
              </w:rPr>
              <w:t>Expense ratio</w:t>
            </w:r>
          </w:p>
        </w:tc>
        <w:tc>
          <w:tcPr>
            <w:tcW w:w="983" w:type="dxa"/>
          </w:tcPr>
          <w:p w14:paraId="27FBE55D" w14:textId="77777777" w:rsidR="006046D2" w:rsidRPr="00B76053" w:rsidRDefault="00B04762">
            <w:pPr>
              <w:rPr>
                <w:rFonts w:cs="Times New Roman"/>
              </w:rPr>
            </w:pPr>
            <w:r w:rsidRPr="00B76053">
              <w:rPr>
                <w:rFonts w:cs="Times New Roman"/>
                <w:b/>
              </w:rPr>
              <w:t>RPE (USDm)</w:t>
            </w:r>
          </w:p>
        </w:tc>
      </w:tr>
      <w:tr w:rsidR="000B15D0" w:rsidRPr="00B76053" w14:paraId="6FDE8963" w14:textId="77777777" w:rsidTr="000B15D0">
        <w:tc>
          <w:tcPr>
            <w:tcW w:w="2184" w:type="dxa"/>
          </w:tcPr>
          <w:p w14:paraId="2548A0E7" w14:textId="77777777" w:rsidR="006046D2" w:rsidRPr="00B76053" w:rsidRDefault="00B04762">
            <w:pPr>
              <w:rPr>
                <w:rFonts w:cs="Times New Roman"/>
              </w:rPr>
            </w:pPr>
            <w:r w:rsidRPr="00B76053">
              <w:rPr>
                <w:rFonts w:cs="Times New Roman"/>
              </w:rPr>
              <w:lastRenderedPageBreak/>
              <w:t>Better Home &amp; Finance Holding Company</w:t>
            </w:r>
          </w:p>
        </w:tc>
        <w:tc>
          <w:tcPr>
            <w:tcW w:w="804" w:type="dxa"/>
          </w:tcPr>
          <w:p w14:paraId="6E51871F" w14:textId="77777777" w:rsidR="006046D2" w:rsidRPr="00B76053" w:rsidRDefault="00B04762">
            <w:pPr>
              <w:rPr>
                <w:rFonts w:cs="Times New Roman"/>
              </w:rPr>
            </w:pPr>
            <w:r w:rsidRPr="00B76053">
              <w:rPr>
                <w:rFonts w:cs="Times New Roman"/>
              </w:rPr>
              <w:t>2021</w:t>
            </w:r>
          </w:p>
        </w:tc>
        <w:tc>
          <w:tcPr>
            <w:tcW w:w="1260" w:type="dxa"/>
          </w:tcPr>
          <w:p w14:paraId="48B99BDC" w14:textId="77777777" w:rsidR="006046D2" w:rsidRPr="00B76053" w:rsidRDefault="00B04762">
            <w:pPr>
              <w:rPr>
                <w:rFonts w:cs="Times New Roman"/>
              </w:rPr>
            </w:pPr>
            <w:r w:rsidRPr="00B76053">
              <w:rPr>
                <w:rFonts w:cs="Times New Roman"/>
              </w:rPr>
              <w:t>1,200.0</w:t>
            </w:r>
          </w:p>
        </w:tc>
        <w:tc>
          <w:tcPr>
            <w:tcW w:w="1170" w:type="dxa"/>
          </w:tcPr>
          <w:p w14:paraId="139D1A78" w14:textId="77777777" w:rsidR="006046D2" w:rsidRPr="00B76053" w:rsidRDefault="00B04762">
            <w:pPr>
              <w:rPr>
                <w:rFonts w:cs="Times New Roman"/>
              </w:rPr>
            </w:pPr>
            <w:r w:rsidRPr="00B76053">
              <w:rPr>
                <w:rFonts w:cs="Times New Roman"/>
              </w:rPr>
              <w:t>1,501.3</w:t>
            </w:r>
          </w:p>
        </w:tc>
        <w:tc>
          <w:tcPr>
            <w:tcW w:w="1260" w:type="dxa"/>
          </w:tcPr>
          <w:p w14:paraId="0D0D3561" w14:textId="77777777" w:rsidR="006046D2" w:rsidRPr="00B76053" w:rsidRDefault="00B04762">
            <w:pPr>
              <w:rPr>
                <w:rFonts w:cs="Times New Roman"/>
              </w:rPr>
            </w:pPr>
            <w:r w:rsidRPr="00B76053">
              <w:rPr>
                <w:rFonts w:cs="Times New Roman"/>
              </w:rPr>
              <w:t>(301.3)</w:t>
            </w:r>
          </w:p>
        </w:tc>
        <w:tc>
          <w:tcPr>
            <w:tcW w:w="876" w:type="dxa"/>
          </w:tcPr>
          <w:p w14:paraId="4EC57E2A" w14:textId="77777777" w:rsidR="006046D2" w:rsidRPr="00B76053" w:rsidRDefault="00B04762">
            <w:pPr>
              <w:rPr>
                <w:rFonts w:cs="Times New Roman"/>
              </w:rPr>
            </w:pPr>
            <w:r w:rsidRPr="00B76053">
              <w:rPr>
                <w:rFonts w:cs="Times New Roman"/>
              </w:rPr>
              <w:t>10,400</w:t>
            </w:r>
          </w:p>
        </w:tc>
        <w:tc>
          <w:tcPr>
            <w:tcW w:w="1039" w:type="dxa"/>
          </w:tcPr>
          <w:p w14:paraId="0985E661" w14:textId="77777777" w:rsidR="006046D2" w:rsidRPr="00B76053" w:rsidRDefault="00B04762">
            <w:pPr>
              <w:rPr>
                <w:rFonts w:cs="Times New Roman"/>
              </w:rPr>
            </w:pPr>
            <w:r w:rsidRPr="00B76053">
              <w:rPr>
                <w:rFonts w:cs="Times New Roman"/>
              </w:rPr>
              <w:t>1.251</w:t>
            </w:r>
          </w:p>
        </w:tc>
        <w:tc>
          <w:tcPr>
            <w:tcW w:w="983" w:type="dxa"/>
          </w:tcPr>
          <w:p w14:paraId="70E3D7E6" w14:textId="77777777" w:rsidR="006046D2" w:rsidRPr="00B76053" w:rsidRDefault="00B04762">
            <w:pPr>
              <w:rPr>
                <w:rFonts w:cs="Times New Roman"/>
              </w:rPr>
            </w:pPr>
            <w:r w:rsidRPr="00B76053">
              <w:rPr>
                <w:rFonts w:cs="Times New Roman"/>
              </w:rPr>
              <w:t>0.115</w:t>
            </w:r>
          </w:p>
        </w:tc>
      </w:tr>
      <w:tr w:rsidR="000B15D0" w:rsidRPr="00B76053" w14:paraId="11085450" w14:textId="77777777" w:rsidTr="000B15D0">
        <w:tc>
          <w:tcPr>
            <w:tcW w:w="2184" w:type="dxa"/>
          </w:tcPr>
          <w:p w14:paraId="47499E77" w14:textId="77777777" w:rsidR="006046D2" w:rsidRPr="00B76053" w:rsidRDefault="00B04762">
            <w:pPr>
              <w:rPr>
                <w:rFonts w:cs="Times New Roman"/>
              </w:rPr>
            </w:pPr>
            <w:r w:rsidRPr="00B76053">
              <w:rPr>
                <w:rFonts w:cs="Times New Roman"/>
              </w:rPr>
              <w:t>Better Home &amp; Finance Holding Company</w:t>
            </w:r>
          </w:p>
        </w:tc>
        <w:tc>
          <w:tcPr>
            <w:tcW w:w="804" w:type="dxa"/>
          </w:tcPr>
          <w:p w14:paraId="6E510CAD" w14:textId="77777777" w:rsidR="006046D2" w:rsidRPr="00B76053" w:rsidRDefault="00B04762">
            <w:pPr>
              <w:rPr>
                <w:rFonts w:cs="Times New Roman"/>
              </w:rPr>
            </w:pPr>
            <w:r w:rsidRPr="00B76053">
              <w:rPr>
                <w:rFonts w:cs="Times New Roman"/>
              </w:rPr>
              <w:t>2022</w:t>
            </w:r>
          </w:p>
        </w:tc>
        <w:tc>
          <w:tcPr>
            <w:tcW w:w="1260" w:type="dxa"/>
          </w:tcPr>
          <w:p w14:paraId="366033B2" w14:textId="77777777" w:rsidR="006046D2" w:rsidRPr="00B76053" w:rsidRDefault="00B04762">
            <w:pPr>
              <w:rPr>
                <w:rFonts w:cs="Times New Roman"/>
              </w:rPr>
            </w:pPr>
            <w:r w:rsidRPr="00B76053">
              <w:rPr>
                <w:rFonts w:cs="Times New Roman"/>
              </w:rPr>
              <w:t>378.0</w:t>
            </w:r>
          </w:p>
        </w:tc>
        <w:tc>
          <w:tcPr>
            <w:tcW w:w="1170" w:type="dxa"/>
          </w:tcPr>
          <w:p w14:paraId="23AC0E67" w14:textId="77777777" w:rsidR="006046D2" w:rsidRPr="00B76053" w:rsidRDefault="00B04762">
            <w:pPr>
              <w:rPr>
                <w:rFonts w:cs="Times New Roman"/>
              </w:rPr>
            </w:pPr>
            <w:r w:rsidRPr="00B76053">
              <w:rPr>
                <w:rFonts w:cs="Times New Roman"/>
              </w:rPr>
              <w:t>1,236.9</w:t>
            </w:r>
          </w:p>
        </w:tc>
        <w:tc>
          <w:tcPr>
            <w:tcW w:w="1260" w:type="dxa"/>
          </w:tcPr>
          <w:p w14:paraId="1AB15DFC" w14:textId="77777777" w:rsidR="006046D2" w:rsidRPr="00B76053" w:rsidRDefault="00B04762">
            <w:pPr>
              <w:rPr>
                <w:rFonts w:cs="Times New Roman"/>
              </w:rPr>
            </w:pPr>
            <w:r w:rsidRPr="00B76053">
              <w:rPr>
                <w:rFonts w:cs="Times New Roman"/>
              </w:rPr>
              <w:t>(877.1)</w:t>
            </w:r>
          </w:p>
        </w:tc>
        <w:tc>
          <w:tcPr>
            <w:tcW w:w="876" w:type="dxa"/>
          </w:tcPr>
          <w:p w14:paraId="216F5AD9" w14:textId="77777777" w:rsidR="006046D2" w:rsidRPr="00B76053" w:rsidRDefault="00B04762">
            <w:pPr>
              <w:rPr>
                <w:rFonts w:cs="Times New Roman"/>
              </w:rPr>
            </w:pPr>
            <w:r w:rsidRPr="00B76053">
              <w:rPr>
                <w:rFonts w:cs="Times New Roman"/>
              </w:rPr>
              <w:t>2,100</w:t>
            </w:r>
          </w:p>
        </w:tc>
        <w:tc>
          <w:tcPr>
            <w:tcW w:w="1039" w:type="dxa"/>
          </w:tcPr>
          <w:p w14:paraId="47FD098D" w14:textId="77777777" w:rsidR="006046D2" w:rsidRPr="00B76053" w:rsidRDefault="00B04762">
            <w:pPr>
              <w:rPr>
                <w:rFonts w:cs="Times New Roman"/>
              </w:rPr>
            </w:pPr>
            <w:r w:rsidRPr="00B76053">
              <w:rPr>
                <w:rFonts w:cs="Times New Roman"/>
              </w:rPr>
              <w:t>3.272</w:t>
            </w:r>
          </w:p>
        </w:tc>
        <w:tc>
          <w:tcPr>
            <w:tcW w:w="983" w:type="dxa"/>
          </w:tcPr>
          <w:p w14:paraId="51645471" w14:textId="77777777" w:rsidR="006046D2" w:rsidRPr="00B76053" w:rsidRDefault="00B04762">
            <w:pPr>
              <w:rPr>
                <w:rFonts w:cs="Times New Roman"/>
              </w:rPr>
            </w:pPr>
            <w:r w:rsidRPr="00B76053">
              <w:rPr>
                <w:rFonts w:cs="Times New Roman"/>
              </w:rPr>
              <w:t>0.180</w:t>
            </w:r>
          </w:p>
        </w:tc>
      </w:tr>
      <w:tr w:rsidR="000B15D0" w:rsidRPr="00B76053" w14:paraId="14E101CF" w14:textId="77777777" w:rsidTr="000B15D0">
        <w:tc>
          <w:tcPr>
            <w:tcW w:w="2184" w:type="dxa"/>
          </w:tcPr>
          <w:p w14:paraId="07972BB3" w14:textId="77777777" w:rsidR="006046D2" w:rsidRPr="00B76053" w:rsidRDefault="00B04762">
            <w:pPr>
              <w:rPr>
                <w:rFonts w:cs="Times New Roman"/>
              </w:rPr>
            </w:pPr>
            <w:r w:rsidRPr="00B76053">
              <w:rPr>
                <w:rFonts w:cs="Times New Roman"/>
              </w:rPr>
              <w:t>Better Home &amp; Finance Holding Company</w:t>
            </w:r>
          </w:p>
        </w:tc>
        <w:tc>
          <w:tcPr>
            <w:tcW w:w="804" w:type="dxa"/>
          </w:tcPr>
          <w:p w14:paraId="4D743311" w14:textId="77777777" w:rsidR="006046D2" w:rsidRPr="00B76053" w:rsidRDefault="00B04762">
            <w:pPr>
              <w:rPr>
                <w:rFonts w:cs="Times New Roman"/>
              </w:rPr>
            </w:pPr>
            <w:r w:rsidRPr="00B76053">
              <w:rPr>
                <w:rFonts w:cs="Times New Roman"/>
              </w:rPr>
              <w:t>2023</w:t>
            </w:r>
          </w:p>
        </w:tc>
        <w:tc>
          <w:tcPr>
            <w:tcW w:w="1260" w:type="dxa"/>
          </w:tcPr>
          <w:p w14:paraId="7DD7E020" w14:textId="77777777" w:rsidR="006046D2" w:rsidRPr="00B76053" w:rsidRDefault="00B04762">
            <w:pPr>
              <w:rPr>
                <w:rFonts w:cs="Times New Roman"/>
              </w:rPr>
            </w:pPr>
            <w:r w:rsidRPr="00B76053">
              <w:rPr>
                <w:rFonts w:cs="Times New Roman"/>
              </w:rPr>
              <w:t>76.8</w:t>
            </w:r>
          </w:p>
        </w:tc>
        <w:tc>
          <w:tcPr>
            <w:tcW w:w="1170" w:type="dxa"/>
          </w:tcPr>
          <w:p w14:paraId="5DBE1A5E" w14:textId="77777777" w:rsidR="006046D2" w:rsidRPr="00B76053" w:rsidRDefault="00B04762">
            <w:pPr>
              <w:rPr>
                <w:rFonts w:cs="Times New Roman"/>
              </w:rPr>
            </w:pPr>
            <w:r w:rsidRPr="00B76053">
              <w:rPr>
                <w:rFonts w:cs="Times New Roman"/>
              </w:rPr>
              <w:t>368.1</w:t>
            </w:r>
          </w:p>
        </w:tc>
        <w:tc>
          <w:tcPr>
            <w:tcW w:w="1260" w:type="dxa"/>
          </w:tcPr>
          <w:p w14:paraId="610673F8" w14:textId="77777777" w:rsidR="006046D2" w:rsidRPr="00B76053" w:rsidRDefault="00B04762">
            <w:pPr>
              <w:rPr>
                <w:rFonts w:cs="Times New Roman"/>
              </w:rPr>
            </w:pPr>
            <w:r w:rsidRPr="00B76053">
              <w:rPr>
                <w:rFonts w:cs="Times New Roman"/>
              </w:rPr>
              <w:t>(536.4)</w:t>
            </w:r>
          </w:p>
        </w:tc>
        <w:tc>
          <w:tcPr>
            <w:tcW w:w="876" w:type="dxa"/>
          </w:tcPr>
          <w:p w14:paraId="4F9BD98B" w14:textId="77777777" w:rsidR="006046D2" w:rsidRPr="00B76053" w:rsidRDefault="00B04762">
            <w:pPr>
              <w:rPr>
                <w:rFonts w:cs="Times New Roman"/>
              </w:rPr>
            </w:pPr>
            <w:r w:rsidRPr="00B76053">
              <w:rPr>
                <w:rFonts w:cs="Times New Roman"/>
              </w:rPr>
              <w:t>820</w:t>
            </w:r>
          </w:p>
        </w:tc>
        <w:tc>
          <w:tcPr>
            <w:tcW w:w="1039" w:type="dxa"/>
          </w:tcPr>
          <w:p w14:paraId="28F58B47" w14:textId="77777777" w:rsidR="006046D2" w:rsidRPr="00B76053" w:rsidRDefault="00B04762">
            <w:pPr>
              <w:rPr>
                <w:rFonts w:cs="Times New Roman"/>
              </w:rPr>
            </w:pPr>
            <w:r w:rsidRPr="00B76053">
              <w:rPr>
                <w:rFonts w:cs="Times New Roman"/>
              </w:rPr>
              <w:t>4.792</w:t>
            </w:r>
          </w:p>
        </w:tc>
        <w:tc>
          <w:tcPr>
            <w:tcW w:w="983" w:type="dxa"/>
          </w:tcPr>
          <w:p w14:paraId="6EECFE34" w14:textId="77777777" w:rsidR="006046D2" w:rsidRPr="00B76053" w:rsidRDefault="00B04762">
            <w:pPr>
              <w:rPr>
                <w:rFonts w:cs="Times New Roman"/>
              </w:rPr>
            </w:pPr>
            <w:r w:rsidRPr="00B76053">
              <w:rPr>
                <w:rFonts w:cs="Times New Roman"/>
              </w:rPr>
              <w:t>0.094</w:t>
            </w:r>
          </w:p>
        </w:tc>
      </w:tr>
      <w:tr w:rsidR="000B15D0" w:rsidRPr="00B76053" w14:paraId="6D67E235" w14:textId="77777777" w:rsidTr="000B15D0">
        <w:tc>
          <w:tcPr>
            <w:tcW w:w="2184" w:type="dxa"/>
          </w:tcPr>
          <w:p w14:paraId="170F31DA" w14:textId="77777777" w:rsidR="006046D2" w:rsidRPr="00B76053" w:rsidRDefault="00B04762">
            <w:pPr>
              <w:rPr>
                <w:rFonts w:cs="Times New Roman"/>
              </w:rPr>
            </w:pPr>
            <w:r w:rsidRPr="00B76053">
              <w:rPr>
                <w:rFonts w:cs="Times New Roman"/>
              </w:rPr>
              <w:t>Better Home &amp; Finance Holding Company</w:t>
            </w:r>
          </w:p>
        </w:tc>
        <w:tc>
          <w:tcPr>
            <w:tcW w:w="804" w:type="dxa"/>
          </w:tcPr>
          <w:p w14:paraId="3CF82EE5" w14:textId="77777777" w:rsidR="006046D2" w:rsidRPr="00B76053" w:rsidRDefault="00B04762">
            <w:pPr>
              <w:rPr>
                <w:rFonts w:cs="Times New Roman"/>
              </w:rPr>
            </w:pPr>
            <w:r w:rsidRPr="00B76053">
              <w:rPr>
                <w:rFonts w:cs="Times New Roman"/>
              </w:rPr>
              <w:t>2024</w:t>
            </w:r>
          </w:p>
        </w:tc>
        <w:tc>
          <w:tcPr>
            <w:tcW w:w="1260" w:type="dxa"/>
          </w:tcPr>
          <w:p w14:paraId="182BD199" w14:textId="77777777" w:rsidR="006046D2" w:rsidRPr="00B76053" w:rsidRDefault="00B04762">
            <w:pPr>
              <w:rPr>
                <w:rFonts w:cs="Times New Roman"/>
              </w:rPr>
            </w:pPr>
            <w:r w:rsidRPr="00B76053">
              <w:rPr>
                <w:rFonts w:cs="Times New Roman"/>
              </w:rPr>
              <w:t>108.5</w:t>
            </w:r>
          </w:p>
        </w:tc>
        <w:tc>
          <w:tcPr>
            <w:tcW w:w="1170" w:type="dxa"/>
          </w:tcPr>
          <w:p w14:paraId="64149C38" w14:textId="77777777" w:rsidR="006046D2" w:rsidRPr="00B76053" w:rsidRDefault="00B04762">
            <w:pPr>
              <w:rPr>
                <w:rFonts w:cs="Times New Roman"/>
              </w:rPr>
            </w:pPr>
            <w:r w:rsidRPr="00B76053">
              <w:rPr>
                <w:rFonts w:cs="Times New Roman"/>
              </w:rPr>
              <w:t>313.9</w:t>
            </w:r>
          </w:p>
        </w:tc>
        <w:tc>
          <w:tcPr>
            <w:tcW w:w="1260" w:type="dxa"/>
          </w:tcPr>
          <w:p w14:paraId="05B9EEAF" w14:textId="77777777" w:rsidR="006046D2" w:rsidRPr="00B76053" w:rsidRDefault="00B04762">
            <w:pPr>
              <w:rPr>
                <w:rFonts w:cs="Times New Roman"/>
              </w:rPr>
            </w:pPr>
            <w:r w:rsidRPr="00B76053">
              <w:rPr>
                <w:rFonts w:cs="Times New Roman"/>
              </w:rPr>
              <w:t>(206.3)</w:t>
            </w:r>
          </w:p>
        </w:tc>
        <w:tc>
          <w:tcPr>
            <w:tcW w:w="876" w:type="dxa"/>
          </w:tcPr>
          <w:p w14:paraId="490656FC" w14:textId="77777777" w:rsidR="006046D2" w:rsidRPr="00B76053" w:rsidRDefault="00B04762">
            <w:pPr>
              <w:rPr>
                <w:rFonts w:cs="Times New Roman"/>
              </w:rPr>
            </w:pPr>
            <w:r w:rsidRPr="00B76053">
              <w:rPr>
                <w:rFonts w:cs="Times New Roman"/>
              </w:rPr>
              <w:t>1,250</w:t>
            </w:r>
          </w:p>
        </w:tc>
        <w:tc>
          <w:tcPr>
            <w:tcW w:w="1039" w:type="dxa"/>
          </w:tcPr>
          <w:p w14:paraId="1343F038" w14:textId="77777777" w:rsidR="006046D2" w:rsidRPr="00B76053" w:rsidRDefault="00B04762">
            <w:pPr>
              <w:rPr>
                <w:rFonts w:cs="Times New Roman"/>
              </w:rPr>
            </w:pPr>
            <w:r w:rsidRPr="00B76053">
              <w:rPr>
                <w:rFonts w:cs="Times New Roman"/>
              </w:rPr>
              <w:t>2.894</w:t>
            </w:r>
          </w:p>
        </w:tc>
        <w:tc>
          <w:tcPr>
            <w:tcW w:w="983" w:type="dxa"/>
          </w:tcPr>
          <w:p w14:paraId="306352AF" w14:textId="77777777" w:rsidR="006046D2" w:rsidRPr="00B76053" w:rsidRDefault="00B04762">
            <w:pPr>
              <w:rPr>
                <w:rFonts w:cs="Times New Roman"/>
              </w:rPr>
            </w:pPr>
            <w:r w:rsidRPr="00B76053">
              <w:rPr>
                <w:rFonts w:cs="Times New Roman"/>
              </w:rPr>
              <w:t>0.087</w:t>
            </w:r>
          </w:p>
        </w:tc>
      </w:tr>
      <w:tr w:rsidR="000B15D0" w:rsidRPr="00B76053" w14:paraId="6DB34398" w14:textId="77777777" w:rsidTr="000B15D0">
        <w:tc>
          <w:tcPr>
            <w:tcW w:w="2184" w:type="dxa"/>
          </w:tcPr>
          <w:p w14:paraId="455DF4E7" w14:textId="77777777" w:rsidR="006046D2" w:rsidRPr="00B76053" w:rsidRDefault="00B04762">
            <w:pPr>
              <w:rPr>
                <w:rFonts w:cs="Times New Roman"/>
              </w:rPr>
            </w:pPr>
            <w:r w:rsidRPr="00B76053">
              <w:rPr>
                <w:rFonts w:cs="Times New Roman"/>
              </w:rPr>
              <w:t>Better Home &amp; Finance Holding Company</w:t>
            </w:r>
          </w:p>
        </w:tc>
        <w:tc>
          <w:tcPr>
            <w:tcW w:w="804" w:type="dxa"/>
          </w:tcPr>
          <w:p w14:paraId="40892041" w14:textId="77777777" w:rsidR="006046D2" w:rsidRPr="00B76053" w:rsidRDefault="00B04762">
            <w:pPr>
              <w:rPr>
                <w:rFonts w:cs="Times New Roman"/>
              </w:rPr>
            </w:pPr>
            <w:r w:rsidRPr="00B76053">
              <w:rPr>
                <w:rFonts w:cs="Times New Roman"/>
              </w:rPr>
              <w:t>2025</w:t>
            </w:r>
          </w:p>
        </w:tc>
        <w:tc>
          <w:tcPr>
            <w:tcW w:w="1260" w:type="dxa"/>
          </w:tcPr>
          <w:p w14:paraId="67A72B63" w14:textId="77777777" w:rsidR="006046D2" w:rsidRPr="00B76053" w:rsidRDefault="00B04762">
            <w:pPr>
              <w:rPr>
                <w:rFonts w:cs="Times New Roman"/>
              </w:rPr>
            </w:pPr>
            <w:r w:rsidRPr="00B76053">
              <w:rPr>
                <w:rFonts w:cs="Times New Roman"/>
              </w:rPr>
              <w:t>164.9</w:t>
            </w:r>
          </w:p>
        </w:tc>
        <w:tc>
          <w:tcPr>
            <w:tcW w:w="1170" w:type="dxa"/>
          </w:tcPr>
          <w:p w14:paraId="133863A3" w14:textId="77777777" w:rsidR="006046D2" w:rsidRPr="00B76053" w:rsidRDefault="00B04762">
            <w:pPr>
              <w:rPr>
                <w:rFonts w:cs="Times New Roman"/>
              </w:rPr>
            </w:pPr>
            <w:r w:rsidRPr="00B76053">
              <w:rPr>
                <w:rFonts w:cs="Times New Roman"/>
              </w:rPr>
              <w:t>330.7</w:t>
            </w:r>
          </w:p>
        </w:tc>
        <w:tc>
          <w:tcPr>
            <w:tcW w:w="1260" w:type="dxa"/>
          </w:tcPr>
          <w:p w14:paraId="7553228D" w14:textId="77777777" w:rsidR="006046D2" w:rsidRPr="00B76053" w:rsidRDefault="00B04762">
            <w:pPr>
              <w:rPr>
                <w:rFonts w:cs="Times New Roman"/>
              </w:rPr>
            </w:pPr>
            <w:r w:rsidRPr="00B76053">
              <w:rPr>
                <w:rFonts w:cs="Times New Roman"/>
              </w:rPr>
              <w:t>(165.9)</w:t>
            </w:r>
          </w:p>
        </w:tc>
        <w:tc>
          <w:tcPr>
            <w:tcW w:w="876" w:type="dxa"/>
          </w:tcPr>
          <w:p w14:paraId="11618039" w14:textId="77777777" w:rsidR="006046D2" w:rsidRPr="00B76053" w:rsidRDefault="00B04762">
            <w:pPr>
              <w:rPr>
                <w:rFonts w:cs="Times New Roman"/>
              </w:rPr>
            </w:pPr>
            <w:r w:rsidRPr="00B76053">
              <w:rPr>
                <w:rFonts w:cs="Times New Roman"/>
              </w:rPr>
              <w:t>1,329</w:t>
            </w:r>
          </w:p>
        </w:tc>
        <w:tc>
          <w:tcPr>
            <w:tcW w:w="1039" w:type="dxa"/>
          </w:tcPr>
          <w:p w14:paraId="6480CE11" w14:textId="77777777" w:rsidR="006046D2" w:rsidRPr="00B76053" w:rsidRDefault="00B04762">
            <w:pPr>
              <w:rPr>
                <w:rFonts w:cs="Times New Roman"/>
              </w:rPr>
            </w:pPr>
            <w:r w:rsidRPr="00B76053">
              <w:rPr>
                <w:rFonts w:cs="Times New Roman"/>
              </w:rPr>
              <w:t>2.006</w:t>
            </w:r>
          </w:p>
        </w:tc>
        <w:tc>
          <w:tcPr>
            <w:tcW w:w="983" w:type="dxa"/>
          </w:tcPr>
          <w:p w14:paraId="3C6E4754" w14:textId="77777777" w:rsidR="006046D2" w:rsidRPr="00B76053" w:rsidRDefault="00B04762">
            <w:pPr>
              <w:rPr>
                <w:rFonts w:cs="Times New Roman"/>
              </w:rPr>
            </w:pPr>
            <w:r w:rsidRPr="00B76053">
              <w:rPr>
                <w:rFonts w:cs="Times New Roman"/>
              </w:rPr>
              <w:t>0.124</w:t>
            </w:r>
          </w:p>
        </w:tc>
      </w:tr>
      <w:tr w:rsidR="000B15D0" w:rsidRPr="00B76053" w14:paraId="667B3467" w14:textId="77777777" w:rsidTr="000B15D0">
        <w:tc>
          <w:tcPr>
            <w:tcW w:w="2184" w:type="dxa"/>
          </w:tcPr>
          <w:p w14:paraId="11351582" w14:textId="77777777" w:rsidR="006046D2" w:rsidRPr="00B76053" w:rsidRDefault="00B04762">
            <w:pPr>
              <w:rPr>
                <w:rFonts w:cs="Times New Roman"/>
              </w:rPr>
            </w:pPr>
            <w:r w:rsidRPr="00B76053">
              <w:rPr>
                <w:rFonts w:cs="Times New Roman"/>
              </w:rPr>
              <w:t>Rocket Companies, Inc.</w:t>
            </w:r>
          </w:p>
        </w:tc>
        <w:tc>
          <w:tcPr>
            <w:tcW w:w="804" w:type="dxa"/>
          </w:tcPr>
          <w:p w14:paraId="3C86D64C" w14:textId="77777777" w:rsidR="006046D2" w:rsidRPr="00B76053" w:rsidRDefault="00B04762">
            <w:pPr>
              <w:rPr>
                <w:rFonts w:cs="Times New Roman"/>
              </w:rPr>
            </w:pPr>
            <w:r w:rsidRPr="00B76053">
              <w:rPr>
                <w:rFonts w:cs="Times New Roman"/>
              </w:rPr>
              <w:t>2018</w:t>
            </w:r>
          </w:p>
        </w:tc>
        <w:tc>
          <w:tcPr>
            <w:tcW w:w="1260" w:type="dxa"/>
          </w:tcPr>
          <w:p w14:paraId="1BD7F2AF" w14:textId="77777777" w:rsidR="006046D2" w:rsidRPr="00B76053" w:rsidRDefault="00B04762">
            <w:pPr>
              <w:rPr>
                <w:rFonts w:cs="Times New Roman"/>
              </w:rPr>
            </w:pPr>
            <w:r w:rsidRPr="00B76053">
              <w:rPr>
                <w:rFonts w:cs="Times New Roman"/>
              </w:rPr>
              <w:t>4,200.0</w:t>
            </w:r>
          </w:p>
        </w:tc>
        <w:tc>
          <w:tcPr>
            <w:tcW w:w="1170" w:type="dxa"/>
          </w:tcPr>
          <w:p w14:paraId="4685EB95" w14:textId="77777777" w:rsidR="006046D2" w:rsidRPr="00B76053" w:rsidRDefault="00B04762">
            <w:pPr>
              <w:rPr>
                <w:rFonts w:cs="Times New Roman"/>
              </w:rPr>
            </w:pPr>
            <w:r w:rsidRPr="00B76053">
              <w:rPr>
                <w:rFonts w:cs="Times New Roman"/>
              </w:rPr>
              <w:t>3,600.0</w:t>
            </w:r>
          </w:p>
        </w:tc>
        <w:tc>
          <w:tcPr>
            <w:tcW w:w="1260" w:type="dxa"/>
          </w:tcPr>
          <w:p w14:paraId="1AAB7BF6" w14:textId="77777777" w:rsidR="006046D2" w:rsidRPr="00B76053" w:rsidRDefault="00B04762">
            <w:pPr>
              <w:rPr>
                <w:rFonts w:cs="Times New Roman"/>
              </w:rPr>
            </w:pPr>
            <w:r w:rsidRPr="00B76053">
              <w:rPr>
                <w:rFonts w:cs="Times New Roman"/>
              </w:rPr>
              <w:t>600.0</w:t>
            </w:r>
          </w:p>
        </w:tc>
        <w:tc>
          <w:tcPr>
            <w:tcW w:w="876" w:type="dxa"/>
          </w:tcPr>
          <w:p w14:paraId="3FBF551F" w14:textId="77777777" w:rsidR="006046D2" w:rsidRPr="00B76053" w:rsidRDefault="00B04762">
            <w:pPr>
              <w:rPr>
                <w:rFonts w:cs="Times New Roman"/>
              </w:rPr>
            </w:pPr>
            <w:r w:rsidRPr="00B76053">
              <w:rPr>
                <w:rFonts w:cs="Times New Roman"/>
              </w:rPr>
              <w:t>26,000</w:t>
            </w:r>
          </w:p>
        </w:tc>
        <w:tc>
          <w:tcPr>
            <w:tcW w:w="1039" w:type="dxa"/>
          </w:tcPr>
          <w:p w14:paraId="2A316E6A" w14:textId="77777777" w:rsidR="006046D2" w:rsidRPr="00B76053" w:rsidRDefault="00B04762">
            <w:pPr>
              <w:rPr>
                <w:rFonts w:cs="Times New Roman"/>
              </w:rPr>
            </w:pPr>
            <w:r w:rsidRPr="00B76053">
              <w:rPr>
                <w:rFonts w:cs="Times New Roman"/>
              </w:rPr>
              <w:t>0.857</w:t>
            </w:r>
          </w:p>
        </w:tc>
        <w:tc>
          <w:tcPr>
            <w:tcW w:w="983" w:type="dxa"/>
          </w:tcPr>
          <w:p w14:paraId="45659E6A" w14:textId="77777777" w:rsidR="006046D2" w:rsidRPr="00B76053" w:rsidRDefault="00B04762">
            <w:pPr>
              <w:rPr>
                <w:rFonts w:cs="Times New Roman"/>
              </w:rPr>
            </w:pPr>
            <w:r w:rsidRPr="00B76053">
              <w:rPr>
                <w:rFonts w:cs="Times New Roman"/>
              </w:rPr>
              <w:t>0.162</w:t>
            </w:r>
          </w:p>
        </w:tc>
      </w:tr>
      <w:tr w:rsidR="000B15D0" w:rsidRPr="00B76053" w14:paraId="242170B5" w14:textId="77777777" w:rsidTr="000B15D0">
        <w:tc>
          <w:tcPr>
            <w:tcW w:w="2184" w:type="dxa"/>
          </w:tcPr>
          <w:p w14:paraId="1F9642D7" w14:textId="77777777" w:rsidR="006046D2" w:rsidRPr="00B76053" w:rsidRDefault="00B04762">
            <w:pPr>
              <w:rPr>
                <w:rFonts w:cs="Times New Roman"/>
              </w:rPr>
            </w:pPr>
            <w:r w:rsidRPr="00B76053">
              <w:rPr>
                <w:rFonts w:cs="Times New Roman"/>
              </w:rPr>
              <w:t>Rocket Companies, Inc.</w:t>
            </w:r>
          </w:p>
        </w:tc>
        <w:tc>
          <w:tcPr>
            <w:tcW w:w="804" w:type="dxa"/>
          </w:tcPr>
          <w:p w14:paraId="628EE967" w14:textId="77777777" w:rsidR="006046D2" w:rsidRPr="00B76053" w:rsidRDefault="00B04762">
            <w:pPr>
              <w:rPr>
                <w:rFonts w:cs="Times New Roman"/>
              </w:rPr>
            </w:pPr>
            <w:r w:rsidRPr="00B76053">
              <w:rPr>
                <w:rFonts w:cs="Times New Roman"/>
              </w:rPr>
              <w:t>2019</w:t>
            </w:r>
          </w:p>
        </w:tc>
        <w:tc>
          <w:tcPr>
            <w:tcW w:w="1260" w:type="dxa"/>
          </w:tcPr>
          <w:p w14:paraId="1F9CF035" w14:textId="77777777" w:rsidR="006046D2" w:rsidRPr="00B76053" w:rsidRDefault="00B04762">
            <w:pPr>
              <w:rPr>
                <w:rFonts w:cs="Times New Roman"/>
              </w:rPr>
            </w:pPr>
            <w:r w:rsidRPr="00B76053">
              <w:rPr>
                <w:rFonts w:cs="Times New Roman"/>
              </w:rPr>
              <w:t>5,100.0</w:t>
            </w:r>
          </w:p>
        </w:tc>
        <w:tc>
          <w:tcPr>
            <w:tcW w:w="1170" w:type="dxa"/>
          </w:tcPr>
          <w:p w14:paraId="62B7E849" w14:textId="77777777" w:rsidR="006046D2" w:rsidRPr="00B76053" w:rsidRDefault="00B04762">
            <w:pPr>
              <w:rPr>
                <w:rFonts w:cs="Times New Roman"/>
              </w:rPr>
            </w:pPr>
            <w:r w:rsidRPr="00B76053">
              <w:rPr>
                <w:rFonts w:cs="Times New Roman"/>
              </w:rPr>
              <w:t>4,164.7</w:t>
            </w:r>
          </w:p>
        </w:tc>
        <w:tc>
          <w:tcPr>
            <w:tcW w:w="1260" w:type="dxa"/>
          </w:tcPr>
          <w:p w14:paraId="445719DA" w14:textId="77777777" w:rsidR="006046D2" w:rsidRPr="00B76053" w:rsidRDefault="00B04762">
            <w:pPr>
              <w:rPr>
                <w:rFonts w:cs="Times New Roman"/>
              </w:rPr>
            </w:pPr>
            <w:r w:rsidRPr="00B76053">
              <w:rPr>
                <w:rFonts w:cs="Times New Roman"/>
              </w:rPr>
              <w:t>897.1</w:t>
            </w:r>
          </w:p>
        </w:tc>
        <w:tc>
          <w:tcPr>
            <w:tcW w:w="876" w:type="dxa"/>
          </w:tcPr>
          <w:p w14:paraId="5C879829" w14:textId="77777777" w:rsidR="006046D2" w:rsidRPr="00B76053" w:rsidRDefault="00B04762">
            <w:pPr>
              <w:rPr>
                <w:rFonts w:cs="Times New Roman"/>
              </w:rPr>
            </w:pPr>
            <w:r w:rsidRPr="00B76053">
              <w:rPr>
                <w:rFonts w:cs="Times New Roman"/>
              </w:rPr>
              <w:t>26,000</w:t>
            </w:r>
          </w:p>
        </w:tc>
        <w:tc>
          <w:tcPr>
            <w:tcW w:w="1039" w:type="dxa"/>
          </w:tcPr>
          <w:p w14:paraId="58E5402C" w14:textId="77777777" w:rsidR="006046D2" w:rsidRPr="00B76053" w:rsidRDefault="00B04762">
            <w:pPr>
              <w:rPr>
                <w:rFonts w:cs="Times New Roman"/>
              </w:rPr>
            </w:pPr>
            <w:r w:rsidRPr="00B76053">
              <w:rPr>
                <w:rFonts w:cs="Times New Roman"/>
              </w:rPr>
              <w:t>0.817</w:t>
            </w:r>
          </w:p>
        </w:tc>
        <w:tc>
          <w:tcPr>
            <w:tcW w:w="983" w:type="dxa"/>
          </w:tcPr>
          <w:p w14:paraId="6DDBCBAC" w14:textId="77777777" w:rsidR="006046D2" w:rsidRPr="00B76053" w:rsidRDefault="00B04762">
            <w:pPr>
              <w:rPr>
                <w:rFonts w:cs="Times New Roman"/>
              </w:rPr>
            </w:pPr>
            <w:r w:rsidRPr="00B76053">
              <w:rPr>
                <w:rFonts w:cs="Times New Roman"/>
              </w:rPr>
              <w:t>0.196</w:t>
            </w:r>
          </w:p>
        </w:tc>
      </w:tr>
      <w:tr w:rsidR="000B15D0" w:rsidRPr="00B76053" w14:paraId="4FAEAC80" w14:textId="77777777" w:rsidTr="000B15D0">
        <w:tc>
          <w:tcPr>
            <w:tcW w:w="2184" w:type="dxa"/>
          </w:tcPr>
          <w:p w14:paraId="31EDA6E6" w14:textId="77777777" w:rsidR="006046D2" w:rsidRPr="00B76053" w:rsidRDefault="00B04762">
            <w:pPr>
              <w:rPr>
                <w:rFonts w:cs="Times New Roman"/>
              </w:rPr>
            </w:pPr>
            <w:r w:rsidRPr="00B76053">
              <w:rPr>
                <w:rFonts w:cs="Times New Roman"/>
              </w:rPr>
              <w:t>Rocket Companies, Inc.</w:t>
            </w:r>
          </w:p>
        </w:tc>
        <w:tc>
          <w:tcPr>
            <w:tcW w:w="804" w:type="dxa"/>
          </w:tcPr>
          <w:p w14:paraId="0528828D" w14:textId="77777777" w:rsidR="006046D2" w:rsidRPr="00B76053" w:rsidRDefault="00B04762">
            <w:pPr>
              <w:rPr>
                <w:rFonts w:cs="Times New Roman"/>
              </w:rPr>
            </w:pPr>
            <w:r w:rsidRPr="00B76053">
              <w:rPr>
                <w:rFonts w:cs="Times New Roman"/>
              </w:rPr>
              <w:t>2020</w:t>
            </w:r>
          </w:p>
        </w:tc>
        <w:tc>
          <w:tcPr>
            <w:tcW w:w="1260" w:type="dxa"/>
          </w:tcPr>
          <w:p w14:paraId="7E250926" w14:textId="77777777" w:rsidR="006046D2" w:rsidRPr="00B76053" w:rsidRDefault="00B04762">
            <w:pPr>
              <w:rPr>
                <w:rFonts w:cs="Times New Roman"/>
              </w:rPr>
            </w:pPr>
            <w:r w:rsidRPr="00B76053">
              <w:rPr>
                <w:rFonts w:cs="Times New Roman"/>
              </w:rPr>
              <w:t>15,650.1</w:t>
            </w:r>
          </w:p>
        </w:tc>
        <w:tc>
          <w:tcPr>
            <w:tcW w:w="1170" w:type="dxa"/>
          </w:tcPr>
          <w:p w14:paraId="6DDD0444" w14:textId="77777777" w:rsidR="006046D2" w:rsidRPr="00B76053" w:rsidRDefault="00B04762">
            <w:pPr>
              <w:rPr>
                <w:rFonts w:cs="Times New Roman"/>
              </w:rPr>
            </w:pPr>
            <w:r w:rsidRPr="00B76053">
              <w:rPr>
                <w:rFonts w:cs="Times New Roman"/>
              </w:rPr>
              <w:t>6,118.4</w:t>
            </w:r>
          </w:p>
        </w:tc>
        <w:tc>
          <w:tcPr>
            <w:tcW w:w="1260" w:type="dxa"/>
          </w:tcPr>
          <w:p w14:paraId="52F9A282" w14:textId="77777777" w:rsidR="006046D2" w:rsidRPr="00B76053" w:rsidRDefault="00B04762">
            <w:pPr>
              <w:rPr>
                <w:rFonts w:cs="Times New Roman"/>
              </w:rPr>
            </w:pPr>
            <w:r w:rsidRPr="00B76053">
              <w:rPr>
                <w:rFonts w:cs="Times New Roman"/>
              </w:rPr>
              <w:t>9,399.3</w:t>
            </w:r>
          </w:p>
        </w:tc>
        <w:tc>
          <w:tcPr>
            <w:tcW w:w="876" w:type="dxa"/>
          </w:tcPr>
          <w:p w14:paraId="4DDC2E2A" w14:textId="77777777" w:rsidR="006046D2" w:rsidRPr="00B76053" w:rsidRDefault="00B04762">
            <w:pPr>
              <w:rPr>
                <w:rFonts w:cs="Times New Roman"/>
              </w:rPr>
            </w:pPr>
            <w:r w:rsidRPr="00B76053">
              <w:rPr>
                <w:rFonts w:cs="Times New Roman"/>
              </w:rPr>
              <w:t>26,000</w:t>
            </w:r>
          </w:p>
        </w:tc>
        <w:tc>
          <w:tcPr>
            <w:tcW w:w="1039" w:type="dxa"/>
          </w:tcPr>
          <w:p w14:paraId="12E3F267" w14:textId="77777777" w:rsidR="006046D2" w:rsidRPr="00B76053" w:rsidRDefault="00B04762">
            <w:pPr>
              <w:rPr>
                <w:rFonts w:cs="Times New Roman"/>
              </w:rPr>
            </w:pPr>
            <w:r w:rsidRPr="00B76053">
              <w:rPr>
                <w:rFonts w:cs="Times New Roman"/>
              </w:rPr>
              <w:t>0.391</w:t>
            </w:r>
          </w:p>
        </w:tc>
        <w:tc>
          <w:tcPr>
            <w:tcW w:w="983" w:type="dxa"/>
          </w:tcPr>
          <w:p w14:paraId="4DD71788" w14:textId="77777777" w:rsidR="006046D2" w:rsidRPr="00B76053" w:rsidRDefault="00B04762">
            <w:pPr>
              <w:rPr>
                <w:rFonts w:cs="Times New Roman"/>
              </w:rPr>
            </w:pPr>
            <w:r w:rsidRPr="00B76053">
              <w:rPr>
                <w:rFonts w:cs="Times New Roman"/>
              </w:rPr>
              <w:t>0.602</w:t>
            </w:r>
          </w:p>
        </w:tc>
      </w:tr>
      <w:tr w:rsidR="000B15D0" w:rsidRPr="00B76053" w14:paraId="7DFE2325" w14:textId="77777777" w:rsidTr="000B15D0">
        <w:tc>
          <w:tcPr>
            <w:tcW w:w="2184" w:type="dxa"/>
          </w:tcPr>
          <w:p w14:paraId="7B1C7A25" w14:textId="77777777" w:rsidR="006046D2" w:rsidRPr="00B76053" w:rsidRDefault="00B04762">
            <w:pPr>
              <w:rPr>
                <w:rFonts w:cs="Times New Roman"/>
              </w:rPr>
            </w:pPr>
            <w:r w:rsidRPr="00B76053">
              <w:rPr>
                <w:rFonts w:cs="Times New Roman"/>
              </w:rPr>
              <w:t>Rocket Companies, Inc.</w:t>
            </w:r>
          </w:p>
        </w:tc>
        <w:tc>
          <w:tcPr>
            <w:tcW w:w="804" w:type="dxa"/>
          </w:tcPr>
          <w:p w14:paraId="0E86E0DE" w14:textId="77777777" w:rsidR="006046D2" w:rsidRPr="00B76053" w:rsidRDefault="00B04762">
            <w:pPr>
              <w:rPr>
                <w:rFonts w:cs="Times New Roman"/>
              </w:rPr>
            </w:pPr>
            <w:r w:rsidRPr="00B76053">
              <w:rPr>
                <w:rFonts w:cs="Times New Roman"/>
              </w:rPr>
              <w:t>2021</w:t>
            </w:r>
          </w:p>
        </w:tc>
        <w:tc>
          <w:tcPr>
            <w:tcW w:w="1260" w:type="dxa"/>
          </w:tcPr>
          <w:p w14:paraId="676D6F33" w14:textId="77777777" w:rsidR="006046D2" w:rsidRPr="00B76053" w:rsidRDefault="00B04762">
            <w:pPr>
              <w:rPr>
                <w:rFonts w:cs="Times New Roman"/>
              </w:rPr>
            </w:pPr>
            <w:r w:rsidRPr="00B76053">
              <w:rPr>
                <w:rFonts w:cs="Times New Roman"/>
              </w:rPr>
              <w:t>12,914.5</w:t>
            </w:r>
          </w:p>
        </w:tc>
        <w:tc>
          <w:tcPr>
            <w:tcW w:w="1170" w:type="dxa"/>
          </w:tcPr>
          <w:p w14:paraId="6C4FED76" w14:textId="77777777" w:rsidR="006046D2" w:rsidRPr="00B76053" w:rsidRDefault="00B04762">
            <w:pPr>
              <w:rPr>
                <w:rFonts w:cs="Times New Roman"/>
              </w:rPr>
            </w:pPr>
            <w:r w:rsidRPr="00B76053">
              <w:rPr>
                <w:rFonts w:cs="Times New Roman"/>
              </w:rPr>
              <w:t>6,729.6</w:t>
            </w:r>
          </w:p>
        </w:tc>
        <w:tc>
          <w:tcPr>
            <w:tcW w:w="1260" w:type="dxa"/>
          </w:tcPr>
          <w:p w14:paraId="5155C453" w14:textId="77777777" w:rsidR="006046D2" w:rsidRPr="00B76053" w:rsidRDefault="00B04762">
            <w:pPr>
              <w:rPr>
                <w:rFonts w:cs="Times New Roman"/>
              </w:rPr>
            </w:pPr>
            <w:r w:rsidRPr="00B76053">
              <w:rPr>
                <w:rFonts w:cs="Times New Roman"/>
              </w:rPr>
              <w:t>6,072.2</w:t>
            </w:r>
          </w:p>
        </w:tc>
        <w:tc>
          <w:tcPr>
            <w:tcW w:w="876" w:type="dxa"/>
          </w:tcPr>
          <w:p w14:paraId="625972C0" w14:textId="77777777" w:rsidR="006046D2" w:rsidRPr="00B76053" w:rsidRDefault="00B04762">
            <w:pPr>
              <w:rPr>
                <w:rFonts w:cs="Times New Roman"/>
              </w:rPr>
            </w:pPr>
            <w:r w:rsidRPr="00B76053">
              <w:rPr>
                <w:rFonts w:cs="Times New Roman"/>
              </w:rPr>
              <w:t>26,000</w:t>
            </w:r>
          </w:p>
        </w:tc>
        <w:tc>
          <w:tcPr>
            <w:tcW w:w="1039" w:type="dxa"/>
          </w:tcPr>
          <w:p w14:paraId="1C941E59" w14:textId="77777777" w:rsidR="006046D2" w:rsidRPr="00B76053" w:rsidRDefault="00B04762">
            <w:pPr>
              <w:rPr>
                <w:rFonts w:cs="Times New Roman"/>
              </w:rPr>
            </w:pPr>
            <w:r w:rsidRPr="00B76053">
              <w:rPr>
                <w:rFonts w:cs="Times New Roman"/>
              </w:rPr>
              <w:t>0.521</w:t>
            </w:r>
          </w:p>
        </w:tc>
        <w:tc>
          <w:tcPr>
            <w:tcW w:w="983" w:type="dxa"/>
          </w:tcPr>
          <w:p w14:paraId="795CF3B3" w14:textId="77777777" w:rsidR="006046D2" w:rsidRPr="00B76053" w:rsidRDefault="00B04762">
            <w:pPr>
              <w:rPr>
                <w:rFonts w:cs="Times New Roman"/>
              </w:rPr>
            </w:pPr>
            <w:r w:rsidRPr="00B76053">
              <w:rPr>
                <w:rFonts w:cs="Times New Roman"/>
              </w:rPr>
              <w:t>0.497</w:t>
            </w:r>
          </w:p>
        </w:tc>
      </w:tr>
      <w:tr w:rsidR="000B15D0" w:rsidRPr="00B76053" w14:paraId="2982B094" w14:textId="77777777" w:rsidTr="000B15D0">
        <w:tc>
          <w:tcPr>
            <w:tcW w:w="2184" w:type="dxa"/>
          </w:tcPr>
          <w:p w14:paraId="19972BDE" w14:textId="77777777" w:rsidR="006046D2" w:rsidRPr="00B76053" w:rsidRDefault="00B04762">
            <w:pPr>
              <w:rPr>
                <w:rFonts w:cs="Times New Roman"/>
              </w:rPr>
            </w:pPr>
            <w:r w:rsidRPr="00B76053">
              <w:rPr>
                <w:rFonts w:cs="Times New Roman"/>
              </w:rPr>
              <w:t>Rocket Companies, Inc.</w:t>
            </w:r>
          </w:p>
        </w:tc>
        <w:tc>
          <w:tcPr>
            <w:tcW w:w="804" w:type="dxa"/>
          </w:tcPr>
          <w:p w14:paraId="577AAD01" w14:textId="77777777" w:rsidR="006046D2" w:rsidRPr="00B76053" w:rsidRDefault="00B04762">
            <w:pPr>
              <w:rPr>
                <w:rFonts w:cs="Times New Roman"/>
              </w:rPr>
            </w:pPr>
            <w:r w:rsidRPr="00B76053">
              <w:rPr>
                <w:rFonts w:cs="Times New Roman"/>
              </w:rPr>
              <w:t>2022</w:t>
            </w:r>
          </w:p>
        </w:tc>
        <w:tc>
          <w:tcPr>
            <w:tcW w:w="1260" w:type="dxa"/>
          </w:tcPr>
          <w:p w14:paraId="184BD289" w14:textId="77777777" w:rsidR="006046D2" w:rsidRPr="00B76053" w:rsidRDefault="00B04762">
            <w:pPr>
              <w:rPr>
                <w:rFonts w:cs="Times New Roman"/>
              </w:rPr>
            </w:pPr>
            <w:r w:rsidRPr="00B76053">
              <w:rPr>
                <w:rFonts w:cs="Times New Roman"/>
              </w:rPr>
              <w:t>5,838.5</w:t>
            </w:r>
          </w:p>
        </w:tc>
        <w:tc>
          <w:tcPr>
            <w:tcW w:w="1170" w:type="dxa"/>
          </w:tcPr>
          <w:p w14:paraId="2FD89D13" w14:textId="77777777" w:rsidR="006046D2" w:rsidRPr="00B76053" w:rsidRDefault="00B04762">
            <w:pPr>
              <w:rPr>
                <w:rFonts w:cs="Times New Roman"/>
              </w:rPr>
            </w:pPr>
            <w:r w:rsidRPr="00B76053">
              <w:rPr>
                <w:rFonts w:cs="Times New Roman"/>
              </w:rPr>
              <w:t>5,096.6</w:t>
            </w:r>
          </w:p>
        </w:tc>
        <w:tc>
          <w:tcPr>
            <w:tcW w:w="1260" w:type="dxa"/>
          </w:tcPr>
          <w:p w14:paraId="240EAA6F" w14:textId="77777777" w:rsidR="006046D2" w:rsidRPr="00B76053" w:rsidRDefault="00B04762">
            <w:pPr>
              <w:rPr>
                <w:rFonts w:cs="Times New Roman"/>
              </w:rPr>
            </w:pPr>
            <w:r w:rsidRPr="00B76053">
              <w:rPr>
                <w:rFonts w:cs="Times New Roman"/>
              </w:rPr>
              <w:t>699.9</w:t>
            </w:r>
          </w:p>
        </w:tc>
        <w:tc>
          <w:tcPr>
            <w:tcW w:w="876" w:type="dxa"/>
          </w:tcPr>
          <w:p w14:paraId="61AD3791" w14:textId="77777777" w:rsidR="006046D2" w:rsidRPr="00B76053" w:rsidRDefault="00B04762">
            <w:pPr>
              <w:rPr>
                <w:rFonts w:cs="Times New Roman"/>
              </w:rPr>
            </w:pPr>
            <w:r w:rsidRPr="00B76053">
              <w:rPr>
                <w:rFonts w:cs="Times New Roman"/>
              </w:rPr>
              <w:t>18,500</w:t>
            </w:r>
          </w:p>
        </w:tc>
        <w:tc>
          <w:tcPr>
            <w:tcW w:w="1039" w:type="dxa"/>
          </w:tcPr>
          <w:p w14:paraId="4D39AE4F" w14:textId="77777777" w:rsidR="006046D2" w:rsidRPr="00B76053" w:rsidRDefault="00B04762">
            <w:pPr>
              <w:rPr>
                <w:rFonts w:cs="Times New Roman"/>
              </w:rPr>
            </w:pPr>
            <w:r w:rsidRPr="00B76053">
              <w:rPr>
                <w:rFonts w:cs="Times New Roman"/>
              </w:rPr>
              <w:t>0.873</w:t>
            </w:r>
          </w:p>
        </w:tc>
        <w:tc>
          <w:tcPr>
            <w:tcW w:w="983" w:type="dxa"/>
          </w:tcPr>
          <w:p w14:paraId="38E0F779" w14:textId="77777777" w:rsidR="006046D2" w:rsidRPr="00B76053" w:rsidRDefault="00B04762">
            <w:pPr>
              <w:rPr>
                <w:rFonts w:cs="Times New Roman"/>
              </w:rPr>
            </w:pPr>
            <w:r w:rsidRPr="00B76053">
              <w:rPr>
                <w:rFonts w:cs="Times New Roman"/>
              </w:rPr>
              <w:t>0.316</w:t>
            </w:r>
          </w:p>
        </w:tc>
      </w:tr>
      <w:tr w:rsidR="000B15D0" w:rsidRPr="00B76053" w14:paraId="4EFB6AD3" w14:textId="77777777" w:rsidTr="000B15D0">
        <w:tc>
          <w:tcPr>
            <w:tcW w:w="2184" w:type="dxa"/>
          </w:tcPr>
          <w:p w14:paraId="15BCEC85" w14:textId="77777777" w:rsidR="006046D2" w:rsidRPr="00B76053" w:rsidRDefault="00B04762">
            <w:pPr>
              <w:rPr>
                <w:rFonts w:cs="Times New Roman"/>
              </w:rPr>
            </w:pPr>
            <w:r w:rsidRPr="00B76053">
              <w:rPr>
                <w:rFonts w:cs="Times New Roman"/>
              </w:rPr>
              <w:t>Rocket Companies, Inc.</w:t>
            </w:r>
          </w:p>
        </w:tc>
        <w:tc>
          <w:tcPr>
            <w:tcW w:w="804" w:type="dxa"/>
          </w:tcPr>
          <w:p w14:paraId="0BCA5A20" w14:textId="77777777" w:rsidR="006046D2" w:rsidRPr="00B76053" w:rsidRDefault="00B04762">
            <w:pPr>
              <w:rPr>
                <w:rFonts w:cs="Times New Roman"/>
              </w:rPr>
            </w:pPr>
            <w:r w:rsidRPr="00B76053">
              <w:rPr>
                <w:rFonts w:cs="Times New Roman"/>
              </w:rPr>
              <w:t>2023</w:t>
            </w:r>
          </w:p>
        </w:tc>
        <w:tc>
          <w:tcPr>
            <w:tcW w:w="1260" w:type="dxa"/>
          </w:tcPr>
          <w:p w14:paraId="6CF02CC1" w14:textId="77777777" w:rsidR="006046D2" w:rsidRPr="00B76053" w:rsidRDefault="00B04762">
            <w:pPr>
              <w:rPr>
                <w:rFonts w:cs="Times New Roman"/>
              </w:rPr>
            </w:pPr>
            <w:r w:rsidRPr="00B76053">
              <w:rPr>
                <w:rFonts w:cs="Times New Roman"/>
              </w:rPr>
              <w:t>3,799.3</w:t>
            </w:r>
          </w:p>
        </w:tc>
        <w:tc>
          <w:tcPr>
            <w:tcW w:w="1170" w:type="dxa"/>
          </w:tcPr>
          <w:p w14:paraId="54F1CB9E" w14:textId="77777777" w:rsidR="006046D2" w:rsidRPr="00B76053" w:rsidRDefault="00B04762">
            <w:pPr>
              <w:rPr>
                <w:rFonts w:cs="Times New Roman"/>
              </w:rPr>
            </w:pPr>
            <w:r w:rsidRPr="00B76053">
              <w:rPr>
                <w:rFonts w:cs="Times New Roman"/>
              </w:rPr>
              <w:t>4,202.2</w:t>
            </w:r>
          </w:p>
        </w:tc>
        <w:tc>
          <w:tcPr>
            <w:tcW w:w="1260" w:type="dxa"/>
          </w:tcPr>
          <w:p w14:paraId="5B1D4EA1" w14:textId="77777777" w:rsidR="006046D2" w:rsidRPr="00B76053" w:rsidRDefault="00B04762">
            <w:pPr>
              <w:rPr>
                <w:rFonts w:cs="Times New Roman"/>
              </w:rPr>
            </w:pPr>
            <w:r w:rsidRPr="00B76053">
              <w:rPr>
                <w:rFonts w:cs="Times New Roman"/>
              </w:rPr>
              <w:t>(390.1)</w:t>
            </w:r>
          </w:p>
        </w:tc>
        <w:tc>
          <w:tcPr>
            <w:tcW w:w="876" w:type="dxa"/>
          </w:tcPr>
          <w:p w14:paraId="0E5E555A" w14:textId="77777777" w:rsidR="006046D2" w:rsidRPr="00B76053" w:rsidRDefault="00B04762">
            <w:pPr>
              <w:rPr>
                <w:rFonts w:cs="Times New Roman"/>
              </w:rPr>
            </w:pPr>
            <w:r w:rsidRPr="00B76053">
              <w:rPr>
                <w:rFonts w:cs="Times New Roman"/>
              </w:rPr>
              <w:t>14,700</w:t>
            </w:r>
          </w:p>
        </w:tc>
        <w:tc>
          <w:tcPr>
            <w:tcW w:w="1039" w:type="dxa"/>
          </w:tcPr>
          <w:p w14:paraId="53FD0F86" w14:textId="77777777" w:rsidR="006046D2" w:rsidRPr="00B76053" w:rsidRDefault="00B04762">
            <w:pPr>
              <w:rPr>
                <w:rFonts w:cs="Times New Roman"/>
              </w:rPr>
            </w:pPr>
            <w:r w:rsidRPr="00B76053">
              <w:rPr>
                <w:rFonts w:cs="Times New Roman"/>
              </w:rPr>
              <w:t>1.106</w:t>
            </w:r>
          </w:p>
        </w:tc>
        <w:tc>
          <w:tcPr>
            <w:tcW w:w="983" w:type="dxa"/>
          </w:tcPr>
          <w:p w14:paraId="2E495981" w14:textId="77777777" w:rsidR="006046D2" w:rsidRPr="00B76053" w:rsidRDefault="00B04762">
            <w:pPr>
              <w:rPr>
                <w:rFonts w:cs="Times New Roman"/>
              </w:rPr>
            </w:pPr>
            <w:r w:rsidRPr="00B76053">
              <w:rPr>
                <w:rFonts w:cs="Times New Roman"/>
              </w:rPr>
              <w:t>0.258</w:t>
            </w:r>
          </w:p>
        </w:tc>
      </w:tr>
      <w:tr w:rsidR="000B15D0" w:rsidRPr="00B76053" w14:paraId="17CF55BC" w14:textId="77777777" w:rsidTr="000B15D0">
        <w:tc>
          <w:tcPr>
            <w:tcW w:w="2184" w:type="dxa"/>
          </w:tcPr>
          <w:p w14:paraId="1E3E0D00" w14:textId="77777777" w:rsidR="006046D2" w:rsidRPr="00B76053" w:rsidRDefault="00B04762">
            <w:pPr>
              <w:rPr>
                <w:rFonts w:cs="Times New Roman"/>
              </w:rPr>
            </w:pPr>
            <w:r w:rsidRPr="00B76053">
              <w:rPr>
                <w:rFonts w:cs="Times New Roman"/>
              </w:rPr>
              <w:t>Rocket Companies, Inc.</w:t>
            </w:r>
          </w:p>
        </w:tc>
        <w:tc>
          <w:tcPr>
            <w:tcW w:w="804" w:type="dxa"/>
          </w:tcPr>
          <w:p w14:paraId="4D858580" w14:textId="77777777" w:rsidR="006046D2" w:rsidRPr="00B76053" w:rsidRDefault="00B04762">
            <w:pPr>
              <w:rPr>
                <w:rFonts w:cs="Times New Roman"/>
              </w:rPr>
            </w:pPr>
            <w:r w:rsidRPr="00B76053">
              <w:rPr>
                <w:rFonts w:cs="Times New Roman"/>
              </w:rPr>
              <w:t>2024</w:t>
            </w:r>
          </w:p>
        </w:tc>
        <w:tc>
          <w:tcPr>
            <w:tcW w:w="1260" w:type="dxa"/>
          </w:tcPr>
          <w:p w14:paraId="165F6ACD" w14:textId="77777777" w:rsidR="006046D2" w:rsidRPr="00B76053" w:rsidRDefault="00B04762">
            <w:pPr>
              <w:rPr>
                <w:rFonts w:cs="Times New Roman"/>
              </w:rPr>
            </w:pPr>
            <w:r w:rsidRPr="00B76053">
              <w:rPr>
                <w:rFonts w:cs="Times New Roman"/>
              </w:rPr>
              <w:t>5,100.8</w:t>
            </w:r>
          </w:p>
        </w:tc>
        <w:tc>
          <w:tcPr>
            <w:tcW w:w="1170" w:type="dxa"/>
          </w:tcPr>
          <w:p w14:paraId="6590F224" w14:textId="77777777" w:rsidR="006046D2" w:rsidRPr="00B76053" w:rsidRDefault="00B04762">
            <w:pPr>
              <w:rPr>
                <w:rFonts w:cs="Times New Roman"/>
              </w:rPr>
            </w:pPr>
            <w:r w:rsidRPr="00B76053">
              <w:rPr>
                <w:rFonts w:cs="Times New Roman"/>
              </w:rPr>
              <w:t>4,433.0</w:t>
            </w:r>
          </w:p>
        </w:tc>
        <w:tc>
          <w:tcPr>
            <w:tcW w:w="1260" w:type="dxa"/>
          </w:tcPr>
          <w:p w14:paraId="04A64DB6" w14:textId="77777777" w:rsidR="006046D2" w:rsidRPr="00B76053" w:rsidRDefault="00B04762">
            <w:pPr>
              <w:rPr>
                <w:rFonts w:cs="Times New Roman"/>
              </w:rPr>
            </w:pPr>
            <w:r w:rsidRPr="00B76053">
              <w:rPr>
                <w:rFonts w:cs="Times New Roman"/>
              </w:rPr>
              <w:t>635.8</w:t>
            </w:r>
          </w:p>
        </w:tc>
        <w:tc>
          <w:tcPr>
            <w:tcW w:w="876" w:type="dxa"/>
          </w:tcPr>
          <w:p w14:paraId="7AFFF18A" w14:textId="77777777" w:rsidR="006046D2" w:rsidRPr="00B76053" w:rsidRDefault="00B04762">
            <w:pPr>
              <w:rPr>
                <w:rFonts w:cs="Times New Roman"/>
              </w:rPr>
            </w:pPr>
            <w:r w:rsidRPr="00B76053">
              <w:rPr>
                <w:rFonts w:cs="Times New Roman"/>
              </w:rPr>
              <w:t>14,200</w:t>
            </w:r>
          </w:p>
        </w:tc>
        <w:tc>
          <w:tcPr>
            <w:tcW w:w="1039" w:type="dxa"/>
          </w:tcPr>
          <w:p w14:paraId="47E244B3" w14:textId="77777777" w:rsidR="006046D2" w:rsidRPr="00B76053" w:rsidRDefault="00B04762">
            <w:pPr>
              <w:rPr>
                <w:rFonts w:cs="Times New Roman"/>
              </w:rPr>
            </w:pPr>
            <w:r w:rsidRPr="00B76053">
              <w:rPr>
                <w:rFonts w:cs="Times New Roman"/>
              </w:rPr>
              <w:t>0.869</w:t>
            </w:r>
          </w:p>
        </w:tc>
        <w:tc>
          <w:tcPr>
            <w:tcW w:w="983" w:type="dxa"/>
          </w:tcPr>
          <w:p w14:paraId="4E7273BF" w14:textId="77777777" w:rsidR="006046D2" w:rsidRPr="00B76053" w:rsidRDefault="00B04762">
            <w:pPr>
              <w:rPr>
                <w:rFonts w:cs="Times New Roman"/>
              </w:rPr>
            </w:pPr>
            <w:r w:rsidRPr="00B76053">
              <w:rPr>
                <w:rFonts w:cs="Times New Roman"/>
              </w:rPr>
              <w:t>0.359</w:t>
            </w:r>
          </w:p>
        </w:tc>
      </w:tr>
      <w:tr w:rsidR="000B15D0" w:rsidRPr="00B76053" w14:paraId="6B27ADA4" w14:textId="77777777" w:rsidTr="000B15D0">
        <w:tc>
          <w:tcPr>
            <w:tcW w:w="2184" w:type="dxa"/>
          </w:tcPr>
          <w:p w14:paraId="0818BDA1" w14:textId="77777777" w:rsidR="006046D2" w:rsidRPr="00B76053" w:rsidRDefault="00B04762">
            <w:pPr>
              <w:rPr>
                <w:rFonts w:cs="Times New Roman"/>
              </w:rPr>
            </w:pPr>
            <w:r w:rsidRPr="00B76053">
              <w:rPr>
                <w:rFonts w:cs="Times New Roman"/>
              </w:rPr>
              <w:lastRenderedPageBreak/>
              <w:t>Rocket Companies, Inc.</w:t>
            </w:r>
          </w:p>
        </w:tc>
        <w:tc>
          <w:tcPr>
            <w:tcW w:w="804" w:type="dxa"/>
          </w:tcPr>
          <w:p w14:paraId="382F8309" w14:textId="77777777" w:rsidR="006046D2" w:rsidRPr="00B76053" w:rsidRDefault="00B04762">
            <w:pPr>
              <w:rPr>
                <w:rFonts w:cs="Times New Roman"/>
              </w:rPr>
            </w:pPr>
            <w:r w:rsidRPr="00B76053">
              <w:rPr>
                <w:rFonts w:cs="Times New Roman"/>
              </w:rPr>
              <w:t>2025</w:t>
            </w:r>
          </w:p>
        </w:tc>
        <w:tc>
          <w:tcPr>
            <w:tcW w:w="1260" w:type="dxa"/>
          </w:tcPr>
          <w:p w14:paraId="11C2B6EE" w14:textId="77777777" w:rsidR="006046D2" w:rsidRPr="00B76053" w:rsidRDefault="00B04762">
            <w:pPr>
              <w:rPr>
                <w:rFonts w:cs="Times New Roman"/>
              </w:rPr>
            </w:pPr>
            <w:r w:rsidRPr="00B76053">
              <w:rPr>
                <w:rFonts w:cs="Times New Roman"/>
              </w:rPr>
              <w:t>6,695.0</w:t>
            </w:r>
          </w:p>
        </w:tc>
        <w:tc>
          <w:tcPr>
            <w:tcW w:w="1170" w:type="dxa"/>
          </w:tcPr>
          <w:p w14:paraId="75F086F3" w14:textId="77777777" w:rsidR="006046D2" w:rsidRPr="00B76053" w:rsidRDefault="00B04762">
            <w:pPr>
              <w:rPr>
                <w:rFonts w:cs="Times New Roman"/>
              </w:rPr>
            </w:pPr>
            <w:r w:rsidRPr="00B76053">
              <w:rPr>
                <w:rFonts w:cs="Times New Roman"/>
              </w:rPr>
              <w:t>6,909.0</w:t>
            </w:r>
          </w:p>
        </w:tc>
        <w:tc>
          <w:tcPr>
            <w:tcW w:w="1260" w:type="dxa"/>
          </w:tcPr>
          <w:p w14:paraId="277604DA" w14:textId="77777777" w:rsidR="006046D2" w:rsidRPr="00B76053" w:rsidRDefault="00B04762">
            <w:pPr>
              <w:rPr>
                <w:rFonts w:cs="Times New Roman"/>
              </w:rPr>
            </w:pPr>
            <w:r w:rsidRPr="00B76053">
              <w:rPr>
                <w:rFonts w:cs="Times New Roman"/>
              </w:rPr>
              <w:t>(234.0)</w:t>
            </w:r>
          </w:p>
        </w:tc>
        <w:tc>
          <w:tcPr>
            <w:tcW w:w="876" w:type="dxa"/>
          </w:tcPr>
          <w:p w14:paraId="75A4DA50" w14:textId="77777777" w:rsidR="006046D2" w:rsidRPr="00B76053" w:rsidRDefault="00B04762">
            <w:pPr>
              <w:rPr>
                <w:rFonts w:cs="Times New Roman"/>
              </w:rPr>
            </w:pPr>
            <w:r w:rsidRPr="00B76053">
              <w:rPr>
                <w:rFonts w:cs="Times New Roman"/>
              </w:rPr>
              <w:t>23,500</w:t>
            </w:r>
          </w:p>
        </w:tc>
        <w:tc>
          <w:tcPr>
            <w:tcW w:w="1039" w:type="dxa"/>
          </w:tcPr>
          <w:p w14:paraId="505814F7" w14:textId="77777777" w:rsidR="006046D2" w:rsidRPr="00B76053" w:rsidRDefault="00B04762">
            <w:pPr>
              <w:rPr>
                <w:rFonts w:cs="Times New Roman"/>
              </w:rPr>
            </w:pPr>
            <w:r w:rsidRPr="00B76053">
              <w:rPr>
                <w:rFonts w:cs="Times New Roman"/>
              </w:rPr>
              <w:t>1.032</w:t>
            </w:r>
          </w:p>
        </w:tc>
        <w:tc>
          <w:tcPr>
            <w:tcW w:w="983" w:type="dxa"/>
          </w:tcPr>
          <w:p w14:paraId="5E2922C4" w14:textId="77777777" w:rsidR="006046D2" w:rsidRPr="00B76053" w:rsidRDefault="00B04762">
            <w:pPr>
              <w:rPr>
                <w:rFonts w:cs="Times New Roman"/>
              </w:rPr>
            </w:pPr>
            <w:r w:rsidRPr="00B76053">
              <w:rPr>
                <w:rFonts w:cs="Times New Roman"/>
              </w:rPr>
              <w:t>0.285</w:t>
            </w:r>
          </w:p>
        </w:tc>
      </w:tr>
    </w:tbl>
    <w:p w14:paraId="6C3D50C1" w14:textId="77777777" w:rsidR="006046D2" w:rsidRPr="00B76053" w:rsidRDefault="00B04762">
      <w:pPr>
        <w:pStyle w:val="Heading2"/>
        <w:rPr>
          <w:rFonts w:cs="Times New Roman"/>
        </w:rPr>
      </w:pPr>
      <w:bookmarkStart w:id="118" w:name="_Toc229755385"/>
      <w:r w:rsidRPr="00B76053">
        <w:rPr>
          <w:rFonts w:cs="Times New Roman"/>
        </w:rPr>
        <w:t>A.4 Calculation Methodology</w:t>
      </w:r>
      <w:bookmarkEnd w:id="118"/>
    </w:p>
    <w:p w14:paraId="074FF6C6" w14:textId="0F75EC8A" w:rsidR="00B76B53" w:rsidRPr="00B76053" w:rsidRDefault="00B04762" w:rsidP="00B76B53">
      <w:pPr>
        <w:rPr>
          <w:rFonts w:cs="Times New Roman"/>
        </w:rPr>
      </w:pPr>
      <w:r w:rsidRPr="00B76053">
        <w:rPr>
          <w:rFonts w:cs="Times New Roman"/>
        </w:rPr>
        <w:t>All ratios in Table A.2 are computed deterministically from the audited line items in the 10-K filings; no judgment-based adjustments are applied. Where the 10-K reports headcount as a range or an approximation, the lower bound is taken (this convention is documented in 05_Code/financial_metric_analysis.ipynb). Net loss is reported with a leading minus sign; net income is reported with a leading plus sign. The Operational Leverage Index is computed in Appendix E and is treated in this thesis as an illustrative composite rather than as a primary inferential anchor (see §3.6, OLI disclaimer).</w:t>
      </w:r>
    </w:p>
    <w:p w14:paraId="21BACABF" w14:textId="77777777" w:rsidR="006046D2" w:rsidRPr="00B76053" w:rsidRDefault="00B04762" w:rsidP="00931B48">
      <w:pPr>
        <w:pStyle w:val="Heading1"/>
        <w:rPr>
          <w:rFonts w:cs="Times New Roman"/>
        </w:rPr>
      </w:pPr>
      <w:bookmarkStart w:id="119" w:name="_Toc229755386"/>
      <w:r w:rsidRPr="00B76053">
        <w:rPr>
          <w:rFonts w:cs="Times New Roman"/>
        </w:rPr>
        <w:t>Appendix B. SEC Filing Provenance</w:t>
      </w:r>
      <w:bookmarkEnd w:id="119"/>
    </w:p>
    <w:p w14:paraId="1600B970" w14:textId="77777777" w:rsidR="006046D2" w:rsidRPr="00B76053" w:rsidRDefault="00B04762">
      <w:pPr>
        <w:pStyle w:val="Heading2"/>
        <w:rPr>
          <w:rFonts w:cs="Times New Roman"/>
        </w:rPr>
      </w:pPr>
      <w:bookmarkStart w:id="120" w:name="_Toc229755387"/>
      <w:r w:rsidRPr="00B76053">
        <w:rPr>
          <w:rFonts w:cs="Times New Roman"/>
        </w:rPr>
        <w:t>B.1 Filings List</w:t>
      </w:r>
      <w:bookmarkEnd w:id="120"/>
    </w:p>
    <w:p w14:paraId="34D6AC12" w14:textId="77777777" w:rsidR="006046D2" w:rsidRPr="00B76053" w:rsidRDefault="00B04762">
      <w:pPr>
        <w:pStyle w:val="Caption"/>
        <w:rPr>
          <w:rFonts w:cs="Times New Roman"/>
        </w:rPr>
      </w:pPr>
      <w:r w:rsidRPr="00B76053">
        <w:rPr>
          <w:rFonts w:cs="Times New Roman"/>
        </w:rPr>
        <w:t>Table B.1. SEC filings used for the financial-trajectory analysis in Chapter 5. Accession numbers and full URLs are recorded in the reference list (Better HoldCo, Inc., 2023; Better Home &amp; Finance Holding Company, 2024b, 2025a, 2026; Rocket Companies, Inc., 2024, 2025).</w:t>
      </w:r>
    </w:p>
    <w:tbl>
      <w:tblPr>
        <w:tblStyle w:val="TableGrid"/>
        <w:tblW w:w="9738" w:type="dxa"/>
        <w:tblLayout w:type="fixed"/>
        <w:tblLook w:val="04A0" w:firstRow="1" w:lastRow="0" w:firstColumn="1" w:lastColumn="0" w:noHBand="0" w:noVBand="1"/>
      </w:tblPr>
      <w:tblGrid>
        <w:gridCol w:w="558"/>
        <w:gridCol w:w="1350"/>
        <w:gridCol w:w="1080"/>
        <w:gridCol w:w="1260"/>
        <w:gridCol w:w="3780"/>
        <w:gridCol w:w="1710"/>
      </w:tblGrid>
      <w:tr w:rsidR="00603AD8" w:rsidRPr="00B76053" w14:paraId="4F0EBD14" w14:textId="77777777" w:rsidTr="00603AD8">
        <w:tc>
          <w:tcPr>
            <w:tcW w:w="558" w:type="dxa"/>
          </w:tcPr>
          <w:p w14:paraId="2A93F2BA" w14:textId="77777777" w:rsidR="006046D2" w:rsidRPr="00B76053" w:rsidRDefault="00B04762">
            <w:pPr>
              <w:rPr>
                <w:rFonts w:cs="Times New Roman"/>
                <w:sz w:val="20"/>
                <w:szCs w:val="20"/>
              </w:rPr>
            </w:pPr>
            <w:r w:rsidRPr="00B76053">
              <w:rPr>
                <w:rFonts w:cs="Times New Roman"/>
                <w:b/>
                <w:sz w:val="20"/>
                <w:szCs w:val="20"/>
              </w:rPr>
              <w:t>#</w:t>
            </w:r>
          </w:p>
        </w:tc>
        <w:tc>
          <w:tcPr>
            <w:tcW w:w="1350" w:type="dxa"/>
          </w:tcPr>
          <w:p w14:paraId="08D3884A" w14:textId="77777777" w:rsidR="006046D2" w:rsidRPr="00B76053" w:rsidRDefault="00B04762">
            <w:pPr>
              <w:rPr>
                <w:rFonts w:cs="Times New Roman"/>
                <w:sz w:val="20"/>
                <w:szCs w:val="20"/>
              </w:rPr>
            </w:pPr>
            <w:r w:rsidRPr="00B76053">
              <w:rPr>
                <w:rFonts w:cs="Times New Roman"/>
                <w:b/>
                <w:sz w:val="20"/>
                <w:szCs w:val="20"/>
              </w:rPr>
              <w:t>Filer</w:t>
            </w:r>
          </w:p>
        </w:tc>
        <w:tc>
          <w:tcPr>
            <w:tcW w:w="1080" w:type="dxa"/>
          </w:tcPr>
          <w:p w14:paraId="362033A2" w14:textId="77777777" w:rsidR="006046D2" w:rsidRPr="00B76053" w:rsidRDefault="00B04762">
            <w:pPr>
              <w:rPr>
                <w:rFonts w:cs="Times New Roman"/>
                <w:sz w:val="20"/>
                <w:szCs w:val="20"/>
              </w:rPr>
            </w:pPr>
            <w:r w:rsidRPr="00B76053">
              <w:rPr>
                <w:rFonts w:cs="Times New Roman"/>
                <w:b/>
                <w:sz w:val="20"/>
                <w:szCs w:val="20"/>
              </w:rPr>
              <w:t>Form</w:t>
            </w:r>
          </w:p>
        </w:tc>
        <w:tc>
          <w:tcPr>
            <w:tcW w:w="1260" w:type="dxa"/>
          </w:tcPr>
          <w:p w14:paraId="0C69A2E6" w14:textId="77777777" w:rsidR="006046D2" w:rsidRPr="00B76053" w:rsidRDefault="00B04762">
            <w:pPr>
              <w:rPr>
                <w:rFonts w:cs="Times New Roman"/>
                <w:sz w:val="20"/>
                <w:szCs w:val="20"/>
              </w:rPr>
            </w:pPr>
            <w:r w:rsidRPr="00B76053">
              <w:rPr>
                <w:rFonts w:cs="Times New Roman"/>
                <w:b/>
                <w:sz w:val="20"/>
                <w:szCs w:val="20"/>
              </w:rPr>
              <w:t>Reporting period</w:t>
            </w:r>
          </w:p>
        </w:tc>
        <w:tc>
          <w:tcPr>
            <w:tcW w:w="3780" w:type="dxa"/>
          </w:tcPr>
          <w:p w14:paraId="4B9B0B40" w14:textId="77777777" w:rsidR="006046D2" w:rsidRPr="00B76053" w:rsidRDefault="00B04762">
            <w:pPr>
              <w:rPr>
                <w:rFonts w:cs="Times New Roman"/>
                <w:sz w:val="20"/>
                <w:szCs w:val="20"/>
              </w:rPr>
            </w:pPr>
            <w:r w:rsidRPr="00B76053">
              <w:rPr>
                <w:rFonts w:cs="Times New Roman"/>
                <w:b/>
                <w:sz w:val="20"/>
                <w:szCs w:val="20"/>
              </w:rPr>
              <w:t>Use in this thesis</w:t>
            </w:r>
          </w:p>
        </w:tc>
        <w:tc>
          <w:tcPr>
            <w:tcW w:w="1710" w:type="dxa"/>
          </w:tcPr>
          <w:p w14:paraId="160B6AD9" w14:textId="77777777" w:rsidR="006046D2" w:rsidRPr="00B76053" w:rsidRDefault="00B04762">
            <w:pPr>
              <w:rPr>
                <w:rFonts w:cs="Times New Roman"/>
                <w:sz w:val="20"/>
                <w:szCs w:val="20"/>
              </w:rPr>
            </w:pPr>
            <w:r w:rsidRPr="00B76053">
              <w:rPr>
                <w:rFonts w:cs="Times New Roman"/>
                <w:b/>
                <w:sz w:val="20"/>
                <w:szCs w:val="20"/>
              </w:rPr>
              <w:t>Repository path</w:t>
            </w:r>
          </w:p>
        </w:tc>
      </w:tr>
      <w:tr w:rsidR="00603AD8" w:rsidRPr="00B76053" w14:paraId="0967D50B" w14:textId="77777777" w:rsidTr="00603AD8">
        <w:tc>
          <w:tcPr>
            <w:tcW w:w="558" w:type="dxa"/>
          </w:tcPr>
          <w:p w14:paraId="03789597" w14:textId="77777777" w:rsidR="006046D2" w:rsidRPr="00B76053" w:rsidRDefault="00B04762">
            <w:pPr>
              <w:rPr>
                <w:rFonts w:cs="Times New Roman"/>
                <w:sz w:val="20"/>
                <w:szCs w:val="20"/>
              </w:rPr>
            </w:pPr>
            <w:r w:rsidRPr="00B76053">
              <w:rPr>
                <w:rFonts w:cs="Times New Roman"/>
                <w:sz w:val="20"/>
                <w:szCs w:val="20"/>
              </w:rPr>
              <w:t>1</w:t>
            </w:r>
          </w:p>
        </w:tc>
        <w:tc>
          <w:tcPr>
            <w:tcW w:w="1350" w:type="dxa"/>
          </w:tcPr>
          <w:p w14:paraId="440F75DB" w14:textId="77777777" w:rsidR="006046D2" w:rsidRPr="00B76053" w:rsidRDefault="00B04762">
            <w:pPr>
              <w:rPr>
                <w:rFonts w:cs="Times New Roman"/>
                <w:sz w:val="20"/>
                <w:szCs w:val="20"/>
              </w:rPr>
            </w:pPr>
            <w:r w:rsidRPr="00B76053">
              <w:rPr>
                <w:rFonts w:cs="Times New Roman"/>
                <w:sz w:val="20"/>
                <w:szCs w:val="20"/>
              </w:rPr>
              <w:t>Better HoldCo, Inc.</w:t>
            </w:r>
          </w:p>
        </w:tc>
        <w:tc>
          <w:tcPr>
            <w:tcW w:w="1080" w:type="dxa"/>
          </w:tcPr>
          <w:p w14:paraId="20292EA6" w14:textId="77777777" w:rsidR="006046D2" w:rsidRPr="00B76053" w:rsidRDefault="00B04762">
            <w:pPr>
              <w:rPr>
                <w:rFonts w:cs="Times New Roman"/>
                <w:sz w:val="20"/>
                <w:szCs w:val="20"/>
              </w:rPr>
            </w:pPr>
            <w:r w:rsidRPr="00B76053">
              <w:rPr>
                <w:rFonts w:cs="Times New Roman"/>
                <w:sz w:val="20"/>
                <w:szCs w:val="20"/>
              </w:rPr>
              <w:t>S-1 / S-1A (registration statement)</w:t>
            </w:r>
          </w:p>
        </w:tc>
        <w:tc>
          <w:tcPr>
            <w:tcW w:w="1260" w:type="dxa"/>
          </w:tcPr>
          <w:p w14:paraId="66EF52D8" w14:textId="77777777" w:rsidR="006046D2" w:rsidRPr="00B76053" w:rsidRDefault="00B04762">
            <w:pPr>
              <w:rPr>
                <w:rFonts w:cs="Times New Roman"/>
                <w:sz w:val="20"/>
                <w:szCs w:val="20"/>
              </w:rPr>
            </w:pPr>
            <w:r w:rsidRPr="00B76053">
              <w:rPr>
                <w:rFonts w:cs="Times New Roman"/>
                <w:sz w:val="20"/>
                <w:szCs w:val="20"/>
              </w:rPr>
              <w:t>FY 2020-2022 historical financials</w:t>
            </w:r>
          </w:p>
        </w:tc>
        <w:tc>
          <w:tcPr>
            <w:tcW w:w="3780" w:type="dxa"/>
          </w:tcPr>
          <w:p w14:paraId="064A1FAF" w14:textId="77777777" w:rsidR="006046D2" w:rsidRPr="00B76053" w:rsidRDefault="00B04762">
            <w:pPr>
              <w:rPr>
                <w:rFonts w:cs="Times New Roman"/>
                <w:sz w:val="20"/>
                <w:szCs w:val="20"/>
              </w:rPr>
            </w:pPr>
            <w:r w:rsidRPr="00B76053">
              <w:rPr>
                <w:rFonts w:cs="Times New Roman"/>
                <w:sz w:val="20"/>
                <w:szCs w:val="20"/>
              </w:rPr>
              <w:t>Source for FY 2021 audited income-statement and headcount values used in Table A.2 (Better is a Smaller Reporting Company; the 2023 10-K reports only two years).</w:t>
            </w:r>
          </w:p>
        </w:tc>
        <w:tc>
          <w:tcPr>
            <w:tcW w:w="1710" w:type="dxa"/>
          </w:tcPr>
          <w:p w14:paraId="64AE2FAC"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Reports/S1.pdf</w:t>
            </w:r>
          </w:p>
        </w:tc>
      </w:tr>
      <w:tr w:rsidR="00603AD8" w:rsidRPr="00B76053" w14:paraId="0C774EFC" w14:textId="77777777" w:rsidTr="00603AD8">
        <w:tc>
          <w:tcPr>
            <w:tcW w:w="558" w:type="dxa"/>
          </w:tcPr>
          <w:p w14:paraId="6F64CEA0" w14:textId="77777777" w:rsidR="006046D2" w:rsidRPr="00B76053" w:rsidRDefault="00B04762">
            <w:pPr>
              <w:rPr>
                <w:rFonts w:cs="Times New Roman"/>
                <w:sz w:val="20"/>
                <w:szCs w:val="20"/>
              </w:rPr>
            </w:pPr>
            <w:r w:rsidRPr="00B76053">
              <w:rPr>
                <w:rFonts w:cs="Times New Roman"/>
                <w:sz w:val="20"/>
                <w:szCs w:val="20"/>
              </w:rPr>
              <w:t>2</w:t>
            </w:r>
          </w:p>
        </w:tc>
        <w:tc>
          <w:tcPr>
            <w:tcW w:w="1350" w:type="dxa"/>
          </w:tcPr>
          <w:p w14:paraId="0957C2D8" w14:textId="77777777" w:rsidR="006046D2" w:rsidRPr="00B76053" w:rsidRDefault="00B04762">
            <w:pPr>
              <w:rPr>
                <w:rFonts w:cs="Times New Roman"/>
                <w:sz w:val="20"/>
                <w:szCs w:val="20"/>
              </w:rPr>
            </w:pPr>
            <w:r w:rsidRPr="00B76053">
              <w:rPr>
                <w:rFonts w:cs="Times New Roman"/>
                <w:sz w:val="20"/>
                <w:szCs w:val="20"/>
              </w:rPr>
              <w:t>Better Home &amp; Finance Holding Company</w:t>
            </w:r>
          </w:p>
        </w:tc>
        <w:tc>
          <w:tcPr>
            <w:tcW w:w="1080" w:type="dxa"/>
          </w:tcPr>
          <w:p w14:paraId="06DA8F8B"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09C18E62" w14:textId="77777777" w:rsidR="006046D2" w:rsidRPr="00B76053" w:rsidRDefault="00B04762">
            <w:pPr>
              <w:rPr>
                <w:rFonts w:cs="Times New Roman"/>
                <w:sz w:val="20"/>
                <w:szCs w:val="20"/>
              </w:rPr>
            </w:pPr>
            <w:r w:rsidRPr="00B76053">
              <w:rPr>
                <w:rFonts w:cs="Times New Roman"/>
                <w:sz w:val="20"/>
                <w:szCs w:val="20"/>
              </w:rPr>
              <w:t>FY 2023 (filed 2024)</w:t>
            </w:r>
          </w:p>
        </w:tc>
        <w:tc>
          <w:tcPr>
            <w:tcW w:w="3780" w:type="dxa"/>
          </w:tcPr>
          <w:p w14:paraId="617FF2A2" w14:textId="3D1ECC0E" w:rsidR="006046D2" w:rsidRPr="00B76053" w:rsidRDefault="00B04762">
            <w:pPr>
              <w:rPr>
                <w:rFonts w:cs="Times New Roman"/>
                <w:sz w:val="20"/>
                <w:szCs w:val="20"/>
              </w:rPr>
            </w:pPr>
            <w:r w:rsidRPr="00B76053">
              <w:rPr>
                <w:rFonts w:cs="Times New Roman"/>
                <w:sz w:val="20"/>
                <w:szCs w:val="20"/>
              </w:rPr>
              <w:t xml:space="preserve">Source for FY 2022 and FY 2023 audited </w:t>
            </w:r>
            <w:r w:rsidR="00C04910">
              <w:rPr>
                <w:rFonts w:cs="Times New Roman"/>
                <w:sz w:val="20"/>
                <w:szCs w:val="20"/>
              </w:rPr>
              <w:t>income statements</w:t>
            </w:r>
            <w:r w:rsidRPr="00B76053">
              <w:rPr>
                <w:rFonts w:cs="Times New Roman"/>
                <w:sz w:val="20"/>
                <w:szCs w:val="20"/>
              </w:rPr>
              <w:t xml:space="preserve">, </w:t>
            </w:r>
            <w:r w:rsidR="00C04910">
              <w:rPr>
                <w:rFonts w:cs="Times New Roman"/>
                <w:sz w:val="20"/>
                <w:szCs w:val="20"/>
              </w:rPr>
              <w:t>balance sheets</w:t>
            </w:r>
            <w:r w:rsidRPr="00B76053">
              <w:rPr>
                <w:rFonts w:cs="Times New Roman"/>
                <w:sz w:val="20"/>
                <w:szCs w:val="20"/>
              </w:rPr>
              <w:t>, and headcount values used in Table A.2.</w:t>
            </w:r>
          </w:p>
        </w:tc>
        <w:tc>
          <w:tcPr>
            <w:tcW w:w="1710" w:type="dxa"/>
          </w:tcPr>
          <w:p w14:paraId="048C1110"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Reports/2023.pdf</w:t>
            </w:r>
          </w:p>
        </w:tc>
      </w:tr>
      <w:tr w:rsidR="00603AD8" w:rsidRPr="00B76053" w14:paraId="3084228F" w14:textId="77777777" w:rsidTr="00603AD8">
        <w:tc>
          <w:tcPr>
            <w:tcW w:w="558" w:type="dxa"/>
          </w:tcPr>
          <w:p w14:paraId="581DC78D" w14:textId="77777777" w:rsidR="006046D2" w:rsidRPr="00B76053" w:rsidRDefault="00B04762">
            <w:pPr>
              <w:rPr>
                <w:rFonts w:cs="Times New Roman"/>
                <w:sz w:val="20"/>
                <w:szCs w:val="20"/>
              </w:rPr>
            </w:pPr>
            <w:r w:rsidRPr="00B76053">
              <w:rPr>
                <w:rFonts w:cs="Times New Roman"/>
                <w:sz w:val="20"/>
                <w:szCs w:val="20"/>
              </w:rPr>
              <w:t>3</w:t>
            </w:r>
          </w:p>
        </w:tc>
        <w:tc>
          <w:tcPr>
            <w:tcW w:w="1350" w:type="dxa"/>
          </w:tcPr>
          <w:p w14:paraId="097D5A4C" w14:textId="77777777" w:rsidR="006046D2" w:rsidRPr="00B76053" w:rsidRDefault="00B04762">
            <w:pPr>
              <w:rPr>
                <w:rFonts w:cs="Times New Roman"/>
                <w:sz w:val="20"/>
                <w:szCs w:val="20"/>
              </w:rPr>
            </w:pPr>
            <w:r w:rsidRPr="00B76053">
              <w:rPr>
                <w:rFonts w:cs="Times New Roman"/>
                <w:sz w:val="20"/>
                <w:szCs w:val="20"/>
              </w:rPr>
              <w:t>Better Home &amp; Finance Holding Company</w:t>
            </w:r>
          </w:p>
        </w:tc>
        <w:tc>
          <w:tcPr>
            <w:tcW w:w="1080" w:type="dxa"/>
          </w:tcPr>
          <w:p w14:paraId="28FDC291"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2A1E0DEB" w14:textId="77777777" w:rsidR="006046D2" w:rsidRPr="00B76053" w:rsidRDefault="00B04762">
            <w:pPr>
              <w:rPr>
                <w:rFonts w:cs="Times New Roman"/>
                <w:sz w:val="20"/>
                <w:szCs w:val="20"/>
              </w:rPr>
            </w:pPr>
            <w:r w:rsidRPr="00B76053">
              <w:rPr>
                <w:rFonts w:cs="Times New Roman"/>
                <w:sz w:val="20"/>
                <w:szCs w:val="20"/>
              </w:rPr>
              <w:t>FY 2024 (filed 2025)</w:t>
            </w:r>
          </w:p>
        </w:tc>
        <w:tc>
          <w:tcPr>
            <w:tcW w:w="3780" w:type="dxa"/>
          </w:tcPr>
          <w:p w14:paraId="5E08B0A8" w14:textId="7DFFDCA6" w:rsidR="006046D2" w:rsidRPr="00B76053" w:rsidRDefault="00B04762">
            <w:pPr>
              <w:rPr>
                <w:rFonts w:cs="Times New Roman"/>
                <w:sz w:val="20"/>
                <w:szCs w:val="20"/>
              </w:rPr>
            </w:pPr>
            <w:r w:rsidRPr="00B76053">
              <w:rPr>
                <w:rFonts w:cs="Times New Roman"/>
                <w:sz w:val="20"/>
                <w:szCs w:val="20"/>
              </w:rPr>
              <w:t xml:space="preserve">Source for FY 2024 audited income-statement, </w:t>
            </w:r>
            <w:r w:rsidR="00C04910">
              <w:rPr>
                <w:rFonts w:cs="Times New Roman"/>
                <w:sz w:val="20"/>
                <w:szCs w:val="20"/>
              </w:rPr>
              <w:t>balance sheet</w:t>
            </w:r>
            <w:r w:rsidRPr="00B76053">
              <w:rPr>
                <w:rFonts w:cs="Times New Roman"/>
                <w:sz w:val="20"/>
                <w:szCs w:val="20"/>
              </w:rPr>
              <w:t xml:space="preserve">, and headcount values used in Table A.2; also discloses the </w:t>
            </w:r>
            <w:r w:rsidRPr="00B76053">
              <w:rPr>
                <w:rFonts w:cs="Times New Roman"/>
                <w:sz w:val="20"/>
                <w:szCs w:val="20"/>
              </w:rPr>
              <w:lastRenderedPageBreak/>
              <w:t>October 2024 Betsy launch in the operational narrative.</w:t>
            </w:r>
          </w:p>
        </w:tc>
        <w:tc>
          <w:tcPr>
            <w:tcW w:w="1710" w:type="dxa"/>
          </w:tcPr>
          <w:p w14:paraId="0E6E1764" w14:textId="77777777" w:rsidR="006046D2" w:rsidRPr="00B76053" w:rsidRDefault="00B04762">
            <w:pPr>
              <w:rPr>
                <w:rFonts w:cs="Times New Roman"/>
                <w:sz w:val="20"/>
                <w:szCs w:val="20"/>
              </w:rPr>
            </w:pPr>
            <w:r w:rsidRPr="00B76053">
              <w:rPr>
                <w:rFonts w:cs="Times New Roman"/>
                <w:sz w:val="20"/>
                <w:szCs w:val="20"/>
              </w:rPr>
              <w:lastRenderedPageBreak/>
              <w:t>0</w:t>
            </w:r>
            <w:r w:rsidR="009902B3" w:rsidRPr="00B76053">
              <w:rPr>
                <w:rFonts w:cs="Times New Roman"/>
                <w:sz w:val="20"/>
                <w:szCs w:val="20"/>
              </w:rPr>
              <w:t>2</w:t>
            </w:r>
            <w:r w:rsidRPr="00B76053">
              <w:rPr>
                <w:rFonts w:cs="Times New Roman"/>
                <w:sz w:val="20"/>
                <w:szCs w:val="20"/>
              </w:rPr>
              <w:t>_Case_Study_Data/Better/Annual Reports/2024.pdf</w:t>
            </w:r>
          </w:p>
        </w:tc>
      </w:tr>
      <w:tr w:rsidR="00603AD8" w:rsidRPr="00B76053" w14:paraId="6B83C2ED" w14:textId="77777777" w:rsidTr="00603AD8">
        <w:tc>
          <w:tcPr>
            <w:tcW w:w="558" w:type="dxa"/>
          </w:tcPr>
          <w:p w14:paraId="582E8983" w14:textId="77777777" w:rsidR="006046D2" w:rsidRPr="00B76053" w:rsidRDefault="00B04762">
            <w:pPr>
              <w:rPr>
                <w:rFonts w:cs="Times New Roman"/>
                <w:sz w:val="20"/>
                <w:szCs w:val="20"/>
              </w:rPr>
            </w:pPr>
            <w:r w:rsidRPr="00B76053">
              <w:rPr>
                <w:rFonts w:cs="Times New Roman"/>
                <w:sz w:val="20"/>
                <w:szCs w:val="20"/>
              </w:rPr>
              <w:t>4</w:t>
            </w:r>
          </w:p>
        </w:tc>
        <w:tc>
          <w:tcPr>
            <w:tcW w:w="1350" w:type="dxa"/>
          </w:tcPr>
          <w:p w14:paraId="0C5E3DF6" w14:textId="77777777" w:rsidR="006046D2" w:rsidRPr="00B76053" w:rsidRDefault="00B04762">
            <w:pPr>
              <w:rPr>
                <w:rFonts w:cs="Times New Roman"/>
                <w:sz w:val="20"/>
                <w:szCs w:val="20"/>
              </w:rPr>
            </w:pPr>
            <w:r w:rsidRPr="00B76053">
              <w:rPr>
                <w:rFonts w:cs="Times New Roman"/>
                <w:sz w:val="20"/>
                <w:szCs w:val="20"/>
              </w:rPr>
              <w:t>Better Home &amp; Finance Holding Company</w:t>
            </w:r>
          </w:p>
        </w:tc>
        <w:tc>
          <w:tcPr>
            <w:tcW w:w="1080" w:type="dxa"/>
          </w:tcPr>
          <w:p w14:paraId="167BB1E7"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2264B2DA" w14:textId="77777777" w:rsidR="006046D2" w:rsidRPr="00B76053" w:rsidRDefault="00B04762">
            <w:pPr>
              <w:rPr>
                <w:rFonts w:cs="Times New Roman"/>
                <w:sz w:val="20"/>
                <w:szCs w:val="20"/>
              </w:rPr>
            </w:pPr>
            <w:r w:rsidRPr="00B76053">
              <w:rPr>
                <w:rFonts w:cs="Times New Roman"/>
                <w:sz w:val="20"/>
                <w:szCs w:val="20"/>
              </w:rPr>
              <w:t>FY 2025 (filed 2026)</w:t>
            </w:r>
          </w:p>
        </w:tc>
        <w:tc>
          <w:tcPr>
            <w:tcW w:w="3780" w:type="dxa"/>
          </w:tcPr>
          <w:p w14:paraId="0C2E1710" w14:textId="77777777" w:rsidR="006046D2" w:rsidRPr="00B76053" w:rsidRDefault="00B04762">
            <w:pPr>
              <w:rPr>
                <w:rFonts w:cs="Times New Roman"/>
                <w:sz w:val="20"/>
                <w:szCs w:val="20"/>
              </w:rPr>
            </w:pPr>
            <w:r w:rsidRPr="00B76053">
              <w:rPr>
                <w:rFonts w:cs="Times New Roman"/>
                <w:sz w:val="20"/>
                <w:szCs w:val="20"/>
              </w:rPr>
              <w:t>Source for FY 2025 audited income-statement, balance-sheet, and headcount values used in Table A.2.</w:t>
            </w:r>
          </w:p>
        </w:tc>
        <w:tc>
          <w:tcPr>
            <w:tcW w:w="1710" w:type="dxa"/>
          </w:tcPr>
          <w:p w14:paraId="5F376753"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Reports/2025.pdf</w:t>
            </w:r>
          </w:p>
        </w:tc>
      </w:tr>
      <w:tr w:rsidR="00603AD8" w:rsidRPr="00B76053" w14:paraId="06FC0BF1" w14:textId="77777777" w:rsidTr="00603AD8">
        <w:tc>
          <w:tcPr>
            <w:tcW w:w="558" w:type="dxa"/>
          </w:tcPr>
          <w:p w14:paraId="38D9EDE4" w14:textId="77777777" w:rsidR="006046D2" w:rsidRPr="00B76053" w:rsidRDefault="00B04762">
            <w:pPr>
              <w:rPr>
                <w:rFonts w:cs="Times New Roman"/>
                <w:sz w:val="20"/>
                <w:szCs w:val="20"/>
              </w:rPr>
            </w:pPr>
            <w:r w:rsidRPr="00B76053">
              <w:rPr>
                <w:rFonts w:cs="Times New Roman"/>
                <w:sz w:val="20"/>
                <w:szCs w:val="20"/>
              </w:rPr>
              <w:t>5</w:t>
            </w:r>
          </w:p>
        </w:tc>
        <w:tc>
          <w:tcPr>
            <w:tcW w:w="1350" w:type="dxa"/>
          </w:tcPr>
          <w:p w14:paraId="1B881DF8"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4FF27A46"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2449BEB3" w14:textId="77777777" w:rsidR="006046D2" w:rsidRPr="00B76053" w:rsidRDefault="00B04762">
            <w:pPr>
              <w:rPr>
                <w:rFonts w:cs="Times New Roman"/>
                <w:sz w:val="20"/>
                <w:szCs w:val="20"/>
              </w:rPr>
            </w:pPr>
            <w:r w:rsidRPr="00B76053">
              <w:rPr>
                <w:rFonts w:cs="Times New Roman"/>
                <w:sz w:val="20"/>
                <w:szCs w:val="20"/>
              </w:rPr>
              <w:t>FY 2020 (filed 2021)</w:t>
            </w:r>
          </w:p>
        </w:tc>
        <w:tc>
          <w:tcPr>
            <w:tcW w:w="3780" w:type="dxa"/>
          </w:tcPr>
          <w:p w14:paraId="3C25A8C0" w14:textId="77777777" w:rsidR="006046D2" w:rsidRPr="00B76053" w:rsidRDefault="00B04762">
            <w:pPr>
              <w:rPr>
                <w:rFonts w:cs="Times New Roman"/>
                <w:sz w:val="20"/>
                <w:szCs w:val="20"/>
              </w:rPr>
            </w:pPr>
            <w:r w:rsidRPr="00B76053">
              <w:rPr>
                <w:rFonts w:cs="Times New Roman"/>
                <w:sz w:val="20"/>
                <w:szCs w:val="20"/>
              </w:rPr>
              <w:t>Source for FY 2020 audited values used in Table A.2; this filing also contains the FY 2018 and FY 2019 audited comparative tables under the SEC three-year-comparative requirement, which are the provenance for the Rocket 2018 and 2019 rows.</w:t>
            </w:r>
          </w:p>
        </w:tc>
        <w:tc>
          <w:tcPr>
            <w:tcW w:w="1710" w:type="dxa"/>
          </w:tcPr>
          <w:p w14:paraId="0BC7B1C8"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Reports/2020.pdf</w:t>
            </w:r>
          </w:p>
        </w:tc>
      </w:tr>
      <w:tr w:rsidR="00603AD8" w:rsidRPr="00B76053" w14:paraId="76930D37" w14:textId="77777777" w:rsidTr="00603AD8">
        <w:tc>
          <w:tcPr>
            <w:tcW w:w="558" w:type="dxa"/>
          </w:tcPr>
          <w:p w14:paraId="0E62DE91" w14:textId="77777777" w:rsidR="006046D2" w:rsidRPr="00B76053" w:rsidRDefault="00B04762">
            <w:pPr>
              <w:rPr>
                <w:rFonts w:cs="Times New Roman"/>
                <w:sz w:val="20"/>
                <w:szCs w:val="20"/>
              </w:rPr>
            </w:pPr>
            <w:r w:rsidRPr="00B76053">
              <w:rPr>
                <w:rFonts w:cs="Times New Roman"/>
                <w:sz w:val="20"/>
                <w:szCs w:val="20"/>
              </w:rPr>
              <w:t>6</w:t>
            </w:r>
          </w:p>
        </w:tc>
        <w:tc>
          <w:tcPr>
            <w:tcW w:w="1350" w:type="dxa"/>
          </w:tcPr>
          <w:p w14:paraId="02011521"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7E944C28"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1A3A8B14" w14:textId="77777777" w:rsidR="006046D2" w:rsidRPr="00B76053" w:rsidRDefault="00B04762">
            <w:pPr>
              <w:rPr>
                <w:rFonts w:cs="Times New Roman"/>
                <w:sz w:val="20"/>
                <w:szCs w:val="20"/>
              </w:rPr>
            </w:pPr>
            <w:r w:rsidRPr="00B76053">
              <w:rPr>
                <w:rFonts w:cs="Times New Roman"/>
                <w:sz w:val="20"/>
                <w:szCs w:val="20"/>
              </w:rPr>
              <w:t>FY 2021 (filed 2022)</w:t>
            </w:r>
          </w:p>
        </w:tc>
        <w:tc>
          <w:tcPr>
            <w:tcW w:w="3780" w:type="dxa"/>
          </w:tcPr>
          <w:p w14:paraId="52F64213" w14:textId="77777777" w:rsidR="006046D2" w:rsidRPr="00B76053" w:rsidRDefault="00B04762">
            <w:pPr>
              <w:rPr>
                <w:rFonts w:cs="Times New Roman"/>
                <w:sz w:val="20"/>
                <w:szCs w:val="20"/>
              </w:rPr>
            </w:pPr>
            <w:r w:rsidRPr="00B76053">
              <w:rPr>
                <w:rFonts w:cs="Times New Roman"/>
                <w:sz w:val="20"/>
                <w:szCs w:val="20"/>
              </w:rPr>
              <w:t>Source for FY 2021 audited values used in Table A.2.</w:t>
            </w:r>
          </w:p>
        </w:tc>
        <w:tc>
          <w:tcPr>
            <w:tcW w:w="1710" w:type="dxa"/>
          </w:tcPr>
          <w:p w14:paraId="4C51BB80"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Reports/2021.pdf</w:t>
            </w:r>
          </w:p>
        </w:tc>
      </w:tr>
      <w:tr w:rsidR="00603AD8" w:rsidRPr="00B76053" w14:paraId="2F50925B" w14:textId="77777777" w:rsidTr="00603AD8">
        <w:tc>
          <w:tcPr>
            <w:tcW w:w="558" w:type="dxa"/>
          </w:tcPr>
          <w:p w14:paraId="026EF085" w14:textId="77777777" w:rsidR="006046D2" w:rsidRPr="00B76053" w:rsidRDefault="00B04762">
            <w:pPr>
              <w:rPr>
                <w:rFonts w:cs="Times New Roman"/>
                <w:sz w:val="20"/>
                <w:szCs w:val="20"/>
              </w:rPr>
            </w:pPr>
            <w:r w:rsidRPr="00B76053">
              <w:rPr>
                <w:rFonts w:cs="Times New Roman"/>
                <w:sz w:val="20"/>
                <w:szCs w:val="20"/>
              </w:rPr>
              <w:t>7</w:t>
            </w:r>
          </w:p>
        </w:tc>
        <w:tc>
          <w:tcPr>
            <w:tcW w:w="1350" w:type="dxa"/>
          </w:tcPr>
          <w:p w14:paraId="750DC367"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2C0E4341"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3A36D055" w14:textId="77777777" w:rsidR="006046D2" w:rsidRPr="00B76053" w:rsidRDefault="00B04762">
            <w:pPr>
              <w:rPr>
                <w:rFonts w:cs="Times New Roman"/>
                <w:sz w:val="20"/>
                <w:szCs w:val="20"/>
              </w:rPr>
            </w:pPr>
            <w:r w:rsidRPr="00B76053">
              <w:rPr>
                <w:rFonts w:cs="Times New Roman"/>
                <w:sz w:val="20"/>
                <w:szCs w:val="20"/>
              </w:rPr>
              <w:t>FY 2022 (filed 2023)</w:t>
            </w:r>
          </w:p>
        </w:tc>
        <w:tc>
          <w:tcPr>
            <w:tcW w:w="3780" w:type="dxa"/>
          </w:tcPr>
          <w:p w14:paraId="63E31DCD" w14:textId="77777777" w:rsidR="006046D2" w:rsidRPr="00B76053" w:rsidRDefault="00B04762">
            <w:pPr>
              <w:rPr>
                <w:rFonts w:cs="Times New Roman"/>
                <w:sz w:val="20"/>
                <w:szCs w:val="20"/>
              </w:rPr>
            </w:pPr>
            <w:r w:rsidRPr="00B76053">
              <w:rPr>
                <w:rFonts w:cs="Times New Roman"/>
                <w:sz w:val="20"/>
                <w:szCs w:val="20"/>
              </w:rPr>
              <w:t>Source for FY 2022 audited values used in Table A.2.</w:t>
            </w:r>
          </w:p>
        </w:tc>
        <w:tc>
          <w:tcPr>
            <w:tcW w:w="1710" w:type="dxa"/>
          </w:tcPr>
          <w:p w14:paraId="1AFB21E8"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Reports/2022.pdf</w:t>
            </w:r>
          </w:p>
        </w:tc>
      </w:tr>
      <w:tr w:rsidR="00603AD8" w:rsidRPr="00B76053" w14:paraId="570DC026" w14:textId="77777777" w:rsidTr="00603AD8">
        <w:tc>
          <w:tcPr>
            <w:tcW w:w="558" w:type="dxa"/>
          </w:tcPr>
          <w:p w14:paraId="410B7511" w14:textId="77777777" w:rsidR="006046D2" w:rsidRPr="00B76053" w:rsidRDefault="00B04762">
            <w:pPr>
              <w:rPr>
                <w:rFonts w:cs="Times New Roman"/>
                <w:sz w:val="20"/>
                <w:szCs w:val="20"/>
              </w:rPr>
            </w:pPr>
            <w:r w:rsidRPr="00B76053">
              <w:rPr>
                <w:rFonts w:cs="Times New Roman"/>
                <w:sz w:val="20"/>
                <w:szCs w:val="20"/>
              </w:rPr>
              <w:t>8</w:t>
            </w:r>
          </w:p>
        </w:tc>
        <w:tc>
          <w:tcPr>
            <w:tcW w:w="1350" w:type="dxa"/>
          </w:tcPr>
          <w:p w14:paraId="6F96D601"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089CD37C"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0369FDEA" w14:textId="77777777" w:rsidR="006046D2" w:rsidRPr="00B76053" w:rsidRDefault="00B04762">
            <w:pPr>
              <w:rPr>
                <w:rFonts w:cs="Times New Roman"/>
                <w:sz w:val="20"/>
                <w:szCs w:val="20"/>
              </w:rPr>
            </w:pPr>
            <w:r w:rsidRPr="00B76053">
              <w:rPr>
                <w:rFonts w:cs="Times New Roman"/>
                <w:sz w:val="20"/>
                <w:szCs w:val="20"/>
              </w:rPr>
              <w:t>FY 2023 (filed 2024)</w:t>
            </w:r>
          </w:p>
        </w:tc>
        <w:tc>
          <w:tcPr>
            <w:tcW w:w="3780" w:type="dxa"/>
          </w:tcPr>
          <w:p w14:paraId="143EA086" w14:textId="77777777" w:rsidR="006046D2" w:rsidRPr="00B76053" w:rsidRDefault="00B04762">
            <w:pPr>
              <w:rPr>
                <w:rFonts w:cs="Times New Roman"/>
                <w:sz w:val="20"/>
                <w:szCs w:val="20"/>
              </w:rPr>
            </w:pPr>
            <w:r w:rsidRPr="00B76053">
              <w:rPr>
                <w:rFonts w:cs="Times New Roman"/>
                <w:sz w:val="20"/>
                <w:szCs w:val="20"/>
              </w:rPr>
              <w:t>Source for FY 2023 audited values used in Table A.2.</w:t>
            </w:r>
          </w:p>
        </w:tc>
        <w:tc>
          <w:tcPr>
            <w:tcW w:w="1710" w:type="dxa"/>
          </w:tcPr>
          <w:p w14:paraId="41A0F618"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Reports/2023.pdf</w:t>
            </w:r>
          </w:p>
        </w:tc>
      </w:tr>
      <w:tr w:rsidR="00603AD8" w:rsidRPr="00B76053" w14:paraId="3CD1CC2E" w14:textId="77777777" w:rsidTr="00603AD8">
        <w:tc>
          <w:tcPr>
            <w:tcW w:w="558" w:type="dxa"/>
          </w:tcPr>
          <w:p w14:paraId="45914BF2" w14:textId="77777777" w:rsidR="006046D2" w:rsidRPr="00B76053" w:rsidRDefault="00B04762">
            <w:pPr>
              <w:rPr>
                <w:rFonts w:cs="Times New Roman"/>
                <w:sz w:val="20"/>
                <w:szCs w:val="20"/>
              </w:rPr>
            </w:pPr>
            <w:r w:rsidRPr="00B76053">
              <w:rPr>
                <w:rFonts w:cs="Times New Roman"/>
                <w:sz w:val="20"/>
                <w:szCs w:val="20"/>
              </w:rPr>
              <w:t>9</w:t>
            </w:r>
          </w:p>
        </w:tc>
        <w:tc>
          <w:tcPr>
            <w:tcW w:w="1350" w:type="dxa"/>
          </w:tcPr>
          <w:p w14:paraId="721B4A18"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1BF669FD"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574CDEB5" w14:textId="77777777" w:rsidR="006046D2" w:rsidRPr="00B76053" w:rsidRDefault="00B04762">
            <w:pPr>
              <w:rPr>
                <w:rFonts w:cs="Times New Roman"/>
                <w:sz w:val="20"/>
                <w:szCs w:val="20"/>
              </w:rPr>
            </w:pPr>
            <w:r w:rsidRPr="00B76053">
              <w:rPr>
                <w:rFonts w:cs="Times New Roman"/>
                <w:sz w:val="20"/>
                <w:szCs w:val="20"/>
              </w:rPr>
              <w:t>FY 2024 (filed 2025)</w:t>
            </w:r>
          </w:p>
        </w:tc>
        <w:tc>
          <w:tcPr>
            <w:tcW w:w="3780" w:type="dxa"/>
          </w:tcPr>
          <w:p w14:paraId="3B08B0C1" w14:textId="77777777" w:rsidR="006046D2" w:rsidRPr="00B76053" w:rsidRDefault="00B04762">
            <w:pPr>
              <w:rPr>
                <w:rFonts w:cs="Times New Roman"/>
                <w:sz w:val="20"/>
                <w:szCs w:val="20"/>
              </w:rPr>
            </w:pPr>
            <w:r w:rsidRPr="00B76053">
              <w:rPr>
                <w:rFonts w:cs="Times New Roman"/>
                <w:sz w:val="20"/>
                <w:szCs w:val="20"/>
              </w:rPr>
              <w:t>Source for FY 2024 audited values used in Table A.2; benchmark context throughout Chapter 5.</w:t>
            </w:r>
          </w:p>
        </w:tc>
        <w:tc>
          <w:tcPr>
            <w:tcW w:w="1710" w:type="dxa"/>
          </w:tcPr>
          <w:p w14:paraId="57719E46"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Reports/2024.pdf</w:t>
            </w:r>
          </w:p>
        </w:tc>
      </w:tr>
      <w:tr w:rsidR="00603AD8" w:rsidRPr="00B76053" w14:paraId="193C6AC4" w14:textId="77777777" w:rsidTr="00603AD8">
        <w:tc>
          <w:tcPr>
            <w:tcW w:w="558" w:type="dxa"/>
          </w:tcPr>
          <w:p w14:paraId="5792D800" w14:textId="77777777" w:rsidR="006046D2" w:rsidRPr="00B76053" w:rsidRDefault="00B04762">
            <w:pPr>
              <w:rPr>
                <w:rFonts w:cs="Times New Roman"/>
                <w:sz w:val="20"/>
                <w:szCs w:val="20"/>
              </w:rPr>
            </w:pPr>
            <w:r w:rsidRPr="00B76053">
              <w:rPr>
                <w:rFonts w:cs="Times New Roman"/>
                <w:sz w:val="20"/>
                <w:szCs w:val="20"/>
              </w:rPr>
              <w:t>10</w:t>
            </w:r>
          </w:p>
        </w:tc>
        <w:tc>
          <w:tcPr>
            <w:tcW w:w="1350" w:type="dxa"/>
          </w:tcPr>
          <w:p w14:paraId="3775694B"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2E552E4D"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14DE0177" w14:textId="77777777" w:rsidR="006046D2" w:rsidRPr="00B76053" w:rsidRDefault="00B04762">
            <w:pPr>
              <w:rPr>
                <w:rFonts w:cs="Times New Roman"/>
                <w:sz w:val="20"/>
                <w:szCs w:val="20"/>
              </w:rPr>
            </w:pPr>
            <w:r w:rsidRPr="00B76053">
              <w:rPr>
                <w:rFonts w:cs="Times New Roman"/>
                <w:sz w:val="20"/>
                <w:szCs w:val="20"/>
              </w:rPr>
              <w:t>FY 2025 (filed 2026)</w:t>
            </w:r>
          </w:p>
        </w:tc>
        <w:tc>
          <w:tcPr>
            <w:tcW w:w="3780" w:type="dxa"/>
          </w:tcPr>
          <w:p w14:paraId="23EADC44" w14:textId="77777777" w:rsidR="006046D2" w:rsidRPr="00B76053" w:rsidRDefault="00B04762">
            <w:pPr>
              <w:rPr>
                <w:rFonts w:cs="Times New Roman"/>
                <w:sz w:val="20"/>
                <w:szCs w:val="20"/>
              </w:rPr>
            </w:pPr>
            <w:r w:rsidRPr="00B76053">
              <w:rPr>
                <w:rFonts w:cs="Times New Roman"/>
                <w:sz w:val="20"/>
                <w:szCs w:val="20"/>
              </w:rPr>
              <w:t>Source for FY 2025 audited values used in Table A.2; the FY 2025 disclosures reflect the Mr. Cooper acquisition, which is treated as a confounder for per-employee productivity comparison and discussed in §5.3.5.</w:t>
            </w:r>
          </w:p>
        </w:tc>
        <w:tc>
          <w:tcPr>
            <w:tcW w:w="1710" w:type="dxa"/>
          </w:tcPr>
          <w:p w14:paraId="0410F2BA"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Reports/2025.pdf</w:t>
            </w:r>
          </w:p>
        </w:tc>
      </w:tr>
    </w:tbl>
    <w:p w14:paraId="3DD8A696" w14:textId="77777777" w:rsidR="006046D2" w:rsidRPr="00B76053" w:rsidRDefault="00B04762">
      <w:pPr>
        <w:pStyle w:val="Heading2"/>
        <w:rPr>
          <w:rFonts w:cs="Times New Roman"/>
        </w:rPr>
      </w:pPr>
      <w:bookmarkStart w:id="121" w:name="_Toc229755388"/>
      <w:r w:rsidRPr="00B76053">
        <w:rPr>
          <w:rFonts w:cs="Times New Roman"/>
        </w:rPr>
        <w:lastRenderedPageBreak/>
        <w:t>B.2 Extraction Methodology</w:t>
      </w:r>
      <w:bookmarkEnd w:id="121"/>
    </w:p>
    <w:p w14:paraId="3B7BA9F9" w14:textId="46D7B01A" w:rsidR="006046D2" w:rsidRPr="00B76053" w:rsidRDefault="00B04762">
      <w:pPr>
        <w:rPr>
          <w:rFonts w:cs="Times New Roman"/>
        </w:rPr>
      </w:pPr>
      <w:r w:rsidRPr="00B76053">
        <w:rPr>
          <w:rFonts w:cs="Times New Roman"/>
        </w:rPr>
        <w:t>Each filing PDF was downloaded from SEC EDGAR to 02_Case_Study_Data/ and text-extracted using the Python libraries pdfplumber and pypdf (scripts: 05_Code/Data Extraction code/extract_pdf_texts.py and 05_Code/Data Extraction code/extract_s1.py). For each filing, the relevant Statements of Operations and Item-1 Human-Capital pages were located by regex-anchored navigation (e.g., r"Total\s+net\s+revenues", r"Human\s+Capital"). The extracted line items were entered into a normalised long-format CSV (06_Data/financial_dataset_annual.csv) with columns (filer, fiscal_year, item, value, source_filing). Where a 10-K disclosed restated prior-year figures, the most recent restatement was used and the prior figure was retained in the working notebook (05_Code/financial_metric_analysis.ipynb).</w:t>
      </w:r>
    </w:p>
    <w:p w14:paraId="12349B5D" w14:textId="77777777" w:rsidR="006046D2" w:rsidRPr="00B76053" w:rsidRDefault="00B04762">
      <w:pPr>
        <w:pStyle w:val="Heading2"/>
        <w:rPr>
          <w:rFonts w:cs="Times New Roman"/>
        </w:rPr>
      </w:pPr>
      <w:bookmarkStart w:id="122" w:name="_Toc229755389"/>
      <w:r w:rsidRPr="00B76053">
        <w:rPr>
          <w:rFonts w:cs="Times New Roman"/>
        </w:rPr>
        <w:t>B.3 Validation and Cross-Checks</w:t>
      </w:r>
      <w:bookmarkEnd w:id="122"/>
    </w:p>
    <w:p w14:paraId="0738F377" w14:textId="77777777" w:rsidR="006046D2" w:rsidRPr="00B76053" w:rsidRDefault="00B04762">
      <w:pPr>
        <w:rPr>
          <w:rFonts w:cs="Times New Roman"/>
        </w:rPr>
      </w:pPr>
      <w:r w:rsidRPr="00B76053">
        <w:rPr>
          <w:rFonts w:cs="Times New Roman"/>
        </w:rPr>
        <w:t>Three validation checks were applied. First, every numeric line item extracted by pdfplumber was re-extracted by pypdf, and disagreements were flagged for manual review. Second, the computed expense ratios were cross-checked against the management-reported “key performance indicators” disclosure in each 10-K Item 7 (MD&amp;A) where available. Third, the headcount-based revenue-per-employee values were cross-checked against the human-capital disclosures in the same 10-K filing. All disagreements within rounding tolerance were resolved in favour of the 10-K Statements of Operations.</w:t>
      </w:r>
    </w:p>
    <w:p w14:paraId="2EE0C3F2" w14:textId="77777777" w:rsidR="006046D2" w:rsidRPr="00B76053" w:rsidRDefault="00B04762" w:rsidP="006D0C5C">
      <w:pPr>
        <w:pStyle w:val="Heading1"/>
        <w:rPr>
          <w:rFonts w:cs="Times New Roman"/>
        </w:rPr>
      </w:pPr>
      <w:bookmarkStart w:id="123" w:name="_Toc229755390"/>
      <w:r w:rsidRPr="00B76053">
        <w:rPr>
          <w:rFonts w:cs="Times New Roman"/>
        </w:rPr>
        <w:t>Appendix C. NLP Cleaning and Modelling Pipeline</w:t>
      </w:r>
      <w:bookmarkEnd w:id="123"/>
    </w:p>
    <w:p w14:paraId="7FC9D8BA" w14:textId="77777777" w:rsidR="006046D2" w:rsidRPr="00B76053" w:rsidRDefault="00B04762">
      <w:pPr>
        <w:pStyle w:val="Heading2"/>
        <w:rPr>
          <w:rFonts w:cs="Times New Roman"/>
        </w:rPr>
      </w:pPr>
      <w:bookmarkStart w:id="124" w:name="_Toc229755391"/>
      <w:r w:rsidRPr="00B76053">
        <w:rPr>
          <w:rFonts w:cs="Times New Roman"/>
        </w:rPr>
        <w:t>C.1 Trustpilot Extraction</w:t>
      </w:r>
      <w:bookmarkEnd w:id="124"/>
    </w:p>
    <w:p w14:paraId="7D8C5226" w14:textId="5CC75857" w:rsidR="006046D2" w:rsidRPr="00B76053" w:rsidRDefault="00B04762">
      <w:pPr>
        <w:rPr>
          <w:rFonts w:cs="Times New Roman"/>
        </w:rPr>
      </w:pPr>
      <w:r w:rsidRPr="00B76053">
        <w:rPr>
          <w:rFonts w:cs="Times New Roman"/>
        </w:rPr>
        <w:t>The Trustpilot review corpus was extracted on a single date</w:t>
      </w:r>
      <w:r w:rsidR="00FB048B">
        <w:rPr>
          <w:rFonts w:cs="Times New Roman"/>
        </w:rPr>
        <w:t xml:space="preserve"> </w:t>
      </w:r>
      <w:r w:rsidRPr="00B76053">
        <w:rPr>
          <w:rFonts w:cs="Times New Roman"/>
        </w:rPr>
        <w:t>26 April 2026,</w:t>
      </w:r>
      <w:r w:rsidR="00FB048B">
        <w:rPr>
          <w:rFonts w:cs="Times New Roman"/>
        </w:rPr>
        <w:t xml:space="preserve"> </w:t>
      </w:r>
      <w:r w:rsidRPr="00B76053">
        <w:rPr>
          <w:rFonts w:cs="Times New Roman"/>
        </w:rPr>
        <w:t>using the Apify Trustpilot Review Scraper (Actor ID l3wcDhSSC96LBRUpc), targeting the better.com domain. The raw extraction returned 1,934 reviews spanning the experience-date period 22 August 2020 to 25 April 2026 and is archived as a static CSV at 06_Data/NLP/Better_Reviews.csv. The thesis title-page date (April 2026) and the empirical cut-off (the latest review date, 25 April 2026) are therefore in the same calendar month.</w:t>
      </w:r>
    </w:p>
    <w:p w14:paraId="0B38824E" w14:textId="77777777" w:rsidR="006046D2" w:rsidRPr="00B76053" w:rsidRDefault="00B04762">
      <w:pPr>
        <w:pStyle w:val="Heading2"/>
        <w:rPr>
          <w:rFonts w:cs="Times New Roman"/>
        </w:rPr>
      </w:pPr>
      <w:bookmarkStart w:id="125" w:name="_Toc229755392"/>
      <w:r w:rsidRPr="00B76053">
        <w:rPr>
          <w:rFonts w:cs="Times New Roman"/>
        </w:rPr>
        <w:lastRenderedPageBreak/>
        <w:t>C.2 Cleaning Pipeline</w:t>
      </w:r>
      <w:bookmarkEnd w:id="125"/>
    </w:p>
    <w:p w14:paraId="11EB9F9D" w14:textId="77777777" w:rsidR="006046D2" w:rsidRPr="00B76053" w:rsidRDefault="00B04762">
      <w:pPr>
        <w:rPr>
          <w:rFonts w:cs="Times New Roman"/>
        </w:rPr>
      </w:pPr>
      <w:r w:rsidRPr="00B76053">
        <w:rPr>
          <w:rFonts w:cs="Times New Roman"/>
        </w:rPr>
        <w:t>The cleaning pipeline is documented in 05_Code/cleaning_reviews.ipynb and executes the following sequential filters on the raw extraction of 1,934 reviews (counts verified by re-executing the notebook against 06_Data/NLP/Better_Reviews.csv): (i) drop rows with missing review_text, rating, or review_date (0 dropped); (ii) drop duplicate review_id values (0 dropped, because Trustpilot review IDs are globally unique); (iii) drop reviews with body length of 20 characters or fewer (18 dropped); (iv) retain only reviews with the platform-tagged language metadata field equal to 'en' (1 non-English review dropped). The cleaned corpus contains 1,915 reviews. The pre/post split is anchored to the Betsy launch date (17 October 2024): 1,746 reviews pre-Betsy, 169 reviews post-Betsy. The wording in §3.4.2 of Chapter 3 describes the same four-step pipeline and reports the same final corpus counts.</w:t>
      </w:r>
    </w:p>
    <w:p w14:paraId="17570322" w14:textId="77777777" w:rsidR="006046D2" w:rsidRPr="00B76053" w:rsidRDefault="00B04762">
      <w:pPr>
        <w:pStyle w:val="Heading2"/>
        <w:rPr>
          <w:rFonts w:cs="Times New Roman"/>
        </w:rPr>
      </w:pPr>
      <w:bookmarkStart w:id="126" w:name="_Toc229755393"/>
      <w:r w:rsidRPr="00B76053">
        <w:rPr>
          <w:rFonts w:cs="Times New Roman"/>
        </w:rPr>
        <w:t>C.3 VADER Configuration</w:t>
      </w:r>
      <w:bookmarkEnd w:id="126"/>
    </w:p>
    <w:p w14:paraId="001FF291" w14:textId="77777777" w:rsidR="006046D2" w:rsidRPr="00B76053" w:rsidRDefault="00B04762">
      <w:pPr>
        <w:rPr>
          <w:rFonts w:cs="Times New Roman"/>
        </w:rPr>
      </w:pPr>
      <w:r w:rsidRPr="00B76053">
        <w:rPr>
          <w:rFonts w:cs="Times New Roman"/>
        </w:rPr>
        <w:t xml:space="preserve">VADER sentiment scoring was applied using </w:t>
      </w:r>
      <w:proofErr w:type="gramStart"/>
      <w:r w:rsidRPr="00B76053">
        <w:rPr>
          <w:rFonts w:cs="Times New Roman"/>
        </w:rPr>
        <w:t>nltk.sentiment</w:t>
      </w:r>
      <w:proofErr w:type="gramEnd"/>
      <w:r w:rsidRPr="00B76053">
        <w:rPr>
          <w:rFonts w:cs="Times New Roman"/>
        </w:rPr>
        <w:t>.vader (VADER v3.3.2). The compound score is the normalised, weighted composite valence used as the primary sentiment signal. No domain lexicon adaptation was applied; all four VADER scores (compound, positive, negative, neutral) are recorded in the per-review output.</w:t>
      </w:r>
    </w:p>
    <w:p w14:paraId="64A95587" w14:textId="77777777" w:rsidR="006046D2" w:rsidRPr="00B76053" w:rsidRDefault="00B04762">
      <w:pPr>
        <w:pStyle w:val="Heading2"/>
        <w:rPr>
          <w:rFonts w:cs="Times New Roman"/>
        </w:rPr>
      </w:pPr>
      <w:bookmarkStart w:id="127" w:name="_Toc229755394"/>
      <w:r w:rsidRPr="00B76053">
        <w:rPr>
          <w:rFonts w:cs="Times New Roman"/>
        </w:rPr>
        <w:t>C.4 BERTopic Hyperparameters</w:t>
      </w:r>
      <w:bookmarkEnd w:id="127"/>
    </w:p>
    <w:p w14:paraId="4F43065E" w14:textId="77777777" w:rsidR="006046D2" w:rsidRPr="00B76053" w:rsidRDefault="00B04762">
      <w:pPr>
        <w:rPr>
          <w:rFonts w:cs="Times New Roman"/>
        </w:rPr>
      </w:pPr>
      <w:r w:rsidRPr="00B76053">
        <w:rPr>
          <w:rFonts w:cs="Times New Roman"/>
        </w:rPr>
        <w:t>BERTopic was applied using the configuration documented in 05_Code/better_reviews_topic_modeling.ipynb: (i) embedding model all-MiniLM-L6-v2 (Hugging Face); (ii) UMAP dimensionality reduction with n_neighbors = 10, n_components = 5, min_dist = 0.0, metric = “cosine”; (iii) HDBSCAN density-based clustering with min_cluster_size = 10, min_samples = 3, cluster_selection_method = “eom”; (iv) c-TF-IDF topic representation with the default ClassTfidfTransformer; (v) random_state = 42 for reproducibility. The fitted model returned 44 topics; 1,198 reviews (66.4 percent of the cleaned corpus) were clustered to a non-noise topic and 606 reviews were classified as noise (topic = −1). Topic-share figures are treated as descriptive and not as inferential evidence (see §3.10, Risk 5).</w:t>
      </w:r>
    </w:p>
    <w:p w14:paraId="595822B5" w14:textId="77777777" w:rsidR="006046D2" w:rsidRPr="00B76053" w:rsidRDefault="00B04762">
      <w:pPr>
        <w:pStyle w:val="Heading2"/>
        <w:rPr>
          <w:rFonts w:cs="Times New Roman"/>
        </w:rPr>
      </w:pPr>
      <w:bookmarkStart w:id="128" w:name="_Toc229755395"/>
      <w:r w:rsidRPr="00B76053">
        <w:rPr>
          <w:rFonts w:cs="Times New Roman"/>
        </w:rPr>
        <w:lastRenderedPageBreak/>
        <w:t>C.5 Statistical Test Parameters</w:t>
      </w:r>
      <w:bookmarkEnd w:id="128"/>
    </w:p>
    <w:p w14:paraId="25385C70" w14:textId="77777777" w:rsidR="006046D2" w:rsidRPr="00B76053" w:rsidRDefault="00B04762">
      <w:pPr>
        <w:rPr>
          <w:rFonts w:cs="Times New Roman"/>
        </w:rPr>
      </w:pPr>
      <w:r w:rsidRPr="00B76053">
        <w:rPr>
          <w:rFonts w:cs="Times New Roman"/>
        </w:rPr>
        <w:t>Sentiment and rating differences between the pre-Betsy and post-Betsy periods were tested using Welch's t-test (two-sided), with Cohen's d as the effect-size measure. Keyword-prevalence differences were tested using two-sided chi-square tests with the Yates correction; where any expected cell count fell below 5, Fisher's exact test was substituted. All keyword-group p-values were Bonferroni-corrected for the seven keyword groups tested (α = 0.05/7 ≈ 0.00714). Only the Cost/Rates keyword group survives Bonferroni correction (§5.4.3).</w:t>
      </w:r>
    </w:p>
    <w:p w14:paraId="7E3EF0A0" w14:textId="77777777" w:rsidR="006046D2" w:rsidRPr="00B76053" w:rsidRDefault="00B04762">
      <w:pPr>
        <w:pStyle w:val="Heading1"/>
        <w:pageBreakBefore/>
        <w:rPr>
          <w:rFonts w:cs="Times New Roman"/>
        </w:rPr>
      </w:pPr>
      <w:bookmarkStart w:id="129" w:name="_Toc229755396"/>
      <w:r w:rsidRPr="00B76053">
        <w:rPr>
          <w:rFonts w:cs="Times New Roman"/>
        </w:rPr>
        <w:lastRenderedPageBreak/>
        <w:t>Appendix D. Topic Inventory and Keyword Dictionary</w:t>
      </w:r>
      <w:bookmarkEnd w:id="129"/>
    </w:p>
    <w:p w14:paraId="4FA23651" w14:textId="77777777" w:rsidR="006046D2" w:rsidRPr="00B76053" w:rsidRDefault="00B04762">
      <w:pPr>
        <w:pStyle w:val="Heading2"/>
        <w:rPr>
          <w:rFonts w:cs="Times New Roman"/>
        </w:rPr>
      </w:pPr>
      <w:bookmarkStart w:id="130" w:name="_Toc229755397"/>
      <w:r w:rsidRPr="00B76053">
        <w:rPr>
          <w:rFonts w:cs="Times New Roman"/>
        </w:rPr>
        <w:t>D.1 Top BERTopic Topics by Share</w:t>
      </w:r>
      <w:bookmarkEnd w:id="130"/>
    </w:p>
    <w:p w14:paraId="1D0A9593" w14:textId="77777777" w:rsidR="006046D2" w:rsidRPr="00B76053" w:rsidRDefault="00B04762">
      <w:pPr>
        <w:pStyle w:val="Caption"/>
        <w:rPr>
          <w:rFonts w:cs="Times New Roman"/>
        </w:rPr>
      </w:pPr>
      <w:r w:rsidRPr="00B76053">
        <w:rPr>
          <w:rFonts w:cs="Times New Roman"/>
        </w:rPr>
        <w:t>Table D.1. Top ten BERTopic topics by clustered-corpus share. Topic identifiers and labels are produced by the BERTopic pipeline documented in §C.4. Shares are computed within the clustered subset (n_clustered = 1,198 of 1,804 reviews used as topic-modelling input; the residual 606 are HDBSCAN noise points). Pre / post shares are computed within the pre-Betsy clustered subset (n = 1,077) and the post-Betsy clustered subset (n = 121). Δpp is the percentage-point difference (post − pre).</w:t>
      </w:r>
    </w:p>
    <w:tbl>
      <w:tblPr>
        <w:tblStyle w:val="TableGrid"/>
        <w:tblW w:w="0" w:type="auto"/>
        <w:tblLook w:val="04A0" w:firstRow="1" w:lastRow="0" w:firstColumn="1" w:lastColumn="0" w:noHBand="0" w:noVBand="1"/>
      </w:tblPr>
      <w:tblGrid>
        <w:gridCol w:w="803"/>
        <w:gridCol w:w="3451"/>
        <w:gridCol w:w="1282"/>
        <w:gridCol w:w="2076"/>
        <w:gridCol w:w="1738"/>
      </w:tblGrid>
      <w:tr w:rsidR="006C7CA8" w:rsidRPr="00B76053" w14:paraId="702E6625" w14:textId="77777777" w:rsidTr="006C7CA8">
        <w:tc>
          <w:tcPr>
            <w:tcW w:w="753" w:type="dxa"/>
          </w:tcPr>
          <w:p w14:paraId="3A18DB34" w14:textId="77777777" w:rsidR="006C7CA8" w:rsidRPr="00B76053" w:rsidRDefault="006C7CA8">
            <w:pPr>
              <w:rPr>
                <w:rFonts w:cs="Times New Roman"/>
              </w:rPr>
            </w:pPr>
            <w:r w:rsidRPr="00B76053">
              <w:rPr>
                <w:rFonts w:cs="Times New Roman"/>
                <w:b/>
              </w:rPr>
              <w:t>Topic ID</w:t>
            </w:r>
          </w:p>
        </w:tc>
        <w:tc>
          <w:tcPr>
            <w:tcW w:w="3559" w:type="dxa"/>
          </w:tcPr>
          <w:p w14:paraId="669E3992" w14:textId="77777777" w:rsidR="006C7CA8" w:rsidRPr="00B76053" w:rsidRDefault="006C7CA8">
            <w:pPr>
              <w:rPr>
                <w:rFonts w:cs="Times New Roman"/>
              </w:rPr>
            </w:pPr>
            <w:r w:rsidRPr="00B76053">
              <w:rPr>
                <w:rFonts w:cs="Times New Roman"/>
                <w:b/>
              </w:rPr>
              <w:t>BERTopic label</w:t>
            </w:r>
          </w:p>
        </w:tc>
        <w:tc>
          <w:tcPr>
            <w:tcW w:w="1286" w:type="dxa"/>
          </w:tcPr>
          <w:p w14:paraId="5F139484" w14:textId="77777777" w:rsidR="006C7CA8" w:rsidRPr="00B76053" w:rsidRDefault="006C7CA8">
            <w:pPr>
              <w:rPr>
                <w:rFonts w:cs="Times New Roman"/>
              </w:rPr>
            </w:pPr>
            <w:r w:rsidRPr="00B76053">
              <w:rPr>
                <w:rFonts w:cs="Times New Roman"/>
                <w:b/>
              </w:rPr>
              <w:t>Clustered share (%)</w:t>
            </w:r>
          </w:p>
        </w:tc>
        <w:tc>
          <w:tcPr>
            <w:tcW w:w="2160" w:type="dxa"/>
          </w:tcPr>
          <w:p w14:paraId="0D357D2C" w14:textId="77777777" w:rsidR="006C7CA8" w:rsidRPr="00B76053" w:rsidRDefault="006C7CA8">
            <w:pPr>
              <w:rPr>
                <w:rFonts w:cs="Times New Roman"/>
              </w:rPr>
            </w:pPr>
            <w:r w:rsidRPr="00B76053">
              <w:rPr>
                <w:rFonts w:cs="Times New Roman"/>
                <w:b/>
              </w:rPr>
              <w:t>Pre-Betsy share (%)</w:t>
            </w:r>
          </w:p>
        </w:tc>
        <w:tc>
          <w:tcPr>
            <w:tcW w:w="1800" w:type="dxa"/>
          </w:tcPr>
          <w:p w14:paraId="580FC611" w14:textId="77777777" w:rsidR="006C7CA8" w:rsidRPr="00B76053" w:rsidRDefault="006C7CA8">
            <w:pPr>
              <w:rPr>
                <w:rFonts w:cs="Times New Roman"/>
              </w:rPr>
            </w:pPr>
            <w:r w:rsidRPr="00B76053">
              <w:rPr>
                <w:rFonts w:cs="Times New Roman"/>
                <w:b/>
              </w:rPr>
              <w:t>Post-Betsy share (%)</w:t>
            </w:r>
          </w:p>
        </w:tc>
      </w:tr>
      <w:tr w:rsidR="006C7CA8" w:rsidRPr="00B76053" w14:paraId="744E2203" w14:textId="77777777" w:rsidTr="006C7CA8">
        <w:tc>
          <w:tcPr>
            <w:tcW w:w="753" w:type="dxa"/>
          </w:tcPr>
          <w:p w14:paraId="3F118FD4" w14:textId="77777777" w:rsidR="006C7CA8" w:rsidRPr="00B76053" w:rsidRDefault="006C7CA8">
            <w:pPr>
              <w:rPr>
                <w:rFonts w:cs="Times New Roman"/>
              </w:rPr>
            </w:pPr>
            <w:r w:rsidRPr="00B76053">
              <w:rPr>
                <w:rFonts w:cs="Times New Roman"/>
              </w:rPr>
              <w:t>0</w:t>
            </w:r>
          </w:p>
        </w:tc>
        <w:tc>
          <w:tcPr>
            <w:tcW w:w="3559" w:type="dxa"/>
          </w:tcPr>
          <w:p w14:paraId="1FC7918F" w14:textId="77777777" w:rsidR="006C7CA8" w:rsidRPr="00B76053" w:rsidRDefault="006C7CA8">
            <w:pPr>
              <w:rPr>
                <w:rFonts w:cs="Times New Roman"/>
              </w:rPr>
            </w:pPr>
            <w:r w:rsidRPr="00B76053">
              <w:rPr>
                <w:rFonts w:cs="Times New Roman"/>
              </w:rPr>
              <w:t>First-Time Home Purchase</w:t>
            </w:r>
          </w:p>
        </w:tc>
        <w:tc>
          <w:tcPr>
            <w:tcW w:w="1286" w:type="dxa"/>
          </w:tcPr>
          <w:p w14:paraId="4627D0BF" w14:textId="77777777" w:rsidR="006C7CA8" w:rsidRPr="00B76053" w:rsidRDefault="006C7CA8">
            <w:pPr>
              <w:rPr>
                <w:rFonts w:cs="Times New Roman"/>
              </w:rPr>
            </w:pPr>
            <w:r w:rsidRPr="00B76053">
              <w:rPr>
                <w:rFonts w:cs="Times New Roman"/>
              </w:rPr>
              <w:t>7.26</w:t>
            </w:r>
          </w:p>
        </w:tc>
        <w:tc>
          <w:tcPr>
            <w:tcW w:w="2160" w:type="dxa"/>
          </w:tcPr>
          <w:p w14:paraId="00801944" w14:textId="77777777" w:rsidR="006C7CA8" w:rsidRPr="00B76053" w:rsidRDefault="006C7CA8">
            <w:pPr>
              <w:rPr>
                <w:rFonts w:cs="Times New Roman"/>
              </w:rPr>
            </w:pPr>
            <w:r w:rsidRPr="00B76053">
              <w:rPr>
                <w:rFonts w:cs="Times New Roman"/>
              </w:rPr>
              <w:t>7.61</w:t>
            </w:r>
          </w:p>
        </w:tc>
        <w:tc>
          <w:tcPr>
            <w:tcW w:w="1800" w:type="dxa"/>
          </w:tcPr>
          <w:p w14:paraId="4D55EC11" w14:textId="77777777" w:rsidR="006C7CA8" w:rsidRPr="00B76053" w:rsidRDefault="006C7CA8">
            <w:pPr>
              <w:rPr>
                <w:rFonts w:cs="Times New Roman"/>
              </w:rPr>
            </w:pPr>
            <w:r w:rsidRPr="00B76053">
              <w:rPr>
                <w:rFonts w:cs="Times New Roman"/>
              </w:rPr>
              <w:t>4.13</w:t>
            </w:r>
          </w:p>
        </w:tc>
      </w:tr>
      <w:tr w:rsidR="006C7CA8" w:rsidRPr="00B76053" w14:paraId="2E36BEE5" w14:textId="77777777" w:rsidTr="006C7CA8">
        <w:tc>
          <w:tcPr>
            <w:tcW w:w="753" w:type="dxa"/>
          </w:tcPr>
          <w:p w14:paraId="747BD096" w14:textId="77777777" w:rsidR="006C7CA8" w:rsidRPr="00B76053" w:rsidRDefault="006C7CA8">
            <w:pPr>
              <w:rPr>
                <w:rFonts w:cs="Times New Roman"/>
              </w:rPr>
            </w:pPr>
            <w:r w:rsidRPr="00B76053">
              <w:rPr>
                <w:rFonts w:cs="Times New Roman"/>
              </w:rPr>
              <w:t>1</w:t>
            </w:r>
          </w:p>
        </w:tc>
        <w:tc>
          <w:tcPr>
            <w:tcW w:w="3559" w:type="dxa"/>
          </w:tcPr>
          <w:p w14:paraId="4CFE024D" w14:textId="77777777" w:rsidR="006C7CA8" w:rsidRPr="00B76053" w:rsidRDefault="006C7CA8">
            <w:pPr>
              <w:rPr>
                <w:rFonts w:cs="Times New Roman"/>
              </w:rPr>
            </w:pPr>
            <w:r w:rsidRPr="00B76053">
              <w:rPr>
                <w:rFonts w:cs="Times New Roman"/>
              </w:rPr>
              <w:t>Online Refinance — Positive</w:t>
            </w:r>
          </w:p>
        </w:tc>
        <w:tc>
          <w:tcPr>
            <w:tcW w:w="1286" w:type="dxa"/>
          </w:tcPr>
          <w:p w14:paraId="47AB2EE5" w14:textId="77777777" w:rsidR="006C7CA8" w:rsidRPr="00B76053" w:rsidRDefault="006C7CA8">
            <w:pPr>
              <w:rPr>
                <w:rFonts w:cs="Times New Roman"/>
              </w:rPr>
            </w:pPr>
            <w:r w:rsidRPr="00B76053">
              <w:rPr>
                <w:rFonts w:cs="Times New Roman"/>
              </w:rPr>
              <w:t>6.59</w:t>
            </w:r>
          </w:p>
        </w:tc>
        <w:tc>
          <w:tcPr>
            <w:tcW w:w="2160" w:type="dxa"/>
          </w:tcPr>
          <w:p w14:paraId="0D32E8C0" w14:textId="77777777" w:rsidR="006C7CA8" w:rsidRPr="00B76053" w:rsidRDefault="006C7CA8">
            <w:pPr>
              <w:rPr>
                <w:rFonts w:cs="Times New Roman"/>
              </w:rPr>
            </w:pPr>
            <w:r w:rsidRPr="00B76053">
              <w:rPr>
                <w:rFonts w:cs="Times New Roman"/>
              </w:rPr>
              <w:t>7.15</w:t>
            </w:r>
          </w:p>
        </w:tc>
        <w:tc>
          <w:tcPr>
            <w:tcW w:w="1800" w:type="dxa"/>
          </w:tcPr>
          <w:p w14:paraId="7517D441" w14:textId="77777777" w:rsidR="006C7CA8" w:rsidRPr="00B76053" w:rsidRDefault="006C7CA8">
            <w:pPr>
              <w:rPr>
                <w:rFonts w:cs="Times New Roman"/>
              </w:rPr>
            </w:pPr>
            <w:r w:rsidRPr="00B76053">
              <w:rPr>
                <w:rFonts w:cs="Times New Roman"/>
              </w:rPr>
              <w:t>1.65</w:t>
            </w:r>
          </w:p>
        </w:tc>
      </w:tr>
      <w:tr w:rsidR="006C7CA8" w:rsidRPr="00B76053" w14:paraId="1857E986" w14:textId="77777777" w:rsidTr="006C7CA8">
        <w:tc>
          <w:tcPr>
            <w:tcW w:w="753" w:type="dxa"/>
          </w:tcPr>
          <w:p w14:paraId="054625A5" w14:textId="77777777" w:rsidR="006C7CA8" w:rsidRPr="00B76053" w:rsidRDefault="006C7CA8">
            <w:pPr>
              <w:rPr>
                <w:rFonts w:cs="Times New Roman"/>
              </w:rPr>
            </w:pPr>
            <w:r w:rsidRPr="00B76053">
              <w:rPr>
                <w:rFonts w:cs="Times New Roman"/>
              </w:rPr>
              <w:t>2</w:t>
            </w:r>
          </w:p>
        </w:tc>
        <w:tc>
          <w:tcPr>
            <w:tcW w:w="3559" w:type="dxa"/>
          </w:tcPr>
          <w:p w14:paraId="6F1EE53C" w14:textId="77777777" w:rsidR="006C7CA8" w:rsidRPr="00B76053" w:rsidRDefault="006C7CA8">
            <w:pPr>
              <w:rPr>
                <w:rFonts w:cs="Times New Roman"/>
              </w:rPr>
            </w:pPr>
            <w:r w:rsidRPr="00B76053">
              <w:rPr>
                <w:rFonts w:cs="Times New Roman"/>
              </w:rPr>
              <w:t>Efficient Refinance &amp; Advocacy</w:t>
            </w:r>
          </w:p>
        </w:tc>
        <w:tc>
          <w:tcPr>
            <w:tcW w:w="1286" w:type="dxa"/>
          </w:tcPr>
          <w:p w14:paraId="0F4D14C7" w14:textId="77777777" w:rsidR="006C7CA8" w:rsidRPr="00B76053" w:rsidRDefault="006C7CA8">
            <w:pPr>
              <w:rPr>
                <w:rFonts w:cs="Times New Roman"/>
              </w:rPr>
            </w:pPr>
            <w:r w:rsidRPr="00B76053">
              <w:rPr>
                <w:rFonts w:cs="Times New Roman"/>
              </w:rPr>
              <w:t>4.42</w:t>
            </w:r>
          </w:p>
        </w:tc>
        <w:tc>
          <w:tcPr>
            <w:tcW w:w="2160" w:type="dxa"/>
          </w:tcPr>
          <w:p w14:paraId="1B22D203" w14:textId="77777777" w:rsidR="006C7CA8" w:rsidRPr="00B76053" w:rsidRDefault="006C7CA8">
            <w:pPr>
              <w:rPr>
                <w:rFonts w:cs="Times New Roman"/>
              </w:rPr>
            </w:pPr>
            <w:r w:rsidRPr="00B76053">
              <w:rPr>
                <w:rFonts w:cs="Times New Roman"/>
              </w:rPr>
              <w:t>4.64</w:t>
            </w:r>
          </w:p>
        </w:tc>
        <w:tc>
          <w:tcPr>
            <w:tcW w:w="1800" w:type="dxa"/>
          </w:tcPr>
          <w:p w14:paraId="21DF8E04" w14:textId="77777777" w:rsidR="006C7CA8" w:rsidRPr="00B76053" w:rsidRDefault="006C7CA8">
            <w:pPr>
              <w:rPr>
                <w:rFonts w:cs="Times New Roman"/>
              </w:rPr>
            </w:pPr>
            <w:r w:rsidRPr="00B76053">
              <w:rPr>
                <w:rFonts w:cs="Times New Roman"/>
              </w:rPr>
              <w:t>2.48</w:t>
            </w:r>
          </w:p>
        </w:tc>
      </w:tr>
      <w:tr w:rsidR="006C7CA8" w:rsidRPr="00B76053" w14:paraId="54DDEF48" w14:textId="77777777" w:rsidTr="006C7CA8">
        <w:tc>
          <w:tcPr>
            <w:tcW w:w="753" w:type="dxa"/>
          </w:tcPr>
          <w:p w14:paraId="7FA68AC0" w14:textId="77777777" w:rsidR="006C7CA8" w:rsidRPr="00B76053" w:rsidRDefault="006C7CA8">
            <w:pPr>
              <w:rPr>
                <w:rFonts w:cs="Times New Roman"/>
              </w:rPr>
            </w:pPr>
            <w:r w:rsidRPr="00B76053">
              <w:rPr>
                <w:rFonts w:cs="Times New Roman"/>
              </w:rPr>
              <w:t>3</w:t>
            </w:r>
          </w:p>
        </w:tc>
        <w:tc>
          <w:tcPr>
            <w:tcW w:w="3559" w:type="dxa"/>
          </w:tcPr>
          <w:p w14:paraId="3325D61F" w14:textId="77777777" w:rsidR="006C7CA8" w:rsidRPr="00B76053" w:rsidRDefault="006C7CA8">
            <w:pPr>
              <w:rPr>
                <w:rFonts w:cs="Times New Roman"/>
              </w:rPr>
            </w:pPr>
            <w:r w:rsidRPr="00B76053">
              <w:rPr>
                <w:rFonts w:cs="Times New Roman"/>
              </w:rPr>
              <w:t>Competitive Rates &amp; Fees</w:t>
            </w:r>
          </w:p>
        </w:tc>
        <w:tc>
          <w:tcPr>
            <w:tcW w:w="1286" w:type="dxa"/>
          </w:tcPr>
          <w:p w14:paraId="4D942C2B" w14:textId="77777777" w:rsidR="006C7CA8" w:rsidRPr="00B76053" w:rsidRDefault="006C7CA8">
            <w:pPr>
              <w:rPr>
                <w:rFonts w:cs="Times New Roman"/>
              </w:rPr>
            </w:pPr>
            <w:r w:rsidRPr="00B76053">
              <w:rPr>
                <w:rFonts w:cs="Times New Roman"/>
              </w:rPr>
              <w:t>4.34</w:t>
            </w:r>
          </w:p>
        </w:tc>
        <w:tc>
          <w:tcPr>
            <w:tcW w:w="2160" w:type="dxa"/>
          </w:tcPr>
          <w:p w14:paraId="486F3D58" w14:textId="77777777" w:rsidR="006C7CA8" w:rsidRPr="00B76053" w:rsidRDefault="006C7CA8">
            <w:pPr>
              <w:rPr>
                <w:rFonts w:cs="Times New Roman"/>
              </w:rPr>
            </w:pPr>
            <w:r w:rsidRPr="00B76053">
              <w:rPr>
                <w:rFonts w:cs="Times New Roman"/>
              </w:rPr>
              <w:t>4.55</w:t>
            </w:r>
          </w:p>
        </w:tc>
        <w:tc>
          <w:tcPr>
            <w:tcW w:w="1800" w:type="dxa"/>
          </w:tcPr>
          <w:p w14:paraId="6E913CFF" w14:textId="77777777" w:rsidR="006C7CA8" w:rsidRPr="00B76053" w:rsidRDefault="006C7CA8">
            <w:pPr>
              <w:rPr>
                <w:rFonts w:cs="Times New Roman"/>
              </w:rPr>
            </w:pPr>
            <w:r w:rsidRPr="00B76053">
              <w:rPr>
                <w:rFonts w:cs="Times New Roman"/>
              </w:rPr>
              <w:t>2.48</w:t>
            </w:r>
          </w:p>
        </w:tc>
      </w:tr>
      <w:tr w:rsidR="006C7CA8" w:rsidRPr="00B76053" w14:paraId="3A279CD1" w14:textId="77777777" w:rsidTr="006C7CA8">
        <w:tc>
          <w:tcPr>
            <w:tcW w:w="753" w:type="dxa"/>
          </w:tcPr>
          <w:p w14:paraId="613185AE" w14:textId="77777777" w:rsidR="006C7CA8" w:rsidRPr="00B76053" w:rsidRDefault="006C7CA8">
            <w:pPr>
              <w:rPr>
                <w:rFonts w:cs="Times New Roman"/>
              </w:rPr>
            </w:pPr>
            <w:r w:rsidRPr="00B76053">
              <w:rPr>
                <w:rFonts w:cs="Times New Roman"/>
              </w:rPr>
              <w:t>4</w:t>
            </w:r>
          </w:p>
        </w:tc>
        <w:tc>
          <w:tcPr>
            <w:tcW w:w="3559" w:type="dxa"/>
          </w:tcPr>
          <w:p w14:paraId="43E24CF6" w14:textId="77777777" w:rsidR="006C7CA8" w:rsidRPr="00B76053" w:rsidRDefault="006C7CA8">
            <w:pPr>
              <w:rPr>
                <w:rFonts w:cs="Times New Roman"/>
              </w:rPr>
            </w:pPr>
            <w:r w:rsidRPr="00B76053">
              <w:rPr>
                <w:rFonts w:cs="Times New Roman"/>
              </w:rPr>
              <w:t>Quick Refi — Short Praise</w:t>
            </w:r>
          </w:p>
        </w:tc>
        <w:tc>
          <w:tcPr>
            <w:tcW w:w="1286" w:type="dxa"/>
          </w:tcPr>
          <w:p w14:paraId="5BAF50A8" w14:textId="77777777" w:rsidR="006C7CA8" w:rsidRPr="00B76053" w:rsidRDefault="006C7CA8">
            <w:pPr>
              <w:rPr>
                <w:rFonts w:cs="Times New Roman"/>
              </w:rPr>
            </w:pPr>
            <w:r w:rsidRPr="00B76053">
              <w:rPr>
                <w:rFonts w:cs="Times New Roman"/>
              </w:rPr>
              <w:t>3.67</w:t>
            </w:r>
          </w:p>
        </w:tc>
        <w:tc>
          <w:tcPr>
            <w:tcW w:w="2160" w:type="dxa"/>
          </w:tcPr>
          <w:p w14:paraId="6FB62E52" w14:textId="77777777" w:rsidR="006C7CA8" w:rsidRPr="00B76053" w:rsidRDefault="006C7CA8">
            <w:pPr>
              <w:rPr>
                <w:rFonts w:cs="Times New Roman"/>
              </w:rPr>
            </w:pPr>
            <w:r w:rsidRPr="00B76053">
              <w:rPr>
                <w:rFonts w:cs="Times New Roman"/>
              </w:rPr>
              <w:t>4.09</w:t>
            </w:r>
          </w:p>
        </w:tc>
        <w:tc>
          <w:tcPr>
            <w:tcW w:w="1800" w:type="dxa"/>
          </w:tcPr>
          <w:p w14:paraId="3B1BF235" w14:textId="77777777" w:rsidR="006C7CA8" w:rsidRPr="00B76053" w:rsidRDefault="006C7CA8">
            <w:pPr>
              <w:rPr>
                <w:rFonts w:cs="Times New Roman"/>
              </w:rPr>
            </w:pPr>
            <w:r w:rsidRPr="00B76053">
              <w:rPr>
                <w:rFonts w:cs="Times New Roman"/>
              </w:rPr>
              <w:t>0.00</w:t>
            </w:r>
          </w:p>
        </w:tc>
      </w:tr>
      <w:tr w:rsidR="006C7CA8" w:rsidRPr="00B76053" w14:paraId="0C0C058C" w14:textId="77777777" w:rsidTr="006C7CA8">
        <w:tc>
          <w:tcPr>
            <w:tcW w:w="753" w:type="dxa"/>
          </w:tcPr>
          <w:p w14:paraId="1CB7D54B" w14:textId="77777777" w:rsidR="006C7CA8" w:rsidRPr="00B76053" w:rsidRDefault="006C7CA8">
            <w:pPr>
              <w:rPr>
                <w:rFonts w:cs="Times New Roman"/>
              </w:rPr>
            </w:pPr>
            <w:r w:rsidRPr="00B76053">
              <w:rPr>
                <w:rFonts w:cs="Times New Roman"/>
              </w:rPr>
              <w:t>5</w:t>
            </w:r>
          </w:p>
        </w:tc>
        <w:tc>
          <w:tcPr>
            <w:tcW w:w="3559" w:type="dxa"/>
          </w:tcPr>
          <w:p w14:paraId="537E7024" w14:textId="77777777" w:rsidR="006C7CA8" w:rsidRPr="00B76053" w:rsidRDefault="006C7CA8">
            <w:pPr>
              <w:rPr>
                <w:rFonts w:cs="Times New Roman"/>
              </w:rPr>
            </w:pPr>
            <w:r w:rsidRPr="00B76053">
              <w:rPr>
                <w:rFonts w:cs="Times New Roman"/>
              </w:rPr>
              <w:t>Closing Timeline &amp; Process</w:t>
            </w:r>
          </w:p>
        </w:tc>
        <w:tc>
          <w:tcPr>
            <w:tcW w:w="1286" w:type="dxa"/>
          </w:tcPr>
          <w:p w14:paraId="34A10360" w14:textId="77777777" w:rsidR="006C7CA8" w:rsidRPr="00B76053" w:rsidRDefault="006C7CA8">
            <w:pPr>
              <w:rPr>
                <w:rFonts w:cs="Times New Roman"/>
              </w:rPr>
            </w:pPr>
            <w:r w:rsidRPr="00B76053">
              <w:rPr>
                <w:rFonts w:cs="Times New Roman"/>
              </w:rPr>
              <w:t>3.42</w:t>
            </w:r>
          </w:p>
        </w:tc>
        <w:tc>
          <w:tcPr>
            <w:tcW w:w="2160" w:type="dxa"/>
          </w:tcPr>
          <w:p w14:paraId="200B3BBD" w14:textId="77777777" w:rsidR="006C7CA8" w:rsidRPr="00B76053" w:rsidRDefault="006C7CA8">
            <w:pPr>
              <w:rPr>
                <w:rFonts w:cs="Times New Roman"/>
              </w:rPr>
            </w:pPr>
            <w:r w:rsidRPr="00B76053">
              <w:rPr>
                <w:rFonts w:cs="Times New Roman"/>
              </w:rPr>
              <w:t>3.06</w:t>
            </w:r>
          </w:p>
        </w:tc>
        <w:tc>
          <w:tcPr>
            <w:tcW w:w="1800" w:type="dxa"/>
          </w:tcPr>
          <w:p w14:paraId="69FF8E89" w14:textId="77777777" w:rsidR="006C7CA8" w:rsidRPr="00B76053" w:rsidRDefault="006C7CA8">
            <w:pPr>
              <w:rPr>
                <w:rFonts w:cs="Times New Roman"/>
              </w:rPr>
            </w:pPr>
            <w:r w:rsidRPr="00B76053">
              <w:rPr>
                <w:rFonts w:cs="Times New Roman"/>
              </w:rPr>
              <w:t>6.61</w:t>
            </w:r>
          </w:p>
        </w:tc>
      </w:tr>
      <w:tr w:rsidR="006C7CA8" w:rsidRPr="00B76053" w14:paraId="734C9335" w14:textId="77777777" w:rsidTr="006C7CA8">
        <w:tc>
          <w:tcPr>
            <w:tcW w:w="753" w:type="dxa"/>
          </w:tcPr>
          <w:p w14:paraId="443D954A" w14:textId="77777777" w:rsidR="006C7CA8" w:rsidRPr="00B76053" w:rsidRDefault="006C7CA8">
            <w:pPr>
              <w:rPr>
                <w:rFonts w:cs="Times New Roman"/>
              </w:rPr>
            </w:pPr>
            <w:r w:rsidRPr="00B76053">
              <w:rPr>
                <w:rFonts w:cs="Times New Roman"/>
              </w:rPr>
              <w:t>6</w:t>
            </w:r>
          </w:p>
        </w:tc>
        <w:tc>
          <w:tcPr>
            <w:tcW w:w="3559" w:type="dxa"/>
          </w:tcPr>
          <w:p w14:paraId="09951206" w14:textId="77777777" w:rsidR="006C7CA8" w:rsidRPr="00B76053" w:rsidRDefault="006C7CA8">
            <w:pPr>
              <w:rPr>
                <w:rFonts w:cs="Times New Roman"/>
              </w:rPr>
            </w:pPr>
            <w:r w:rsidRPr="00B76053">
              <w:rPr>
                <w:rFonts w:cs="Times New Roman"/>
              </w:rPr>
              <w:t>Document Upload &amp; Paperwork</w:t>
            </w:r>
          </w:p>
        </w:tc>
        <w:tc>
          <w:tcPr>
            <w:tcW w:w="1286" w:type="dxa"/>
          </w:tcPr>
          <w:p w14:paraId="36E1375D" w14:textId="77777777" w:rsidR="006C7CA8" w:rsidRPr="00B76053" w:rsidRDefault="006C7CA8">
            <w:pPr>
              <w:rPr>
                <w:rFonts w:cs="Times New Roman"/>
              </w:rPr>
            </w:pPr>
            <w:r w:rsidRPr="00B76053">
              <w:rPr>
                <w:rFonts w:cs="Times New Roman"/>
              </w:rPr>
              <w:t>3.17</w:t>
            </w:r>
          </w:p>
        </w:tc>
        <w:tc>
          <w:tcPr>
            <w:tcW w:w="2160" w:type="dxa"/>
          </w:tcPr>
          <w:p w14:paraId="7915B3B0" w14:textId="77777777" w:rsidR="006C7CA8" w:rsidRPr="00B76053" w:rsidRDefault="006C7CA8">
            <w:pPr>
              <w:rPr>
                <w:rFonts w:cs="Times New Roman"/>
              </w:rPr>
            </w:pPr>
            <w:r w:rsidRPr="00B76053">
              <w:rPr>
                <w:rFonts w:cs="Times New Roman"/>
              </w:rPr>
              <w:t>3.06</w:t>
            </w:r>
          </w:p>
        </w:tc>
        <w:tc>
          <w:tcPr>
            <w:tcW w:w="1800" w:type="dxa"/>
          </w:tcPr>
          <w:p w14:paraId="509B5D06" w14:textId="77777777" w:rsidR="006C7CA8" w:rsidRPr="00B76053" w:rsidRDefault="006C7CA8">
            <w:pPr>
              <w:rPr>
                <w:rFonts w:cs="Times New Roman"/>
              </w:rPr>
            </w:pPr>
            <w:r w:rsidRPr="00B76053">
              <w:rPr>
                <w:rFonts w:cs="Times New Roman"/>
              </w:rPr>
              <w:t>4.13</w:t>
            </w:r>
          </w:p>
        </w:tc>
      </w:tr>
      <w:tr w:rsidR="006C7CA8" w:rsidRPr="00B76053" w14:paraId="39813D7B" w14:textId="77777777" w:rsidTr="006C7CA8">
        <w:tc>
          <w:tcPr>
            <w:tcW w:w="753" w:type="dxa"/>
          </w:tcPr>
          <w:p w14:paraId="5BB844E6" w14:textId="77777777" w:rsidR="006C7CA8" w:rsidRPr="00B76053" w:rsidRDefault="006C7CA8">
            <w:pPr>
              <w:rPr>
                <w:rFonts w:cs="Times New Roman"/>
              </w:rPr>
            </w:pPr>
            <w:r w:rsidRPr="00B76053">
              <w:rPr>
                <w:rFonts w:cs="Times New Roman"/>
              </w:rPr>
              <w:t>7</w:t>
            </w:r>
          </w:p>
        </w:tc>
        <w:tc>
          <w:tcPr>
            <w:tcW w:w="3559" w:type="dxa"/>
          </w:tcPr>
          <w:p w14:paraId="47381414" w14:textId="77777777" w:rsidR="006C7CA8" w:rsidRPr="00B76053" w:rsidRDefault="006C7CA8">
            <w:pPr>
              <w:rPr>
                <w:rFonts w:cs="Times New Roman"/>
              </w:rPr>
            </w:pPr>
            <w:r w:rsidRPr="00B76053">
              <w:rPr>
                <w:rFonts w:cs="Times New Roman"/>
              </w:rPr>
              <w:t>Portal Task Management</w:t>
            </w:r>
          </w:p>
        </w:tc>
        <w:tc>
          <w:tcPr>
            <w:tcW w:w="1286" w:type="dxa"/>
          </w:tcPr>
          <w:p w14:paraId="4D672C04" w14:textId="77777777" w:rsidR="006C7CA8" w:rsidRPr="00B76053" w:rsidRDefault="006C7CA8">
            <w:pPr>
              <w:rPr>
                <w:rFonts w:cs="Times New Roman"/>
              </w:rPr>
            </w:pPr>
            <w:r w:rsidRPr="00B76053">
              <w:rPr>
                <w:rFonts w:cs="Times New Roman"/>
              </w:rPr>
              <w:t>3.09</w:t>
            </w:r>
          </w:p>
        </w:tc>
        <w:tc>
          <w:tcPr>
            <w:tcW w:w="2160" w:type="dxa"/>
          </w:tcPr>
          <w:p w14:paraId="0A106CC0" w14:textId="77777777" w:rsidR="006C7CA8" w:rsidRPr="00B76053" w:rsidRDefault="006C7CA8">
            <w:pPr>
              <w:rPr>
                <w:rFonts w:cs="Times New Roman"/>
              </w:rPr>
            </w:pPr>
            <w:r w:rsidRPr="00B76053">
              <w:rPr>
                <w:rFonts w:cs="Times New Roman"/>
              </w:rPr>
              <w:t>3.06</w:t>
            </w:r>
          </w:p>
        </w:tc>
        <w:tc>
          <w:tcPr>
            <w:tcW w:w="1800" w:type="dxa"/>
          </w:tcPr>
          <w:p w14:paraId="3328A651" w14:textId="77777777" w:rsidR="006C7CA8" w:rsidRPr="00B76053" w:rsidRDefault="006C7CA8">
            <w:pPr>
              <w:rPr>
                <w:rFonts w:cs="Times New Roman"/>
              </w:rPr>
            </w:pPr>
            <w:r w:rsidRPr="00B76053">
              <w:rPr>
                <w:rFonts w:cs="Times New Roman"/>
              </w:rPr>
              <w:t>3.31</w:t>
            </w:r>
          </w:p>
        </w:tc>
      </w:tr>
      <w:tr w:rsidR="006C7CA8" w:rsidRPr="00B76053" w14:paraId="2A048578" w14:textId="77777777" w:rsidTr="006C7CA8">
        <w:tc>
          <w:tcPr>
            <w:tcW w:w="753" w:type="dxa"/>
          </w:tcPr>
          <w:p w14:paraId="2E20592C" w14:textId="77777777" w:rsidR="006C7CA8" w:rsidRPr="00B76053" w:rsidRDefault="006C7CA8">
            <w:pPr>
              <w:rPr>
                <w:rFonts w:cs="Times New Roman"/>
              </w:rPr>
            </w:pPr>
            <w:r w:rsidRPr="00B76053">
              <w:rPr>
                <w:rFonts w:cs="Times New Roman"/>
              </w:rPr>
              <w:t>8</w:t>
            </w:r>
          </w:p>
        </w:tc>
        <w:tc>
          <w:tcPr>
            <w:tcW w:w="3559" w:type="dxa"/>
          </w:tcPr>
          <w:p w14:paraId="2A09BD62" w14:textId="77777777" w:rsidR="006C7CA8" w:rsidRPr="00B76053" w:rsidRDefault="006C7CA8">
            <w:pPr>
              <w:rPr>
                <w:rFonts w:cs="Times New Roman"/>
              </w:rPr>
            </w:pPr>
            <w:r w:rsidRPr="00B76053">
              <w:rPr>
                <w:rFonts w:cs="Times New Roman"/>
              </w:rPr>
              <w:t>Communication Quality</w:t>
            </w:r>
          </w:p>
        </w:tc>
        <w:tc>
          <w:tcPr>
            <w:tcW w:w="1286" w:type="dxa"/>
          </w:tcPr>
          <w:p w14:paraId="52B32E9E" w14:textId="77777777" w:rsidR="006C7CA8" w:rsidRPr="00B76053" w:rsidRDefault="006C7CA8">
            <w:pPr>
              <w:rPr>
                <w:rFonts w:cs="Times New Roman"/>
              </w:rPr>
            </w:pPr>
            <w:r w:rsidRPr="00B76053">
              <w:rPr>
                <w:rFonts w:cs="Times New Roman"/>
              </w:rPr>
              <w:t>2.92</w:t>
            </w:r>
          </w:p>
        </w:tc>
        <w:tc>
          <w:tcPr>
            <w:tcW w:w="2160" w:type="dxa"/>
          </w:tcPr>
          <w:p w14:paraId="3F105152" w14:textId="77777777" w:rsidR="006C7CA8" w:rsidRPr="00B76053" w:rsidRDefault="006C7CA8">
            <w:pPr>
              <w:rPr>
                <w:rFonts w:cs="Times New Roman"/>
              </w:rPr>
            </w:pPr>
            <w:r w:rsidRPr="00B76053">
              <w:rPr>
                <w:rFonts w:cs="Times New Roman"/>
              </w:rPr>
              <w:t>2.97</w:t>
            </w:r>
          </w:p>
        </w:tc>
        <w:tc>
          <w:tcPr>
            <w:tcW w:w="1800" w:type="dxa"/>
          </w:tcPr>
          <w:p w14:paraId="700C7C2C" w14:textId="77777777" w:rsidR="006C7CA8" w:rsidRPr="00B76053" w:rsidRDefault="006C7CA8">
            <w:pPr>
              <w:rPr>
                <w:rFonts w:cs="Times New Roman"/>
              </w:rPr>
            </w:pPr>
            <w:r w:rsidRPr="00B76053">
              <w:rPr>
                <w:rFonts w:cs="Times New Roman"/>
              </w:rPr>
              <w:t>2.48</w:t>
            </w:r>
          </w:p>
        </w:tc>
      </w:tr>
      <w:tr w:rsidR="006C7CA8" w:rsidRPr="00B76053" w14:paraId="41C8AB84" w14:textId="77777777" w:rsidTr="006C7CA8">
        <w:tc>
          <w:tcPr>
            <w:tcW w:w="753" w:type="dxa"/>
          </w:tcPr>
          <w:p w14:paraId="0A810C36" w14:textId="77777777" w:rsidR="006C7CA8" w:rsidRPr="00B76053" w:rsidRDefault="006C7CA8">
            <w:pPr>
              <w:rPr>
                <w:rFonts w:cs="Times New Roman"/>
              </w:rPr>
            </w:pPr>
            <w:r w:rsidRPr="00B76053">
              <w:rPr>
                <w:rFonts w:cs="Times New Roman"/>
              </w:rPr>
              <w:t>9</w:t>
            </w:r>
          </w:p>
        </w:tc>
        <w:tc>
          <w:tcPr>
            <w:tcW w:w="3559" w:type="dxa"/>
          </w:tcPr>
          <w:p w14:paraId="13BE2F43" w14:textId="77777777" w:rsidR="006C7CA8" w:rsidRPr="00B76053" w:rsidRDefault="006C7CA8">
            <w:pPr>
              <w:rPr>
                <w:rFonts w:cs="Times New Roman"/>
              </w:rPr>
            </w:pPr>
            <w:r w:rsidRPr="00B76053">
              <w:rPr>
                <w:rFonts w:cs="Times New Roman"/>
              </w:rPr>
              <w:t>Responsive Q&amp;A Support</w:t>
            </w:r>
          </w:p>
        </w:tc>
        <w:tc>
          <w:tcPr>
            <w:tcW w:w="1286" w:type="dxa"/>
          </w:tcPr>
          <w:p w14:paraId="0227E74C" w14:textId="77777777" w:rsidR="006C7CA8" w:rsidRPr="00B76053" w:rsidRDefault="006C7CA8">
            <w:pPr>
              <w:rPr>
                <w:rFonts w:cs="Times New Roman"/>
              </w:rPr>
            </w:pPr>
            <w:r w:rsidRPr="00B76053">
              <w:rPr>
                <w:rFonts w:cs="Times New Roman"/>
              </w:rPr>
              <w:t>2.92</w:t>
            </w:r>
          </w:p>
        </w:tc>
        <w:tc>
          <w:tcPr>
            <w:tcW w:w="2160" w:type="dxa"/>
          </w:tcPr>
          <w:p w14:paraId="4FE10CCD" w14:textId="77777777" w:rsidR="006C7CA8" w:rsidRPr="00B76053" w:rsidRDefault="006C7CA8">
            <w:pPr>
              <w:rPr>
                <w:rFonts w:cs="Times New Roman"/>
              </w:rPr>
            </w:pPr>
            <w:r w:rsidRPr="00B76053">
              <w:rPr>
                <w:rFonts w:cs="Times New Roman"/>
              </w:rPr>
              <w:t>2.88</w:t>
            </w:r>
          </w:p>
        </w:tc>
        <w:tc>
          <w:tcPr>
            <w:tcW w:w="1800" w:type="dxa"/>
          </w:tcPr>
          <w:p w14:paraId="07B4E52D" w14:textId="77777777" w:rsidR="006C7CA8" w:rsidRPr="00B76053" w:rsidRDefault="006C7CA8">
            <w:pPr>
              <w:rPr>
                <w:rFonts w:cs="Times New Roman"/>
              </w:rPr>
            </w:pPr>
            <w:r w:rsidRPr="00B76053">
              <w:rPr>
                <w:rFonts w:cs="Times New Roman"/>
              </w:rPr>
              <w:t>3.31</w:t>
            </w:r>
          </w:p>
        </w:tc>
      </w:tr>
    </w:tbl>
    <w:p w14:paraId="4A68BB52" w14:textId="77777777" w:rsidR="006046D2" w:rsidRPr="00B76053" w:rsidRDefault="00B04762">
      <w:pPr>
        <w:pStyle w:val="Heading2"/>
        <w:rPr>
          <w:rFonts w:cs="Times New Roman"/>
        </w:rPr>
      </w:pPr>
      <w:bookmarkStart w:id="131" w:name="_Toc229755398"/>
      <w:r w:rsidRPr="00B76053">
        <w:rPr>
          <w:rFonts w:cs="Times New Roman"/>
        </w:rPr>
        <w:t>D.2 Keyword Dictionary</w:t>
      </w:r>
      <w:bookmarkEnd w:id="131"/>
    </w:p>
    <w:p w14:paraId="2EE726DC" w14:textId="77777777" w:rsidR="006046D2" w:rsidRPr="00B76053" w:rsidRDefault="00B04762">
      <w:pPr>
        <w:pStyle w:val="Caption"/>
        <w:rPr>
          <w:rFonts w:cs="Times New Roman"/>
        </w:rPr>
      </w:pPr>
      <w:r w:rsidRPr="00B76053">
        <w:rPr>
          <w:rFonts w:cs="Times New Roman"/>
        </w:rPr>
        <w:t xml:space="preserve">Table D.2. Keyword-group prevalence in the cleaned 1,915-review Trustpilot corpus, pre vs post Betsy. Prevalence is the share of reviews containing at least one keyword from the group. p-values are from two-sided chi-square tests with the Yates correction. The Bonferroni-corrected significance threshold for seven keyword groups is α/7 = 0.05/7 ≈ 0.00714. Cost / rates is the only group </w:t>
      </w:r>
      <w:proofErr w:type="gramStart"/>
      <w:r w:rsidRPr="00B76053">
        <w:rPr>
          <w:rFonts w:cs="Times New Roman"/>
        </w:rPr>
        <w:t>whose</w:t>
      </w:r>
      <w:proofErr w:type="gramEnd"/>
      <w:r w:rsidRPr="00B76053">
        <w:rPr>
          <w:rFonts w:cs="Times New Roman"/>
        </w:rPr>
        <w:t xml:space="preserve"> pre-to-post change survives this correction.</w:t>
      </w:r>
    </w:p>
    <w:tbl>
      <w:tblPr>
        <w:tblStyle w:val="TableGrid"/>
        <w:tblW w:w="0" w:type="auto"/>
        <w:tblLayout w:type="fixed"/>
        <w:tblLook w:val="04A0" w:firstRow="1" w:lastRow="0" w:firstColumn="1" w:lastColumn="0" w:noHBand="0" w:noVBand="1"/>
      </w:tblPr>
      <w:tblGrid>
        <w:gridCol w:w="1368"/>
        <w:gridCol w:w="3330"/>
        <w:gridCol w:w="900"/>
        <w:gridCol w:w="900"/>
        <w:gridCol w:w="786"/>
        <w:gridCol w:w="924"/>
        <w:gridCol w:w="1368"/>
      </w:tblGrid>
      <w:tr w:rsidR="006046D2" w:rsidRPr="00B76053" w14:paraId="586EF3FF" w14:textId="77777777" w:rsidTr="006C7CA8">
        <w:tc>
          <w:tcPr>
            <w:tcW w:w="1368" w:type="dxa"/>
          </w:tcPr>
          <w:p w14:paraId="74CA993D" w14:textId="77777777" w:rsidR="006046D2" w:rsidRPr="00B76053" w:rsidRDefault="00B04762">
            <w:pPr>
              <w:rPr>
                <w:rFonts w:cs="Times New Roman"/>
              </w:rPr>
            </w:pPr>
            <w:r w:rsidRPr="00B76053">
              <w:rPr>
                <w:rFonts w:cs="Times New Roman"/>
                <w:b/>
              </w:rPr>
              <w:t>Keyword group</w:t>
            </w:r>
          </w:p>
        </w:tc>
        <w:tc>
          <w:tcPr>
            <w:tcW w:w="3330" w:type="dxa"/>
          </w:tcPr>
          <w:p w14:paraId="1B65B8C4" w14:textId="77777777" w:rsidR="006046D2" w:rsidRPr="00B76053" w:rsidRDefault="00B04762">
            <w:pPr>
              <w:rPr>
                <w:rFonts w:cs="Times New Roman"/>
              </w:rPr>
            </w:pPr>
            <w:r w:rsidRPr="00B76053">
              <w:rPr>
                <w:rFonts w:cs="Times New Roman"/>
                <w:b/>
              </w:rPr>
              <w:t>Representative keywords</w:t>
            </w:r>
          </w:p>
        </w:tc>
        <w:tc>
          <w:tcPr>
            <w:tcW w:w="900" w:type="dxa"/>
          </w:tcPr>
          <w:p w14:paraId="286DF791" w14:textId="77777777" w:rsidR="006046D2" w:rsidRPr="00B76053" w:rsidRDefault="00B04762">
            <w:pPr>
              <w:rPr>
                <w:rFonts w:cs="Times New Roman"/>
              </w:rPr>
            </w:pPr>
            <w:r w:rsidRPr="00B76053">
              <w:rPr>
                <w:rFonts w:cs="Times New Roman"/>
                <w:b/>
              </w:rPr>
              <w:t>Pre prevalence (%)</w:t>
            </w:r>
          </w:p>
        </w:tc>
        <w:tc>
          <w:tcPr>
            <w:tcW w:w="900" w:type="dxa"/>
          </w:tcPr>
          <w:p w14:paraId="1DBF50A4" w14:textId="77777777" w:rsidR="006046D2" w:rsidRPr="00B76053" w:rsidRDefault="00B04762">
            <w:pPr>
              <w:rPr>
                <w:rFonts w:cs="Times New Roman"/>
              </w:rPr>
            </w:pPr>
            <w:r w:rsidRPr="00B76053">
              <w:rPr>
                <w:rFonts w:cs="Times New Roman"/>
                <w:b/>
              </w:rPr>
              <w:t>Post prevalence (%)</w:t>
            </w:r>
          </w:p>
        </w:tc>
        <w:tc>
          <w:tcPr>
            <w:tcW w:w="786" w:type="dxa"/>
          </w:tcPr>
          <w:p w14:paraId="4F856AAF" w14:textId="77777777" w:rsidR="006046D2" w:rsidRPr="00B76053" w:rsidRDefault="00B04762">
            <w:pPr>
              <w:rPr>
                <w:rFonts w:cs="Times New Roman"/>
              </w:rPr>
            </w:pPr>
            <w:r w:rsidRPr="00B76053">
              <w:rPr>
                <w:rFonts w:cs="Times New Roman"/>
                <w:b/>
              </w:rPr>
              <w:t>Δpp</w:t>
            </w:r>
          </w:p>
        </w:tc>
        <w:tc>
          <w:tcPr>
            <w:tcW w:w="924" w:type="dxa"/>
          </w:tcPr>
          <w:p w14:paraId="4C5AA3E0" w14:textId="77777777" w:rsidR="006046D2" w:rsidRPr="00B76053" w:rsidRDefault="00B04762">
            <w:pPr>
              <w:rPr>
                <w:rFonts w:cs="Times New Roman"/>
              </w:rPr>
            </w:pPr>
            <w:r w:rsidRPr="00B76053">
              <w:rPr>
                <w:rFonts w:cs="Times New Roman"/>
                <w:b/>
              </w:rPr>
              <w:t>p-value (χ², Yates)</w:t>
            </w:r>
          </w:p>
        </w:tc>
        <w:tc>
          <w:tcPr>
            <w:tcW w:w="1368" w:type="dxa"/>
          </w:tcPr>
          <w:p w14:paraId="4C4D9C38" w14:textId="77777777" w:rsidR="006046D2" w:rsidRPr="00B76053" w:rsidRDefault="00B04762">
            <w:pPr>
              <w:rPr>
                <w:rFonts w:cs="Times New Roman"/>
              </w:rPr>
            </w:pPr>
            <w:r w:rsidRPr="00B76053">
              <w:rPr>
                <w:rFonts w:cs="Times New Roman"/>
                <w:b/>
              </w:rPr>
              <w:t>Bonferroni-significant (α/7 = 0.00714)</w:t>
            </w:r>
          </w:p>
        </w:tc>
      </w:tr>
      <w:tr w:rsidR="006046D2" w:rsidRPr="00B76053" w14:paraId="34444B80" w14:textId="77777777" w:rsidTr="006C7CA8">
        <w:tc>
          <w:tcPr>
            <w:tcW w:w="1368" w:type="dxa"/>
          </w:tcPr>
          <w:p w14:paraId="33936DCE" w14:textId="77777777" w:rsidR="006046D2" w:rsidRPr="00B76053" w:rsidRDefault="00B04762" w:rsidP="006C7CA8">
            <w:pPr>
              <w:jc w:val="left"/>
              <w:rPr>
                <w:rFonts w:cs="Times New Roman"/>
              </w:rPr>
            </w:pPr>
            <w:r w:rsidRPr="00B76053">
              <w:rPr>
                <w:rFonts w:cs="Times New Roman"/>
              </w:rPr>
              <w:t>Explicit AI / automation</w:t>
            </w:r>
          </w:p>
        </w:tc>
        <w:tc>
          <w:tcPr>
            <w:tcW w:w="3330" w:type="dxa"/>
          </w:tcPr>
          <w:p w14:paraId="39E84E74" w14:textId="77777777" w:rsidR="006046D2" w:rsidRPr="00B76053" w:rsidRDefault="00B04762" w:rsidP="006C7CA8">
            <w:pPr>
              <w:jc w:val="left"/>
              <w:rPr>
                <w:rFonts w:cs="Times New Roman"/>
              </w:rPr>
            </w:pPr>
            <w:r w:rsidRPr="00B76053">
              <w:rPr>
                <w:rFonts w:cs="Times New Roman"/>
              </w:rPr>
              <w:t>ai, bot, chatbot, automated, betsy</w:t>
            </w:r>
          </w:p>
        </w:tc>
        <w:tc>
          <w:tcPr>
            <w:tcW w:w="900" w:type="dxa"/>
          </w:tcPr>
          <w:p w14:paraId="20169115" w14:textId="77777777" w:rsidR="006046D2" w:rsidRPr="00B76053" w:rsidRDefault="00B04762" w:rsidP="006C7CA8">
            <w:pPr>
              <w:jc w:val="left"/>
              <w:rPr>
                <w:rFonts w:cs="Times New Roman"/>
              </w:rPr>
            </w:pPr>
            <w:r w:rsidRPr="00B76053">
              <w:rPr>
                <w:rFonts w:cs="Times New Roman"/>
              </w:rPr>
              <w:t>1.15</w:t>
            </w:r>
          </w:p>
        </w:tc>
        <w:tc>
          <w:tcPr>
            <w:tcW w:w="900" w:type="dxa"/>
          </w:tcPr>
          <w:p w14:paraId="1CC89D69" w14:textId="77777777" w:rsidR="006046D2" w:rsidRPr="00B76053" w:rsidRDefault="00B04762" w:rsidP="006C7CA8">
            <w:pPr>
              <w:jc w:val="left"/>
              <w:rPr>
                <w:rFonts w:cs="Times New Roman"/>
              </w:rPr>
            </w:pPr>
            <w:r w:rsidRPr="00B76053">
              <w:rPr>
                <w:rFonts w:cs="Times New Roman"/>
              </w:rPr>
              <w:t>1.18</w:t>
            </w:r>
          </w:p>
        </w:tc>
        <w:tc>
          <w:tcPr>
            <w:tcW w:w="786" w:type="dxa"/>
          </w:tcPr>
          <w:p w14:paraId="574B8342" w14:textId="77777777" w:rsidR="006046D2" w:rsidRPr="00B76053" w:rsidRDefault="00B04762" w:rsidP="006C7CA8">
            <w:pPr>
              <w:jc w:val="left"/>
              <w:rPr>
                <w:rFonts w:cs="Times New Roman"/>
              </w:rPr>
            </w:pPr>
            <w:r w:rsidRPr="00B76053">
              <w:rPr>
                <w:rFonts w:cs="Times New Roman"/>
              </w:rPr>
              <w:t>+0.04</w:t>
            </w:r>
          </w:p>
        </w:tc>
        <w:tc>
          <w:tcPr>
            <w:tcW w:w="924" w:type="dxa"/>
          </w:tcPr>
          <w:p w14:paraId="06F76B13" w14:textId="77777777" w:rsidR="006046D2" w:rsidRPr="00B76053" w:rsidRDefault="00B04762" w:rsidP="006C7CA8">
            <w:pPr>
              <w:jc w:val="left"/>
              <w:rPr>
                <w:rFonts w:cs="Times New Roman"/>
              </w:rPr>
            </w:pPr>
            <w:r w:rsidRPr="00B76053">
              <w:rPr>
                <w:rFonts w:cs="Times New Roman"/>
              </w:rPr>
              <w:t>1.0000</w:t>
            </w:r>
          </w:p>
        </w:tc>
        <w:tc>
          <w:tcPr>
            <w:tcW w:w="1368" w:type="dxa"/>
          </w:tcPr>
          <w:p w14:paraId="5CD36130" w14:textId="77777777" w:rsidR="006046D2" w:rsidRPr="00B76053" w:rsidRDefault="00B04762" w:rsidP="006C7CA8">
            <w:pPr>
              <w:jc w:val="left"/>
              <w:rPr>
                <w:rFonts w:cs="Times New Roman"/>
              </w:rPr>
            </w:pPr>
            <w:r w:rsidRPr="00B76053">
              <w:rPr>
                <w:rFonts w:cs="Times New Roman"/>
              </w:rPr>
              <w:t>No</w:t>
            </w:r>
          </w:p>
        </w:tc>
      </w:tr>
      <w:tr w:rsidR="006046D2" w:rsidRPr="00B76053" w14:paraId="3B41BA62" w14:textId="77777777" w:rsidTr="006C7CA8">
        <w:tc>
          <w:tcPr>
            <w:tcW w:w="1368" w:type="dxa"/>
          </w:tcPr>
          <w:p w14:paraId="3B1137E8" w14:textId="77777777" w:rsidR="006046D2" w:rsidRPr="00B76053" w:rsidRDefault="00B04762" w:rsidP="006C7CA8">
            <w:pPr>
              <w:jc w:val="left"/>
              <w:rPr>
                <w:rFonts w:cs="Times New Roman"/>
              </w:rPr>
            </w:pPr>
            <w:r w:rsidRPr="00B76053">
              <w:rPr>
                <w:rFonts w:cs="Times New Roman"/>
              </w:rPr>
              <w:lastRenderedPageBreak/>
              <w:t>Speed / efficiency</w:t>
            </w:r>
          </w:p>
        </w:tc>
        <w:tc>
          <w:tcPr>
            <w:tcW w:w="3330" w:type="dxa"/>
          </w:tcPr>
          <w:p w14:paraId="1E9A80EC" w14:textId="77777777" w:rsidR="006046D2" w:rsidRPr="00B76053" w:rsidRDefault="00B04762" w:rsidP="006C7CA8">
            <w:pPr>
              <w:jc w:val="left"/>
              <w:rPr>
                <w:rFonts w:cs="Times New Roman"/>
              </w:rPr>
            </w:pPr>
            <w:r w:rsidRPr="00B76053">
              <w:rPr>
                <w:rFonts w:cs="Times New Roman"/>
              </w:rPr>
              <w:t>fast, quick, slow, delay, wait</w:t>
            </w:r>
          </w:p>
        </w:tc>
        <w:tc>
          <w:tcPr>
            <w:tcW w:w="900" w:type="dxa"/>
          </w:tcPr>
          <w:p w14:paraId="285095B5" w14:textId="77777777" w:rsidR="006046D2" w:rsidRPr="00B76053" w:rsidRDefault="00B04762" w:rsidP="006C7CA8">
            <w:pPr>
              <w:jc w:val="left"/>
              <w:rPr>
                <w:rFonts w:cs="Times New Roman"/>
              </w:rPr>
            </w:pPr>
            <w:r w:rsidRPr="00B76053">
              <w:rPr>
                <w:rFonts w:cs="Times New Roman"/>
              </w:rPr>
              <w:t>52.00</w:t>
            </w:r>
          </w:p>
        </w:tc>
        <w:tc>
          <w:tcPr>
            <w:tcW w:w="900" w:type="dxa"/>
          </w:tcPr>
          <w:p w14:paraId="368C0E88" w14:textId="77777777" w:rsidR="006046D2" w:rsidRPr="00B76053" w:rsidRDefault="00B04762" w:rsidP="006C7CA8">
            <w:pPr>
              <w:jc w:val="left"/>
              <w:rPr>
                <w:rFonts w:cs="Times New Roman"/>
              </w:rPr>
            </w:pPr>
            <w:r w:rsidRPr="00B76053">
              <w:rPr>
                <w:rFonts w:cs="Times New Roman"/>
              </w:rPr>
              <w:t>44.38</w:t>
            </w:r>
          </w:p>
        </w:tc>
        <w:tc>
          <w:tcPr>
            <w:tcW w:w="786" w:type="dxa"/>
          </w:tcPr>
          <w:p w14:paraId="36163FB7" w14:textId="77777777" w:rsidR="006046D2" w:rsidRPr="00B76053" w:rsidRDefault="00B04762" w:rsidP="006C7CA8">
            <w:pPr>
              <w:jc w:val="left"/>
              <w:rPr>
                <w:rFonts w:cs="Times New Roman"/>
              </w:rPr>
            </w:pPr>
            <w:r w:rsidRPr="00B76053">
              <w:rPr>
                <w:rFonts w:cs="Times New Roman"/>
              </w:rPr>
              <w:t>-7.63</w:t>
            </w:r>
          </w:p>
        </w:tc>
        <w:tc>
          <w:tcPr>
            <w:tcW w:w="924" w:type="dxa"/>
          </w:tcPr>
          <w:p w14:paraId="0E970DD3" w14:textId="77777777" w:rsidR="006046D2" w:rsidRPr="00B76053" w:rsidRDefault="00B04762" w:rsidP="006C7CA8">
            <w:pPr>
              <w:jc w:val="left"/>
              <w:rPr>
                <w:rFonts w:cs="Times New Roman"/>
              </w:rPr>
            </w:pPr>
            <w:r w:rsidRPr="00B76053">
              <w:rPr>
                <w:rFonts w:cs="Times New Roman"/>
              </w:rPr>
              <w:t>0.0698</w:t>
            </w:r>
          </w:p>
        </w:tc>
        <w:tc>
          <w:tcPr>
            <w:tcW w:w="1368" w:type="dxa"/>
          </w:tcPr>
          <w:p w14:paraId="53FA0FEC" w14:textId="77777777" w:rsidR="006046D2" w:rsidRPr="00B76053" w:rsidRDefault="00B04762" w:rsidP="006C7CA8">
            <w:pPr>
              <w:jc w:val="left"/>
              <w:rPr>
                <w:rFonts w:cs="Times New Roman"/>
              </w:rPr>
            </w:pPr>
            <w:r w:rsidRPr="00B76053">
              <w:rPr>
                <w:rFonts w:cs="Times New Roman"/>
              </w:rPr>
              <w:t>No</w:t>
            </w:r>
          </w:p>
        </w:tc>
      </w:tr>
      <w:tr w:rsidR="006046D2" w:rsidRPr="00B76053" w14:paraId="4F881A9F" w14:textId="77777777" w:rsidTr="006C7CA8">
        <w:tc>
          <w:tcPr>
            <w:tcW w:w="1368" w:type="dxa"/>
          </w:tcPr>
          <w:p w14:paraId="63981FC9" w14:textId="77777777" w:rsidR="006046D2" w:rsidRPr="00B76053" w:rsidRDefault="00B04762" w:rsidP="006C7CA8">
            <w:pPr>
              <w:jc w:val="left"/>
              <w:rPr>
                <w:rFonts w:cs="Times New Roman"/>
              </w:rPr>
            </w:pPr>
            <w:r w:rsidRPr="00B76053">
              <w:rPr>
                <w:rFonts w:cs="Times New Roman"/>
              </w:rPr>
              <w:t>Human support</w:t>
            </w:r>
          </w:p>
        </w:tc>
        <w:tc>
          <w:tcPr>
            <w:tcW w:w="3330" w:type="dxa"/>
          </w:tcPr>
          <w:p w14:paraId="5E084838" w14:textId="77777777" w:rsidR="006046D2" w:rsidRPr="00B76053" w:rsidRDefault="00B04762" w:rsidP="006C7CA8">
            <w:pPr>
              <w:jc w:val="left"/>
              <w:rPr>
                <w:rFonts w:cs="Times New Roman"/>
              </w:rPr>
            </w:pPr>
            <w:r w:rsidRPr="00B76053">
              <w:rPr>
                <w:rFonts w:cs="Times New Roman"/>
              </w:rPr>
              <w:t>agent, officer, human, broker, person</w:t>
            </w:r>
          </w:p>
        </w:tc>
        <w:tc>
          <w:tcPr>
            <w:tcW w:w="900" w:type="dxa"/>
          </w:tcPr>
          <w:p w14:paraId="7EC78340" w14:textId="77777777" w:rsidR="006046D2" w:rsidRPr="00B76053" w:rsidRDefault="00B04762" w:rsidP="006C7CA8">
            <w:pPr>
              <w:jc w:val="left"/>
              <w:rPr>
                <w:rFonts w:cs="Times New Roman"/>
              </w:rPr>
            </w:pPr>
            <w:r w:rsidRPr="00B76053">
              <w:rPr>
                <w:rFonts w:cs="Times New Roman"/>
              </w:rPr>
              <w:t>43.81</w:t>
            </w:r>
          </w:p>
        </w:tc>
        <w:tc>
          <w:tcPr>
            <w:tcW w:w="900" w:type="dxa"/>
          </w:tcPr>
          <w:p w14:paraId="47033891" w14:textId="77777777" w:rsidR="006046D2" w:rsidRPr="00B76053" w:rsidRDefault="00B04762" w:rsidP="006C7CA8">
            <w:pPr>
              <w:jc w:val="left"/>
              <w:rPr>
                <w:rFonts w:cs="Times New Roman"/>
              </w:rPr>
            </w:pPr>
            <w:r w:rsidRPr="00B76053">
              <w:rPr>
                <w:rFonts w:cs="Times New Roman"/>
              </w:rPr>
              <w:t>40.83</w:t>
            </w:r>
          </w:p>
        </w:tc>
        <w:tc>
          <w:tcPr>
            <w:tcW w:w="786" w:type="dxa"/>
          </w:tcPr>
          <w:p w14:paraId="619DF880" w14:textId="77777777" w:rsidR="006046D2" w:rsidRPr="00B76053" w:rsidRDefault="00B04762" w:rsidP="006C7CA8">
            <w:pPr>
              <w:jc w:val="left"/>
              <w:rPr>
                <w:rFonts w:cs="Times New Roman"/>
              </w:rPr>
            </w:pPr>
            <w:r w:rsidRPr="00B76053">
              <w:rPr>
                <w:rFonts w:cs="Times New Roman"/>
              </w:rPr>
              <w:t>-2.99</w:t>
            </w:r>
          </w:p>
        </w:tc>
        <w:tc>
          <w:tcPr>
            <w:tcW w:w="924" w:type="dxa"/>
          </w:tcPr>
          <w:p w14:paraId="045340F0" w14:textId="77777777" w:rsidR="006046D2" w:rsidRPr="00B76053" w:rsidRDefault="00B04762" w:rsidP="006C7CA8">
            <w:pPr>
              <w:jc w:val="left"/>
              <w:rPr>
                <w:rFonts w:cs="Times New Roman"/>
              </w:rPr>
            </w:pPr>
            <w:r w:rsidRPr="00B76053">
              <w:rPr>
                <w:rFonts w:cs="Times New Roman"/>
              </w:rPr>
              <w:t>0.5052</w:t>
            </w:r>
          </w:p>
        </w:tc>
        <w:tc>
          <w:tcPr>
            <w:tcW w:w="1368" w:type="dxa"/>
          </w:tcPr>
          <w:p w14:paraId="08EEE306" w14:textId="77777777" w:rsidR="006046D2" w:rsidRPr="00B76053" w:rsidRDefault="00B04762" w:rsidP="006C7CA8">
            <w:pPr>
              <w:jc w:val="left"/>
              <w:rPr>
                <w:rFonts w:cs="Times New Roman"/>
              </w:rPr>
            </w:pPr>
            <w:r w:rsidRPr="00B76053">
              <w:rPr>
                <w:rFonts w:cs="Times New Roman"/>
              </w:rPr>
              <w:t>No</w:t>
            </w:r>
          </w:p>
        </w:tc>
      </w:tr>
      <w:tr w:rsidR="006046D2" w:rsidRPr="00B76053" w14:paraId="49C774B4" w14:textId="77777777" w:rsidTr="006C7CA8">
        <w:tc>
          <w:tcPr>
            <w:tcW w:w="1368" w:type="dxa"/>
          </w:tcPr>
          <w:p w14:paraId="33721D81" w14:textId="77777777" w:rsidR="006046D2" w:rsidRPr="00B76053" w:rsidRDefault="00B04762" w:rsidP="006C7CA8">
            <w:pPr>
              <w:jc w:val="left"/>
              <w:rPr>
                <w:rFonts w:cs="Times New Roman"/>
              </w:rPr>
            </w:pPr>
            <w:r w:rsidRPr="00B76053">
              <w:rPr>
                <w:rFonts w:cs="Times New Roman"/>
              </w:rPr>
              <w:t>Communication</w:t>
            </w:r>
          </w:p>
        </w:tc>
        <w:tc>
          <w:tcPr>
            <w:tcW w:w="3330" w:type="dxa"/>
          </w:tcPr>
          <w:p w14:paraId="3BE2AC3D" w14:textId="77777777" w:rsidR="006046D2" w:rsidRPr="00B76053" w:rsidRDefault="00B04762" w:rsidP="006C7CA8">
            <w:pPr>
              <w:jc w:val="left"/>
              <w:rPr>
                <w:rFonts w:cs="Times New Roman"/>
              </w:rPr>
            </w:pPr>
            <w:r w:rsidRPr="00B76053">
              <w:rPr>
                <w:rFonts w:cs="Times New Roman"/>
              </w:rPr>
              <w:t>respond, communication, email, call</w:t>
            </w:r>
          </w:p>
        </w:tc>
        <w:tc>
          <w:tcPr>
            <w:tcW w:w="900" w:type="dxa"/>
          </w:tcPr>
          <w:p w14:paraId="01F679DA" w14:textId="77777777" w:rsidR="006046D2" w:rsidRPr="00B76053" w:rsidRDefault="00B04762" w:rsidP="006C7CA8">
            <w:pPr>
              <w:jc w:val="left"/>
              <w:rPr>
                <w:rFonts w:cs="Times New Roman"/>
              </w:rPr>
            </w:pPr>
            <w:r w:rsidRPr="00B76053">
              <w:rPr>
                <w:rFonts w:cs="Times New Roman"/>
              </w:rPr>
              <w:t>32.53</w:t>
            </w:r>
          </w:p>
        </w:tc>
        <w:tc>
          <w:tcPr>
            <w:tcW w:w="900" w:type="dxa"/>
          </w:tcPr>
          <w:p w14:paraId="67AD63EE" w14:textId="77777777" w:rsidR="006046D2" w:rsidRPr="00B76053" w:rsidRDefault="00B04762" w:rsidP="006C7CA8">
            <w:pPr>
              <w:jc w:val="left"/>
              <w:rPr>
                <w:rFonts w:cs="Times New Roman"/>
              </w:rPr>
            </w:pPr>
            <w:r w:rsidRPr="00B76053">
              <w:rPr>
                <w:rFonts w:cs="Times New Roman"/>
              </w:rPr>
              <w:t>30.77</w:t>
            </w:r>
          </w:p>
        </w:tc>
        <w:tc>
          <w:tcPr>
            <w:tcW w:w="786" w:type="dxa"/>
          </w:tcPr>
          <w:p w14:paraId="01DF8319" w14:textId="77777777" w:rsidR="006046D2" w:rsidRPr="00B76053" w:rsidRDefault="00B04762" w:rsidP="006C7CA8">
            <w:pPr>
              <w:jc w:val="left"/>
              <w:rPr>
                <w:rFonts w:cs="Times New Roman"/>
              </w:rPr>
            </w:pPr>
            <w:r w:rsidRPr="00B76053">
              <w:rPr>
                <w:rFonts w:cs="Times New Roman"/>
              </w:rPr>
              <w:t>-1.76</w:t>
            </w:r>
          </w:p>
        </w:tc>
        <w:tc>
          <w:tcPr>
            <w:tcW w:w="924" w:type="dxa"/>
          </w:tcPr>
          <w:p w14:paraId="76B51432" w14:textId="77777777" w:rsidR="006046D2" w:rsidRPr="00B76053" w:rsidRDefault="00B04762" w:rsidP="006C7CA8">
            <w:pPr>
              <w:jc w:val="left"/>
              <w:rPr>
                <w:rFonts w:cs="Times New Roman"/>
              </w:rPr>
            </w:pPr>
            <w:r w:rsidRPr="00B76053">
              <w:rPr>
                <w:rFonts w:cs="Times New Roman"/>
              </w:rPr>
              <w:t>0.7029</w:t>
            </w:r>
          </w:p>
        </w:tc>
        <w:tc>
          <w:tcPr>
            <w:tcW w:w="1368" w:type="dxa"/>
          </w:tcPr>
          <w:p w14:paraId="1BD4B243" w14:textId="77777777" w:rsidR="006046D2" w:rsidRPr="00B76053" w:rsidRDefault="00B04762" w:rsidP="006C7CA8">
            <w:pPr>
              <w:jc w:val="left"/>
              <w:rPr>
                <w:rFonts w:cs="Times New Roman"/>
              </w:rPr>
            </w:pPr>
            <w:r w:rsidRPr="00B76053">
              <w:rPr>
                <w:rFonts w:cs="Times New Roman"/>
              </w:rPr>
              <w:t>No</w:t>
            </w:r>
          </w:p>
        </w:tc>
      </w:tr>
      <w:tr w:rsidR="006046D2" w:rsidRPr="00B76053" w14:paraId="591ECC17" w14:textId="77777777" w:rsidTr="006C7CA8">
        <w:tc>
          <w:tcPr>
            <w:tcW w:w="1368" w:type="dxa"/>
          </w:tcPr>
          <w:p w14:paraId="03D4F85C" w14:textId="77777777" w:rsidR="006046D2" w:rsidRPr="00B76053" w:rsidRDefault="00B04762" w:rsidP="006C7CA8">
            <w:pPr>
              <w:jc w:val="left"/>
              <w:rPr>
                <w:rFonts w:cs="Times New Roman"/>
              </w:rPr>
            </w:pPr>
            <w:r w:rsidRPr="00B76053">
              <w:rPr>
                <w:rFonts w:cs="Times New Roman"/>
              </w:rPr>
              <w:t>Delay / friction</w:t>
            </w:r>
          </w:p>
        </w:tc>
        <w:tc>
          <w:tcPr>
            <w:tcW w:w="3330" w:type="dxa"/>
          </w:tcPr>
          <w:p w14:paraId="1C48822B" w14:textId="77777777" w:rsidR="006046D2" w:rsidRPr="00B76053" w:rsidRDefault="00B04762" w:rsidP="006C7CA8">
            <w:pPr>
              <w:jc w:val="left"/>
              <w:rPr>
                <w:rFonts w:cs="Times New Roman"/>
              </w:rPr>
            </w:pPr>
            <w:r w:rsidRPr="00B76053">
              <w:rPr>
                <w:rFonts w:cs="Times New Roman"/>
              </w:rPr>
              <w:t>delay, hold, wait, stuck, friction</w:t>
            </w:r>
          </w:p>
        </w:tc>
        <w:tc>
          <w:tcPr>
            <w:tcW w:w="900" w:type="dxa"/>
          </w:tcPr>
          <w:p w14:paraId="24B66D8F" w14:textId="77777777" w:rsidR="006046D2" w:rsidRPr="00B76053" w:rsidRDefault="00B04762" w:rsidP="006C7CA8">
            <w:pPr>
              <w:jc w:val="left"/>
              <w:rPr>
                <w:rFonts w:cs="Times New Roman"/>
              </w:rPr>
            </w:pPr>
            <w:r w:rsidRPr="00B76053">
              <w:rPr>
                <w:rFonts w:cs="Times New Roman"/>
              </w:rPr>
              <w:t>13.52</w:t>
            </w:r>
          </w:p>
        </w:tc>
        <w:tc>
          <w:tcPr>
            <w:tcW w:w="900" w:type="dxa"/>
          </w:tcPr>
          <w:p w14:paraId="0595DACC" w14:textId="77777777" w:rsidR="006046D2" w:rsidRPr="00B76053" w:rsidRDefault="00B04762" w:rsidP="006C7CA8">
            <w:pPr>
              <w:jc w:val="left"/>
              <w:rPr>
                <w:rFonts w:cs="Times New Roman"/>
              </w:rPr>
            </w:pPr>
            <w:r w:rsidRPr="00B76053">
              <w:rPr>
                <w:rFonts w:cs="Times New Roman"/>
              </w:rPr>
              <w:t>10.06</w:t>
            </w:r>
          </w:p>
        </w:tc>
        <w:tc>
          <w:tcPr>
            <w:tcW w:w="786" w:type="dxa"/>
          </w:tcPr>
          <w:p w14:paraId="60F78166" w14:textId="77777777" w:rsidR="006046D2" w:rsidRPr="00B76053" w:rsidRDefault="00B04762" w:rsidP="006C7CA8">
            <w:pPr>
              <w:jc w:val="left"/>
              <w:rPr>
                <w:rFonts w:cs="Times New Roman"/>
              </w:rPr>
            </w:pPr>
            <w:r w:rsidRPr="00B76053">
              <w:rPr>
                <w:rFonts w:cs="Times New Roman"/>
              </w:rPr>
              <w:t>-3.46</w:t>
            </w:r>
          </w:p>
        </w:tc>
        <w:tc>
          <w:tcPr>
            <w:tcW w:w="924" w:type="dxa"/>
          </w:tcPr>
          <w:p w14:paraId="122C163A" w14:textId="77777777" w:rsidR="006046D2" w:rsidRPr="00B76053" w:rsidRDefault="00B04762" w:rsidP="006C7CA8">
            <w:pPr>
              <w:jc w:val="left"/>
              <w:rPr>
                <w:rFonts w:cs="Times New Roman"/>
              </w:rPr>
            </w:pPr>
            <w:r w:rsidRPr="00B76053">
              <w:rPr>
                <w:rFonts w:cs="Times New Roman"/>
              </w:rPr>
              <w:t>0.2508</w:t>
            </w:r>
          </w:p>
        </w:tc>
        <w:tc>
          <w:tcPr>
            <w:tcW w:w="1368" w:type="dxa"/>
          </w:tcPr>
          <w:p w14:paraId="405D5F53" w14:textId="77777777" w:rsidR="006046D2" w:rsidRPr="00B76053" w:rsidRDefault="00B04762" w:rsidP="006C7CA8">
            <w:pPr>
              <w:jc w:val="left"/>
              <w:rPr>
                <w:rFonts w:cs="Times New Roman"/>
              </w:rPr>
            </w:pPr>
            <w:r w:rsidRPr="00B76053">
              <w:rPr>
                <w:rFonts w:cs="Times New Roman"/>
              </w:rPr>
              <w:t>No</w:t>
            </w:r>
          </w:p>
        </w:tc>
      </w:tr>
      <w:tr w:rsidR="006046D2" w:rsidRPr="00B76053" w14:paraId="59561A76" w14:textId="77777777" w:rsidTr="006C7CA8">
        <w:tc>
          <w:tcPr>
            <w:tcW w:w="1368" w:type="dxa"/>
          </w:tcPr>
          <w:p w14:paraId="0D887F80" w14:textId="77777777" w:rsidR="006046D2" w:rsidRPr="00B76053" w:rsidRDefault="00B04762" w:rsidP="006C7CA8">
            <w:pPr>
              <w:jc w:val="left"/>
              <w:rPr>
                <w:rFonts w:cs="Times New Roman"/>
              </w:rPr>
            </w:pPr>
            <w:r w:rsidRPr="00B76053">
              <w:rPr>
                <w:rFonts w:cs="Times New Roman"/>
              </w:rPr>
              <w:t>Cost / rates</w:t>
            </w:r>
          </w:p>
        </w:tc>
        <w:tc>
          <w:tcPr>
            <w:tcW w:w="3330" w:type="dxa"/>
          </w:tcPr>
          <w:p w14:paraId="48900F9E" w14:textId="77777777" w:rsidR="006046D2" w:rsidRPr="00B76053" w:rsidRDefault="00B04762" w:rsidP="006C7CA8">
            <w:pPr>
              <w:jc w:val="left"/>
              <w:rPr>
                <w:rFonts w:cs="Times New Roman"/>
              </w:rPr>
            </w:pPr>
            <w:r w:rsidRPr="00B76053">
              <w:rPr>
                <w:rFonts w:cs="Times New Roman"/>
              </w:rPr>
              <w:t>rate, fee, cost, expensive, pricing</w:t>
            </w:r>
          </w:p>
        </w:tc>
        <w:tc>
          <w:tcPr>
            <w:tcW w:w="900" w:type="dxa"/>
          </w:tcPr>
          <w:p w14:paraId="59B3EA20" w14:textId="77777777" w:rsidR="006046D2" w:rsidRPr="00B76053" w:rsidRDefault="00B04762" w:rsidP="006C7CA8">
            <w:pPr>
              <w:jc w:val="left"/>
              <w:rPr>
                <w:rFonts w:cs="Times New Roman"/>
              </w:rPr>
            </w:pPr>
            <w:r w:rsidRPr="00B76053">
              <w:rPr>
                <w:rFonts w:cs="Times New Roman"/>
              </w:rPr>
              <w:t>28.92</w:t>
            </w:r>
          </w:p>
        </w:tc>
        <w:tc>
          <w:tcPr>
            <w:tcW w:w="900" w:type="dxa"/>
          </w:tcPr>
          <w:p w14:paraId="6629C3A3" w14:textId="77777777" w:rsidR="006046D2" w:rsidRPr="00B76053" w:rsidRDefault="00B04762" w:rsidP="006C7CA8">
            <w:pPr>
              <w:jc w:val="left"/>
              <w:rPr>
                <w:rFonts w:cs="Times New Roman"/>
              </w:rPr>
            </w:pPr>
            <w:r w:rsidRPr="00B76053">
              <w:rPr>
                <w:rFonts w:cs="Times New Roman"/>
              </w:rPr>
              <w:t>16.57</w:t>
            </w:r>
          </w:p>
        </w:tc>
        <w:tc>
          <w:tcPr>
            <w:tcW w:w="786" w:type="dxa"/>
          </w:tcPr>
          <w:p w14:paraId="6B432146" w14:textId="77777777" w:rsidR="006046D2" w:rsidRPr="00B76053" w:rsidRDefault="00B04762" w:rsidP="006C7CA8">
            <w:pPr>
              <w:jc w:val="left"/>
              <w:rPr>
                <w:rFonts w:cs="Times New Roman"/>
              </w:rPr>
            </w:pPr>
            <w:r w:rsidRPr="00B76053">
              <w:rPr>
                <w:rFonts w:cs="Times New Roman"/>
              </w:rPr>
              <w:t>-12.36</w:t>
            </w:r>
          </w:p>
        </w:tc>
        <w:tc>
          <w:tcPr>
            <w:tcW w:w="924" w:type="dxa"/>
          </w:tcPr>
          <w:p w14:paraId="09606B33" w14:textId="77777777" w:rsidR="006046D2" w:rsidRPr="00B76053" w:rsidRDefault="00B04762" w:rsidP="006C7CA8">
            <w:pPr>
              <w:jc w:val="left"/>
              <w:rPr>
                <w:rFonts w:cs="Times New Roman"/>
              </w:rPr>
            </w:pPr>
            <w:r w:rsidRPr="00B76053">
              <w:rPr>
                <w:rFonts w:cs="Times New Roman"/>
              </w:rPr>
              <w:t>0.0009</w:t>
            </w:r>
          </w:p>
        </w:tc>
        <w:tc>
          <w:tcPr>
            <w:tcW w:w="1368" w:type="dxa"/>
          </w:tcPr>
          <w:p w14:paraId="52FD453D" w14:textId="77777777" w:rsidR="006046D2" w:rsidRPr="00B76053" w:rsidRDefault="00B04762" w:rsidP="006C7CA8">
            <w:pPr>
              <w:jc w:val="left"/>
              <w:rPr>
                <w:rFonts w:cs="Times New Roman"/>
              </w:rPr>
            </w:pPr>
            <w:r w:rsidRPr="00B76053">
              <w:rPr>
                <w:rFonts w:cs="Times New Roman"/>
              </w:rPr>
              <w:t>Yes</w:t>
            </w:r>
          </w:p>
        </w:tc>
      </w:tr>
      <w:tr w:rsidR="006046D2" w:rsidRPr="00B76053" w14:paraId="00578A7F" w14:textId="77777777" w:rsidTr="006C7CA8">
        <w:tc>
          <w:tcPr>
            <w:tcW w:w="1368" w:type="dxa"/>
          </w:tcPr>
          <w:p w14:paraId="574210E2" w14:textId="77777777" w:rsidR="006046D2" w:rsidRPr="00B76053" w:rsidRDefault="00B04762" w:rsidP="006C7CA8">
            <w:pPr>
              <w:jc w:val="left"/>
              <w:rPr>
                <w:rFonts w:cs="Times New Roman"/>
              </w:rPr>
            </w:pPr>
            <w:r w:rsidRPr="00B76053">
              <w:rPr>
                <w:rFonts w:cs="Times New Roman"/>
              </w:rPr>
              <w:t>Digital / process</w:t>
            </w:r>
          </w:p>
        </w:tc>
        <w:tc>
          <w:tcPr>
            <w:tcW w:w="3330" w:type="dxa"/>
          </w:tcPr>
          <w:p w14:paraId="1C8E9D26" w14:textId="77777777" w:rsidR="006046D2" w:rsidRPr="00B76053" w:rsidRDefault="00B04762" w:rsidP="006C7CA8">
            <w:pPr>
              <w:jc w:val="left"/>
              <w:rPr>
                <w:rFonts w:cs="Times New Roman"/>
              </w:rPr>
            </w:pPr>
            <w:r w:rsidRPr="00B76053">
              <w:rPr>
                <w:rFonts w:cs="Times New Roman"/>
              </w:rPr>
              <w:t>online, app, portal, dashboard, login</w:t>
            </w:r>
          </w:p>
        </w:tc>
        <w:tc>
          <w:tcPr>
            <w:tcW w:w="900" w:type="dxa"/>
          </w:tcPr>
          <w:p w14:paraId="262F75A0" w14:textId="77777777" w:rsidR="006046D2" w:rsidRPr="00B76053" w:rsidRDefault="00B04762" w:rsidP="006C7CA8">
            <w:pPr>
              <w:jc w:val="left"/>
              <w:rPr>
                <w:rFonts w:cs="Times New Roman"/>
              </w:rPr>
            </w:pPr>
            <w:r w:rsidRPr="00B76053">
              <w:rPr>
                <w:rFonts w:cs="Times New Roman"/>
              </w:rPr>
              <w:t>32.65</w:t>
            </w:r>
          </w:p>
        </w:tc>
        <w:tc>
          <w:tcPr>
            <w:tcW w:w="900" w:type="dxa"/>
          </w:tcPr>
          <w:p w14:paraId="05C04528" w14:textId="77777777" w:rsidR="006046D2" w:rsidRPr="00B76053" w:rsidRDefault="00B04762" w:rsidP="006C7CA8">
            <w:pPr>
              <w:jc w:val="left"/>
              <w:rPr>
                <w:rFonts w:cs="Times New Roman"/>
              </w:rPr>
            </w:pPr>
            <w:r w:rsidRPr="00B76053">
              <w:rPr>
                <w:rFonts w:cs="Times New Roman"/>
              </w:rPr>
              <w:t>23.67</w:t>
            </w:r>
          </w:p>
        </w:tc>
        <w:tc>
          <w:tcPr>
            <w:tcW w:w="786" w:type="dxa"/>
          </w:tcPr>
          <w:p w14:paraId="3C29D4B1" w14:textId="77777777" w:rsidR="006046D2" w:rsidRPr="00B76053" w:rsidRDefault="00B04762" w:rsidP="006C7CA8">
            <w:pPr>
              <w:jc w:val="left"/>
              <w:rPr>
                <w:rFonts w:cs="Times New Roman"/>
              </w:rPr>
            </w:pPr>
            <w:r w:rsidRPr="00B76053">
              <w:rPr>
                <w:rFonts w:cs="Times New Roman"/>
              </w:rPr>
              <w:t>-8.98</w:t>
            </w:r>
          </w:p>
        </w:tc>
        <w:tc>
          <w:tcPr>
            <w:tcW w:w="924" w:type="dxa"/>
          </w:tcPr>
          <w:p w14:paraId="2BD156E1" w14:textId="77777777" w:rsidR="006046D2" w:rsidRPr="00B76053" w:rsidRDefault="00B04762" w:rsidP="006C7CA8">
            <w:pPr>
              <w:jc w:val="left"/>
              <w:rPr>
                <w:rFonts w:cs="Times New Roman"/>
              </w:rPr>
            </w:pPr>
            <w:r w:rsidRPr="00B76053">
              <w:rPr>
                <w:rFonts w:cs="Times New Roman"/>
              </w:rPr>
              <w:t>0.0211</w:t>
            </w:r>
          </w:p>
        </w:tc>
        <w:tc>
          <w:tcPr>
            <w:tcW w:w="1368" w:type="dxa"/>
          </w:tcPr>
          <w:p w14:paraId="18FEC1A5" w14:textId="77777777" w:rsidR="006046D2" w:rsidRPr="00B76053" w:rsidRDefault="00B04762" w:rsidP="006C7CA8">
            <w:pPr>
              <w:jc w:val="left"/>
              <w:rPr>
                <w:rFonts w:cs="Times New Roman"/>
              </w:rPr>
            </w:pPr>
            <w:r w:rsidRPr="00B76053">
              <w:rPr>
                <w:rFonts w:cs="Times New Roman"/>
              </w:rPr>
              <w:t>No</w:t>
            </w:r>
          </w:p>
        </w:tc>
      </w:tr>
    </w:tbl>
    <w:p w14:paraId="3968DC6A" w14:textId="77777777" w:rsidR="006046D2" w:rsidRPr="00B76053" w:rsidRDefault="00B04762" w:rsidP="001E0D54">
      <w:pPr>
        <w:pStyle w:val="Heading1"/>
        <w:rPr>
          <w:rFonts w:cs="Times New Roman"/>
        </w:rPr>
      </w:pPr>
      <w:bookmarkStart w:id="132" w:name="_Toc229755399"/>
      <w:r w:rsidRPr="00B76053">
        <w:rPr>
          <w:rFonts w:cs="Times New Roman"/>
        </w:rPr>
        <w:t>Appendix E. Supplementary Figures</w:t>
      </w:r>
      <w:bookmarkEnd w:id="132"/>
    </w:p>
    <w:p w14:paraId="06DCA3C8" w14:textId="77777777" w:rsidR="006046D2" w:rsidRPr="00B76053" w:rsidRDefault="00B04762">
      <w:pPr>
        <w:pStyle w:val="Heading2"/>
        <w:rPr>
          <w:rFonts w:cs="Times New Roman"/>
        </w:rPr>
      </w:pPr>
      <w:bookmarkStart w:id="133" w:name="_Toc229755400"/>
      <w:r w:rsidRPr="00B76053">
        <w:rPr>
          <w:rFonts w:cs="Times New Roman"/>
        </w:rPr>
        <w:t>E.1 Operational Leverage Index</w:t>
      </w:r>
      <w:bookmarkEnd w:id="133"/>
    </w:p>
    <w:p w14:paraId="5983E647" w14:textId="77777777" w:rsidR="006046D2" w:rsidRPr="00B76053" w:rsidRDefault="00B04762">
      <w:pPr>
        <w:jc w:val="center"/>
        <w:rPr>
          <w:rFonts w:cs="Times New Roman"/>
        </w:rPr>
      </w:pPr>
      <w:r w:rsidRPr="00B76053">
        <w:rPr>
          <w:rFonts w:cs="Times New Roman"/>
          <w:noProof/>
        </w:rPr>
        <w:drawing>
          <wp:inline distT="0" distB="0" distL="0" distR="0" wp14:anchorId="0B7B5FC1" wp14:editId="17151A80">
            <wp:extent cx="5486400" cy="31198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_fin_operational_leverage_index.png"/>
                    <pic:cNvPicPr/>
                  </pic:nvPicPr>
                  <pic:blipFill>
                    <a:blip r:embed="rId15"/>
                    <a:stretch>
                      <a:fillRect/>
                    </a:stretch>
                  </pic:blipFill>
                  <pic:spPr>
                    <a:xfrm>
                      <a:off x="0" y="0"/>
                      <a:ext cx="5486400" cy="3119871"/>
                    </a:xfrm>
                    <a:prstGeom prst="rect">
                      <a:avLst/>
                    </a:prstGeom>
                  </pic:spPr>
                </pic:pic>
              </a:graphicData>
            </a:graphic>
          </wp:inline>
        </w:drawing>
      </w:r>
    </w:p>
    <w:p w14:paraId="34261B98" w14:textId="77777777" w:rsidR="006046D2" w:rsidRPr="00B76053" w:rsidRDefault="00B04762">
      <w:pPr>
        <w:pStyle w:val="Caption"/>
        <w:rPr>
          <w:rFonts w:cs="Times New Roman"/>
        </w:rPr>
      </w:pPr>
      <w:r w:rsidRPr="00B76053">
        <w:rPr>
          <w:rFonts w:cs="Times New Roman"/>
        </w:rPr>
        <w:t xml:space="preserve">Figure E.1. Operational Leverage Index (OLI) for Better.com, fiscal years 2020–2025, with 2023 = 100. The composite is an equally-weighted average of three components: Revenue Growth Index, Revenue per Employee </w:t>
      </w:r>
      <w:r w:rsidRPr="00B76053">
        <w:rPr>
          <w:rFonts w:cs="Times New Roman"/>
        </w:rPr>
        <w:lastRenderedPageBreak/>
        <w:t>Index, and Inverse Expense Ratio Index. The index is illustrative; it is sensitive to baseline-year selection and to component weighting (see §3.6 and Appendix A.4).</w:t>
      </w:r>
    </w:p>
    <w:p w14:paraId="34FD5BFA" w14:textId="77777777" w:rsidR="006046D2" w:rsidRPr="00B76053" w:rsidRDefault="00B04762">
      <w:pPr>
        <w:pStyle w:val="Heading2"/>
        <w:rPr>
          <w:rFonts w:cs="Times New Roman"/>
        </w:rPr>
      </w:pPr>
      <w:bookmarkStart w:id="134" w:name="_Toc229755401"/>
      <w:r w:rsidRPr="00B76053">
        <w:rPr>
          <w:rFonts w:cs="Times New Roman"/>
        </w:rPr>
        <w:t>E.2 BERTopic Topic Map</w:t>
      </w:r>
      <w:bookmarkEnd w:id="134"/>
    </w:p>
    <w:p w14:paraId="76BE63C7" w14:textId="77777777" w:rsidR="006046D2" w:rsidRPr="00B76053" w:rsidRDefault="00B04762">
      <w:pPr>
        <w:jc w:val="center"/>
        <w:rPr>
          <w:rFonts w:cs="Times New Roman"/>
        </w:rPr>
      </w:pPr>
      <w:r w:rsidRPr="00B76053">
        <w:rPr>
          <w:rFonts w:cs="Times New Roman"/>
          <w:noProof/>
        </w:rPr>
        <w:drawing>
          <wp:inline distT="0" distB="0" distL="0" distR="0" wp14:anchorId="1FA65A7F" wp14:editId="4BEA843E">
            <wp:extent cx="5486400" cy="4114800"/>
            <wp:effectExtent l="0" t="0" r="127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_nlp_topic_map.png"/>
                    <pic:cNvPicPr/>
                  </pic:nvPicPr>
                  <pic:blipFill>
                    <a:blip r:embed="rId16"/>
                    <a:stretch>
                      <a:fillRect/>
                    </a:stretch>
                  </pic:blipFill>
                  <pic:spPr>
                    <a:xfrm>
                      <a:off x="0" y="0"/>
                      <a:ext cx="5486400" cy="4114800"/>
                    </a:xfrm>
                    <a:prstGeom prst="rect">
                      <a:avLst/>
                    </a:prstGeom>
                  </pic:spPr>
                </pic:pic>
              </a:graphicData>
            </a:graphic>
          </wp:inline>
        </w:drawing>
      </w:r>
    </w:p>
    <w:p w14:paraId="0106C0F5" w14:textId="77777777" w:rsidR="006046D2" w:rsidRPr="00B76053" w:rsidRDefault="00B04762">
      <w:pPr>
        <w:pStyle w:val="Caption"/>
        <w:rPr>
          <w:rFonts w:cs="Times New Roman"/>
        </w:rPr>
      </w:pPr>
      <w:r w:rsidRPr="00B76053">
        <w:rPr>
          <w:rFonts w:cs="Times New Roman"/>
        </w:rPr>
        <w:t>Figure E.2. BERTopic two-dimensional topic map of the cleaned Trustpilot corpus (n = 1,915). Topics are positioned in a UMAP-projected embedding space; circle size indicates topic share. The map is descriptive and is provided for transparency; topic-share magnitudes should not be interpreted inferentially (see Appendix C.4 and §8.7).</w:t>
      </w:r>
    </w:p>
    <w:p w14:paraId="7B252DA0" w14:textId="77777777" w:rsidR="006046D2" w:rsidRPr="00B76053" w:rsidRDefault="00B04762">
      <w:pPr>
        <w:pStyle w:val="Heading2"/>
        <w:rPr>
          <w:rFonts w:cs="Times New Roman"/>
        </w:rPr>
      </w:pPr>
      <w:bookmarkStart w:id="135" w:name="_Toc229755402"/>
      <w:r w:rsidRPr="00B76053">
        <w:rPr>
          <w:rFonts w:cs="Times New Roman"/>
        </w:rPr>
        <w:lastRenderedPageBreak/>
        <w:t>E.3 BERTopic Topic-Word Importance</w:t>
      </w:r>
      <w:bookmarkEnd w:id="135"/>
    </w:p>
    <w:p w14:paraId="5C543CEC" w14:textId="77777777" w:rsidR="006046D2" w:rsidRPr="00B76053" w:rsidRDefault="00B04762">
      <w:pPr>
        <w:jc w:val="center"/>
        <w:rPr>
          <w:rFonts w:cs="Times New Roman"/>
        </w:rPr>
      </w:pPr>
      <w:r w:rsidRPr="00B76053">
        <w:rPr>
          <w:rFonts w:cs="Times New Roman"/>
          <w:noProof/>
        </w:rPr>
        <w:drawing>
          <wp:inline distT="0" distB="0" distL="0" distR="0" wp14:anchorId="7EE00AA6" wp14:editId="7405711F">
            <wp:extent cx="5486400" cy="35269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_nlp_topic_word_importance.png"/>
                    <pic:cNvPicPr/>
                  </pic:nvPicPr>
                  <pic:blipFill>
                    <a:blip r:embed="rId17"/>
                    <a:stretch>
                      <a:fillRect/>
                    </a:stretch>
                  </pic:blipFill>
                  <pic:spPr>
                    <a:xfrm>
                      <a:off x="0" y="0"/>
                      <a:ext cx="5486400" cy="3526971"/>
                    </a:xfrm>
                    <a:prstGeom prst="rect">
                      <a:avLst/>
                    </a:prstGeom>
                  </pic:spPr>
                </pic:pic>
              </a:graphicData>
            </a:graphic>
          </wp:inline>
        </w:drawing>
      </w:r>
    </w:p>
    <w:p w14:paraId="26B22166" w14:textId="77777777" w:rsidR="006046D2" w:rsidRPr="00B76053" w:rsidRDefault="00B04762">
      <w:pPr>
        <w:pStyle w:val="Caption"/>
        <w:rPr>
          <w:rFonts w:cs="Times New Roman"/>
        </w:rPr>
      </w:pPr>
      <w:r w:rsidRPr="00B76053">
        <w:rPr>
          <w:rFonts w:cs="Times New Roman"/>
        </w:rPr>
        <w:t>Figure E.3. BERTopic topic-word importance heatmap for the top 20 topics by clustered-corpus share. Each row corresponds to a topic, and each column to a top c-TF-IDF term. Heatmap intensity reflects the per-topic c-TF-IDF score of the term. The figure is descriptive and is provided for transparency (see Appendix C.4).</w:t>
      </w:r>
    </w:p>
    <w:p w14:paraId="1AB7FC9B" w14:textId="1FC9203B" w:rsidR="006046D2" w:rsidRPr="00B76053" w:rsidRDefault="00B04762">
      <w:pPr>
        <w:pStyle w:val="Heading1"/>
        <w:pageBreakBefore/>
        <w:rPr>
          <w:rFonts w:cs="Times New Roman"/>
        </w:rPr>
      </w:pPr>
      <w:bookmarkStart w:id="136" w:name="_Toc229755403"/>
      <w:r w:rsidRPr="00B76053">
        <w:rPr>
          <w:rFonts w:cs="Times New Roman"/>
        </w:rPr>
        <w:lastRenderedPageBreak/>
        <w:t>Appendix F. Source Reliability</w:t>
      </w:r>
      <w:bookmarkEnd w:id="136"/>
    </w:p>
    <w:p w14:paraId="1F6282C7" w14:textId="77777777" w:rsidR="006046D2" w:rsidRPr="00B76053" w:rsidRDefault="00B04762">
      <w:pPr>
        <w:pStyle w:val="Heading2"/>
        <w:rPr>
          <w:rFonts w:cs="Times New Roman"/>
        </w:rPr>
      </w:pPr>
      <w:bookmarkStart w:id="137" w:name="_Toc229755404"/>
      <w:r w:rsidRPr="00B76053">
        <w:rPr>
          <w:rFonts w:cs="Times New Roman"/>
        </w:rPr>
        <w:t>F.1 Source-Reliability Tier Counts</w:t>
      </w:r>
      <w:bookmarkEnd w:id="137"/>
    </w:p>
    <w:p w14:paraId="213FD62D" w14:textId="77777777" w:rsidR="006046D2" w:rsidRPr="00B76053" w:rsidRDefault="00B04762">
      <w:pPr>
        <w:pStyle w:val="Caption"/>
        <w:rPr>
          <w:rFonts w:cs="Times New Roman"/>
        </w:rPr>
      </w:pPr>
      <w:r w:rsidRPr="00B76053">
        <w:rPr>
          <w:rFonts w:cs="Times New Roman"/>
        </w:rPr>
        <w:t>Table F.1. Source-reliability tier counts for sources used in this thesis, derived from the per-source classification in 08_Citation_Audit/F_Source_Reliability_Table.md.</w:t>
      </w:r>
    </w:p>
    <w:tbl>
      <w:tblPr>
        <w:tblStyle w:val="TableGrid"/>
        <w:tblW w:w="0" w:type="auto"/>
        <w:tblLook w:val="04A0" w:firstRow="1" w:lastRow="0" w:firstColumn="1" w:lastColumn="0" w:noHBand="0" w:noVBand="1"/>
      </w:tblPr>
      <w:tblGrid>
        <w:gridCol w:w="1727"/>
        <w:gridCol w:w="5932"/>
        <w:gridCol w:w="1691"/>
      </w:tblGrid>
      <w:tr w:rsidR="006046D2" w:rsidRPr="00B76053" w14:paraId="7C83ACDB" w14:textId="77777777" w:rsidTr="00DB1EAA">
        <w:tc>
          <w:tcPr>
            <w:tcW w:w="1728" w:type="dxa"/>
          </w:tcPr>
          <w:p w14:paraId="29083392" w14:textId="77777777" w:rsidR="006046D2" w:rsidRPr="00B76053" w:rsidRDefault="00B04762">
            <w:pPr>
              <w:rPr>
                <w:rFonts w:cs="Times New Roman"/>
              </w:rPr>
            </w:pPr>
            <w:r w:rsidRPr="00B76053">
              <w:rPr>
                <w:rFonts w:cs="Times New Roman"/>
                <w:b/>
              </w:rPr>
              <w:t>Tier</w:t>
            </w:r>
          </w:p>
        </w:tc>
        <w:tc>
          <w:tcPr>
            <w:tcW w:w="5940" w:type="dxa"/>
          </w:tcPr>
          <w:p w14:paraId="3AAF3CDC" w14:textId="77777777" w:rsidR="006046D2" w:rsidRPr="00B76053" w:rsidRDefault="00B04762">
            <w:pPr>
              <w:rPr>
                <w:rFonts w:cs="Times New Roman"/>
              </w:rPr>
            </w:pPr>
            <w:r w:rsidRPr="00B76053">
              <w:rPr>
                <w:rFonts w:cs="Times New Roman"/>
                <w:b/>
              </w:rPr>
              <w:t>Description</w:t>
            </w:r>
          </w:p>
        </w:tc>
        <w:tc>
          <w:tcPr>
            <w:tcW w:w="1692" w:type="dxa"/>
          </w:tcPr>
          <w:p w14:paraId="6FBE8F13" w14:textId="08DE4CF0" w:rsidR="006046D2" w:rsidRPr="00B76053" w:rsidRDefault="00B04762">
            <w:pPr>
              <w:rPr>
                <w:rFonts w:cs="Times New Roman"/>
              </w:rPr>
            </w:pPr>
            <w:r w:rsidRPr="00B76053">
              <w:rPr>
                <w:rFonts w:cs="Times New Roman"/>
                <w:b/>
              </w:rPr>
              <w:t xml:space="preserve"># Sources </w:t>
            </w:r>
          </w:p>
        </w:tc>
      </w:tr>
      <w:tr w:rsidR="006046D2" w:rsidRPr="00B76053" w14:paraId="10CD072B" w14:textId="77777777" w:rsidTr="00DB1EAA">
        <w:tc>
          <w:tcPr>
            <w:tcW w:w="1728" w:type="dxa"/>
          </w:tcPr>
          <w:p w14:paraId="628B4F8F" w14:textId="77777777" w:rsidR="006046D2" w:rsidRPr="00B76053" w:rsidRDefault="00B04762">
            <w:pPr>
              <w:rPr>
                <w:rFonts w:cs="Times New Roman"/>
              </w:rPr>
            </w:pPr>
            <w:r w:rsidRPr="00B76053">
              <w:rPr>
                <w:rFonts w:cs="Times New Roman"/>
              </w:rPr>
              <w:t>High</w:t>
            </w:r>
          </w:p>
        </w:tc>
        <w:tc>
          <w:tcPr>
            <w:tcW w:w="5940" w:type="dxa"/>
          </w:tcPr>
          <w:p w14:paraId="1578007C" w14:textId="7C7F02D9" w:rsidR="006046D2" w:rsidRPr="00B76053" w:rsidRDefault="00B04762">
            <w:pPr>
              <w:rPr>
                <w:rFonts w:cs="Times New Roman"/>
              </w:rPr>
            </w:pPr>
            <w:r w:rsidRPr="00B76053">
              <w:rPr>
                <w:rFonts w:cs="Times New Roman"/>
              </w:rPr>
              <w:t>Audited financial statements (10-K, S-1).</w:t>
            </w:r>
          </w:p>
        </w:tc>
        <w:tc>
          <w:tcPr>
            <w:tcW w:w="1692" w:type="dxa"/>
          </w:tcPr>
          <w:p w14:paraId="37B75F3A" w14:textId="1BB34CCB" w:rsidR="006046D2" w:rsidRPr="00B76053" w:rsidRDefault="00E85DC1">
            <w:pPr>
              <w:rPr>
                <w:rFonts w:cs="Times New Roman"/>
              </w:rPr>
            </w:pPr>
            <w:r>
              <w:rPr>
                <w:rFonts w:cs="Times New Roman"/>
              </w:rPr>
              <w:t>10</w:t>
            </w:r>
          </w:p>
        </w:tc>
      </w:tr>
      <w:tr w:rsidR="006046D2" w:rsidRPr="00B76053" w14:paraId="0D69B1B7" w14:textId="77777777" w:rsidTr="00DB1EAA">
        <w:tc>
          <w:tcPr>
            <w:tcW w:w="1728" w:type="dxa"/>
          </w:tcPr>
          <w:p w14:paraId="2498C0F5" w14:textId="77777777" w:rsidR="006046D2" w:rsidRPr="00B76053" w:rsidRDefault="00B04762">
            <w:pPr>
              <w:rPr>
                <w:rFonts w:cs="Times New Roman"/>
              </w:rPr>
            </w:pPr>
            <w:r w:rsidRPr="00B76053">
              <w:rPr>
                <w:rFonts w:cs="Times New Roman"/>
              </w:rPr>
              <w:t>High</w:t>
            </w:r>
          </w:p>
        </w:tc>
        <w:tc>
          <w:tcPr>
            <w:tcW w:w="5940" w:type="dxa"/>
          </w:tcPr>
          <w:p w14:paraId="132F43A9" w14:textId="77777777" w:rsidR="006046D2" w:rsidRPr="00B76053" w:rsidRDefault="00B04762">
            <w:pPr>
              <w:rPr>
                <w:rFonts w:cs="Times New Roman"/>
              </w:rPr>
            </w:pPr>
            <w:r w:rsidRPr="00B76053">
              <w:rPr>
                <w:rFonts w:cs="Times New Roman"/>
              </w:rPr>
              <w:t>SEC-filed 8-K Exhibit 99.1 / earnings release.</w:t>
            </w:r>
          </w:p>
        </w:tc>
        <w:tc>
          <w:tcPr>
            <w:tcW w:w="1692" w:type="dxa"/>
          </w:tcPr>
          <w:p w14:paraId="174356E8" w14:textId="77777777" w:rsidR="006046D2" w:rsidRPr="00B76053" w:rsidRDefault="00B04762">
            <w:pPr>
              <w:rPr>
                <w:rFonts w:cs="Times New Roman"/>
              </w:rPr>
            </w:pPr>
            <w:r w:rsidRPr="00B76053">
              <w:rPr>
                <w:rFonts w:cs="Times New Roman"/>
              </w:rPr>
              <w:t>4</w:t>
            </w:r>
          </w:p>
        </w:tc>
      </w:tr>
      <w:tr w:rsidR="006046D2" w:rsidRPr="00B76053" w14:paraId="7F155227" w14:textId="77777777" w:rsidTr="00DB1EAA">
        <w:tc>
          <w:tcPr>
            <w:tcW w:w="1728" w:type="dxa"/>
          </w:tcPr>
          <w:p w14:paraId="2AD36C22" w14:textId="77777777" w:rsidR="006046D2" w:rsidRPr="00B76053" w:rsidRDefault="00B04762">
            <w:pPr>
              <w:rPr>
                <w:rFonts w:cs="Times New Roman"/>
              </w:rPr>
            </w:pPr>
            <w:r w:rsidRPr="00B76053">
              <w:rPr>
                <w:rFonts w:cs="Times New Roman"/>
              </w:rPr>
              <w:t>High</w:t>
            </w:r>
          </w:p>
        </w:tc>
        <w:tc>
          <w:tcPr>
            <w:tcW w:w="5940" w:type="dxa"/>
          </w:tcPr>
          <w:p w14:paraId="0BE8261A" w14:textId="77777777" w:rsidR="006046D2" w:rsidRPr="00B76053" w:rsidRDefault="00B04762">
            <w:pPr>
              <w:rPr>
                <w:rFonts w:cs="Times New Roman"/>
              </w:rPr>
            </w:pPr>
            <w:r w:rsidRPr="00B76053">
              <w:rPr>
                <w:rFonts w:cs="Times New Roman"/>
              </w:rPr>
              <w:t>Peer-reviewed academic publication.</w:t>
            </w:r>
          </w:p>
        </w:tc>
        <w:tc>
          <w:tcPr>
            <w:tcW w:w="1692" w:type="dxa"/>
          </w:tcPr>
          <w:p w14:paraId="640A6D70" w14:textId="77777777" w:rsidR="006046D2" w:rsidRPr="00B76053" w:rsidRDefault="00B04762">
            <w:pPr>
              <w:rPr>
                <w:rFonts w:cs="Times New Roman"/>
              </w:rPr>
            </w:pPr>
            <w:r w:rsidRPr="00B76053">
              <w:rPr>
                <w:rFonts w:cs="Times New Roman"/>
              </w:rPr>
              <w:t>26</w:t>
            </w:r>
          </w:p>
        </w:tc>
      </w:tr>
      <w:tr w:rsidR="006046D2" w:rsidRPr="00B76053" w14:paraId="19BE2A4C" w14:textId="77777777" w:rsidTr="00DB1EAA">
        <w:tc>
          <w:tcPr>
            <w:tcW w:w="1728" w:type="dxa"/>
          </w:tcPr>
          <w:p w14:paraId="6FFD94A8" w14:textId="77777777" w:rsidR="006046D2" w:rsidRPr="00B76053" w:rsidRDefault="00B04762">
            <w:pPr>
              <w:rPr>
                <w:rFonts w:cs="Times New Roman"/>
              </w:rPr>
            </w:pPr>
            <w:r w:rsidRPr="00B76053">
              <w:rPr>
                <w:rFonts w:cs="Times New Roman"/>
              </w:rPr>
              <w:t>Medium-High</w:t>
            </w:r>
          </w:p>
        </w:tc>
        <w:tc>
          <w:tcPr>
            <w:tcW w:w="5940" w:type="dxa"/>
          </w:tcPr>
          <w:p w14:paraId="6E3CDFD9" w14:textId="77777777" w:rsidR="006046D2" w:rsidRPr="00B76053" w:rsidRDefault="00B04762">
            <w:pPr>
              <w:rPr>
                <w:rFonts w:cs="Times New Roman"/>
              </w:rPr>
            </w:pPr>
            <w:r w:rsidRPr="00B76053">
              <w:rPr>
                <w:rFonts w:cs="Times New Roman"/>
              </w:rPr>
              <w:t>Independent industry / government report.</w:t>
            </w:r>
          </w:p>
        </w:tc>
        <w:tc>
          <w:tcPr>
            <w:tcW w:w="1692" w:type="dxa"/>
          </w:tcPr>
          <w:p w14:paraId="30647A8C" w14:textId="77777777" w:rsidR="006046D2" w:rsidRPr="00B76053" w:rsidRDefault="00B04762">
            <w:pPr>
              <w:rPr>
                <w:rFonts w:cs="Times New Roman"/>
              </w:rPr>
            </w:pPr>
            <w:r w:rsidRPr="00B76053">
              <w:rPr>
                <w:rFonts w:cs="Times New Roman"/>
              </w:rPr>
              <w:t>8</w:t>
            </w:r>
          </w:p>
        </w:tc>
      </w:tr>
      <w:tr w:rsidR="006046D2" w:rsidRPr="00B76053" w14:paraId="5C2C4D8C" w14:textId="77777777" w:rsidTr="00DB1EAA">
        <w:tc>
          <w:tcPr>
            <w:tcW w:w="1728" w:type="dxa"/>
          </w:tcPr>
          <w:p w14:paraId="2F696C7E" w14:textId="77777777" w:rsidR="006046D2" w:rsidRPr="00B76053" w:rsidRDefault="00B04762">
            <w:pPr>
              <w:rPr>
                <w:rFonts w:cs="Times New Roman"/>
              </w:rPr>
            </w:pPr>
            <w:r w:rsidRPr="00B76053">
              <w:rPr>
                <w:rFonts w:cs="Times New Roman"/>
              </w:rPr>
              <w:t>Medium</w:t>
            </w:r>
          </w:p>
        </w:tc>
        <w:tc>
          <w:tcPr>
            <w:tcW w:w="5940" w:type="dxa"/>
          </w:tcPr>
          <w:p w14:paraId="7A73F12A" w14:textId="77777777" w:rsidR="006046D2" w:rsidRPr="00B76053" w:rsidRDefault="00B04762">
            <w:pPr>
              <w:rPr>
                <w:rFonts w:cs="Times New Roman"/>
              </w:rPr>
            </w:pPr>
            <w:r w:rsidRPr="00B76053">
              <w:rPr>
                <w:rFonts w:cs="Times New Roman"/>
              </w:rPr>
              <w:t>Management-reported operating metric (unaudited).</w:t>
            </w:r>
          </w:p>
        </w:tc>
        <w:tc>
          <w:tcPr>
            <w:tcW w:w="1692" w:type="dxa"/>
          </w:tcPr>
          <w:p w14:paraId="4CF7DED4" w14:textId="77777777" w:rsidR="006046D2" w:rsidRPr="00B76053" w:rsidRDefault="00B04762">
            <w:pPr>
              <w:rPr>
                <w:rFonts w:cs="Times New Roman"/>
              </w:rPr>
            </w:pPr>
            <w:r w:rsidRPr="00B76053">
              <w:rPr>
                <w:rFonts w:cs="Times New Roman"/>
              </w:rPr>
              <w:t>5</w:t>
            </w:r>
          </w:p>
        </w:tc>
      </w:tr>
      <w:tr w:rsidR="006046D2" w:rsidRPr="00B76053" w14:paraId="41EE394C" w14:textId="77777777" w:rsidTr="00DB1EAA">
        <w:tc>
          <w:tcPr>
            <w:tcW w:w="1728" w:type="dxa"/>
          </w:tcPr>
          <w:p w14:paraId="2AA7C83B" w14:textId="77777777" w:rsidR="006046D2" w:rsidRPr="00B76053" w:rsidRDefault="00B04762">
            <w:pPr>
              <w:rPr>
                <w:rFonts w:cs="Times New Roman"/>
              </w:rPr>
            </w:pPr>
            <w:r w:rsidRPr="00B76053">
              <w:rPr>
                <w:rFonts w:cs="Times New Roman"/>
              </w:rPr>
              <w:t>Medium</w:t>
            </w:r>
          </w:p>
        </w:tc>
        <w:tc>
          <w:tcPr>
            <w:tcW w:w="5940" w:type="dxa"/>
          </w:tcPr>
          <w:p w14:paraId="01B94725" w14:textId="77777777" w:rsidR="006046D2" w:rsidRPr="00B76053" w:rsidRDefault="00B04762">
            <w:pPr>
              <w:rPr>
                <w:rFonts w:cs="Times New Roman"/>
              </w:rPr>
            </w:pPr>
            <w:r w:rsidRPr="00B76053">
              <w:rPr>
                <w:rFonts w:cs="Times New Roman"/>
              </w:rPr>
              <w:t>Vendor / case-study material.</w:t>
            </w:r>
          </w:p>
        </w:tc>
        <w:tc>
          <w:tcPr>
            <w:tcW w:w="1692" w:type="dxa"/>
          </w:tcPr>
          <w:p w14:paraId="3BEB0366" w14:textId="77777777" w:rsidR="006046D2" w:rsidRPr="00B76053" w:rsidRDefault="00B04762">
            <w:pPr>
              <w:rPr>
                <w:rFonts w:cs="Times New Roman"/>
              </w:rPr>
            </w:pPr>
            <w:r w:rsidRPr="00B76053">
              <w:rPr>
                <w:rFonts w:cs="Times New Roman"/>
              </w:rPr>
              <w:t>2</w:t>
            </w:r>
          </w:p>
        </w:tc>
      </w:tr>
      <w:tr w:rsidR="006046D2" w:rsidRPr="00B76053" w14:paraId="33BA28F4" w14:textId="77777777" w:rsidTr="00DB1EAA">
        <w:tc>
          <w:tcPr>
            <w:tcW w:w="1728" w:type="dxa"/>
          </w:tcPr>
          <w:p w14:paraId="6B18EFE6" w14:textId="77777777" w:rsidR="006046D2" w:rsidRPr="00B76053" w:rsidRDefault="00B04762">
            <w:pPr>
              <w:rPr>
                <w:rFonts w:cs="Times New Roman"/>
              </w:rPr>
            </w:pPr>
            <w:r w:rsidRPr="00B76053">
              <w:rPr>
                <w:rFonts w:cs="Times New Roman"/>
              </w:rPr>
              <w:t>Medium</w:t>
            </w:r>
          </w:p>
        </w:tc>
        <w:tc>
          <w:tcPr>
            <w:tcW w:w="5940" w:type="dxa"/>
          </w:tcPr>
          <w:p w14:paraId="36B83BD9" w14:textId="77777777" w:rsidR="006046D2" w:rsidRPr="00B76053" w:rsidRDefault="00B04762">
            <w:pPr>
              <w:rPr>
                <w:rFonts w:cs="Times New Roman"/>
              </w:rPr>
            </w:pPr>
            <w:r w:rsidRPr="00B76053">
              <w:rPr>
                <w:rFonts w:cs="Times New Roman"/>
              </w:rPr>
              <w:t>Independent self-selected user-generated content (Trustpilot).</w:t>
            </w:r>
          </w:p>
        </w:tc>
        <w:tc>
          <w:tcPr>
            <w:tcW w:w="1692" w:type="dxa"/>
          </w:tcPr>
          <w:p w14:paraId="54DCBFE2" w14:textId="77777777" w:rsidR="006046D2" w:rsidRPr="00B76053" w:rsidRDefault="00B04762">
            <w:pPr>
              <w:rPr>
                <w:rFonts w:cs="Times New Roman"/>
              </w:rPr>
            </w:pPr>
            <w:r w:rsidRPr="00B76053">
              <w:rPr>
                <w:rFonts w:cs="Times New Roman"/>
              </w:rPr>
              <w:t>1</w:t>
            </w:r>
          </w:p>
        </w:tc>
      </w:tr>
      <w:tr w:rsidR="006046D2" w:rsidRPr="00B76053" w14:paraId="02389675" w14:textId="77777777" w:rsidTr="00DB1EAA">
        <w:tc>
          <w:tcPr>
            <w:tcW w:w="1728" w:type="dxa"/>
          </w:tcPr>
          <w:p w14:paraId="07C1E90B" w14:textId="77777777" w:rsidR="006046D2" w:rsidRPr="00B76053" w:rsidRDefault="00B04762">
            <w:pPr>
              <w:rPr>
                <w:rFonts w:cs="Times New Roman"/>
              </w:rPr>
            </w:pPr>
            <w:r w:rsidRPr="00B76053">
              <w:rPr>
                <w:rFonts w:cs="Times New Roman"/>
              </w:rPr>
              <w:t>Medium-Low</w:t>
            </w:r>
          </w:p>
        </w:tc>
        <w:tc>
          <w:tcPr>
            <w:tcW w:w="5940" w:type="dxa"/>
          </w:tcPr>
          <w:p w14:paraId="3515FAA7" w14:textId="77777777" w:rsidR="006046D2" w:rsidRPr="00B76053" w:rsidRDefault="00B04762">
            <w:pPr>
              <w:rPr>
                <w:rFonts w:cs="Times New Roman"/>
              </w:rPr>
            </w:pPr>
            <w:r w:rsidRPr="00B76053">
              <w:rPr>
                <w:rFonts w:cs="Times New Roman"/>
              </w:rPr>
              <w:t>News media (HousingWire, Axios).</w:t>
            </w:r>
          </w:p>
        </w:tc>
        <w:tc>
          <w:tcPr>
            <w:tcW w:w="1692" w:type="dxa"/>
          </w:tcPr>
          <w:p w14:paraId="273DA03A" w14:textId="77777777" w:rsidR="006046D2" w:rsidRPr="00B76053" w:rsidRDefault="00B04762">
            <w:pPr>
              <w:rPr>
                <w:rFonts w:cs="Times New Roman"/>
              </w:rPr>
            </w:pPr>
            <w:r w:rsidRPr="00B76053">
              <w:rPr>
                <w:rFonts w:cs="Times New Roman"/>
              </w:rPr>
              <w:t>3</w:t>
            </w:r>
          </w:p>
        </w:tc>
      </w:tr>
      <w:tr w:rsidR="006046D2" w:rsidRPr="00B76053" w14:paraId="58E8627B" w14:textId="77777777" w:rsidTr="00DB1EAA">
        <w:tc>
          <w:tcPr>
            <w:tcW w:w="1728" w:type="dxa"/>
          </w:tcPr>
          <w:p w14:paraId="4FF0C19F" w14:textId="77777777" w:rsidR="006046D2" w:rsidRPr="00B76053" w:rsidRDefault="00B04762">
            <w:pPr>
              <w:rPr>
                <w:rFonts w:cs="Times New Roman"/>
              </w:rPr>
            </w:pPr>
            <w:r w:rsidRPr="00B76053">
              <w:rPr>
                <w:rFonts w:cs="Times New Roman"/>
              </w:rPr>
              <w:t>Low</w:t>
            </w:r>
          </w:p>
        </w:tc>
        <w:tc>
          <w:tcPr>
            <w:tcW w:w="5940" w:type="dxa"/>
          </w:tcPr>
          <w:p w14:paraId="6240D6AA" w14:textId="77777777" w:rsidR="006046D2" w:rsidRPr="00B76053" w:rsidRDefault="00B04762">
            <w:pPr>
              <w:rPr>
                <w:rFonts w:cs="Times New Roman"/>
              </w:rPr>
            </w:pPr>
            <w:r w:rsidRPr="00B76053">
              <w:rPr>
                <w:rFonts w:cs="Times New Roman"/>
              </w:rPr>
              <w:t>Trade-press / vendor blog.</w:t>
            </w:r>
          </w:p>
        </w:tc>
        <w:tc>
          <w:tcPr>
            <w:tcW w:w="1692" w:type="dxa"/>
          </w:tcPr>
          <w:p w14:paraId="6C7829CC" w14:textId="77777777" w:rsidR="006046D2" w:rsidRPr="00B76053" w:rsidRDefault="00B04762">
            <w:pPr>
              <w:rPr>
                <w:rFonts w:cs="Times New Roman"/>
              </w:rPr>
            </w:pPr>
            <w:r w:rsidRPr="00B76053">
              <w:rPr>
                <w:rFonts w:cs="Times New Roman"/>
              </w:rPr>
              <w:t>0 (avoided)</w:t>
            </w:r>
          </w:p>
        </w:tc>
      </w:tr>
    </w:tbl>
    <w:p w14:paraId="204561B0" w14:textId="77777777" w:rsidR="006046D2" w:rsidRPr="00B76053" w:rsidRDefault="00B04762">
      <w:pPr>
        <w:pStyle w:val="Heading1"/>
        <w:pageBreakBefore/>
        <w:rPr>
          <w:rFonts w:cs="Times New Roman"/>
        </w:rPr>
      </w:pPr>
      <w:bookmarkStart w:id="138" w:name="_Toc229755405"/>
      <w:r w:rsidRPr="00B76053">
        <w:rPr>
          <w:rFonts w:cs="Times New Roman"/>
        </w:rPr>
        <w:lastRenderedPageBreak/>
        <w:t>Appendix G. Reproducibility Notes</w:t>
      </w:r>
      <w:bookmarkEnd w:id="138"/>
    </w:p>
    <w:p w14:paraId="20C156A2" w14:textId="77777777" w:rsidR="00BD199A" w:rsidRPr="00B76053" w:rsidRDefault="004A2FB2">
      <w:pPr>
        <w:pStyle w:val="Heading2"/>
        <w:rPr>
          <w:rFonts w:cs="Times New Roman"/>
        </w:rPr>
      </w:pPr>
      <w:bookmarkStart w:id="139" w:name="_Toc229755406"/>
      <w:r w:rsidRPr="00B76053">
        <w:rPr>
          <w:rFonts w:cs="Times New Roman"/>
        </w:rPr>
        <w:t>G.0 Source Code Repository</w:t>
      </w:r>
      <w:bookmarkEnd w:id="139"/>
    </w:p>
    <w:p w14:paraId="34255972" w14:textId="7EBAB0D2" w:rsidR="00BD199A" w:rsidRPr="00B76053" w:rsidRDefault="004A2FB2">
      <w:pPr>
        <w:spacing w:before="120" w:after="120"/>
        <w:rPr>
          <w:rFonts w:cs="Times New Roman"/>
        </w:rPr>
      </w:pPr>
      <w:r w:rsidRPr="00B76053">
        <w:rPr>
          <w:rFonts w:cs="Times New Roman"/>
        </w:rPr>
        <w:t xml:space="preserve">The full source code, raw and intermediate data, NLP pipeline notebooks, the financial-metrics notebook, and revision history are openly available at </w:t>
      </w:r>
      <w:hyperlink r:id="rId18" w:history="1">
        <w:r w:rsidR="001C529B" w:rsidRPr="00DC413A">
          <w:rPr>
            <w:rStyle w:val="Hyperlink"/>
            <w:rFonts w:cs="Times New Roman"/>
          </w:rPr>
          <w:t>https://github.com/Mukhammad-Azim/Business-Value-of-AI-voice-agents</w:t>
        </w:r>
      </w:hyperlink>
      <w:r w:rsidRPr="00B76053">
        <w:rPr>
          <w:rFonts w:cs="Times New Roman"/>
        </w:rPr>
        <w:t>. The repository is structured to support end-to-end reproduction of every figure, table, and statistical test reported in this thesis from publicly available inputs.</w:t>
      </w:r>
    </w:p>
    <w:p w14:paraId="17E54707" w14:textId="77777777" w:rsidR="006046D2" w:rsidRPr="00B76053" w:rsidRDefault="00B04762">
      <w:pPr>
        <w:pStyle w:val="Heading2"/>
        <w:rPr>
          <w:rFonts w:cs="Times New Roman"/>
        </w:rPr>
      </w:pPr>
      <w:bookmarkStart w:id="140" w:name="_Toc229755407"/>
      <w:r w:rsidRPr="00B76053">
        <w:rPr>
          <w:rFonts w:cs="Times New Roman"/>
        </w:rPr>
        <w:t>G.1 Repository Structure</w:t>
      </w:r>
      <w:bookmarkEnd w:id="140"/>
    </w:p>
    <w:p w14:paraId="51E29E80" w14:textId="77777777" w:rsidR="00AA5457" w:rsidRPr="00B76053" w:rsidRDefault="00AA5457" w:rsidP="00AA5457">
      <w:pPr>
        <w:rPr>
          <w:rFonts w:cs="Times New Roman"/>
          <w:b/>
          <w:bCs/>
        </w:rPr>
      </w:pPr>
      <w:r w:rsidRPr="00B76053">
        <w:rPr>
          <w:rFonts w:cs="Times New Roman"/>
        </w:rPr>
        <w:t>The repository is organised into the eight top-level directories listed below; each directory groups one stage of the research workflow. 01_Literature/ holds the literature review materials and the annotated bibliography. 02_Case_Study_Data/ contains the SEC filings used in Chapter 5 (Better.com 10-K filings, the Better S-1, and Rocket Companies 10-K filings) together with vendor materials from ElevenLabs and industry context from the Mortgage Bankers Association. 03_Drafts/ stores the thesis manuscript drafts. 04_Notes/ holds working research notes and case-study memos. 05_Code/ contains all analytical code: the financial-metrics notebook (financial_metric_</w:t>
      </w:r>
      <w:proofErr w:type="gramStart"/>
      <w:r w:rsidRPr="00B76053">
        <w:rPr>
          <w:rFonts w:cs="Times New Roman"/>
        </w:rPr>
        <w:t>analysis.ipynb</w:t>
      </w:r>
      <w:proofErr w:type="gramEnd"/>
      <w:r w:rsidRPr="00B76053">
        <w:rPr>
          <w:rFonts w:cs="Times New Roman"/>
        </w:rPr>
        <w:t xml:space="preserve">), the Trustpilot cleaning notebook (cleaning_reviews.ipynb), the BERTopic notebook (better_reviews_topic_modeling.ipynb), the SEC-filing extraction scripts in Data Extraction code/, and the pinned requirements file (requirements.txt). 06_Data/ holds the analysis-ready datasets: the annual financial dataset (financial_dataset_annual.csv) and the cleaned Trustpilot corpus under NLP/. 07_Outputs/ holds the figures generated for the thesis, organised by topic into financial/, NLP/, and design_pattern/ sub-folders. 08_Citation_Audit/ contains the per-source reliability classification used to populate Appendix F. The repository root also includes a README.md file with reproducibility guidance and </w:t>
      </w:r>
      <w:proofErr w:type="gramStart"/>
      <w:r w:rsidRPr="00B76053">
        <w:rPr>
          <w:rFonts w:cs="Times New Roman"/>
        </w:rPr>
        <w:t>a .gitignore</w:t>
      </w:r>
      <w:proofErr w:type="gramEnd"/>
      <w:r w:rsidRPr="00B76053">
        <w:rPr>
          <w:rFonts w:cs="Times New Roman"/>
        </w:rPr>
        <w:t xml:space="preserve"> file.</w:t>
      </w:r>
    </w:p>
    <w:p w14:paraId="7DE76EDC" w14:textId="77777777" w:rsidR="006046D2" w:rsidRPr="00B76053" w:rsidRDefault="00B04762">
      <w:pPr>
        <w:pStyle w:val="Heading2"/>
        <w:rPr>
          <w:rFonts w:cs="Times New Roman"/>
        </w:rPr>
      </w:pPr>
      <w:bookmarkStart w:id="141" w:name="_Toc229755408"/>
      <w:r w:rsidRPr="00B76053">
        <w:rPr>
          <w:rFonts w:cs="Times New Roman"/>
        </w:rPr>
        <w:t>G.2 Run-Once-from-Clone Commands</w:t>
      </w:r>
      <w:bookmarkEnd w:id="141"/>
    </w:p>
    <w:p w14:paraId="3294F060" w14:textId="77777777" w:rsidR="00BA2F10" w:rsidRPr="00B76053" w:rsidRDefault="00BA2F10" w:rsidP="00BA2F10">
      <w:pPr>
        <w:rPr>
          <w:rFonts w:cs="Times New Roman"/>
          <w:b/>
          <w:bCs/>
        </w:rPr>
      </w:pPr>
      <w:r w:rsidRPr="00B76053">
        <w:rPr>
          <w:rFonts w:cs="Times New Roman"/>
        </w:rPr>
        <w:t xml:space="preserve">The repository can be reproduced from a fresh clone using the pinned environment in 05_Code/requirements.txt. The recommended sequence is: (i) clone the repository; (ii) create a Python 3.12 virtual environment; (iii) run `pip install -r 05_Code/requirements.txt`; (iv) open the </w:t>
      </w:r>
      <w:r w:rsidRPr="00B76053">
        <w:rPr>
          <w:rFonts w:cs="Times New Roman"/>
        </w:rPr>
        <w:lastRenderedPageBreak/>
        <w:t>three Jupyter notebooks in 05_Code/ in this order — cleaning_reviews.ipynb (Trustpilot cleaning, produces 06_Data/NLP/better_trustpilot_clean.csv), better_reviews_topic_modeling.ipynb (VADER sentiment and BERTopic topic modelling, produces the topic and keyword CSVs and the NLP figures in 07_Outputs/figures/NLP/), and financial_metric_analysis.ipynb (SEC financial-metrics analysis, produces the financial figures in 07_Outputs/figures/financial/ from 06_Data/financial_dataset_annual.csv). The SEC-filing PDF extraction scripts in 05_Code/Data Extraction code/ are a one-off step and are not re-run for figure reproduction; the extracted CSV (06_Data/financial_dataset_annual.csv) is committed to the repository. The design-pattern figure (Figure 6.1) is included as a static PNG in 07_Outputs/figures/design_pattern/ and does not require code to regenerate.</w:t>
      </w:r>
    </w:p>
    <w:p w14:paraId="16D64F7F" w14:textId="77777777" w:rsidR="006046D2" w:rsidRPr="00B76053" w:rsidRDefault="00B04762">
      <w:pPr>
        <w:pStyle w:val="Heading2"/>
        <w:rPr>
          <w:rFonts w:cs="Times New Roman"/>
        </w:rPr>
      </w:pPr>
      <w:bookmarkStart w:id="142" w:name="_Toc229755409"/>
      <w:r w:rsidRPr="00B76053">
        <w:rPr>
          <w:rFonts w:cs="Times New Roman"/>
        </w:rPr>
        <w:t>G.3 Package Versions</w:t>
      </w:r>
      <w:bookmarkEnd w:id="142"/>
    </w:p>
    <w:p w14:paraId="36B46C97" w14:textId="55A58FC1" w:rsidR="006046D2" w:rsidRPr="00B76053" w:rsidRDefault="00B04762">
      <w:pPr>
        <w:pStyle w:val="Caption"/>
        <w:rPr>
          <w:rFonts w:cs="Times New Roman"/>
        </w:rPr>
      </w:pPr>
      <w:r w:rsidRPr="00B76053">
        <w:rPr>
          <w:rFonts w:cs="Times New Roman"/>
        </w:rPr>
        <w:t xml:space="preserve">Table G.1. </w:t>
      </w:r>
      <w:r w:rsidR="00AB4EE3" w:rsidRPr="00B76053">
        <w:rPr>
          <w:rFonts w:cs="Times New Roman"/>
        </w:rPr>
        <w:t xml:space="preserve">The package versions and analytical dependencies used throughout the financial-analysis and NLP workflows are documented within the repository environment and dependency files located under </w:t>
      </w:r>
      <w:r w:rsidR="00AB4EE3" w:rsidRPr="00B76053">
        <w:rPr>
          <w:rStyle w:val="HTMLCode"/>
          <w:rFonts w:ascii="Times New Roman" w:eastAsiaTheme="minorEastAsia" w:hAnsi="Times New Roman" w:cs="Times New Roman"/>
        </w:rPr>
        <w:t>05_Code/</w:t>
      </w:r>
      <w:r w:rsidR="00AB4EE3" w:rsidRPr="00B76053">
        <w:rPr>
          <w:rFonts w:cs="Times New Roman"/>
        </w:rPr>
        <w:t>. These include the Python packages and libraries required for financial-data analysis, statistical modelling, NLP preprocessing, topic modelling, data visualisation, and reproducibility workflows. Where applicable, pinned dependency versions are recorded to improve reproducibility and analytical consistency across computational environments.</w:t>
      </w:r>
    </w:p>
    <w:tbl>
      <w:tblPr>
        <w:tblStyle w:val="TableGrid"/>
        <w:tblW w:w="0" w:type="auto"/>
        <w:tblLook w:val="04A0" w:firstRow="1" w:lastRow="0" w:firstColumn="1" w:lastColumn="0" w:noHBand="0" w:noVBand="1"/>
      </w:tblPr>
      <w:tblGrid>
        <w:gridCol w:w="3116"/>
        <w:gridCol w:w="3116"/>
        <w:gridCol w:w="3118"/>
      </w:tblGrid>
      <w:tr w:rsidR="006046D2" w:rsidRPr="00B76053" w14:paraId="094D10FD" w14:textId="77777777" w:rsidTr="00F36470">
        <w:tc>
          <w:tcPr>
            <w:tcW w:w="3116" w:type="dxa"/>
          </w:tcPr>
          <w:p w14:paraId="42B6B233" w14:textId="77777777" w:rsidR="006046D2" w:rsidRPr="00B76053" w:rsidRDefault="00B04762">
            <w:pPr>
              <w:rPr>
                <w:rFonts w:cs="Times New Roman"/>
              </w:rPr>
            </w:pPr>
            <w:r w:rsidRPr="00B76053">
              <w:rPr>
                <w:rFonts w:cs="Times New Roman"/>
                <w:b/>
              </w:rPr>
              <w:t>Package</w:t>
            </w:r>
          </w:p>
        </w:tc>
        <w:tc>
          <w:tcPr>
            <w:tcW w:w="3116" w:type="dxa"/>
          </w:tcPr>
          <w:p w14:paraId="75DF2418" w14:textId="77777777" w:rsidR="006046D2" w:rsidRPr="00B76053" w:rsidRDefault="00B04762">
            <w:pPr>
              <w:rPr>
                <w:rFonts w:cs="Times New Roman"/>
              </w:rPr>
            </w:pPr>
            <w:r w:rsidRPr="00B76053">
              <w:rPr>
                <w:rFonts w:cs="Times New Roman"/>
                <w:b/>
              </w:rPr>
              <w:t>Version</w:t>
            </w:r>
          </w:p>
        </w:tc>
        <w:tc>
          <w:tcPr>
            <w:tcW w:w="3118" w:type="dxa"/>
          </w:tcPr>
          <w:p w14:paraId="0C789732" w14:textId="77777777" w:rsidR="006046D2" w:rsidRPr="00B76053" w:rsidRDefault="00B04762">
            <w:pPr>
              <w:rPr>
                <w:rFonts w:cs="Times New Roman"/>
              </w:rPr>
            </w:pPr>
            <w:r w:rsidRPr="00B76053">
              <w:rPr>
                <w:rFonts w:cs="Times New Roman"/>
                <w:b/>
              </w:rPr>
              <w:t>Role</w:t>
            </w:r>
          </w:p>
        </w:tc>
      </w:tr>
      <w:tr w:rsidR="006046D2" w:rsidRPr="00B76053" w14:paraId="7F4547DB" w14:textId="77777777" w:rsidTr="00F36470">
        <w:tc>
          <w:tcPr>
            <w:tcW w:w="3116" w:type="dxa"/>
          </w:tcPr>
          <w:p w14:paraId="6C9179BF" w14:textId="77777777" w:rsidR="006046D2" w:rsidRPr="00B76053" w:rsidRDefault="00B04762">
            <w:pPr>
              <w:rPr>
                <w:rFonts w:cs="Times New Roman"/>
              </w:rPr>
            </w:pPr>
            <w:r w:rsidRPr="00B76053">
              <w:rPr>
                <w:rFonts w:cs="Times New Roman"/>
              </w:rPr>
              <w:t>Python</w:t>
            </w:r>
          </w:p>
        </w:tc>
        <w:tc>
          <w:tcPr>
            <w:tcW w:w="3116" w:type="dxa"/>
          </w:tcPr>
          <w:p w14:paraId="23F88B4D" w14:textId="77777777" w:rsidR="006046D2" w:rsidRPr="00B76053" w:rsidRDefault="00B04762">
            <w:pPr>
              <w:rPr>
                <w:rFonts w:cs="Times New Roman"/>
              </w:rPr>
            </w:pPr>
            <w:r w:rsidRPr="00B76053">
              <w:rPr>
                <w:rFonts w:cs="Times New Roman"/>
              </w:rPr>
              <w:t>3.12</w:t>
            </w:r>
          </w:p>
        </w:tc>
        <w:tc>
          <w:tcPr>
            <w:tcW w:w="3118" w:type="dxa"/>
          </w:tcPr>
          <w:p w14:paraId="1104C6A4" w14:textId="77777777" w:rsidR="006046D2" w:rsidRPr="00B76053" w:rsidRDefault="00B04762">
            <w:pPr>
              <w:rPr>
                <w:rFonts w:cs="Times New Roman"/>
              </w:rPr>
            </w:pPr>
            <w:r w:rsidRPr="00B76053">
              <w:rPr>
                <w:rFonts w:cs="Times New Roman"/>
              </w:rPr>
              <w:t>Interpreter.</w:t>
            </w:r>
          </w:p>
        </w:tc>
      </w:tr>
      <w:tr w:rsidR="006046D2" w:rsidRPr="00B76053" w14:paraId="46E6D4A3" w14:textId="77777777" w:rsidTr="00F36470">
        <w:tc>
          <w:tcPr>
            <w:tcW w:w="3116" w:type="dxa"/>
          </w:tcPr>
          <w:p w14:paraId="1FE2AB4D" w14:textId="77777777" w:rsidR="006046D2" w:rsidRPr="00B76053" w:rsidRDefault="00B04762">
            <w:pPr>
              <w:rPr>
                <w:rFonts w:cs="Times New Roman"/>
              </w:rPr>
            </w:pPr>
            <w:r w:rsidRPr="00B76053">
              <w:rPr>
                <w:rFonts w:cs="Times New Roman"/>
              </w:rPr>
              <w:t>python-docx</w:t>
            </w:r>
          </w:p>
        </w:tc>
        <w:tc>
          <w:tcPr>
            <w:tcW w:w="3116" w:type="dxa"/>
          </w:tcPr>
          <w:p w14:paraId="55D25D7F" w14:textId="77777777" w:rsidR="006046D2" w:rsidRPr="00B76053" w:rsidRDefault="00B04762">
            <w:pPr>
              <w:rPr>
                <w:rFonts w:cs="Times New Roman"/>
              </w:rPr>
            </w:pPr>
            <w:r w:rsidRPr="00B76053">
              <w:rPr>
                <w:rFonts w:cs="Times New Roman"/>
              </w:rPr>
              <w:t>&gt;=1.1, &lt;2.0</w:t>
            </w:r>
          </w:p>
        </w:tc>
        <w:tc>
          <w:tcPr>
            <w:tcW w:w="3118" w:type="dxa"/>
          </w:tcPr>
          <w:p w14:paraId="0259B7A5" w14:textId="0DFEBDF4" w:rsidR="006046D2" w:rsidRPr="00B76053" w:rsidRDefault="00B04762">
            <w:pPr>
              <w:rPr>
                <w:rFonts w:cs="Times New Roman"/>
              </w:rPr>
            </w:pPr>
            <w:r w:rsidRPr="00B76053">
              <w:rPr>
                <w:rFonts w:cs="Times New Roman"/>
              </w:rPr>
              <w:t>Document construction.</w:t>
            </w:r>
          </w:p>
        </w:tc>
      </w:tr>
      <w:tr w:rsidR="006046D2" w:rsidRPr="00B76053" w14:paraId="1DCDFE13" w14:textId="77777777" w:rsidTr="00F36470">
        <w:tc>
          <w:tcPr>
            <w:tcW w:w="3116" w:type="dxa"/>
          </w:tcPr>
          <w:p w14:paraId="207844B1" w14:textId="77777777" w:rsidR="006046D2" w:rsidRPr="00B76053" w:rsidRDefault="00B04762">
            <w:pPr>
              <w:rPr>
                <w:rFonts w:cs="Times New Roman"/>
              </w:rPr>
            </w:pPr>
            <w:r w:rsidRPr="00B76053">
              <w:rPr>
                <w:rFonts w:cs="Times New Roman"/>
              </w:rPr>
              <w:t>pdfplumber</w:t>
            </w:r>
          </w:p>
        </w:tc>
        <w:tc>
          <w:tcPr>
            <w:tcW w:w="3116" w:type="dxa"/>
          </w:tcPr>
          <w:p w14:paraId="40EFEBC1" w14:textId="77777777" w:rsidR="006046D2" w:rsidRPr="00B76053" w:rsidRDefault="00B04762">
            <w:pPr>
              <w:rPr>
                <w:rFonts w:cs="Times New Roman"/>
              </w:rPr>
            </w:pPr>
            <w:r w:rsidRPr="00B76053">
              <w:rPr>
                <w:rFonts w:cs="Times New Roman"/>
              </w:rPr>
              <w:t>(</w:t>
            </w:r>
            <w:proofErr w:type="gramStart"/>
            <w:r w:rsidRPr="00B76053">
              <w:rPr>
                <w:rFonts w:cs="Times New Roman"/>
              </w:rPr>
              <w:t>used</w:t>
            </w:r>
            <w:proofErr w:type="gramEnd"/>
            <w:r w:rsidRPr="00B76053">
              <w:rPr>
                <w:rFonts w:cs="Times New Roman"/>
              </w:rPr>
              <w:t xml:space="preserve"> as needed)</w:t>
            </w:r>
          </w:p>
        </w:tc>
        <w:tc>
          <w:tcPr>
            <w:tcW w:w="3118" w:type="dxa"/>
          </w:tcPr>
          <w:p w14:paraId="4F342075" w14:textId="77777777" w:rsidR="006046D2" w:rsidRPr="00B76053" w:rsidRDefault="00B04762">
            <w:pPr>
              <w:rPr>
                <w:rFonts w:cs="Times New Roman"/>
              </w:rPr>
            </w:pPr>
            <w:r w:rsidRPr="00B76053">
              <w:rPr>
                <w:rFonts w:cs="Times New Roman"/>
              </w:rPr>
              <w:t>PDF extraction from SEC filings (05_Code/Data Extraction code/).</w:t>
            </w:r>
          </w:p>
        </w:tc>
      </w:tr>
      <w:tr w:rsidR="006046D2" w:rsidRPr="00B76053" w14:paraId="15A5C384" w14:textId="77777777" w:rsidTr="00F36470">
        <w:tc>
          <w:tcPr>
            <w:tcW w:w="3116" w:type="dxa"/>
          </w:tcPr>
          <w:p w14:paraId="0298E304" w14:textId="77777777" w:rsidR="006046D2" w:rsidRPr="00B76053" w:rsidRDefault="00B04762">
            <w:pPr>
              <w:rPr>
                <w:rFonts w:cs="Times New Roman"/>
              </w:rPr>
            </w:pPr>
            <w:r w:rsidRPr="00B76053">
              <w:rPr>
                <w:rFonts w:cs="Times New Roman"/>
              </w:rPr>
              <w:t>pypdf</w:t>
            </w:r>
          </w:p>
        </w:tc>
        <w:tc>
          <w:tcPr>
            <w:tcW w:w="3116" w:type="dxa"/>
          </w:tcPr>
          <w:p w14:paraId="3E49C833" w14:textId="77777777" w:rsidR="006046D2" w:rsidRPr="00B76053" w:rsidRDefault="00B04762">
            <w:pPr>
              <w:rPr>
                <w:rFonts w:cs="Times New Roman"/>
              </w:rPr>
            </w:pPr>
            <w:r w:rsidRPr="00B76053">
              <w:rPr>
                <w:rFonts w:cs="Times New Roman"/>
              </w:rPr>
              <w:t>(</w:t>
            </w:r>
            <w:proofErr w:type="gramStart"/>
            <w:r w:rsidRPr="00B76053">
              <w:rPr>
                <w:rFonts w:cs="Times New Roman"/>
              </w:rPr>
              <w:t>used</w:t>
            </w:r>
            <w:proofErr w:type="gramEnd"/>
            <w:r w:rsidRPr="00B76053">
              <w:rPr>
                <w:rFonts w:cs="Times New Roman"/>
              </w:rPr>
              <w:t xml:space="preserve"> as needed)</w:t>
            </w:r>
          </w:p>
        </w:tc>
        <w:tc>
          <w:tcPr>
            <w:tcW w:w="3118" w:type="dxa"/>
          </w:tcPr>
          <w:p w14:paraId="2F922BC4" w14:textId="77777777" w:rsidR="006046D2" w:rsidRPr="00B76053" w:rsidRDefault="00B04762">
            <w:pPr>
              <w:rPr>
                <w:rFonts w:cs="Times New Roman"/>
              </w:rPr>
            </w:pPr>
            <w:r w:rsidRPr="00B76053">
              <w:rPr>
                <w:rFonts w:cs="Times New Roman"/>
              </w:rPr>
              <w:t>Cross-validation PDF extraction (05_Code/Data Extraction code/).</w:t>
            </w:r>
          </w:p>
        </w:tc>
      </w:tr>
      <w:tr w:rsidR="006046D2" w:rsidRPr="00B76053" w14:paraId="7D5F9992" w14:textId="77777777" w:rsidTr="00F36470">
        <w:tc>
          <w:tcPr>
            <w:tcW w:w="3116" w:type="dxa"/>
          </w:tcPr>
          <w:p w14:paraId="134A531B" w14:textId="77777777" w:rsidR="006046D2" w:rsidRPr="00B76053" w:rsidRDefault="00B04762">
            <w:pPr>
              <w:rPr>
                <w:rFonts w:cs="Times New Roman"/>
              </w:rPr>
            </w:pPr>
            <w:r w:rsidRPr="00B76053">
              <w:rPr>
                <w:rFonts w:cs="Times New Roman"/>
              </w:rPr>
              <w:t>pandas</w:t>
            </w:r>
          </w:p>
        </w:tc>
        <w:tc>
          <w:tcPr>
            <w:tcW w:w="3116" w:type="dxa"/>
          </w:tcPr>
          <w:p w14:paraId="2562F679" w14:textId="77777777" w:rsidR="006046D2" w:rsidRPr="00B76053" w:rsidRDefault="00B04762">
            <w:pPr>
              <w:rPr>
                <w:rFonts w:cs="Times New Roman"/>
              </w:rPr>
            </w:pPr>
            <w:r w:rsidRPr="00B76053">
              <w:rPr>
                <w:rFonts w:cs="Times New Roman"/>
              </w:rPr>
              <w:t>&gt;=2.2, &lt;3.0</w:t>
            </w:r>
          </w:p>
        </w:tc>
        <w:tc>
          <w:tcPr>
            <w:tcW w:w="3118" w:type="dxa"/>
          </w:tcPr>
          <w:p w14:paraId="60963441" w14:textId="77777777" w:rsidR="006046D2" w:rsidRPr="00B76053" w:rsidRDefault="00B04762">
            <w:pPr>
              <w:rPr>
                <w:rFonts w:cs="Times New Roman"/>
              </w:rPr>
            </w:pPr>
            <w:r w:rsidRPr="00B76053">
              <w:rPr>
                <w:rFonts w:cs="Times New Roman"/>
              </w:rPr>
              <w:t>Tabular data handling.</w:t>
            </w:r>
          </w:p>
        </w:tc>
      </w:tr>
      <w:tr w:rsidR="006046D2" w:rsidRPr="00B76053" w14:paraId="5705F6BC" w14:textId="77777777" w:rsidTr="00F36470">
        <w:tc>
          <w:tcPr>
            <w:tcW w:w="3116" w:type="dxa"/>
          </w:tcPr>
          <w:p w14:paraId="57936ED3" w14:textId="77777777" w:rsidR="006046D2" w:rsidRPr="00B76053" w:rsidRDefault="00B04762">
            <w:pPr>
              <w:rPr>
                <w:rFonts w:cs="Times New Roman"/>
              </w:rPr>
            </w:pPr>
            <w:r w:rsidRPr="00B76053">
              <w:rPr>
                <w:rFonts w:cs="Times New Roman"/>
              </w:rPr>
              <w:t>numpy</w:t>
            </w:r>
          </w:p>
        </w:tc>
        <w:tc>
          <w:tcPr>
            <w:tcW w:w="3116" w:type="dxa"/>
          </w:tcPr>
          <w:p w14:paraId="4E0F66FF" w14:textId="77777777" w:rsidR="006046D2" w:rsidRPr="00B76053" w:rsidRDefault="00B04762">
            <w:pPr>
              <w:rPr>
                <w:rFonts w:cs="Times New Roman"/>
              </w:rPr>
            </w:pPr>
            <w:r w:rsidRPr="00B76053">
              <w:rPr>
                <w:rFonts w:cs="Times New Roman"/>
              </w:rPr>
              <w:t>&gt;=1.26, &lt;3.0</w:t>
            </w:r>
          </w:p>
        </w:tc>
        <w:tc>
          <w:tcPr>
            <w:tcW w:w="3118" w:type="dxa"/>
          </w:tcPr>
          <w:p w14:paraId="3FEF3661" w14:textId="77777777" w:rsidR="006046D2" w:rsidRPr="00B76053" w:rsidRDefault="00B04762">
            <w:pPr>
              <w:rPr>
                <w:rFonts w:cs="Times New Roman"/>
              </w:rPr>
            </w:pPr>
            <w:r w:rsidRPr="00B76053">
              <w:rPr>
                <w:rFonts w:cs="Times New Roman"/>
              </w:rPr>
              <w:t>Numerical operations.</w:t>
            </w:r>
          </w:p>
        </w:tc>
      </w:tr>
      <w:tr w:rsidR="006046D2" w:rsidRPr="00B76053" w14:paraId="1076231C" w14:textId="77777777" w:rsidTr="00F36470">
        <w:tc>
          <w:tcPr>
            <w:tcW w:w="3116" w:type="dxa"/>
          </w:tcPr>
          <w:p w14:paraId="1AD77FC9" w14:textId="77777777" w:rsidR="006046D2" w:rsidRPr="00B76053" w:rsidRDefault="00B04762">
            <w:pPr>
              <w:rPr>
                <w:rFonts w:cs="Times New Roman"/>
              </w:rPr>
            </w:pPr>
            <w:r w:rsidRPr="00B76053">
              <w:rPr>
                <w:rFonts w:cs="Times New Roman"/>
              </w:rPr>
              <w:t>matplotlib</w:t>
            </w:r>
          </w:p>
        </w:tc>
        <w:tc>
          <w:tcPr>
            <w:tcW w:w="3116" w:type="dxa"/>
          </w:tcPr>
          <w:p w14:paraId="584E14AA" w14:textId="77777777" w:rsidR="006046D2" w:rsidRPr="00B76053" w:rsidRDefault="00B04762">
            <w:pPr>
              <w:rPr>
                <w:rFonts w:cs="Times New Roman"/>
              </w:rPr>
            </w:pPr>
            <w:r w:rsidRPr="00B76053">
              <w:rPr>
                <w:rFonts w:cs="Times New Roman"/>
              </w:rPr>
              <w:t>&gt;=3.8, &lt;4.0</w:t>
            </w:r>
          </w:p>
        </w:tc>
        <w:tc>
          <w:tcPr>
            <w:tcW w:w="3118" w:type="dxa"/>
          </w:tcPr>
          <w:p w14:paraId="467BA502" w14:textId="77777777" w:rsidR="006046D2" w:rsidRPr="00B76053" w:rsidRDefault="00B04762">
            <w:pPr>
              <w:rPr>
                <w:rFonts w:cs="Times New Roman"/>
              </w:rPr>
            </w:pPr>
            <w:r w:rsidRPr="00B76053">
              <w:rPr>
                <w:rFonts w:cs="Times New Roman"/>
              </w:rPr>
              <w:t>Figure generation.</w:t>
            </w:r>
          </w:p>
        </w:tc>
      </w:tr>
      <w:tr w:rsidR="006046D2" w:rsidRPr="00B76053" w14:paraId="639A71E6" w14:textId="77777777" w:rsidTr="00F36470">
        <w:tc>
          <w:tcPr>
            <w:tcW w:w="3116" w:type="dxa"/>
          </w:tcPr>
          <w:p w14:paraId="1F2D936F" w14:textId="77777777" w:rsidR="006046D2" w:rsidRPr="00B76053" w:rsidRDefault="00B04762">
            <w:pPr>
              <w:rPr>
                <w:rFonts w:cs="Times New Roman"/>
              </w:rPr>
            </w:pPr>
            <w:r w:rsidRPr="00B76053">
              <w:rPr>
                <w:rFonts w:cs="Times New Roman"/>
              </w:rPr>
              <w:t>seaborn</w:t>
            </w:r>
          </w:p>
        </w:tc>
        <w:tc>
          <w:tcPr>
            <w:tcW w:w="3116" w:type="dxa"/>
          </w:tcPr>
          <w:p w14:paraId="327DCDE2" w14:textId="77777777" w:rsidR="006046D2" w:rsidRPr="00B76053" w:rsidRDefault="00B04762">
            <w:pPr>
              <w:rPr>
                <w:rFonts w:cs="Times New Roman"/>
              </w:rPr>
            </w:pPr>
            <w:r w:rsidRPr="00B76053">
              <w:rPr>
                <w:rFonts w:cs="Times New Roman"/>
              </w:rPr>
              <w:t>&gt;=0.13, &lt;0.14</w:t>
            </w:r>
          </w:p>
        </w:tc>
        <w:tc>
          <w:tcPr>
            <w:tcW w:w="3118" w:type="dxa"/>
          </w:tcPr>
          <w:p w14:paraId="1F5038A9" w14:textId="77777777" w:rsidR="006046D2" w:rsidRPr="00B76053" w:rsidRDefault="00B04762">
            <w:pPr>
              <w:rPr>
                <w:rFonts w:cs="Times New Roman"/>
              </w:rPr>
            </w:pPr>
            <w:r w:rsidRPr="00B76053">
              <w:rPr>
                <w:rFonts w:cs="Times New Roman"/>
              </w:rPr>
              <w:t>Statistical figure styling.</w:t>
            </w:r>
          </w:p>
        </w:tc>
      </w:tr>
      <w:tr w:rsidR="006046D2" w:rsidRPr="00B76053" w14:paraId="547D2B7B" w14:textId="77777777" w:rsidTr="00F36470">
        <w:tc>
          <w:tcPr>
            <w:tcW w:w="3116" w:type="dxa"/>
          </w:tcPr>
          <w:p w14:paraId="371081D6" w14:textId="77777777" w:rsidR="006046D2" w:rsidRPr="00B76053" w:rsidRDefault="00B04762">
            <w:pPr>
              <w:rPr>
                <w:rFonts w:cs="Times New Roman"/>
              </w:rPr>
            </w:pPr>
            <w:r w:rsidRPr="00B76053">
              <w:rPr>
                <w:rFonts w:cs="Times New Roman"/>
              </w:rPr>
              <w:lastRenderedPageBreak/>
              <w:t>scipy</w:t>
            </w:r>
          </w:p>
        </w:tc>
        <w:tc>
          <w:tcPr>
            <w:tcW w:w="3116" w:type="dxa"/>
          </w:tcPr>
          <w:p w14:paraId="0F51BD32" w14:textId="77777777" w:rsidR="006046D2" w:rsidRPr="00B76053" w:rsidRDefault="00B04762">
            <w:pPr>
              <w:rPr>
                <w:rFonts w:cs="Times New Roman"/>
              </w:rPr>
            </w:pPr>
            <w:r w:rsidRPr="00B76053">
              <w:rPr>
                <w:rFonts w:cs="Times New Roman"/>
              </w:rPr>
              <w:t>&gt;=1.13, &lt;2.0</w:t>
            </w:r>
          </w:p>
        </w:tc>
        <w:tc>
          <w:tcPr>
            <w:tcW w:w="3118" w:type="dxa"/>
          </w:tcPr>
          <w:p w14:paraId="4DD3E175" w14:textId="77777777" w:rsidR="006046D2" w:rsidRPr="00B76053" w:rsidRDefault="00B04762">
            <w:pPr>
              <w:rPr>
                <w:rFonts w:cs="Times New Roman"/>
              </w:rPr>
            </w:pPr>
            <w:r w:rsidRPr="00B76053">
              <w:rPr>
                <w:rFonts w:cs="Times New Roman"/>
              </w:rPr>
              <w:t>Welch’s t, chi-square, Fisher’s exact tests.</w:t>
            </w:r>
          </w:p>
        </w:tc>
      </w:tr>
      <w:tr w:rsidR="006046D2" w:rsidRPr="00B76053" w14:paraId="7ADF9777" w14:textId="77777777" w:rsidTr="00F36470">
        <w:tc>
          <w:tcPr>
            <w:tcW w:w="3116" w:type="dxa"/>
          </w:tcPr>
          <w:p w14:paraId="60F9EFB0" w14:textId="77777777" w:rsidR="006046D2" w:rsidRPr="00B76053" w:rsidRDefault="00B04762">
            <w:pPr>
              <w:rPr>
                <w:rFonts w:cs="Times New Roman"/>
              </w:rPr>
            </w:pPr>
            <w:r w:rsidRPr="00B76053">
              <w:rPr>
                <w:rFonts w:cs="Times New Roman"/>
              </w:rPr>
              <w:t>scikit-learn</w:t>
            </w:r>
          </w:p>
        </w:tc>
        <w:tc>
          <w:tcPr>
            <w:tcW w:w="3116" w:type="dxa"/>
          </w:tcPr>
          <w:p w14:paraId="6F6D2341" w14:textId="77777777" w:rsidR="006046D2" w:rsidRPr="00B76053" w:rsidRDefault="00B04762">
            <w:pPr>
              <w:rPr>
                <w:rFonts w:cs="Times New Roman"/>
              </w:rPr>
            </w:pPr>
            <w:r w:rsidRPr="00B76053">
              <w:rPr>
                <w:rFonts w:cs="Times New Roman"/>
              </w:rPr>
              <w:t>&gt;=1.4, &lt;2.0</w:t>
            </w:r>
          </w:p>
        </w:tc>
        <w:tc>
          <w:tcPr>
            <w:tcW w:w="3118" w:type="dxa"/>
          </w:tcPr>
          <w:p w14:paraId="48EE592B" w14:textId="77777777" w:rsidR="006046D2" w:rsidRPr="00B76053" w:rsidRDefault="00B04762">
            <w:pPr>
              <w:rPr>
                <w:rFonts w:cs="Times New Roman"/>
              </w:rPr>
            </w:pPr>
            <w:r w:rsidRPr="00B76053">
              <w:rPr>
                <w:rFonts w:cs="Times New Roman"/>
              </w:rPr>
              <w:t>TF-IDF and normalisation.</w:t>
            </w:r>
          </w:p>
        </w:tc>
      </w:tr>
      <w:tr w:rsidR="006046D2" w:rsidRPr="00B76053" w14:paraId="05608869" w14:textId="77777777" w:rsidTr="00F36470">
        <w:tc>
          <w:tcPr>
            <w:tcW w:w="3116" w:type="dxa"/>
          </w:tcPr>
          <w:p w14:paraId="6EC2B00E" w14:textId="77777777" w:rsidR="006046D2" w:rsidRPr="00B76053" w:rsidRDefault="00B04762">
            <w:pPr>
              <w:rPr>
                <w:rFonts w:cs="Times New Roman"/>
              </w:rPr>
            </w:pPr>
            <w:r w:rsidRPr="00B76053">
              <w:rPr>
                <w:rFonts w:cs="Times New Roman"/>
              </w:rPr>
              <w:t>sentence-transformers</w:t>
            </w:r>
          </w:p>
        </w:tc>
        <w:tc>
          <w:tcPr>
            <w:tcW w:w="3116" w:type="dxa"/>
          </w:tcPr>
          <w:p w14:paraId="3DE904CB" w14:textId="77777777" w:rsidR="006046D2" w:rsidRPr="00B76053" w:rsidRDefault="00B04762">
            <w:pPr>
              <w:rPr>
                <w:rFonts w:cs="Times New Roman"/>
              </w:rPr>
            </w:pPr>
            <w:r w:rsidRPr="00B76053">
              <w:rPr>
                <w:rFonts w:cs="Times New Roman"/>
              </w:rPr>
              <w:t>&gt;=2.7, &lt;5.0</w:t>
            </w:r>
          </w:p>
        </w:tc>
        <w:tc>
          <w:tcPr>
            <w:tcW w:w="3118" w:type="dxa"/>
          </w:tcPr>
          <w:p w14:paraId="2F69B564" w14:textId="77777777" w:rsidR="006046D2" w:rsidRPr="00B76053" w:rsidRDefault="00B04762">
            <w:pPr>
              <w:rPr>
                <w:rFonts w:cs="Times New Roman"/>
              </w:rPr>
            </w:pPr>
            <w:r w:rsidRPr="00B76053">
              <w:rPr>
                <w:rFonts w:cs="Times New Roman"/>
              </w:rPr>
              <w:t>all-MiniLM-L6-v2 embeddings used by BERTopic.</w:t>
            </w:r>
          </w:p>
        </w:tc>
      </w:tr>
      <w:tr w:rsidR="006046D2" w:rsidRPr="00B76053" w14:paraId="4A1C4A1C" w14:textId="77777777" w:rsidTr="00F36470">
        <w:tc>
          <w:tcPr>
            <w:tcW w:w="3116" w:type="dxa"/>
          </w:tcPr>
          <w:p w14:paraId="635DD7C5" w14:textId="77777777" w:rsidR="006046D2" w:rsidRPr="00B76053" w:rsidRDefault="00B04762">
            <w:pPr>
              <w:rPr>
                <w:rFonts w:cs="Times New Roman"/>
              </w:rPr>
            </w:pPr>
            <w:r w:rsidRPr="00B76053">
              <w:rPr>
                <w:rFonts w:cs="Times New Roman"/>
              </w:rPr>
              <w:t>umap-learn</w:t>
            </w:r>
          </w:p>
        </w:tc>
        <w:tc>
          <w:tcPr>
            <w:tcW w:w="3116" w:type="dxa"/>
          </w:tcPr>
          <w:p w14:paraId="222B802D" w14:textId="77777777" w:rsidR="006046D2" w:rsidRPr="00B76053" w:rsidRDefault="00B04762">
            <w:pPr>
              <w:rPr>
                <w:rFonts w:cs="Times New Roman"/>
              </w:rPr>
            </w:pPr>
            <w:r w:rsidRPr="00B76053">
              <w:rPr>
                <w:rFonts w:cs="Times New Roman"/>
              </w:rPr>
              <w:t>&gt;=0.5.6, &lt;0.6</w:t>
            </w:r>
          </w:p>
        </w:tc>
        <w:tc>
          <w:tcPr>
            <w:tcW w:w="3118" w:type="dxa"/>
          </w:tcPr>
          <w:p w14:paraId="79E10F7E" w14:textId="77777777" w:rsidR="006046D2" w:rsidRPr="00B76053" w:rsidRDefault="00B04762">
            <w:pPr>
              <w:rPr>
                <w:rFonts w:cs="Times New Roman"/>
              </w:rPr>
            </w:pPr>
            <w:r w:rsidRPr="00B76053">
              <w:rPr>
                <w:rFonts w:cs="Times New Roman"/>
              </w:rPr>
              <w:t>UMAP dimensionality reduction (BERTopic).</w:t>
            </w:r>
          </w:p>
        </w:tc>
      </w:tr>
      <w:tr w:rsidR="006046D2" w:rsidRPr="00B76053" w14:paraId="5964E8B3" w14:textId="77777777" w:rsidTr="00F36470">
        <w:tc>
          <w:tcPr>
            <w:tcW w:w="3116" w:type="dxa"/>
          </w:tcPr>
          <w:p w14:paraId="3A53FF65" w14:textId="77777777" w:rsidR="006046D2" w:rsidRPr="00B76053" w:rsidRDefault="00B04762">
            <w:pPr>
              <w:rPr>
                <w:rFonts w:cs="Times New Roman"/>
              </w:rPr>
            </w:pPr>
            <w:r w:rsidRPr="00B76053">
              <w:rPr>
                <w:rFonts w:cs="Times New Roman"/>
              </w:rPr>
              <w:t>hdbscan</w:t>
            </w:r>
          </w:p>
        </w:tc>
        <w:tc>
          <w:tcPr>
            <w:tcW w:w="3116" w:type="dxa"/>
          </w:tcPr>
          <w:p w14:paraId="43799CC2" w14:textId="77777777" w:rsidR="006046D2" w:rsidRPr="00B76053" w:rsidRDefault="00B04762">
            <w:pPr>
              <w:rPr>
                <w:rFonts w:cs="Times New Roman"/>
              </w:rPr>
            </w:pPr>
            <w:r w:rsidRPr="00B76053">
              <w:rPr>
                <w:rFonts w:cs="Times New Roman"/>
              </w:rPr>
              <w:t>&gt;=0.8.33, &lt;0.9</w:t>
            </w:r>
          </w:p>
        </w:tc>
        <w:tc>
          <w:tcPr>
            <w:tcW w:w="3118" w:type="dxa"/>
          </w:tcPr>
          <w:p w14:paraId="2B7F9ADD" w14:textId="77777777" w:rsidR="006046D2" w:rsidRPr="00B76053" w:rsidRDefault="00B04762">
            <w:pPr>
              <w:rPr>
                <w:rFonts w:cs="Times New Roman"/>
              </w:rPr>
            </w:pPr>
            <w:r w:rsidRPr="00B76053">
              <w:rPr>
                <w:rFonts w:cs="Times New Roman"/>
              </w:rPr>
              <w:t>Density-based clustering (BERTopic).</w:t>
            </w:r>
          </w:p>
        </w:tc>
      </w:tr>
      <w:tr w:rsidR="006046D2" w:rsidRPr="00B76053" w14:paraId="4247F464" w14:textId="77777777" w:rsidTr="00F36470">
        <w:tc>
          <w:tcPr>
            <w:tcW w:w="3116" w:type="dxa"/>
          </w:tcPr>
          <w:p w14:paraId="1DE13D69" w14:textId="77777777" w:rsidR="006046D2" w:rsidRPr="00B76053" w:rsidRDefault="00B04762">
            <w:pPr>
              <w:rPr>
                <w:rFonts w:cs="Times New Roman"/>
              </w:rPr>
            </w:pPr>
            <w:r w:rsidRPr="00B76053">
              <w:rPr>
                <w:rFonts w:cs="Times New Roman"/>
              </w:rPr>
              <w:t>bertopic</w:t>
            </w:r>
          </w:p>
        </w:tc>
        <w:tc>
          <w:tcPr>
            <w:tcW w:w="3116" w:type="dxa"/>
          </w:tcPr>
          <w:p w14:paraId="64FDA26F" w14:textId="77777777" w:rsidR="006046D2" w:rsidRPr="00B76053" w:rsidRDefault="00B04762">
            <w:pPr>
              <w:rPr>
                <w:rFonts w:cs="Times New Roman"/>
              </w:rPr>
            </w:pPr>
            <w:r w:rsidRPr="00B76053">
              <w:rPr>
                <w:rFonts w:cs="Times New Roman"/>
              </w:rPr>
              <w:t>&gt;=0.16, &lt;0.18</w:t>
            </w:r>
          </w:p>
        </w:tc>
        <w:tc>
          <w:tcPr>
            <w:tcW w:w="3118" w:type="dxa"/>
          </w:tcPr>
          <w:p w14:paraId="714D6C7D" w14:textId="77777777" w:rsidR="006046D2" w:rsidRPr="00B76053" w:rsidRDefault="00B04762">
            <w:pPr>
              <w:rPr>
                <w:rFonts w:cs="Times New Roman"/>
              </w:rPr>
            </w:pPr>
            <w:r w:rsidRPr="00B76053">
              <w:rPr>
                <w:rFonts w:cs="Times New Roman"/>
              </w:rPr>
              <w:t>Topic modelling of the Trustpilot corpus.</w:t>
            </w:r>
          </w:p>
        </w:tc>
      </w:tr>
      <w:tr w:rsidR="006046D2" w:rsidRPr="00B76053" w14:paraId="0ED17403" w14:textId="77777777" w:rsidTr="00F36470">
        <w:tc>
          <w:tcPr>
            <w:tcW w:w="3116" w:type="dxa"/>
          </w:tcPr>
          <w:p w14:paraId="5D777944" w14:textId="77777777" w:rsidR="006046D2" w:rsidRPr="00B76053" w:rsidRDefault="00B04762">
            <w:pPr>
              <w:rPr>
                <w:rFonts w:cs="Times New Roman"/>
              </w:rPr>
            </w:pPr>
            <w:r w:rsidRPr="00B76053">
              <w:rPr>
                <w:rFonts w:cs="Times New Roman"/>
              </w:rPr>
              <w:t>vaderSentiment</w:t>
            </w:r>
          </w:p>
        </w:tc>
        <w:tc>
          <w:tcPr>
            <w:tcW w:w="3116" w:type="dxa"/>
          </w:tcPr>
          <w:p w14:paraId="4B7416D8" w14:textId="77777777" w:rsidR="006046D2" w:rsidRPr="00B76053" w:rsidRDefault="00B04762">
            <w:pPr>
              <w:rPr>
                <w:rFonts w:cs="Times New Roman"/>
              </w:rPr>
            </w:pPr>
            <w:r w:rsidRPr="00B76053">
              <w:rPr>
                <w:rFonts w:cs="Times New Roman"/>
              </w:rPr>
              <w:t>&gt;=3.3.2</w:t>
            </w:r>
          </w:p>
        </w:tc>
        <w:tc>
          <w:tcPr>
            <w:tcW w:w="3118" w:type="dxa"/>
          </w:tcPr>
          <w:p w14:paraId="3F9D40F3" w14:textId="77777777" w:rsidR="006046D2" w:rsidRPr="00B76053" w:rsidRDefault="00B04762">
            <w:pPr>
              <w:rPr>
                <w:rFonts w:cs="Times New Roman"/>
              </w:rPr>
            </w:pPr>
            <w:r w:rsidRPr="00B76053">
              <w:rPr>
                <w:rFonts w:cs="Times New Roman"/>
              </w:rPr>
              <w:t>Lexicon-based sentiment scoring.</w:t>
            </w:r>
          </w:p>
        </w:tc>
      </w:tr>
      <w:tr w:rsidR="006046D2" w:rsidRPr="00B76053" w14:paraId="34A5F451" w14:textId="77777777" w:rsidTr="00F36470">
        <w:tc>
          <w:tcPr>
            <w:tcW w:w="3116" w:type="dxa"/>
          </w:tcPr>
          <w:p w14:paraId="2044AE40" w14:textId="77777777" w:rsidR="006046D2" w:rsidRPr="00B76053" w:rsidRDefault="00B04762">
            <w:pPr>
              <w:rPr>
                <w:rFonts w:cs="Times New Roman"/>
              </w:rPr>
            </w:pPr>
            <w:r w:rsidRPr="00B76053">
              <w:rPr>
                <w:rFonts w:cs="Times New Roman"/>
              </w:rPr>
              <w:t>openpyxl</w:t>
            </w:r>
          </w:p>
        </w:tc>
        <w:tc>
          <w:tcPr>
            <w:tcW w:w="3116" w:type="dxa"/>
          </w:tcPr>
          <w:p w14:paraId="05DD9B2E" w14:textId="77777777" w:rsidR="006046D2" w:rsidRPr="00B76053" w:rsidRDefault="00B04762">
            <w:pPr>
              <w:rPr>
                <w:rFonts w:cs="Times New Roman"/>
              </w:rPr>
            </w:pPr>
            <w:r w:rsidRPr="00B76053">
              <w:rPr>
                <w:rFonts w:cs="Times New Roman"/>
              </w:rPr>
              <w:t>&gt;=3.1, &lt;4.0</w:t>
            </w:r>
          </w:p>
        </w:tc>
        <w:tc>
          <w:tcPr>
            <w:tcW w:w="3118" w:type="dxa"/>
          </w:tcPr>
          <w:p w14:paraId="2196E398" w14:textId="77777777" w:rsidR="006046D2" w:rsidRPr="00B76053" w:rsidRDefault="00B04762">
            <w:pPr>
              <w:rPr>
                <w:rFonts w:cs="Times New Roman"/>
              </w:rPr>
            </w:pPr>
            <w:r w:rsidRPr="00B76053">
              <w:rPr>
                <w:rFonts w:cs="Times New Roman"/>
              </w:rPr>
              <w:t>Excel I/O for the literature spreadsheet.</w:t>
            </w:r>
          </w:p>
        </w:tc>
      </w:tr>
      <w:tr w:rsidR="006046D2" w:rsidRPr="00B76053" w14:paraId="074AB0F0" w14:textId="77777777" w:rsidTr="00F36470">
        <w:tc>
          <w:tcPr>
            <w:tcW w:w="3116" w:type="dxa"/>
          </w:tcPr>
          <w:p w14:paraId="5D9AA6CF" w14:textId="77777777" w:rsidR="006046D2" w:rsidRPr="00B76053" w:rsidRDefault="00B04762">
            <w:pPr>
              <w:rPr>
                <w:rFonts w:cs="Times New Roman"/>
              </w:rPr>
            </w:pPr>
            <w:r w:rsidRPr="00B76053">
              <w:rPr>
                <w:rFonts w:cs="Times New Roman"/>
              </w:rPr>
              <w:t>jupyter / ipykernel</w:t>
            </w:r>
          </w:p>
        </w:tc>
        <w:tc>
          <w:tcPr>
            <w:tcW w:w="3116" w:type="dxa"/>
          </w:tcPr>
          <w:p w14:paraId="10FE35CF" w14:textId="77777777" w:rsidR="006046D2" w:rsidRPr="00B76053" w:rsidRDefault="00B04762">
            <w:pPr>
              <w:rPr>
                <w:rFonts w:cs="Times New Roman"/>
              </w:rPr>
            </w:pPr>
            <w:r w:rsidRPr="00B76053">
              <w:rPr>
                <w:rFonts w:cs="Times New Roman"/>
              </w:rPr>
              <w:t>&gt;=1.0 / &gt;=6.29</w:t>
            </w:r>
          </w:p>
        </w:tc>
        <w:tc>
          <w:tcPr>
            <w:tcW w:w="3118" w:type="dxa"/>
          </w:tcPr>
          <w:p w14:paraId="0362FB2D" w14:textId="77777777" w:rsidR="006046D2" w:rsidRPr="00B76053" w:rsidRDefault="00B04762">
            <w:pPr>
              <w:rPr>
                <w:rFonts w:cs="Times New Roman"/>
              </w:rPr>
            </w:pPr>
            <w:r w:rsidRPr="00B76053">
              <w:rPr>
                <w:rFonts w:cs="Times New Roman"/>
              </w:rPr>
              <w:t>Notebook execution.</w:t>
            </w:r>
          </w:p>
        </w:tc>
      </w:tr>
    </w:tbl>
    <w:p w14:paraId="145C4061" w14:textId="77777777" w:rsidR="00B04762" w:rsidRPr="00B76053" w:rsidRDefault="00B04762">
      <w:pPr>
        <w:rPr>
          <w:rFonts w:cs="Times New Roman"/>
        </w:rPr>
      </w:pPr>
    </w:p>
    <w:p w14:paraId="321E7FF0" w14:textId="77777777" w:rsidR="00173951" w:rsidRPr="00B76053" w:rsidRDefault="00173951">
      <w:pPr>
        <w:rPr>
          <w:rFonts w:cs="Times New Roman"/>
        </w:rPr>
      </w:pPr>
    </w:p>
    <w:p w14:paraId="571EE497" w14:textId="77777777" w:rsidR="00173951" w:rsidRPr="00B76053" w:rsidRDefault="00173951">
      <w:pPr>
        <w:rPr>
          <w:rFonts w:cs="Times New Roman"/>
        </w:rPr>
      </w:pPr>
    </w:p>
    <w:p w14:paraId="57345CDB" w14:textId="77777777" w:rsidR="00173951" w:rsidRPr="00B76053" w:rsidRDefault="00173951">
      <w:pPr>
        <w:rPr>
          <w:rFonts w:cs="Times New Roman"/>
        </w:rPr>
      </w:pPr>
    </w:p>
    <w:p w14:paraId="0EDB1BE6" w14:textId="77777777" w:rsidR="00173951" w:rsidRPr="00B76053" w:rsidRDefault="00173951">
      <w:pPr>
        <w:rPr>
          <w:rFonts w:cs="Times New Roman"/>
        </w:rPr>
      </w:pPr>
    </w:p>
    <w:p w14:paraId="06C9EDF9" w14:textId="77777777" w:rsidR="00173951" w:rsidRPr="00B76053" w:rsidRDefault="00173951">
      <w:pPr>
        <w:rPr>
          <w:rFonts w:cs="Times New Roman"/>
        </w:rPr>
      </w:pPr>
    </w:p>
    <w:p w14:paraId="7F746424" w14:textId="77777777" w:rsidR="00F955E9" w:rsidRPr="00B76053" w:rsidRDefault="00F955E9">
      <w:pPr>
        <w:rPr>
          <w:rFonts w:cs="Times New Roman"/>
        </w:rPr>
      </w:pPr>
    </w:p>
    <w:p w14:paraId="53CE6771" w14:textId="77777777" w:rsidR="00173951" w:rsidRPr="00B76053" w:rsidRDefault="00173951">
      <w:pPr>
        <w:rPr>
          <w:rFonts w:cs="Times New Roman"/>
        </w:rPr>
      </w:pPr>
    </w:p>
    <w:p w14:paraId="30633E02" w14:textId="4B88C3D1" w:rsidR="00173951" w:rsidRDefault="00173951">
      <w:pPr>
        <w:rPr>
          <w:rFonts w:cs="Times New Roman"/>
        </w:rPr>
      </w:pPr>
    </w:p>
    <w:p w14:paraId="58CD078F" w14:textId="77777777" w:rsidR="00F36470" w:rsidRPr="00B76053" w:rsidRDefault="00F36470">
      <w:pPr>
        <w:rPr>
          <w:rFonts w:cs="Times New Roman"/>
        </w:rPr>
      </w:pPr>
    </w:p>
    <w:p w14:paraId="6A4E920A" w14:textId="77777777" w:rsidR="00173951" w:rsidRPr="00B76053" w:rsidRDefault="00173951" w:rsidP="00567169">
      <w:pPr>
        <w:pStyle w:val="Heading1"/>
        <w:jc w:val="center"/>
        <w:rPr>
          <w:rFonts w:cs="Times New Roman"/>
        </w:rPr>
      </w:pPr>
      <w:bookmarkStart w:id="143" w:name="_Toc229755410"/>
      <w:r w:rsidRPr="00B76053">
        <w:rPr>
          <w:rFonts w:cs="Times New Roman"/>
        </w:rPr>
        <w:lastRenderedPageBreak/>
        <w:t>STATEMENT ON THE USE OF GENERATIVE AI</w:t>
      </w:r>
      <w:bookmarkEnd w:id="143"/>
    </w:p>
    <w:p w14:paraId="63457621" w14:textId="77777777" w:rsidR="00173951" w:rsidRPr="00B76053" w:rsidRDefault="00173951" w:rsidP="00173951">
      <w:pPr>
        <w:jc w:val="center"/>
        <w:rPr>
          <w:rFonts w:cs="Times New Roman"/>
        </w:rPr>
      </w:pPr>
      <w:r w:rsidRPr="00B76053">
        <w:rPr>
          <w:rFonts w:cs="Times New Roman"/>
          <w:i/>
        </w:rPr>
        <w:t>Academic year of 2025/2026</w:t>
      </w:r>
    </w:p>
    <w:p w14:paraId="7AD1AA6C" w14:textId="77777777" w:rsidR="00173951" w:rsidRPr="00B76053" w:rsidRDefault="00173951" w:rsidP="00173951">
      <w:pPr>
        <w:jc w:val="center"/>
        <w:rPr>
          <w:rFonts w:cs="Times New Roman"/>
        </w:rPr>
      </w:pPr>
      <w:r w:rsidRPr="00B76053">
        <w:rPr>
          <w:rFonts w:cs="Times New Roman"/>
          <w:b/>
        </w:rPr>
        <w:t>Ethics statement on the use of a generative artificial intelligence system or service when preparing a thesis</w:t>
      </w:r>
    </w:p>
    <w:p w14:paraId="5883FAA7" w14:textId="77777777" w:rsidR="00173951" w:rsidRPr="00B76053" w:rsidRDefault="00173951" w:rsidP="00173951">
      <w:pPr>
        <w:spacing w:after="60"/>
        <w:rPr>
          <w:rFonts w:cs="Times New Roman"/>
        </w:rPr>
      </w:pPr>
      <w:r w:rsidRPr="00B76053">
        <w:rPr>
          <w:rFonts w:cs="Times New Roman"/>
        </w:rPr>
        <w:t xml:space="preserve">I, </w:t>
      </w:r>
      <w:r w:rsidRPr="00B76053">
        <w:rPr>
          <w:rFonts w:cs="Times New Roman"/>
          <w:b/>
          <w:bCs/>
        </w:rPr>
        <w:t>Mukhammad Azim Khadyatullaev</w:t>
      </w:r>
      <w:r w:rsidRPr="00B76053">
        <w:rPr>
          <w:rFonts w:cs="Times New Roman"/>
        </w:rPr>
        <w:t xml:space="preserve"> (Neptun code: </w:t>
      </w:r>
      <w:r w:rsidR="00E00167" w:rsidRPr="00B76053">
        <w:rPr>
          <w:rFonts w:cs="Times New Roman"/>
          <w:b/>
          <w:bCs/>
        </w:rPr>
        <w:t>I</w:t>
      </w:r>
      <w:r w:rsidR="007930BF" w:rsidRPr="00B76053">
        <w:rPr>
          <w:rFonts w:cs="Times New Roman"/>
          <w:b/>
          <w:bCs/>
        </w:rPr>
        <w:t>8YBCV</w:t>
      </w:r>
      <w:r w:rsidRPr="00B76053">
        <w:rPr>
          <w:rFonts w:cs="Times New Roman"/>
        </w:rPr>
        <w:t>), being aware of my ethical responsibility based on the Code of Ethics of Corvinus University of Budapest and in accordance with it, declare that I have completed the thesis related to the completion of the Business Informatics MSc study programme by using generative artificial intelligence systems or services (hereinafter: GAI) as follows:</w:t>
      </w:r>
    </w:p>
    <w:p w14:paraId="5A33B79A" w14:textId="77777777" w:rsidR="00C75308" w:rsidRPr="00B76053" w:rsidRDefault="00C75308" w:rsidP="00173951">
      <w:pPr>
        <w:spacing w:after="60"/>
        <w:rPr>
          <w:rFonts w:cs="Times New Roman"/>
        </w:rPr>
      </w:pPr>
    </w:p>
    <w:tbl>
      <w:tblPr>
        <w:tblStyle w:val="TableGrid"/>
        <w:tblW w:w="0" w:type="auto"/>
        <w:jc w:val="center"/>
        <w:tblLook w:val="04A0" w:firstRow="1" w:lastRow="0" w:firstColumn="1" w:lastColumn="0" w:noHBand="0" w:noVBand="1"/>
      </w:tblPr>
      <w:tblGrid>
        <w:gridCol w:w="576"/>
        <w:gridCol w:w="1854"/>
        <w:gridCol w:w="1848"/>
        <w:gridCol w:w="5072"/>
      </w:tblGrid>
      <w:tr w:rsidR="00173951" w:rsidRPr="00B76053" w14:paraId="67D574FE" w14:textId="77777777" w:rsidTr="006616F1">
        <w:trPr>
          <w:jc w:val="center"/>
        </w:trPr>
        <w:tc>
          <w:tcPr>
            <w:tcW w:w="576" w:type="dxa"/>
            <w:vAlign w:val="center"/>
          </w:tcPr>
          <w:p w14:paraId="0D176E1C" w14:textId="77777777" w:rsidR="00173951" w:rsidRPr="00B76053" w:rsidRDefault="00173951" w:rsidP="00286B4D">
            <w:pPr>
              <w:rPr>
                <w:rFonts w:cs="Times New Roman"/>
                <w:sz w:val="18"/>
                <w:szCs w:val="18"/>
              </w:rPr>
            </w:pPr>
            <w:r w:rsidRPr="00B76053">
              <w:rPr>
                <w:rFonts w:cs="Times New Roman"/>
                <w:b/>
                <w:sz w:val="18"/>
                <w:szCs w:val="18"/>
              </w:rPr>
              <w:t>Item</w:t>
            </w:r>
          </w:p>
        </w:tc>
        <w:tc>
          <w:tcPr>
            <w:tcW w:w="1854" w:type="dxa"/>
            <w:vAlign w:val="center"/>
          </w:tcPr>
          <w:p w14:paraId="56E7CF82" w14:textId="77777777" w:rsidR="00173951" w:rsidRPr="00B76053" w:rsidRDefault="00173951" w:rsidP="00286B4D">
            <w:pPr>
              <w:rPr>
                <w:rFonts w:cs="Times New Roman"/>
                <w:sz w:val="18"/>
                <w:szCs w:val="18"/>
              </w:rPr>
            </w:pPr>
            <w:r w:rsidRPr="00B76053">
              <w:rPr>
                <w:rFonts w:cs="Times New Roman"/>
                <w:b/>
                <w:sz w:val="18"/>
                <w:szCs w:val="18"/>
              </w:rPr>
              <w:t>Use category</w:t>
            </w:r>
          </w:p>
        </w:tc>
        <w:tc>
          <w:tcPr>
            <w:tcW w:w="1848" w:type="dxa"/>
            <w:vAlign w:val="center"/>
          </w:tcPr>
          <w:p w14:paraId="161095EE" w14:textId="77777777" w:rsidR="00173951" w:rsidRPr="00B76053" w:rsidRDefault="00173951" w:rsidP="00286B4D">
            <w:pPr>
              <w:rPr>
                <w:rFonts w:cs="Times New Roman"/>
                <w:sz w:val="18"/>
                <w:szCs w:val="18"/>
              </w:rPr>
            </w:pPr>
            <w:r w:rsidRPr="00B76053">
              <w:rPr>
                <w:rFonts w:cs="Times New Roman"/>
                <w:b/>
                <w:sz w:val="18"/>
                <w:szCs w:val="18"/>
              </w:rPr>
              <w:t>System name and version</w:t>
            </w:r>
          </w:p>
        </w:tc>
        <w:tc>
          <w:tcPr>
            <w:tcW w:w="5072" w:type="dxa"/>
            <w:vAlign w:val="center"/>
          </w:tcPr>
          <w:p w14:paraId="15548DED" w14:textId="77777777" w:rsidR="00173951" w:rsidRPr="00B76053" w:rsidRDefault="00173951" w:rsidP="00286B4D">
            <w:pPr>
              <w:rPr>
                <w:rFonts w:cs="Times New Roman"/>
                <w:sz w:val="18"/>
                <w:szCs w:val="18"/>
              </w:rPr>
            </w:pPr>
            <w:r w:rsidRPr="00B76053">
              <w:rPr>
                <w:rFonts w:cs="Times New Roman"/>
                <w:b/>
                <w:sz w:val="18"/>
                <w:szCs w:val="18"/>
              </w:rPr>
              <w:t>Purpose and scope of use</w:t>
            </w:r>
          </w:p>
        </w:tc>
      </w:tr>
      <w:tr w:rsidR="00173951" w:rsidRPr="00B76053" w14:paraId="468F04DF" w14:textId="77777777" w:rsidTr="006616F1">
        <w:trPr>
          <w:jc w:val="center"/>
        </w:trPr>
        <w:tc>
          <w:tcPr>
            <w:tcW w:w="576" w:type="dxa"/>
          </w:tcPr>
          <w:p w14:paraId="02F62173" w14:textId="77777777" w:rsidR="00173951" w:rsidRPr="00B76053" w:rsidRDefault="00173951" w:rsidP="00286B4D">
            <w:pPr>
              <w:rPr>
                <w:rFonts w:cs="Times New Roman"/>
                <w:sz w:val="18"/>
                <w:szCs w:val="18"/>
              </w:rPr>
            </w:pPr>
            <w:r w:rsidRPr="00B76053">
              <w:rPr>
                <w:rFonts w:cs="Times New Roman"/>
                <w:sz w:val="18"/>
                <w:szCs w:val="18"/>
              </w:rPr>
              <w:t>a)</w:t>
            </w:r>
          </w:p>
        </w:tc>
        <w:tc>
          <w:tcPr>
            <w:tcW w:w="1854" w:type="dxa"/>
          </w:tcPr>
          <w:p w14:paraId="376DDED7" w14:textId="77777777" w:rsidR="00173951" w:rsidRPr="00B76053" w:rsidRDefault="00173951" w:rsidP="00EA6D54">
            <w:pPr>
              <w:jc w:val="left"/>
              <w:rPr>
                <w:rFonts w:cs="Times New Roman"/>
                <w:sz w:val="18"/>
                <w:szCs w:val="18"/>
              </w:rPr>
            </w:pPr>
            <w:r w:rsidRPr="00B76053">
              <w:rPr>
                <w:rFonts w:cs="Times New Roman"/>
                <w:sz w:val="18"/>
                <w:szCs w:val="18"/>
              </w:rPr>
              <w:t>In the research and selection of academic literature</w:t>
            </w:r>
          </w:p>
        </w:tc>
        <w:tc>
          <w:tcPr>
            <w:tcW w:w="1848" w:type="dxa"/>
          </w:tcPr>
          <w:p w14:paraId="0D0AC271" w14:textId="77777777" w:rsidR="00173951" w:rsidRPr="00B76053" w:rsidRDefault="00173951" w:rsidP="00EA6D54">
            <w:pPr>
              <w:jc w:val="left"/>
              <w:rPr>
                <w:rFonts w:cs="Times New Roman"/>
                <w:sz w:val="18"/>
                <w:szCs w:val="18"/>
              </w:rPr>
            </w:pPr>
            <w:r w:rsidRPr="00B76053">
              <w:rPr>
                <w:rFonts w:cs="Times New Roman"/>
                <w:sz w:val="18"/>
                <w:szCs w:val="18"/>
              </w:rPr>
              <w:t>Claude Sonnet 4.6</w:t>
            </w:r>
          </w:p>
        </w:tc>
        <w:tc>
          <w:tcPr>
            <w:tcW w:w="5072" w:type="dxa"/>
          </w:tcPr>
          <w:p w14:paraId="70D2157B" w14:textId="77777777" w:rsidR="00173951" w:rsidRPr="00B76053" w:rsidRDefault="00173951" w:rsidP="00286B4D">
            <w:pPr>
              <w:rPr>
                <w:rFonts w:cs="Times New Roman"/>
                <w:sz w:val="18"/>
                <w:szCs w:val="18"/>
              </w:rPr>
            </w:pPr>
            <w:r w:rsidRPr="00B76053">
              <w:rPr>
                <w:rFonts w:cs="Times New Roman"/>
                <w:sz w:val="18"/>
                <w:szCs w:val="18"/>
              </w:rPr>
              <w:t>Used to identify potentially relevant academic and industry sources, refine search terms, understand concepts, and support the organisation of the literature review. All cited sources were independently checked, verified, and evaluated by me before inclusion.</w:t>
            </w:r>
          </w:p>
        </w:tc>
      </w:tr>
      <w:tr w:rsidR="00173951" w:rsidRPr="00B76053" w14:paraId="7896C6B0" w14:textId="77777777" w:rsidTr="006616F1">
        <w:trPr>
          <w:jc w:val="center"/>
        </w:trPr>
        <w:tc>
          <w:tcPr>
            <w:tcW w:w="576" w:type="dxa"/>
          </w:tcPr>
          <w:p w14:paraId="77BABC25" w14:textId="77777777" w:rsidR="00173951" w:rsidRPr="00B76053" w:rsidRDefault="00173951" w:rsidP="00286B4D">
            <w:pPr>
              <w:rPr>
                <w:rFonts w:cs="Times New Roman"/>
                <w:sz w:val="18"/>
                <w:szCs w:val="18"/>
              </w:rPr>
            </w:pPr>
            <w:r w:rsidRPr="00B76053">
              <w:rPr>
                <w:rFonts w:cs="Times New Roman"/>
                <w:sz w:val="18"/>
                <w:szCs w:val="18"/>
              </w:rPr>
              <w:t>b)</w:t>
            </w:r>
          </w:p>
        </w:tc>
        <w:tc>
          <w:tcPr>
            <w:tcW w:w="1854" w:type="dxa"/>
          </w:tcPr>
          <w:p w14:paraId="51D0CF2D" w14:textId="77777777" w:rsidR="00173951" w:rsidRPr="00B76053" w:rsidRDefault="00173951" w:rsidP="00EA6D54">
            <w:pPr>
              <w:jc w:val="left"/>
              <w:rPr>
                <w:rFonts w:cs="Times New Roman"/>
                <w:sz w:val="18"/>
                <w:szCs w:val="18"/>
              </w:rPr>
            </w:pPr>
            <w:r w:rsidRPr="00B76053">
              <w:rPr>
                <w:rFonts w:cs="Times New Roman"/>
                <w:sz w:val="18"/>
                <w:szCs w:val="18"/>
              </w:rPr>
              <w:t>For preliminary analysis and evaluation of data</w:t>
            </w:r>
          </w:p>
        </w:tc>
        <w:tc>
          <w:tcPr>
            <w:tcW w:w="1848" w:type="dxa"/>
          </w:tcPr>
          <w:p w14:paraId="52A8D560" w14:textId="77777777" w:rsidR="00173951" w:rsidRPr="00B76053" w:rsidRDefault="00173951" w:rsidP="00EA6D54">
            <w:pPr>
              <w:jc w:val="left"/>
              <w:rPr>
                <w:rFonts w:cs="Times New Roman"/>
                <w:sz w:val="18"/>
                <w:szCs w:val="18"/>
              </w:rPr>
            </w:pPr>
            <w:r w:rsidRPr="00B76053">
              <w:rPr>
                <w:rFonts w:cs="Times New Roman"/>
                <w:sz w:val="18"/>
                <w:szCs w:val="18"/>
              </w:rPr>
              <w:t>Claude Sonnet 4.6; Gemini 3 Flash</w:t>
            </w:r>
          </w:p>
        </w:tc>
        <w:tc>
          <w:tcPr>
            <w:tcW w:w="5072" w:type="dxa"/>
          </w:tcPr>
          <w:p w14:paraId="320EB086" w14:textId="77777777" w:rsidR="00173951" w:rsidRPr="00B76053" w:rsidRDefault="00173951" w:rsidP="00286B4D">
            <w:pPr>
              <w:rPr>
                <w:rFonts w:cs="Times New Roman"/>
                <w:sz w:val="18"/>
                <w:szCs w:val="18"/>
              </w:rPr>
            </w:pPr>
            <w:r w:rsidRPr="00B76053">
              <w:rPr>
                <w:rFonts w:cs="Times New Roman"/>
                <w:sz w:val="18"/>
                <w:szCs w:val="18"/>
              </w:rPr>
              <w:t>Used in a supporting role to explain analytical concepts, sanity-check the structure of the NLP and financial-analysis workflows, and help troubleshoot intermediate steps. All datasets, cleaning decisions, and statistical results were produced by me running the code on the source data; no data series or numerical findings reported in this thesis were generated by GAI.</w:t>
            </w:r>
          </w:p>
        </w:tc>
      </w:tr>
      <w:tr w:rsidR="00173951" w:rsidRPr="00B76053" w14:paraId="60D085E2" w14:textId="77777777" w:rsidTr="006616F1">
        <w:trPr>
          <w:jc w:val="center"/>
        </w:trPr>
        <w:tc>
          <w:tcPr>
            <w:tcW w:w="576" w:type="dxa"/>
          </w:tcPr>
          <w:p w14:paraId="4B514F1D" w14:textId="77777777" w:rsidR="00173951" w:rsidRPr="00B76053" w:rsidRDefault="00173951" w:rsidP="00286B4D">
            <w:pPr>
              <w:rPr>
                <w:rFonts w:cs="Times New Roman"/>
                <w:sz w:val="18"/>
                <w:szCs w:val="18"/>
              </w:rPr>
            </w:pPr>
            <w:r w:rsidRPr="00B76053">
              <w:rPr>
                <w:rFonts w:cs="Times New Roman"/>
                <w:sz w:val="18"/>
                <w:szCs w:val="18"/>
              </w:rPr>
              <w:t>c)</w:t>
            </w:r>
          </w:p>
        </w:tc>
        <w:tc>
          <w:tcPr>
            <w:tcW w:w="1854" w:type="dxa"/>
          </w:tcPr>
          <w:p w14:paraId="0954EB13" w14:textId="77777777" w:rsidR="00173951" w:rsidRPr="00B76053" w:rsidRDefault="00173951" w:rsidP="00EA6D54">
            <w:pPr>
              <w:jc w:val="left"/>
              <w:rPr>
                <w:rFonts w:cs="Times New Roman"/>
                <w:sz w:val="18"/>
                <w:szCs w:val="18"/>
              </w:rPr>
            </w:pPr>
            <w:r w:rsidRPr="00B76053">
              <w:rPr>
                <w:rFonts w:cs="Times New Roman"/>
                <w:sz w:val="18"/>
                <w:szCs w:val="18"/>
              </w:rPr>
              <w:t>For writing, developing and testing computer code</w:t>
            </w:r>
          </w:p>
        </w:tc>
        <w:tc>
          <w:tcPr>
            <w:tcW w:w="1848" w:type="dxa"/>
          </w:tcPr>
          <w:p w14:paraId="19CADBB9" w14:textId="77777777" w:rsidR="00173951" w:rsidRPr="00B76053" w:rsidRDefault="00173951" w:rsidP="00EA6D54">
            <w:pPr>
              <w:jc w:val="left"/>
              <w:rPr>
                <w:rFonts w:cs="Times New Roman"/>
                <w:sz w:val="18"/>
                <w:szCs w:val="18"/>
              </w:rPr>
            </w:pPr>
            <w:r w:rsidRPr="00B76053">
              <w:rPr>
                <w:rFonts w:cs="Times New Roman"/>
                <w:sz w:val="18"/>
                <w:szCs w:val="18"/>
              </w:rPr>
              <w:t>ChatGPT 5.5; Claude Sonnet 4.6; Gemini 3 Flash</w:t>
            </w:r>
          </w:p>
        </w:tc>
        <w:tc>
          <w:tcPr>
            <w:tcW w:w="5072" w:type="dxa"/>
          </w:tcPr>
          <w:p w14:paraId="165BF4F1" w14:textId="77777777" w:rsidR="00173951" w:rsidRPr="00B76053" w:rsidRDefault="00173951" w:rsidP="00286B4D">
            <w:pPr>
              <w:rPr>
                <w:rFonts w:cs="Times New Roman"/>
                <w:sz w:val="18"/>
                <w:szCs w:val="18"/>
              </w:rPr>
            </w:pPr>
            <w:r w:rsidRPr="00B76053">
              <w:rPr>
                <w:rFonts w:cs="Times New Roman"/>
                <w:sz w:val="18"/>
                <w:szCs w:val="18"/>
              </w:rPr>
              <w:t>Used to support the improvement of computer code originally written by me — specifically, to help debug, explain, and refine the syntax of NLP, financial-analysis, statistical-testing, and visualisation code in line with the “writing and coding support” category described in the BI MSc Thesis Guide. All code logic, parameter choices, outputs, and reported results were reviewed and validated by me.</w:t>
            </w:r>
          </w:p>
        </w:tc>
      </w:tr>
      <w:tr w:rsidR="00173951" w:rsidRPr="00B76053" w14:paraId="07EC3E70" w14:textId="77777777" w:rsidTr="006616F1">
        <w:trPr>
          <w:jc w:val="center"/>
        </w:trPr>
        <w:tc>
          <w:tcPr>
            <w:tcW w:w="576" w:type="dxa"/>
          </w:tcPr>
          <w:p w14:paraId="3AAD221E" w14:textId="77777777" w:rsidR="00173951" w:rsidRPr="00B76053" w:rsidRDefault="00173951" w:rsidP="00286B4D">
            <w:pPr>
              <w:rPr>
                <w:rFonts w:cs="Times New Roman"/>
                <w:sz w:val="18"/>
                <w:szCs w:val="18"/>
              </w:rPr>
            </w:pPr>
            <w:r w:rsidRPr="00B76053">
              <w:rPr>
                <w:rFonts w:cs="Times New Roman"/>
                <w:sz w:val="18"/>
                <w:szCs w:val="18"/>
              </w:rPr>
              <w:t>d)</w:t>
            </w:r>
          </w:p>
        </w:tc>
        <w:tc>
          <w:tcPr>
            <w:tcW w:w="1854" w:type="dxa"/>
          </w:tcPr>
          <w:p w14:paraId="1F02ABC5" w14:textId="77777777" w:rsidR="00173951" w:rsidRPr="00B76053" w:rsidRDefault="00173951" w:rsidP="00EA6D54">
            <w:pPr>
              <w:jc w:val="left"/>
              <w:rPr>
                <w:rFonts w:cs="Times New Roman"/>
                <w:sz w:val="18"/>
                <w:szCs w:val="18"/>
              </w:rPr>
            </w:pPr>
            <w:r w:rsidRPr="00B76053">
              <w:rPr>
                <w:rFonts w:cs="Times New Roman"/>
                <w:sz w:val="18"/>
                <w:szCs w:val="18"/>
              </w:rPr>
              <w:t>For stylistic and grammatical improvement of textual content, paraphrasing</w:t>
            </w:r>
          </w:p>
        </w:tc>
        <w:tc>
          <w:tcPr>
            <w:tcW w:w="1848" w:type="dxa"/>
          </w:tcPr>
          <w:p w14:paraId="44847A5C" w14:textId="77777777" w:rsidR="00173951" w:rsidRPr="00B76053" w:rsidRDefault="00173951" w:rsidP="00EA6D54">
            <w:pPr>
              <w:jc w:val="left"/>
              <w:rPr>
                <w:rFonts w:cs="Times New Roman"/>
                <w:sz w:val="18"/>
                <w:szCs w:val="18"/>
              </w:rPr>
            </w:pPr>
            <w:r w:rsidRPr="00B76053">
              <w:rPr>
                <w:rFonts w:cs="Times New Roman"/>
                <w:sz w:val="18"/>
                <w:szCs w:val="18"/>
              </w:rPr>
              <w:t>ChatGPT 5.5</w:t>
            </w:r>
            <w:r w:rsidR="00633813" w:rsidRPr="00B76053">
              <w:rPr>
                <w:rFonts w:cs="Times New Roman"/>
                <w:sz w:val="18"/>
                <w:szCs w:val="18"/>
              </w:rPr>
              <w:t>;</w:t>
            </w:r>
            <w:r w:rsidRPr="00B76053">
              <w:rPr>
                <w:rFonts w:cs="Times New Roman"/>
                <w:sz w:val="18"/>
                <w:szCs w:val="18"/>
              </w:rPr>
              <w:t xml:space="preserve"> Gemini 3 Flash</w:t>
            </w:r>
          </w:p>
        </w:tc>
        <w:tc>
          <w:tcPr>
            <w:tcW w:w="5072" w:type="dxa"/>
          </w:tcPr>
          <w:p w14:paraId="2956F470" w14:textId="77777777" w:rsidR="00173951" w:rsidRPr="00B76053" w:rsidRDefault="00173951" w:rsidP="00286B4D">
            <w:pPr>
              <w:rPr>
                <w:rFonts w:cs="Times New Roman"/>
                <w:sz w:val="18"/>
                <w:szCs w:val="18"/>
              </w:rPr>
            </w:pPr>
            <w:r w:rsidRPr="00B76053">
              <w:rPr>
                <w:rFonts w:cs="Times New Roman"/>
                <w:sz w:val="18"/>
                <w:szCs w:val="18"/>
              </w:rPr>
              <w:t>Used to improve spelling, grammar, academic tone, readability, sentence structure, and consistency of English wording in text originally drafted by me. The substantive argument, research design, interpretation of findings, and final wording were reviewed and approved by me.</w:t>
            </w:r>
          </w:p>
        </w:tc>
      </w:tr>
      <w:tr w:rsidR="00173951" w:rsidRPr="00B76053" w14:paraId="62822A16" w14:textId="77777777" w:rsidTr="006616F1">
        <w:trPr>
          <w:jc w:val="center"/>
        </w:trPr>
        <w:tc>
          <w:tcPr>
            <w:tcW w:w="576" w:type="dxa"/>
          </w:tcPr>
          <w:p w14:paraId="0D2408AF" w14:textId="77777777" w:rsidR="00173951" w:rsidRPr="00B76053" w:rsidRDefault="00173951" w:rsidP="00286B4D">
            <w:pPr>
              <w:rPr>
                <w:rFonts w:cs="Times New Roman"/>
                <w:sz w:val="18"/>
                <w:szCs w:val="18"/>
              </w:rPr>
            </w:pPr>
            <w:r w:rsidRPr="00B76053">
              <w:rPr>
                <w:rFonts w:cs="Times New Roman"/>
                <w:sz w:val="18"/>
                <w:szCs w:val="18"/>
              </w:rPr>
              <w:lastRenderedPageBreak/>
              <w:t>e)</w:t>
            </w:r>
          </w:p>
        </w:tc>
        <w:tc>
          <w:tcPr>
            <w:tcW w:w="1854" w:type="dxa"/>
          </w:tcPr>
          <w:p w14:paraId="3A6DEBAE" w14:textId="77777777" w:rsidR="00173951" w:rsidRPr="00B76053" w:rsidRDefault="00173951" w:rsidP="00EA6D54">
            <w:pPr>
              <w:jc w:val="left"/>
              <w:rPr>
                <w:rFonts w:cs="Times New Roman"/>
                <w:sz w:val="18"/>
                <w:szCs w:val="18"/>
              </w:rPr>
            </w:pPr>
            <w:r w:rsidRPr="00B76053">
              <w:rPr>
                <w:rFonts w:cs="Times New Roman"/>
                <w:sz w:val="18"/>
                <w:szCs w:val="18"/>
              </w:rPr>
              <w:t>For the development and creation of visual or audiovisual content</w:t>
            </w:r>
          </w:p>
        </w:tc>
        <w:tc>
          <w:tcPr>
            <w:tcW w:w="1848" w:type="dxa"/>
          </w:tcPr>
          <w:p w14:paraId="25F73E57" w14:textId="77777777" w:rsidR="00173951" w:rsidRPr="00B76053" w:rsidRDefault="00173951" w:rsidP="00EA6D54">
            <w:pPr>
              <w:jc w:val="left"/>
              <w:rPr>
                <w:rFonts w:cs="Times New Roman"/>
                <w:sz w:val="18"/>
                <w:szCs w:val="18"/>
              </w:rPr>
            </w:pPr>
            <w:r w:rsidRPr="00B76053">
              <w:rPr>
                <w:rFonts w:cs="Times New Roman"/>
                <w:sz w:val="18"/>
                <w:szCs w:val="18"/>
              </w:rPr>
              <w:t>Claude Sonnet 4.6</w:t>
            </w:r>
          </w:p>
        </w:tc>
        <w:tc>
          <w:tcPr>
            <w:tcW w:w="5072" w:type="dxa"/>
          </w:tcPr>
          <w:p w14:paraId="191F5810" w14:textId="77777777" w:rsidR="00173951" w:rsidRPr="00B76053" w:rsidRDefault="00173951" w:rsidP="00286B4D">
            <w:pPr>
              <w:rPr>
                <w:rFonts w:cs="Times New Roman"/>
                <w:sz w:val="18"/>
                <w:szCs w:val="18"/>
              </w:rPr>
            </w:pPr>
            <w:r w:rsidRPr="00B76053">
              <w:rPr>
                <w:rFonts w:cs="Times New Roman"/>
                <w:sz w:val="18"/>
                <w:szCs w:val="18"/>
              </w:rPr>
              <w:t>The conceptual design of Figure 6.1, “Voice-AI-in-Regulated-Workflow Design Pattern”, was developed by me from the case evidence and the design-pattern argument in Chapter 6. GAI was used only to help render and tidy the visual presentation of that design; no other figure in the thesis is GAI-assisted. The figure caption explicitly indicates GAI-assisted visual content in line with the University’s GAI provisions.</w:t>
            </w:r>
          </w:p>
        </w:tc>
      </w:tr>
      <w:tr w:rsidR="006616F1" w:rsidRPr="00B76053" w14:paraId="3AFCD08C" w14:textId="77777777" w:rsidTr="00BC4C0C">
        <w:trPr>
          <w:jc w:val="center"/>
        </w:trPr>
        <w:tc>
          <w:tcPr>
            <w:tcW w:w="576" w:type="dxa"/>
          </w:tcPr>
          <w:p w14:paraId="36958AC0" w14:textId="786C4713" w:rsidR="006616F1" w:rsidRPr="00B76053" w:rsidRDefault="006616F1" w:rsidP="00286B4D">
            <w:pPr>
              <w:rPr>
                <w:rFonts w:cs="Times New Roman"/>
                <w:sz w:val="18"/>
                <w:szCs w:val="18"/>
              </w:rPr>
            </w:pPr>
            <w:r w:rsidRPr="00B76053">
              <w:rPr>
                <w:rFonts w:cs="Times New Roman"/>
                <w:sz w:val="18"/>
                <w:szCs w:val="18"/>
              </w:rPr>
              <w:t>g)</w:t>
            </w:r>
          </w:p>
        </w:tc>
        <w:tc>
          <w:tcPr>
            <w:tcW w:w="1854" w:type="dxa"/>
          </w:tcPr>
          <w:p w14:paraId="21F8ABC9" w14:textId="3D6994BC" w:rsidR="006616F1" w:rsidRPr="00B76053" w:rsidRDefault="006616F1" w:rsidP="00EA6D54">
            <w:pPr>
              <w:jc w:val="left"/>
              <w:rPr>
                <w:rFonts w:cs="Times New Roman"/>
                <w:sz w:val="18"/>
                <w:szCs w:val="18"/>
              </w:rPr>
            </w:pPr>
            <w:r w:rsidRPr="00B76053">
              <w:rPr>
                <w:rFonts w:cs="Times New Roman"/>
                <w:sz w:val="18"/>
                <w:szCs w:val="18"/>
              </w:rPr>
              <w:t>Other: thesis structuring, planning, consistency checking, and reference-support workflow</w:t>
            </w:r>
          </w:p>
        </w:tc>
        <w:tc>
          <w:tcPr>
            <w:tcW w:w="1848" w:type="dxa"/>
          </w:tcPr>
          <w:p w14:paraId="5BE31529" w14:textId="22859ABD" w:rsidR="006616F1" w:rsidRPr="00B76053" w:rsidRDefault="006616F1" w:rsidP="00EA6D54">
            <w:pPr>
              <w:jc w:val="left"/>
              <w:rPr>
                <w:rFonts w:cs="Times New Roman"/>
                <w:sz w:val="18"/>
                <w:szCs w:val="18"/>
              </w:rPr>
            </w:pPr>
            <w:r w:rsidRPr="00B76053">
              <w:rPr>
                <w:rFonts w:cs="Times New Roman"/>
                <w:sz w:val="18"/>
                <w:szCs w:val="18"/>
              </w:rPr>
              <w:t>ChatGPT 5.5; Claude Sonnet 4.6; Gemini 3 Flash</w:t>
            </w:r>
          </w:p>
        </w:tc>
        <w:tc>
          <w:tcPr>
            <w:tcW w:w="5072" w:type="dxa"/>
          </w:tcPr>
          <w:p w14:paraId="31AFA940" w14:textId="365AC706" w:rsidR="006616F1" w:rsidRPr="00B76053" w:rsidRDefault="006616F1" w:rsidP="00286B4D">
            <w:pPr>
              <w:rPr>
                <w:rFonts w:cs="Times New Roman"/>
                <w:sz w:val="18"/>
                <w:szCs w:val="18"/>
              </w:rPr>
            </w:pPr>
            <w:r w:rsidRPr="00B76053">
              <w:rPr>
                <w:rFonts w:cs="Times New Roman"/>
                <w:sz w:val="18"/>
                <w:szCs w:val="18"/>
              </w:rPr>
              <w:t>Used in a supporting role for idea-generation on chapter flow and section headings and to cross-check internal consistency between the research questions, methodology, findings, and conclusions written by me. Also used to flag possible reference-list inconsistencies during the citation audit. All structural decisions, all argumentation, and all references in the thesis are mine; AI-generated suggestions and references were not relied on without independent verification.</w:t>
            </w:r>
          </w:p>
        </w:tc>
      </w:tr>
    </w:tbl>
    <w:p w14:paraId="566A1510" w14:textId="77777777" w:rsidR="00A927B6" w:rsidRPr="00B76053" w:rsidRDefault="00A927B6" w:rsidP="00173951">
      <w:pPr>
        <w:spacing w:after="60"/>
        <w:rPr>
          <w:rFonts w:cs="Times New Roman"/>
        </w:rPr>
      </w:pPr>
    </w:p>
    <w:p w14:paraId="3EB6D9FC" w14:textId="77777777" w:rsidR="00173951" w:rsidRPr="00B76053" w:rsidRDefault="00173951" w:rsidP="00173951">
      <w:pPr>
        <w:spacing w:after="60"/>
        <w:rPr>
          <w:rFonts w:cs="Times New Roman"/>
        </w:rPr>
      </w:pPr>
      <w:r w:rsidRPr="00B76053">
        <w:rPr>
          <w:rFonts w:cs="Times New Roman"/>
        </w:rPr>
        <w:t>I declare that I used the GAI-generated or GAI-assisted content elements only as allowed by the University’s GAI regulations and by the Thesis Guidelines of the Business Informatics MSc programme. I did not use GAI to replace my own academic judgement, to fabricate empirical data, to generate unverified references, to create an abstract or literature review that I submitted as AI-generated work, or to create thesis content that I submitted without critical review.</w:t>
      </w:r>
    </w:p>
    <w:p w14:paraId="07D563DB" w14:textId="77777777" w:rsidR="00173951" w:rsidRPr="00B76053" w:rsidRDefault="00173951" w:rsidP="00173951">
      <w:pPr>
        <w:spacing w:after="60"/>
        <w:rPr>
          <w:rFonts w:cs="Times New Roman"/>
        </w:rPr>
      </w:pPr>
      <w:r w:rsidRPr="00B76053">
        <w:rPr>
          <w:rFonts w:cs="Times New Roman"/>
        </w:rPr>
        <w:t>I have reviewed all AI-assisted content critically and verified its appropriateness, factual accuracy, legality, and relevance, with particular attention to source accuracy, intellectual-property considerations, data validity, and the absence of discriminatory or misleading content. I acknowledge that I am fully responsible for the quality, accuracy, originality, and academic integrity of the submitted thesis.</w:t>
      </w:r>
    </w:p>
    <w:p w14:paraId="20646ABA" w14:textId="77777777" w:rsidR="00173951" w:rsidRPr="00B76053" w:rsidRDefault="00173951" w:rsidP="00173951">
      <w:pPr>
        <w:spacing w:after="60"/>
        <w:rPr>
          <w:rFonts w:cs="Times New Roman"/>
        </w:rPr>
      </w:pPr>
      <w:r w:rsidRPr="00B76053">
        <w:rPr>
          <w:rFonts w:cs="Times New Roman"/>
        </w:rPr>
        <w:t>I am aware that the University may use artificial-intelligence detection to screen the work I submit and, depending on the outcome, may initiate an ethics procedure.</w:t>
      </w:r>
    </w:p>
    <w:p w14:paraId="475F34D1" w14:textId="77777777" w:rsidR="00173951" w:rsidRPr="00B76053" w:rsidRDefault="00173951" w:rsidP="00173951">
      <w:pPr>
        <w:spacing w:before="360"/>
        <w:rPr>
          <w:rFonts w:cs="Times New Roman"/>
        </w:rPr>
      </w:pPr>
      <w:r w:rsidRPr="00B76053">
        <w:rPr>
          <w:rFonts w:cs="Times New Roman"/>
        </w:rPr>
        <w:t>Budapest, ___________________                                      ___________________</w:t>
      </w:r>
      <w:r w:rsidR="009A4294" w:rsidRPr="00B76053">
        <w:rPr>
          <w:rFonts w:cs="Times New Roman"/>
        </w:rPr>
        <w:t>___________</w:t>
      </w:r>
    </w:p>
    <w:p w14:paraId="2A7A0833" w14:textId="77777777" w:rsidR="004E6FDA" w:rsidRPr="00B76053" w:rsidRDefault="00173951" w:rsidP="00074936">
      <w:pPr>
        <w:jc w:val="right"/>
        <w:rPr>
          <w:rFonts w:cs="Times New Roman"/>
        </w:rPr>
      </w:pPr>
      <w:r w:rsidRPr="00B76053">
        <w:rPr>
          <w:rFonts w:cs="Times New Roman"/>
        </w:rPr>
        <w:t>Mukhammad Azim Khadyatullaev</w:t>
      </w:r>
    </w:p>
    <w:p w14:paraId="269950F0" w14:textId="77777777" w:rsidR="00173951" w:rsidRPr="00B76053" w:rsidRDefault="005E207E" w:rsidP="00074936">
      <w:pPr>
        <w:jc w:val="center"/>
        <w:rPr>
          <w:rFonts w:cs="Times New Roman"/>
        </w:rPr>
      </w:pPr>
      <w:r w:rsidRPr="00B76053">
        <w:rPr>
          <w:rFonts w:cs="Times New Roman"/>
        </w:rPr>
        <w:t xml:space="preserve">                                                                                                   </w:t>
      </w:r>
      <w:r w:rsidR="009A4294" w:rsidRPr="00B76053">
        <w:rPr>
          <w:rFonts w:cs="Times New Roman"/>
        </w:rPr>
        <w:t>(</w:t>
      </w:r>
      <w:r w:rsidR="00173951" w:rsidRPr="00B76053">
        <w:rPr>
          <w:rFonts w:cs="Times New Roman"/>
        </w:rPr>
        <w:t>signature</w:t>
      </w:r>
      <w:r w:rsidR="009A4294" w:rsidRPr="00B76053">
        <w:rPr>
          <w:rFonts w:cs="Times New Roman"/>
        </w:rPr>
        <w:t>)</w:t>
      </w:r>
    </w:p>
    <w:sectPr w:rsidR="00173951" w:rsidRPr="00B76053" w:rsidSect="0003461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B82C9" w14:textId="77777777" w:rsidR="00BA7666" w:rsidRDefault="00BA7666" w:rsidP="0031478C">
      <w:pPr>
        <w:spacing w:after="0" w:line="240" w:lineRule="auto"/>
      </w:pPr>
      <w:r>
        <w:separator/>
      </w:r>
    </w:p>
  </w:endnote>
  <w:endnote w:type="continuationSeparator" w:id="0">
    <w:p w14:paraId="7DB10848" w14:textId="77777777" w:rsidR="00BA7666" w:rsidRDefault="00BA7666" w:rsidP="00314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8651746"/>
      <w:docPartObj>
        <w:docPartGallery w:val="Page Numbers (Bottom of Page)"/>
        <w:docPartUnique/>
      </w:docPartObj>
    </w:sdtPr>
    <w:sdtEndPr>
      <w:rPr>
        <w:noProof/>
      </w:rPr>
    </w:sdtEndPr>
    <w:sdtContent>
      <w:p w14:paraId="396DB3AE" w14:textId="77777777" w:rsidR="0031478C" w:rsidRDefault="003147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92F373" w14:textId="77777777" w:rsidR="0031478C" w:rsidRDefault="00314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A97AE" w14:textId="77777777" w:rsidR="00BA7666" w:rsidRDefault="00BA7666" w:rsidP="0031478C">
      <w:pPr>
        <w:spacing w:after="0" w:line="240" w:lineRule="auto"/>
      </w:pPr>
      <w:r>
        <w:separator/>
      </w:r>
    </w:p>
  </w:footnote>
  <w:footnote w:type="continuationSeparator" w:id="0">
    <w:p w14:paraId="064543D3" w14:textId="77777777" w:rsidR="00BA7666" w:rsidRDefault="00BA7666" w:rsidP="00314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EB3CB6"/>
    <w:multiLevelType w:val="hybridMultilevel"/>
    <w:tmpl w:val="C85AB7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49"/>
    <w:rsid w:val="00003173"/>
    <w:rsid w:val="00017C81"/>
    <w:rsid w:val="0002369F"/>
    <w:rsid w:val="000249F1"/>
    <w:rsid w:val="00024D59"/>
    <w:rsid w:val="00034616"/>
    <w:rsid w:val="00041D22"/>
    <w:rsid w:val="00043DC8"/>
    <w:rsid w:val="0006063C"/>
    <w:rsid w:val="00074936"/>
    <w:rsid w:val="000808DD"/>
    <w:rsid w:val="00097211"/>
    <w:rsid w:val="000B10A5"/>
    <w:rsid w:val="000B15D0"/>
    <w:rsid w:val="000B3B4A"/>
    <w:rsid w:val="000B6C02"/>
    <w:rsid w:val="000B751B"/>
    <w:rsid w:val="000D44C8"/>
    <w:rsid w:val="000D7862"/>
    <w:rsid w:val="000E06DA"/>
    <w:rsid w:val="000F1A70"/>
    <w:rsid w:val="000F29D5"/>
    <w:rsid w:val="00101BCC"/>
    <w:rsid w:val="00112B90"/>
    <w:rsid w:val="00121BFF"/>
    <w:rsid w:val="00122B71"/>
    <w:rsid w:val="00130EA5"/>
    <w:rsid w:val="00133954"/>
    <w:rsid w:val="0013444F"/>
    <w:rsid w:val="001369B9"/>
    <w:rsid w:val="00140A7A"/>
    <w:rsid w:val="00141720"/>
    <w:rsid w:val="00147192"/>
    <w:rsid w:val="0015074B"/>
    <w:rsid w:val="001522C8"/>
    <w:rsid w:val="00173951"/>
    <w:rsid w:val="00193E32"/>
    <w:rsid w:val="001A126F"/>
    <w:rsid w:val="001A228B"/>
    <w:rsid w:val="001A7B0D"/>
    <w:rsid w:val="001C3F18"/>
    <w:rsid w:val="001C529B"/>
    <w:rsid w:val="001E0D54"/>
    <w:rsid w:val="001F1AB3"/>
    <w:rsid w:val="001F557A"/>
    <w:rsid w:val="00204A2D"/>
    <w:rsid w:val="00210A7F"/>
    <w:rsid w:val="00232311"/>
    <w:rsid w:val="002430EB"/>
    <w:rsid w:val="002677B5"/>
    <w:rsid w:val="0027230C"/>
    <w:rsid w:val="002739C6"/>
    <w:rsid w:val="00273C88"/>
    <w:rsid w:val="00276ABC"/>
    <w:rsid w:val="0029639D"/>
    <w:rsid w:val="002B5EE6"/>
    <w:rsid w:val="002C5AD9"/>
    <w:rsid w:val="002D0EBC"/>
    <w:rsid w:val="002D2D3B"/>
    <w:rsid w:val="002D7369"/>
    <w:rsid w:val="00313086"/>
    <w:rsid w:val="0031478C"/>
    <w:rsid w:val="00315C4B"/>
    <w:rsid w:val="00315DC6"/>
    <w:rsid w:val="00326F90"/>
    <w:rsid w:val="003510D7"/>
    <w:rsid w:val="00382598"/>
    <w:rsid w:val="00384EF1"/>
    <w:rsid w:val="00387F3D"/>
    <w:rsid w:val="003A0DB7"/>
    <w:rsid w:val="003A2D72"/>
    <w:rsid w:val="003A2EBE"/>
    <w:rsid w:val="003A58A7"/>
    <w:rsid w:val="003A7BA1"/>
    <w:rsid w:val="003B4F98"/>
    <w:rsid w:val="003C0771"/>
    <w:rsid w:val="003C6482"/>
    <w:rsid w:val="003C6748"/>
    <w:rsid w:val="003E691E"/>
    <w:rsid w:val="004006E1"/>
    <w:rsid w:val="004277C2"/>
    <w:rsid w:val="00445C54"/>
    <w:rsid w:val="0044731D"/>
    <w:rsid w:val="00454078"/>
    <w:rsid w:val="004558FA"/>
    <w:rsid w:val="004619FF"/>
    <w:rsid w:val="00465BF1"/>
    <w:rsid w:val="00492AC3"/>
    <w:rsid w:val="00493B26"/>
    <w:rsid w:val="004A14A8"/>
    <w:rsid w:val="004A2FB2"/>
    <w:rsid w:val="004B79C9"/>
    <w:rsid w:val="004C6F54"/>
    <w:rsid w:val="004E3FEB"/>
    <w:rsid w:val="004E6FDA"/>
    <w:rsid w:val="004E7718"/>
    <w:rsid w:val="00506732"/>
    <w:rsid w:val="00520559"/>
    <w:rsid w:val="005263DF"/>
    <w:rsid w:val="00535177"/>
    <w:rsid w:val="00551D86"/>
    <w:rsid w:val="00553255"/>
    <w:rsid w:val="00565C40"/>
    <w:rsid w:val="00567169"/>
    <w:rsid w:val="0057316C"/>
    <w:rsid w:val="00574C0E"/>
    <w:rsid w:val="00580E6E"/>
    <w:rsid w:val="005846B7"/>
    <w:rsid w:val="00597698"/>
    <w:rsid w:val="005B2E65"/>
    <w:rsid w:val="005D0FAD"/>
    <w:rsid w:val="005E13DB"/>
    <w:rsid w:val="005E207E"/>
    <w:rsid w:val="005E3E55"/>
    <w:rsid w:val="005E66E1"/>
    <w:rsid w:val="005F2C3D"/>
    <w:rsid w:val="00600730"/>
    <w:rsid w:val="00601939"/>
    <w:rsid w:val="00603AD8"/>
    <w:rsid w:val="006046D2"/>
    <w:rsid w:val="0061771B"/>
    <w:rsid w:val="00624DEB"/>
    <w:rsid w:val="0062684C"/>
    <w:rsid w:val="00633813"/>
    <w:rsid w:val="006616F1"/>
    <w:rsid w:val="00662280"/>
    <w:rsid w:val="006627FA"/>
    <w:rsid w:val="00671F1E"/>
    <w:rsid w:val="00672CC2"/>
    <w:rsid w:val="00673203"/>
    <w:rsid w:val="00674CBB"/>
    <w:rsid w:val="006938B9"/>
    <w:rsid w:val="0069586C"/>
    <w:rsid w:val="006A0E78"/>
    <w:rsid w:val="006A2132"/>
    <w:rsid w:val="006C12E4"/>
    <w:rsid w:val="006C7CA8"/>
    <w:rsid w:val="006D0C5C"/>
    <w:rsid w:val="006D111C"/>
    <w:rsid w:val="006D212F"/>
    <w:rsid w:val="006D325F"/>
    <w:rsid w:val="0070279B"/>
    <w:rsid w:val="00756DC7"/>
    <w:rsid w:val="00763858"/>
    <w:rsid w:val="00771F7F"/>
    <w:rsid w:val="007930BF"/>
    <w:rsid w:val="007B10F6"/>
    <w:rsid w:val="007B335A"/>
    <w:rsid w:val="007C4306"/>
    <w:rsid w:val="007E53D8"/>
    <w:rsid w:val="007E69D3"/>
    <w:rsid w:val="007E7572"/>
    <w:rsid w:val="007F167A"/>
    <w:rsid w:val="007F45A9"/>
    <w:rsid w:val="007F62DD"/>
    <w:rsid w:val="00832633"/>
    <w:rsid w:val="00853401"/>
    <w:rsid w:val="00864447"/>
    <w:rsid w:val="0089690E"/>
    <w:rsid w:val="008A2C91"/>
    <w:rsid w:val="008B3A19"/>
    <w:rsid w:val="008C3CDC"/>
    <w:rsid w:val="008C3D68"/>
    <w:rsid w:val="008C5F3F"/>
    <w:rsid w:val="008C6F54"/>
    <w:rsid w:val="008D72FA"/>
    <w:rsid w:val="009233C8"/>
    <w:rsid w:val="00931B48"/>
    <w:rsid w:val="00943864"/>
    <w:rsid w:val="00953F46"/>
    <w:rsid w:val="009658E8"/>
    <w:rsid w:val="00967CE9"/>
    <w:rsid w:val="00983F9F"/>
    <w:rsid w:val="00987B0E"/>
    <w:rsid w:val="009902B3"/>
    <w:rsid w:val="009A4294"/>
    <w:rsid w:val="009B0C83"/>
    <w:rsid w:val="009B5CD3"/>
    <w:rsid w:val="009C1169"/>
    <w:rsid w:val="009C1CC2"/>
    <w:rsid w:val="009C444E"/>
    <w:rsid w:val="009C53A6"/>
    <w:rsid w:val="009D0591"/>
    <w:rsid w:val="009D746A"/>
    <w:rsid w:val="00A12A83"/>
    <w:rsid w:val="00A222D3"/>
    <w:rsid w:val="00A257FB"/>
    <w:rsid w:val="00A3054B"/>
    <w:rsid w:val="00A312D3"/>
    <w:rsid w:val="00A522AB"/>
    <w:rsid w:val="00A66DE3"/>
    <w:rsid w:val="00A927B6"/>
    <w:rsid w:val="00AA1D8D"/>
    <w:rsid w:val="00AA5457"/>
    <w:rsid w:val="00AA7195"/>
    <w:rsid w:val="00AB4EE3"/>
    <w:rsid w:val="00AD2F7D"/>
    <w:rsid w:val="00AD6ACE"/>
    <w:rsid w:val="00AF21D4"/>
    <w:rsid w:val="00B04762"/>
    <w:rsid w:val="00B124C9"/>
    <w:rsid w:val="00B148B6"/>
    <w:rsid w:val="00B30E71"/>
    <w:rsid w:val="00B31394"/>
    <w:rsid w:val="00B31E86"/>
    <w:rsid w:val="00B47730"/>
    <w:rsid w:val="00B55F55"/>
    <w:rsid w:val="00B615C9"/>
    <w:rsid w:val="00B675D0"/>
    <w:rsid w:val="00B74A74"/>
    <w:rsid w:val="00B76053"/>
    <w:rsid w:val="00B76B53"/>
    <w:rsid w:val="00B772AE"/>
    <w:rsid w:val="00B8150A"/>
    <w:rsid w:val="00B91681"/>
    <w:rsid w:val="00BA2F10"/>
    <w:rsid w:val="00BA7666"/>
    <w:rsid w:val="00BA7F5B"/>
    <w:rsid w:val="00BD199A"/>
    <w:rsid w:val="00C04910"/>
    <w:rsid w:val="00C17E30"/>
    <w:rsid w:val="00C22314"/>
    <w:rsid w:val="00C2388C"/>
    <w:rsid w:val="00C54806"/>
    <w:rsid w:val="00C63ACF"/>
    <w:rsid w:val="00C71E32"/>
    <w:rsid w:val="00C75308"/>
    <w:rsid w:val="00C9062A"/>
    <w:rsid w:val="00C94A0C"/>
    <w:rsid w:val="00C96B41"/>
    <w:rsid w:val="00CA31CA"/>
    <w:rsid w:val="00CB0664"/>
    <w:rsid w:val="00CC36F4"/>
    <w:rsid w:val="00CC798D"/>
    <w:rsid w:val="00CC7E56"/>
    <w:rsid w:val="00CD2F03"/>
    <w:rsid w:val="00D004B7"/>
    <w:rsid w:val="00D011EA"/>
    <w:rsid w:val="00D34E71"/>
    <w:rsid w:val="00D358B6"/>
    <w:rsid w:val="00D55050"/>
    <w:rsid w:val="00D62242"/>
    <w:rsid w:val="00D763AB"/>
    <w:rsid w:val="00D80FBC"/>
    <w:rsid w:val="00D831F5"/>
    <w:rsid w:val="00D86515"/>
    <w:rsid w:val="00DA5518"/>
    <w:rsid w:val="00DB0233"/>
    <w:rsid w:val="00DB1EAA"/>
    <w:rsid w:val="00DB250B"/>
    <w:rsid w:val="00DC4543"/>
    <w:rsid w:val="00DD763B"/>
    <w:rsid w:val="00DE2CFC"/>
    <w:rsid w:val="00E00167"/>
    <w:rsid w:val="00E02397"/>
    <w:rsid w:val="00E02D27"/>
    <w:rsid w:val="00E50BE2"/>
    <w:rsid w:val="00E542A3"/>
    <w:rsid w:val="00E64270"/>
    <w:rsid w:val="00E67FC9"/>
    <w:rsid w:val="00E77106"/>
    <w:rsid w:val="00E85DC1"/>
    <w:rsid w:val="00E968F3"/>
    <w:rsid w:val="00EA6D54"/>
    <w:rsid w:val="00EC0922"/>
    <w:rsid w:val="00EC4EC3"/>
    <w:rsid w:val="00EC7105"/>
    <w:rsid w:val="00ED1E89"/>
    <w:rsid w:val="00EE2AEB"/>
    <w:rsid w:val="00EE31B2"/>
    <w:rsid w:val="00EE5C8E"/>
    <w:rsid w:val="00EF245C"/>
    <w:rsid w:val="00F13655"/>
    <w:rsid w:val="00F31149"/>
    <w:rsid w:val="00F3290D"/>
    <w:rsid w:val="00F36470"/>
    <w:rsid w:val="00F40E30"/>
    <w:rsid w:val="00F40F38"/>
    <w:rsid w:val="00F545C7"/>
    <w:rsid w:val="00F6453B"/>
    <w:rsid w:val="00F66E3C"/>
    <w:rsid w:val="00F70D72"/>
    <w:rsid w:val="00F76C03"/>
    <w:rsid w:val="00F85570"/>
    <w:rsid w:val="00F955E9"/>
    <w:rsid w:val="00FA5879"/>
    <w:rsid w:val="00FB048B"/>
    <w:rsid w:val="00FB563E"/>
    <w:rsid w:val="00FC6879"/>
    <w:rsid w:val="00FC693F"/>
    <w:rsid w:val="00FD2541"/>
    <w:rsid w:val="00FE6BDF"/>
    <w:rsid w:val="00FF6D7F"/>
    <w:rsid w:val="00FF79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980D5D"/>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2DD"/>
    <w:pPr>
      <w:spacing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7F62DD"/>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7F62DD"/>
    <w:pPr>
      <w:keepNext/>
      <w:keepLines/>
      <w:spacing w:before="320" w:after="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7F62DD"/>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F62DD"/>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7F62DD"/>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7F62DD"/>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1681"/>
    <w:pPr>
      <w:spacing w:after="100"/>
    </w:pPr>
  </w:style>
  <w:style w:type="paragraph" w:styleId="TOC2">
    <w:name w:val="toc 2"/>
    <w:basedOn w:val="Normal"/>
    <w:next w:val="Normal"/>
    <w:autoRedefine/>
    <w:uiPriority w:val="39"/>
    <w:unhideWhenUsed/>
    <w:rsid w:val="00B91681"/>
    <w:pPr>
      <w:spacing w:after="100"/>
      <w:ind w:left="240"/>
    </w:pPr>
  </w:style>
  <w:style w:type="paragraph" w:styleId="TOC3">
    <w:name w:val="toc 3"/>
    <w:basedOn w:val="Normal"/>
    <w:next w:val="Normal"/>
    <w:autoRedefine/>
    <w:uiPriority w:val="39"/>
    <w:unhideWhenUsed/>
    <w:rsid w:val="00B91681"/>
    <w:pPr>
      <w:spacing w:after="100"/>
      <w:ind w:left="480"/>
    </w:pPr>
  </w:style>
  <w:style w:type="paragraph" w:styleId="TOC4">
    <w:name w:val="toc 4"/>
    <w:basedOn w:val="Normal"/>
    <w:next w:val="Normal"/>
    <w:autoRedefine/>
    <w:uiPriority w:val="39"/>
    <w:unhideWhenUsed/>
    <w:rsid w:val="00B91681"/>
    <w:pPr>
      <w:spacing w:after="100" w:line="259" w:lineRule="auto"/>
      <w:ind w:left="660"/>
      <w:jc w:val="left"/>
    </w:pPr>
    <w:rPr>
      <w:rFonts w:asciiTheme="minorHAnsi" w:hAnsiTheme="minorHAnsi"/>
      <w:color w:val="auto"/>
      <w:sz w:val="22"/>
      <w:lang w:val="ru-RU" w:eastAsia="ru-RU"/>
    </w:rPr>
  </w:style>
  <w:style w:type="paragraph" w:styleId="TOC5">
    <w:name w:val="toc 5"/>
    <w:basedOn w:val="Normal"/>
    <w:next w:val="Normal"/>
    <w:autoRedefine/>
    <w:uiPriority w:val="39"/>
    <w:unhideWhenUsed/>
    <w:rsid w:val="00B91681"/>
    <w:pPr>
      <w:spacing w:after="100" w:line="259" w:lineRule="auto"/>
      <w:ind w:left="880"/>
      <w:jc w:val="left"/>
    </w:pPr>
    <w:rPr>
      <w:rFonts w:asciiTheme="minorHAnsi" w:hAnsiTheme="minorHAnsi"/>
      <w:color w:val="auto"/>
      <w:sz w:val="22"/>
      <w:lang w:val="ru-RU" w:eastAsia="ru-RU"/>
    </w:rPr>
  </w:style>
  <w:style w:type="paragraph" w:styleId="TOC6">
    <w:name w:val="toc 6"/>
    <w:basedOn w:val="Normal"/>
    <w:next w:val="Normal"/>
    <w:autoRedefine/>
    <w:uiPriority w:val="39"/>
    <w:unhideWhenUsed/>
    <w:rsid w:val="00B91681"/>
    <w:pPr>
      <w:spacing w:after="100" w:line="259" w:lineRule="auto"/>
      <w:ind w:left="1100"/>
      <w:jc w:val="left"/>
    </w:pPr>
    <w:rPr>
      <w:rFonts w:asciiTheme="minorHAnsi" w:hAnsiTheme="minorHAnsi"/>
      <w:color w:val="auto"/>
      <w:sz w:val="22"/>
      <w:lang w:val="ru-RU" w:eastAsia="ru-RU"/>
    </w:rPr>
  </w:style>
  <w:style w:type="paragraph" w:styleId="TOC7">
    <w:name w:val="toc 7"/>
    <w:basedOn w:val="Normal"/>
    <w:next w:val="Normal"/>
    <w:autoRedefine/>
    <w:uiPriority w:val="39"/>
    <w:unhideWhenUsed/>
    <w:rsid w:val="00B91681"/>
    <w:pPr>
      <w:spacing w:after="100" w:line="259" w:lineRule="auto"/>
      <w:ind w:left="1320"/>
      <w:jc w:val="left"/>
    </w:pPr>
    <w:rPr>
      <w:rFonts w:asciiTheme="minorHAnsi" w:hAnsiTheme="minorHAnsi"/>
      <w:color w:val="auto"/>
      <w:sz w:val="22"/>
      <w:lang w:val="ru-RU" w:eastAsia="ru-RU"/>
    </w:rPr>
  </w:style>
  <w:style w:type="paragraph" w:styleId="TOC8">
    <w:name w:val="toc 8"/>
    <w:basedOn w:val="Normal"/>
    <w:next w:val="Normal"/>
    <w:autoRedefine/>
    <w:uiPriority w:val="39"/>
    <w:unhideWhenUsed/>
    <w:rsid w:val="00B91681"/>
    <w:pPr>
      <w:spacing w:after="100" w:line="259" w:lineRule="auto"/>
      <w:ind w:left="1540"/>
      <w:jc w:val="left"/>
    </w:pPr>
    <w:rPr>
      <w:rFonts w:asciiTheme="minorHAnsi" w:hAnsiTheme="minorHAnsi"/>
      <w:color w:val="auto"/>
      <w:sz w:val="22"/>
      <w:lang w:val="ru-RU" w:eastAsia="ru-RU"/>
    </w:rPr>
  </w:style>
  <w:style w:type="paragraph" w:styleId="TOC9">
    <w:name w:val="toc 9"/>
    <w:basedOn w:val="Normal"/>
    <w:next w:val="Normal"/>
    <w:autoRedefine/>
    <w:uiPriority w:val="39"/>
    <w:unhideWhenUsed/>
    <w:rsid w:val="00B91681"/>
    <w:pPr>
      <w:spacing w:after="100" w:line="259" w:lineRule="auto"/>
      <w:ind w:left="1760"/>
      <w:jc w:val="left"/>
    </w:pPr>
    <w:rPr>
      <w:rFonts w:asciiTheme="minorHAnsi" w:hAnsiTheme="minorHAnsi"/>
      <w:color w:val="auto"/>
      <w:sz w:val="22"/>
      <w:lang w:val="ru-RU" w:eastAsia="ru-RU"/>
    </w:rPr>
  </w:style>
  <w:style w:type="character" w:styleId="Hyperlink">
    <w:name w:val="Hyperlink"/>
    <w:basedOn w:val="DefaultParagraphFont"/>
    <w:uiPriority w:val="99"/>
    <w:unhideWhenUsed/>
    <w:rsid w:val="00B91681"/>
    <w:rPr>
      <w:color w:val="0000FF" w:themeColor="hyperlink"/>
      <w:u w:val="single"/>
    </w:rPr>
  </w:style>
  <w:style w:type="character" w:styleId="UnresolvedMention">
    <w:name w:val="Unresolved Mention"/>
    <w:basedOn w:val="DefaultParagraphFont"/>
    <w:uiPriority w:val="99"/>
    <w:semiHidden/>
    <w:unhideWhenUsed/>
    <w:rsid w:val="00B91681"/>
    <w:rPr>
      <w:color w:val="605E5C"/>
      <w:shd w:val="clear" w:color="auto" w:fill="E1DFDD"/>
    </w:rPr>
  </w:style>
  <w:style w:type="character" w:styleId="HTMLCode">
    <w:name w:val="HTML Code"/>
    <w:basedOn w:val="DefaultParagraphFont"/>
    <w:uiPriority w:val="99"/>
    <w:semiHidden/>
    <w:unhideWhenUsed/>
    <w:rsid w:val="00AB4E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070">
      <w:bodyDiv w:val="1"/>
      <w:marLeft w:val="0"/>
      <w:marRight w:val="0"/>
      <w:marTop w:val="0"/>
      <w:marBottom w:val="0"/>
      <w:divBdr>
        <w:top w:val="none" w:sz="0" w:space="0" w:color="auto"/>
        <w:left w:val="none" w:sz="0" w:space="0" w:color="auto"/>
        <w:bottom w:val="none" w:sz="0" w:space="0" w:color="auto"/>
        <w:right w:val="none" w:sz="0" w:space="0" w:color="auto"/>
      </w:divBdr>
    </w:div>
    <w:div w:id="134758894">
      <w:bodyDiv w:val="1"/>
      <w:marLeft w:val="0"/>
      <w:marRight w:val="0"/>
      <w:marTop w:val="0"/>
      <w:marBottom w:val="0"/>
      <w:divBdr>
        <w:top w:val="none" w:sz="0" w:space="0" w:color="auto"/>
        <w:left w:val="none" w:sz="0" w:space="0" w:color="auto"/>
        <w:bottom w:val="none" w:sz="0" w:space="0" w:color="auto"/>
        <w:right w:val="none" w:sz="0" w:space="0" w:color="auto"/>
      </w:divBdr>
    </w:div>
    <w:div w:id="136532664">
      <w:bodyDiv w:val="1"/>
      <w:marLeft w:val="0"/>
      <w:marRight w:val="0"/>
      <w:marTop w:val="0"/>
      <w:marBottom w:val="0"/>
      <w:divBdr>
        <w:top w:val="none" w:sz="0" w:space="0" w:color="auto"/>
        <w:left w:val="none" w:sz="0" w:space="0" w:color="auto"/>
        <w:bottom w:val="none" w:sz="0" w:space="0" w:color="auto"/>
        <w:right w:val="none" w:sz="0" w:space="0" w:color="auto"/>
      </w:divBdr>
    </w:div>
    <w:div w:id="156456085">
      <w:bodyDiv w:val="1"/>
      <w:marLeft w:val="0"/>
      <w:marRight w:val="0"/>
      <w:marTop w:val="0"/>
      <w:marBottom w:val="0"/>
      <w:divBdr>
        <w:top w:val="none" w:sz="0" w:space="0" w:color="auto"/>
        <w:left w:val="none" w:sz="0" w:space="0" w:color="auto"/>
        <w:bottom w:val="none" w:sz="0" w:space="0" w:color="auto"/>
        <w:right w:val="none" w:sz="0" w:space="0" w:color="auto"/>
      </w:divBdr>
    </w:div>
    <w:div w:id="164635318">
      <w:bodyDiv w:val="1"/>
      <w:marLeft w:val="0"/>
      <w:marRight w:val="0"/>
      <w:marTop w:val="0"/>
      <w:marBottom w:val="0"/>
      <w:divBdr>
        <w:top w:val="none" w:sz="0" w:space="0" w:color="auto"/>
        <w:left w:val="none" w:sz="0" w:space="0" w:color="auto"/>
        <w:bottom w:val="none" w:sz="0" w:space="0" w:color="auto"/>
        <w:right w:val="none" w:sz="0" w:space="0" w:color="auto"/>
      </w:divBdr>
    </w:div>
    <w:div w:id="175312351">
      <w:bodyDiv w:val="1"/>
      <w:marLeft w:val="0"/>
      <w:marRight w:val="0"/>
      <w:marTop w:val="0"/>
      <w:marBottom w:val="0"/>
      <w:divBdr>
        <w:top w:val="none" w:sz="0" w:space="0" w:color="auto"/>
        <w:left w:val="none" w:sz="0" w:space="0" w:color="auto"/>
        <w:bottom w:val="none" w:sz="0" w:space="0" w:color="auto"/>
        <w:right w:val="none" w:sz="0" w:space="0" w:color="auto"/>
      </w:divBdr>
    </w:div>
    <w:div w:id="185293382">
      <w:bodyDiv w:val="1"/>
      <w:marLeft w:val="0"/>
      <w:marRight w:val="0"/>
      <w:marTop w:val="0"/>
      <w:marBottom w:val="0"/>
      <w:divBdr>
        <w:top w:val="none" w:sz="0" w:space="0" w:color="auto"/>
        <w:left w:val="none" w:sz="0" w:space="0" w:color="auto"/>
        <w:bottom w:val="none" w:sz="0" w:space="0" w:color="auto"/>
        <w:right w:val="none" w:sz="0" w:space="0" w:color="auto"/>
      </w:divBdr>
    </w:div>
    <w:div w:id="499661725">
      <w:bodyDiv w:val="1"/>
      <w:marLeft w:val="0"/>
      <w:marRight w:val="0"/>
      <w:marTop w:val="0"/>
      <w:marBottom w:val="0"/>
      <w:divBdr>
        <w:top w:val="none" w:sz="0" w:space="0" w:color="auto"/>
        <w:left w:val="none" w:sz="0" w:space="0" w:color="auto"/>
        <w:bottom w:val="none" w:sz="0" w:space="0" w:color="auto"/>
        <w:right w:val="none" w:sz="0" w:space="0" w:color="auto"/>
      </w:divBdr>
    </w:div>
    <w:div w:id="501513771">
      <w:bodyDiv w:val="1"/>
      <w:marLeft w:val="0"/>
      <w:marRight w:val="0"/>
      <w:marTop w:val="0"/>
      <w:marBottom w:val="0"/>
      <w:divBdr>
        <w:top w:val="none" w:sz="0" w:space="0" w:color="auto"/>
        <w:left w:val="none" w:sz="0" w:space="0" w:color="auto"/>
        <w:bottom w:val="none" w:sz="0" w:space="0" w:color="auto"/>
        <w:right w:val="none" w:sz="0" w:space="0" w:color="auto"/>
      </w:divBdr>
    </w:div>
    <w:div w:id="653722594">
      <w:bodyDiv w:val="1"/>
      <w:marLeft w:val="0"/>
      <w:marRight w:val="0"/>
      <w:marTop w:val="0"/>
      <w:marBottom w:val="0"/>
      <w:divBdr>
        <w:top w:val="none" w:sz="0" w:space="0" w:color="auto"/>
        <w:left w:val="none" w:sz="0" w:space="0" w:color="auto"/>
        <w:bottom w:val="none" w:sz="0" w:space="0" w:color="auto"/>
        <w:right w:val="none" w:sz="0" w:space="0" w:color="auto"/>
      </w:divBdr>
    </w:div>
    <w:div w:id="888610755">
      <w:bodyDiv w:val="1"/>
      <w:marLeft w:val="0"/>
      <w:marRight w:val="0"/>
      <w:marTop w:val="0"/>
      <w:marBottom w:val="0"/>
      <w:divBdr>
        <w:top w:val="none" w:sz="0" w:space="0" w:color="auto"/>
        <w:left w:val="none" w:sz="0" w:space="0" w:color="auto"/>
        <w:bottom w:val="none" w:sz="0" w:space="0" w:color="auto"/>
        <w:right w:val="none" w:sz="0" w:space="0" w:color="auto"/>
      </w:divBdr>
    </w:div>
    <w:div w:id="930772916">
      <w:bodyDiv w:val="1"/>
      <w:marLeft w:val="0"/>
      <w:marRight w:val="0"/>
      <w:marTop w:val="0"/>
      <w:marBottom w:val="0"/>
      <w:divBdr>
        <w:top w:val="none" w:sz="0" w:space="0" w:color="auto"/>
        <w:left w:val="none" w:sz="0" w:space="0" w:color="auto"/>
        <w:bottom w:val="none" w:sz="0" w:space="0" w:color="auto"/>
        <w:right w:val="none" w:sz="0" w:space="0" w:color="auto"/>
      </w:divBdr>
    </w:div>
    <w:div w:id="1069621479">
      <w:bodyDiv w:val="1"/>
      <w:marLeft w:val="0"/>
      <w:marRight w:val="0"/>
      <w:marTop w:val="0"/>
      <w:marBottom w:val="0"/>
      <w:divBdr>
        <w:top w:val="none" w:sz="0" w:space="0" w:color="auto"/>
        <w:left w:val="none" w:sz="0" w:space="0" w:color="auto"/>
        <w:bottom w:val="none" w:sz="0" w:space="0" w:color="auto"/>
        <w:right w:val="none" w:sz="0" w:space="0" w:color="auto"/>
      </w:divBdr>
    </w:div>
    <w:div w:id="1230070149">
      <w:bodyDiv w:val="1"/>
      <w:marLeft w:val="0"/>
      <w:marRight w:val="0"/>
      <w:marTop w:val="0"/>
      <w:marBottom w:val="0"/>
      <w:divBdr>
        <w:top w:val="none" w:sz="0" w:space="0" w:color="auto"/>
        <w:left w:val="none" w:sz="0" w:space="0" w:color="auto"/>
        <w:bottom w:val="none" w:sz="0" w:space="0" w:color="auto"/>
        <w:right w:val="none" w:sz="0" w:space="0" w:color="auto"/>
      </w:divBdr>
    </w:div>
    <w:div w:id="1311327542">
      <w:bodyDiv w:val="1"/>
      <w:marLeft w:val="0"/>
      <w:marRight w:val="0"/>
      <w:marTop w:val="0"/>
      <w:marBottom w:val="0"/>
      <w:divBdr>
        <w:top w:val="none" w:sz="0" w:space="0" w:color="auto"/>
        <w:left w:val="none" w:sz="0" w:space="0" w:color="auto"/>
        <w:bottom w:val="none" w:sz="0" w:space="0" w:color="auto"/>
        <w:right w:val="none" w:sz="0" w:space="0" w:color="auto"/>
      </w:divBdr>
    </w:div>
    <w:div w:id="1319764637">
      <w:bodyDiv w:val="1"/>
      <w:marLeft w:val="0"/>
      <w:marRight w:val="0"/>
      <w:marTop w:val="0"/>
      <w:marBottom w:val="0"/>
      <w:divBdr>
        <w:top w:val="none" w:sz="0" w:space="0" w:color="auto"/>
        <w:left w:val="none" w:sz="0" w:space="0" w:color="auto"/>
        <w:bottom w:val="none" w:sz="0" w:space="0" w:color="auto"/>
        <w:right w:val="none" w:sz="0" w:space="0" w:color="auto"/>
      </w:divBdr>
    </w:div>
    <w:div w:id="1357195079">
      <w:bodyDiv w:val="1"/>
      <w:marLeft w:val="0"/>
      <w:marRight w:val="0"/>
      <w:marTop w:val="0"/>
      <w:marBottom w:val="0"/>
      <w:divBdr>
        <w:top w:val="none" w:sz="0" w:space="0" w:color="auto"/>
        <w:left w:val="none" w:sz="0" w:space="0" w:color="auto"/>
        <w:bottom w:val="none" w:sz="0" w:space="0" w:color="auto"/>
        <w:right w:val="none" w:sz="0" w:space="0" w:color="auto"/>
      </w:divBdr>
    </w:div>
    <w:div w:id="1360936700">
      <w:bodyDiv w:val="1"/>
      <w:marLeft w:val="0"/>
      <w:marRight w:val="0"/>
      <w:marTop w:val="0"/>
      <w:marBottom w:val="0"/>
      <w:divBdr>
        <w:top w:val="none" w:sz="0" w:space="0" w:color="auto"/>
        <w:left w:val="none" w:sz="0" w:space="0" w:color="auto"/>
        <w:bottom w:val="none" w:sz="0" w:space="0" w:color="auto"/>
        <w:right w:val="none" w:sz="0" w:space="0" w:color="auto"/>
      </w:divBdr>
    </w:div>
    <w:div w:id="1412048339">
      <w:bodyDiv w:val="1"/>
      <w:marLeft w:val="0"/>
      <w:marRight w:val="0"/>
      <w:marTop w:val="0"/>
      <w:marBottom w:val="0"/>
      <w:divBdr>
        <w:top w:val="none" w:sz="0" w:space="0" w:color="auto"/>
        <w:left w:val="none" w:sz="0" w:space="0" w:color="auto"/>
        <w:bottom w:val="none" w:sz="0" w:space="0" w:color="auto"/>
        <w:right w:val="none" w:sz="0" w:space="0" w:color="auto"/>
      </w:divBdr>
    </w:div>
    <w:div w:id="1508251473">
      <w:bodyDiv w:val="1"/>
      <w:marLeft w:val="0"/>
      <w:marRight w:val="0"/>
      <w:marTop w:val="0"/>
      <w:marBottom w:val="0"/>
      <w:divBdr>
        <w:top w:val="none" w:sz="0" w:space="0" w:color="auto"/>
        <w:left w:val="none" w:sz="0" w:space="0" w:color="auto"/>
        <w:bottom w:val="none" w:sz="0" w:space="0" w:color="auto"/>
        <w:right w:val="none" w:sz="0" w:space="0" w:color="auto"/>
      </w:divBdr>
    </w:div>
    <w:div w:id="1547136754">
      <w:bodyDiv w:val="1"/>
      <w:marLeft w:val="0"/>
      <w:marRight w:val="0"/>
      <w:marTop w:val="0"/>
      <w:marBottom w:val="0"/>
      <w:divBdr>
        <w:top w:val="none" w:sz="0" w:space="0" w:color="auto"/>
        <w:left w:val="none" w:sz="0" w:space="0" w:color="auto"/>
        <w:bottom w:val="none" w:sz="0" w:space="0" w:color="auto"/>
        <w:right w:val="none" w:sz="0" w:space="0" w:color="auto"/>
      </w:divBdr>
    </w:div>
    <w:div w:id="1595287176">
      <w:bodyDiv w:val="1"/>
      <w:marLeft w:val="0"/>
      <w:marRight w:val="0"/>
      <w:marTop w:val="0"/>
      <w:marBottom w:val="0"/>
      <w:divBdr>
        <w:top w:val="none" w:sz="0" w:space="0" w:color="auto"/>
        <w:left w:val="none" w:sz="0" w:space="0" w:color="auto"/>
        <w:bottom w:val="none" w:sz="0" w:space="0" w:color="auto"/>
        <w:right w:val="none" w:sz="0" w:space="0" w:color="auto"/>
      </w:divBdr>
    </w:div>
    <w:div w:id="1621913542">
      <w:bodyDiv w:val="1"/>
      <w:marLeft w:val="0"/>
      <w:marRight w:val="0"/>
      <w:marTop w:val="0"/>
      <w:marBottom w:val="0"/>
      <w:divBdr>
        <w:top w:val="none" w:sz="0" w:space="0" w:color="auto"/>
        <w:left w:val="none" w:sz="0" w:space="0" w:color="auto"/>
        <w:bottom w:val="none" w:sz="0" w:space="0" w:color="auto"/>
        <w:right w:val="none" w:sz="0" w:space="0" w:color="auto"/>
      </w:divBdr>
    </w:div>
    <w:div w:id="1701078797">
      <w:bodyDiv w:val="1"/>
      <w:marLeft w:val="0"/>
      <w:marRight w:val="0"/>
      <w:marTop w:val="0"/>
      <w:marBottom w:val="0"/>
      <w:divBdr>
        <w:top w:val="none" w:sz="0" w:space="0" w:color="auto"/>
        <w:left w:val="none" w:sz="0" w:space="0" w:color="auto"/>
        <w:bottom w:val="none" w:sz="0" w:space="0" w:color="auto"/>
        <w:right w:val="none" w:sz="0" w:space="0" w:color="auto"/>
      </w:divBdr>
    </w:div>
    <w:div w:id="1769688793">
      <w:bodyDiv w:val="1"/>
      <w:marLeft w:val="0"/>
      <w:marRight w:val="0"/>
      <w:marTop w:val="0"/>
      <w:marBottom w:val="0"/>
      <w:divBdr>
        <w:top w:val="none" w:sz="0" w:space="0" w:color="auto"/>
        <w:left w:val="none" w:sz="0" w:space="0" w:color="auto"/>
        <w:bottom w:val="none" w:sz="0" w:space="0" w:color="auto"/>
        <w:right w:val="none" w:sz="0" w:space="0" w:color="auto"/>
      </w:divBdr>
    </w:div>
    <w:div w:id="20740863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Mukhammad-Azim/Business-Value-of-AI-voice-agen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9E152B-2092-4D5B-9D17-5CCF9A2AA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120</Pages>
  <Words>37771</Words>
  <Characters>215299</Characters>
  <Application>Microsoft Office Word</Application>
  <DocSecurity>0</DocSecurity>
  <Lines>1794</Lines>
  <Paragraphs>505</Paragraphs>
  <ScaleCrop>false</ScaleCrop>
  <HeadingPairs>
    <vt:vector size="2" baseType="variant">
      <vt:variant>
        <vt:lpstr>Title</vt:lpstr>
      </vt:variant>
      <vt:variant>
        <vt:i4>1</vt:i4>
      </vt:variant>
    </vt:vector>
  </HeadingPairs>
  <TitlesOfParts>
    <vt:vector size="1" baseType="lpstr">
      <vt:lpstr>Business Value of Voice LLM Agents in Financial Services:</vt:lpstr>
    </vt:vector>
  </TitlesOfParts>
  <Manager/>
  <Company/>
  <LinksUpToDate>false</LinksUpToDate>
  <CharactersWithSpaces>252565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Value of Voice LLM Agents in Financial Services:</dc:title>
  <dc:subject/>
  <dc:creator/>
  <cp:keywords/>
  <dc:description/>
  <cp:lastModifiedBy/>
  <cp:revision>1</cp:revision>
  <dcterms:created xsi:type="dcterms:W3CDTF">2026-05-14T23:19:00Z</dcterms:created>
  <dcterms:modified xsi:type="dcterms:W3CDTF">2026-05-15T14:36:00Z</dcterms:modified>
  <cp:category/>
</cp:coreProperties>
</file>