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8.png" ContentType="image/png"/>
  <Override PartName="/word/media/rId29.png" ContentType="image/png"/>
  <Override PartName="/word/media/rId23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Решить задачу об обедающих мудрецах и вычислите пространство состояний в среде CPN tools.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- думать и есть. Между соседями лежит одна палочка для еды. Для приёма пищи необходимы две палочки. Палочки - пересекающийся ресурс. Необходимо синхронизировать процесс еды так, чтобы мудрецы не умерли с голода.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модели-в-cpn-too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CPN tools</w:t>
      </w:r>
    </w:p>
    <w:p>
      <w:pPr>
        <w:pStyle w:val="Compact"/>
        <w:numPr>
          <w:ilvl w:val="0"/>
          <w:numId w:val="1001"/>
        </w:numPr>
      </w:pPr>
      <w:r>
        <w:t xml:space="preserve">Рисуем граф сети. Для этого с помощью контекстного меню создаём новую сеть, добавляем позиции, переходы и дуги:</w:t>
      </w:r>
    </w:p>
    <w:p>
      <w:pPr>
        <w:pStyle w:val="CaptionedFigure"/>
      </w:pPr>
      <w:r>
        <w:drawing>
          <wp:inline>
            <wp:extent cx="2667000" cy="1798156"/>
            <wp:effectExtent b="0" l="0" r="0" t="0"/>
            <wp:docPr descr="Граф сети задачи об обедающих мудрецах" title="fig:" id="24" name="Picture"/>
            <a:graphic>
              <a:graphicData uri="http://schemas.openxmlformats.org/drawingml/2006/picture">
                <pic:pic>
                  <pic:nvPicPr>
                    <pic:cNvPr descr="./images/model_scheme_initial_state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Начальные данные:</w:t>
      </w:r>
      <w:r>
        <w:t xml:space="preserve"> </w:t>
      </w:r>
      <w:r>
        <w:t xml:space="preserve">- 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  <w:r>
        <w:t xml:space="preserve"> </w:t>
      </w:r>
      <w:r>
        <w:t xml:space="preserve">- переходы: взять палочки (take sticks), положить палочки (put sticks)</w:t>
      </w:r>
    </w:p>
    <w:p>
      <w:pPr>
        <w:pStyle w:val="Compact"/>
        <w:numPr>
          <w:ilvl w:val="0"/>
          <w:numId w:val="1002"/>
        </w:numPr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3"/>
        </w:numPr>
      </w:pPr>
      <w:r>
        <w:t xml:space="preserve">n — число мудрецов и палочек (n = 5);</w:t>
      </w:r>
    </w:p>
    <w:p>
      <w:pPr>
        <w:numPr>
          <w:ilvl w:val="0"/>
          <w:numId w:val="1003"/>
        </w:numPr>
      </w:pPr>
      <w:r>
        <w:t xml:space="preserve">p — фишки, обозначающие мудрецов, имеют перечисляемый тип PH от 1 до n;</w:t>
      </w:r>
    </w:p>
    <w:p>
      <w:pPr>
        <w:numPr>
          <w:ilvl w:val="0"/>
          <w:numId w:val="1003"/>
        </w:numPr>
      </w:pPr>
      <w:r>
        <w:t xml:space="preserve">s — фишки, обозначающие палочки, имеют перечисляемый тип ST от 1 до n;</w:t>
      </w:r>
    </w:p>
    <w:p>
      <w:pPr>
        <w:numPr>
          <w:ilvl w:val="0"/>
          <w:numId w:val="1003"/>
        </w:numPr>
      </w:pPr>
      <w:r>
        <w:t xml:space="preserve">функция ChangeS(p) ставит в соответствие мудрецам палочки (возвращает номера палочек, используемых мудрецами); по условию задачи мудрецы сидят по кругу и мудрец p(i) может взять i и i + 1 палочки, поэтому функция ChangeS(p) определяется следующим образом: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fun ChangeS (ph(i))=</w:t>
      </w:r>
      <w:r>
        <w:br/>
      </w:r>
      <w:r>
        <w:rPr>
          <w:rStyle w:val="VerbatimChar"/>
        </w:rPr>
        <w:t xml:space="preserve"> 1`st(i)++st(if = n then 1 else i+1)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205317" cy="983556"/>
            <wp:effectExtent b="0" l="0" r="0" t="0"/>
            <wp:docPr descr="Задание деклараций задачи об обедающих мудрецах" title="fig:" id="27" name="Picture"/>
            <a:graphic>
              <a:graphicData uri="http://schemas.openxmlformats.org/drawingml/2006/picture">
                <pic:pic>
                  <pic:nvPicPr>
                    <pic:cNvPr descr="./images/model_decl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Задание деклараций задачи об обедающих мудрецах</w:t>
      </w:r>
    </w:p>
    <w:p>
      <w:pPr>
        <w:pStyle w:val="Compact"/>
        <w:numPr>
          <w:ilvl w:val="0"/>
          <w:numId w:val="1004"/>
        </w:numPr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2667000" cy="1904625"/>
            <wp:effectExtent b="0" l="0" r="0" t="0"/>
            <wp:docPr descr="Граф сети задачи об обедающих мудрецах" title="fig:" id="30" name="Picture"/>
            <a:graphic>
              <a:graphicData uri="http://schemas.openxmlformats.org/drawingml/2006/picture">
                <pic:pic>
                  <pic:nvPicPr>
                    <pic:cNvPr descr="./images/model_scheme_ave_val_state_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сети задачи об обедающих мудрецах</w:t>
      </w:r>
    </w:p>
    <w:p>
      <w:pPr>
        <w:pStyle w:val="Compact"/>
        <w:numPr>
          <w:ilvl w:val="0"/>
          <w:numId w:val="1005"/>
        </w:numPr>
      </w:pPr>
      <w:r>
        <w:t xml:space="preserve">После запуска модели наблюдаем, что одновременно палочками могут воспользоваться только два из пяти мудрецов (рис. 4):</w:t>
      </w:r>
    </w:p>
    <w:p>
      <w:pPr>
        <w:pStyle w:val="CaptionedFigure"/>
      </w:pPr>
      <w:r>
        <w:drawing>
          <wp:inline>
            <wp:extent cx="2667000" cy="1910219"/>
            <wp:effectExtent b="0" l="0" r="0" t="0"/>
            <wp:docPr descr="Граф сети задачи об обедающих мудрецах 2" title="fig:" id="33" name="Picture"/>
            <a:graphic>
              <a:graphicData uri="http://schemas.openxmlformats.org/drawingml/2006/picture">
                <pic:pic>
                  <pic:nvPicPr>
                    <pic:cNvPr descr="./images/model_scheme_max_val_state_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сети задачи об обедающих мудрецах 2</w:t>
      </w:r>
    </w:p>
    <w:p>
      <w:pPr>
        <w:pStyle w:val="Compact"/>
        <w:numPr>
          <w:ilvl w:val="0"/>
          <w:numId w:val="1006"/>
        </w:numPr>
      </w:pPr>
      <w:r>
        <w:t xml:space="preserve">Для анализа пространтсва состояний построенной модели используется панель пространства состояний (State Space). Сначала необходимо сформировать код пространства состояний. Для этого используется инструмент «вычислить пространство состояний» Calculate Space State, применённый к листу, содержащему страницу модели.</w:t>
      </w:r>
    </w:p>
    <w:p>
      <w:pPr>
        <w:pStyle w:val="CaptionedFigure"/>
      </w:pPr>
      <w:r>
        <w:drawing>
          <wp:inline>
            <wp:extent cx="2667000" cy="1261377"/>
            <wp:effectExtent b="0" l="0" r="0" t="0"/>
            <wp:docPr descr="Пространство состояний для модели «Накорми студентов»" title="fig:" id="36" name="Picture"/>
            <a:graphic>
              <a:graphicData uri="http://schemas.openxmlformats.org/drawingml/2006/picture">
                <pic:pic>
                  <pic:nvPicPr>
                    <pic:cNvPr descr="./images/model_scheme_state_stages_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p>
      <w:pPr>
        <w:pStyle w:val="Compact"/>
        <w:numPr>
          <w:ilvl w:val="0"/>
          <w:numId w:val="1007"/>
        </w:numPr>
      </w:pPr>
      <w:r>
        <w:t xml:space="preserve">Вычисленное пространство состояний сохраняется во временных файлах CPN Tools. Его можно сохранить в отдельный файл, воспользовавшись инструментом «сохранить отчёт» (Save Report).</w:t>
      </w:r>
    </w:p>
    <w:p>
      <w:pPr>
        <w:pStyle w:val="CaptionedFigure"/>
      </w:pPr>
      <w:r>
        <w:drawing>
          <wp:inline>
            <wp:extent cx="2504994" cy="9374521"/>
            <wp:effectExtent b="0" l="0" r="0" t="0"/>
            <wp:docPr descr="Отчёт»" title="fig:" id="39" name="Picture"/>
            <a:graphic>
              <a:graphicData uri="http://schemas.openxmlformats.org/drawingml/2006/picture">
                <pic:pic>
                  <pic:nvPicPr>
                    <pic:cNvPr descr="./images/model_report_0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937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Отчёт»</w:t>
      </w:r>
    </w:p>
    <w:bookmarkEnd w:id="41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8"/>
        </w:numPr>
      </w:pPr>
      <w:r>
        <w:t xml:space="preserve">Изучали как работать с CPN tools.</w:t>
      </w:r>
      <w:r>
        <w:t xml:space="preserve"> </w:t>
      </w:r>
      <w:r>
        <w:t xml:space="preserve">[1]</w:t>
      </w:r>
    </w:p>
    <w:bookmarkEnd w:id="43"/>
    <w:bookmarkStart w:id="4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45" w:name="refs"/>
    <w:bookmarkStart w:id="44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Абу Сувейлим Мухаммед Мунифович</dc:creator>
  <dc:language>ru-RU</dc:language>
  <cp:keywords/>
  <dcterms:created xsi:type="dcterms:W3CDTF">2024-05-24T17:44:43Z</dcterms:created>
  <dcterms:modified xsi:type="dcterms:W3CDTF">2024-05-24T17:44:43Z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