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Executive Summary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report presents an in-depth analysis of 55,500 patient records, offering a data-driven view of patient demographics, healthcare service usage, and operational metrics across facilities.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Demographics</w:t>
      </w:r>
      <w:r w:rsidDel="00000000" w:rsidR="00000000" w:rsidRPr="00000000">
        <w:rPr>
          <w:sz w:val="24"/>
          <w:szCs w:val="24"/>
          <w:rtl w:val="0"/>
        </w:rPr>
        <w:t xml:space="preserve">: Of the total patient records, </w:t>
      </w:r>
      <w:r w:rsidDel="00000000" w:rsidR="00000000" w:rsidRPr="00000000">
        <w:rPr>
          <w:b w:val="1"/>
          <w:sz w:val="24"/>
          <w:szCs w:val="24"/>
          <w:rtl w:val="0"/>
        </w:rPr>
        <w:t xml:space="preserve">50.1% are male (27,774)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49.9% are female (27,726)</w:t>
      </w:r>
      <w:r w:rsidDel="00000000" w:rsidR="00000000" w:rsidRPr="00000000">
        <w:rPr>
          <w:sz w:val="24"/>
          <w:szCs w:val="24"/>
          <w:rtl w:val="0"/>
        </w:rPr>
        <w:t xml:space="preserve">. The most common blood types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A- (6,969 patients)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A+ (6,956 patients)</w:t>
      </w:r>
      <w:r w:rsidDel="00000000" w:rsidR="00000000" w:rsidRPr="00000000">
        <w:rPr>
          <w:sz w:val="24"/>
          <w:szCs w:val="24"/>
          <w:rtl w:val="0"/>
        </w:rPr>
        <w:t xml:space="preserve">, informing transfusion inventory planning.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Medical Conditions &amp; Admission Types</w:t>
      </w:r>
      <w:r w:rsidDel="00000000" w:rsidR="00000000" w:rsidRPr="00000000">
        <w:rPr>
          <w:sz w:val="24"/>
          <w:szCs w:val="24"/>
          <w:rtl w:val="0"/>
        </w:rPr>
        <w:t xml:space="preserve">: The top three diagnosed conditions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Arthritis (9,308 patients)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Diabetes (9,304)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Hypertension (9,245)</w:t>
      </w:r>
      <w:r w:rsidDel="00000000" w:rsidR="00000000" w:rsidRPr="00000000">
        <w:rPr>
          <w:sz w:val="24"/>
          <w:szCs w:val="24"/>
          <w:rtl w:val="0"/>
        </w:rPr>
        <w:t xml:space="preserve">. Admission types are nearly equally distributed: </w:t>
      </w:r>
      <w:r w:rsidDel="00000000" w:rsidR="00000000" w:rsidRPr="00000000">
        <w:rPr>
          <w:b w:val="1"/>
          <w:sz w:val="24"/>
          <w:szCs w:val="24"/>
          <w:rtl w:val="0"/>
        </w:rPr>
        <w:t xml:space="preserve">Elective (18,655)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Urgent (18,576)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Emergency (18,269)</w:t>
      </w:r>
      <w:r w:rsidDel="00000000" w:rsidR="00000000" w:rsidRPr="00000000">
        <w:rPr>
          <w:sz w:val="24"/>
          <w:szCs w:val="24"/>
          <w:rtl w:val="0"/>
        </w:rPr>
        <w:t xml:space="preserve">, indicating a balanced patient flow across care types.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Healthcare Providers</w:t>
      </w:r>
      <w:r w:rsidDel="00000000" w:rsidR="00000000" w:rsidRPr="00000000">
        <w:rPr>
          <w:sz w:val="24"/>
          <w:szCs w:val="24"/>
          <w:rtl w:val="0"/>
        </w:rPr>
        <w:t xml:space="preserve">: High patient volumes are associated with a few key physicians: </w:t>
      </w:r>
      <w:r w:rsidDel="00000000" w:rsidR="00000000" w:rsidRPr="00000000">
        <w:rPr>
          <w:b w:val="1"/>
          <w:sz w:val="24"/>
          <w:szCs w:val="24"/>
          <w:rtl w:val="0"/>
        </w:rPr>
        <w:t xml:space="preserve">Michael Smith (27 patients)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Robert Smith (22)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John Smith (22)</w:t>
      </w:r>
      <w:r w:rsidDel="00000000" w:rsidR="00000000" w:rsidRPr="00000000">
        <w:rPr>
          <w:sz w:val="24"/>
          <w:szCs w:val="24"/>
          <w:rtl w:val="0"/>
        </w:rPr>
        <w:t xml:space="preserve">. These figures may reflect assignment patterns or provider specialization.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Insurance Coverage</w:t>
      </w:r>
      <w:r w:rsidDel="00000000" w:rsidR="00000000" w:rsidRPr="00000000">
        <w:rPr>
          <w:sz w:val="24"/>
          <w:szCs w:val="24"/>
          <w:rtl w:val="0"/>
        </w:rPr>
        <w:t xml:space="preserve">: The most common insurance providers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Cigna (11,249 patients)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Medicare (11,154)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UnitedHealthcare (11,125)</w:t>
      </w:r>
      <w:r w:rsidDel="00000000" w:rsidR="00000000" w:rsidRPr="00000000">
        <w:rPr>
          <w:sz w:val="24"/>
          <w:szCs w:val="24"/>
          <w:rtl w:val="0"/>
        </w:rPr>
        <w:t xml:space="preserve">. These three cover over 60% of the patient population, making them vital partners in cost and access strategies.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Billing Insights</w:t>
      </w:r>
      <w:r w:rsidDel="00000000" w:rsidR="00000000" w:rsidRPr="00000000">
        <w:rPr>
          <w:sz w:val="24"/>
          <w:szCs w:val="24"/>
          <w:rtl w:val="0"/>
        </w:rPr>
        <w:t xml:space="preserve">: Billing amounts range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-2,633</w:t>
      </w:r>
      <w:r w:rsidDel="00000000" w:rsidR="00000000" w:rsidRPr="00000000">
        <w:rPr>
          <w:sz w:val="24"/>
          <w:szCs w:val="24"/>
          <w:rtl w:val="0"/>
        </w:rPr>
        <w:t xml:space="preserve"> (possible data error or credit adjustment)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66,0173</w:t>
      </w:r>
      <w:r w:rsidDel="00000000" w:rsidR="00000000" w:rsidRPr="00000000">
        <w:rPr>
          <w:sz w:val="24"/>
          <w:szCs w:val="24"/>
          <w:rtl w:val="0"/>
        </w:rPr>
        <w:t xml:space="preserve">, with an average billing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$25,539</w:t>
      </w:r>
      <w:r w:rsidDel="00000000" w:rsidR="00000000" w:rsidRPr="00000000">
        <w:rPr>
          <w:sz w:val="24"/>
          <w:szCs w:val="24"/>
          <w:rtl w:val="0"/>
        </w:rPr>
        <w:t xml:space="preserve"> per patient. This variation is influenced by admission type, length of stay, and insurer reimbursement practices.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Medication Usage</w:t>
      </w:r>
      <w:r w:rsidDel="00000000" w:rsidR="00000000" w:rsidRPr="00000000">
        <w:rPr>
          <w:sz w:val="24"/>
          <w:szCs w:val="24"/>
          <w:rtl w:val="0"/>
        </w:rPr>
        <w:t xml:space="preserve">: The most prescribed medications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Lipitor (11,140 instances)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Ibuprofen (11,127)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Aspirin (11,094)</w:t>
      </w:r>
      <w:r w:rsidDel="00000000" w:rsidR="00000000" w:rsidRPr="00000000">
        <w:rPr>
          <w:sz w:val="24"/>
          <w:szCs w:val="24"/>
          <w:rtl w:val="0"/>
        </w:rPr>
        <w:t xml:space="preserve">, which align with the high prevalence of chronic cardiovascular and inflammatory conditions.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Operational Metrics</w:t>
      </w:r>
      <w:r w:rsidDel="00000000" w:rsidR="00000000" w:rsidRPr="00000000">
        <w:rPr>
          <w:sz w:val="24"/>
          <w:szCs w:val="24"/>
          <w:rtl w:val="0"/>
        </w:rPr>
        <w:t xml:space="preserve">: The average length of hospital stay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15.5 days</w:t>
      </w:r>
      <w:r w:rsidDel="00000000" w:rsidR="00000000" w:rsidRPr="00000000">
        <w:rPr>
          <w:sz w:val="24"/>
          <w:szCs w:val="24"/>
          <w:rtl w:val="0"/>
        </w:rPr>
        <w:t xml:space="preserve">, with variation across departments and conditions. This directly impacts bed availability, staffing needs, and patient throughput.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5cvc7ycam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Recommendations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analysis of 55,500 patient records and associated operational and financial data, the following strategic actions are recommended: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Expand Chronic Disease Management Programs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With over </w:t>
      </w:r>
      <w:r w:rsidDel="00000000" w:rsidR="00000000" w:rsidRPr="00000000">
        <w:rPr>
          <w:b w:val="1"/>
          <w:sz w:val="24"/>
          <w:szCs w:val="24"/>
          <w:rtl w:val="0"/>
        </w:rPr>
        <w:t xml:space="preserve">9,000 cases each</w:t>
      </w:r>
      <w:r w:rsidDel="00000000" w:rsidR="00000000" w:rsidRPr="00000000">
        <w:rPr>
          <w:sz w:val="24"/>
          <w:szCs w:val="24"/>
          <w:rtl w:val="0"/>
        </w:rPr>
        <w:t xml:space="preserve">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Arthritis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Diabetes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Hypertension</w:t>
      </w:r>
      <w:r w:rsidDel="00000000" w:rsidR="00000000" w:rsidRPr="00000000">
        <w:rPr>
          <w:sz w:val="24"/>
          <w:szCs w:val="24"/>
          <w:rtl w:val="0"/>
        </w:rPr>
        <w:t xml:space="preserve">, targeted outpatient interventions, remote monitoring, and patient education could reduce future admissions and hospital burden.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Redistribute Provider Workloads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Patient allocations are heavily concentrated among a few providers (e.g., </w:t>
      </w:r>
      <w:r w:rsidDel="00000000" w:rsidR="00000000" w:rsidRPr="00000000">
        <w:rPr>
          <w:b w:val="1"/>
          <w:sz w:val="24"/>
          <w:szCs w:val="24"/>
          <w:rtl w:val="0"/>
        </w:rPr>
        <w:t xml:space="preserve">Michael Smith: 27 patients</w:t>
      </w:r>
      <w:r w:rsidDel="00000000" w:rsidR="00000000" w:rsidRPr="00000000">
        <w:rPr>
          <w:sz w:val="24"/>
          <w:szCs w:val="24"/>
          <w:rtl w:val="0"/>
        </w:rPr>
        <w:t xml:space="preserve">), suggesting a need for workload balancing, additional support staff, or intelligent scheduling tools to ensure care quality and prevent burnout.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Leverage High-Volume Insurance Relationships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Since </w:t>
      </w:r>
      <w:r w:rsidDel="00000000" w:rsidR="00000000" w:rsidRPr="00000000">
        <w:rPr>
          <w:b w:val="1"/>
          <w:sz w:val="24"/>
          <w:szCs w:val="24"/>
          <w:rtl w:val="0"/>
        </w:rPr>
        <w:t xml:space="preserve">Cigna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Medicare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UnitedHealthcare</w:t>
      </w:r>
      <w:r w:rsidDel="00000000" w:rsidR="00000000" w:rsidRPr="00000000">
        <w:rPr>
          <w:sz w:val="24"/>
          <w:szCs w:val="24"/>
          <w:rtl w:val="0"/>
        </w:rPr>
        <w:t xml:space="preserve"> collectively cover </w:t>
      </w:r>
      <w:r w:rsidDel="00000000" w:rsidR="00000000" w:rsidRPr="00000000">
        <w:rPr>
          <w:b w:val="1"/>
          <w:sz w:val="24"/>
          <w:szCs w:val="24"/>
          <w:rtl w:val="0"/>
        </w:rPr>
        <w:t xml:space="preserve">33,500+ patients</w:t>
      </w:r>
      <w:r w:rsidDel="00000000" w:rsidR="00000000" w:rsidRPr="00000000">
        <w:rPr>
          <w:sz w:val="24"/>
          <w:szCs w:val="24"/>
          <w:rtl w:val="0"/>
        </w:rPr>
        <w:t xml:space="preserve">, develop payer-specific strategies to optimize claims processing, pre-authorization workflows, and risk-sharing arrangements.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Conduct a Billing Variance Audit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With billing amounts ranging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-2,633 to 66,0173</w:t>
      </w:r>
      <w:r w:rsidDel="00000000" w:rsidR="00000000" w:rsidRPr="00000000">
        <w:rPr>
          <w:sz w:val="24"/>
          <w:szCs w:val="24"/>
          <w:rtl w:val="0"/>
        </w:rPr>
        <w:t xml:space="preserve"> and an average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$25,539</w:t>
      </w:r>
      <w:r w:rsidDel="00000000" w:rsidR="00000000" w:rsidRPr="00000000">
        <w:rPr>
          <w:sz w:val="24"/>
          <w:szCs w:val="24"/>
          <w:rtl w:val="0"/>
        </w:rPr>
        <w:t xml:space="preserve">, perform a deep-dive review into negative values, billing outliers by admission type, and variance by insurer to identify cost leakages and recovery opportunities.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Optimize Pharmacy Procurement &amp; Usage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The high frequency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Lipitor (11,140), Ibuprofen (11,127)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Aspirin (11,094)</w:t>
      </w:r>
      <w:r w:rsidDel="00000000" w:rsidR="00000000" w:rsidRPr="00000000">
        <w:rPr>
          <w:sz w:val="24"/>
          <w:szCs w:val="24"/>
          <w:rtl w:val="0"/>
        </w:rPr>
        <w:t xml:space="preserve"> suggests opportunities for: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Bulk purchasing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Substitution with cost-effective generics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Alignment of formularies across departments to avoid waste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Enhance Bed &amp; Resource Planning Using LOS Models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An average hospital stay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15.5 days</w:t>
      </w:r>
      <w:r w:rsidDel="00000000" w:rsidR="00000000" w:rsidRPr="00000000">
        <w:rPr>
          <w:sz w:val="24"/>
          <w:szCs w:val="24"/>
          <w:rtl w:val="0"/>
        </w:rPr>
        <w:t xml:space="preserve"> calls for predictive modeling by condition and department. Standardizing discharge protocols and introducing real-time bed tracking will improve throughput, reduce overcrowding, and inform staffing decisions.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hmx2gja70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analysis confirms a balanced yet complex healthcare delivery landscape with evenly distributed admissions, a high chronic disease burden, and concentration in medication and insurance utilization. While demographic stability provides planning predictability,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variability in billing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hospital stays</w:t>
      </w:r>
      <w:r w:rsidDel="00000000" w:rsidR="00000000" w:rsidRPr="00000000">
        <w:rPr>
          <w:sz w:val="24"/>
          <w:szCs w:val="24"/>
          <w:rtl w:val="0"/>
        </w:rPr>
        <w:t xml:space="preserve"> presents operational and financial improvement opportunities.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Implementing the above recommendations will enable leadership to enhance care delivery, control costs, and strategically manage insurer and provider relationships — all grounded in actionable, data-driven insights.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