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57E97" w14:textId="77777777" w:rsidR="001A5FCD" w:rsidRDefault="00000000">
      <w:pPr>
        <w:spacing w:before="240" w:after="240" w:line="360" w:lineRule="auto"/>
        <w:jc w:val="center"/>
        <w:rPr>
          <w:rFonts w:ascii="Verdana" w:eastAsia="Verdana" w:hAnsi="Verdana" w:cs="Verdana"/>
          <w:b/>
          <w:sz w:val="24"/>
          <w:szCs w:val="24"/>
        </w:rPr>
      </w:pPr>
      <w:r>
        <w:rPr>
          <w:rFonts w:ascii="Verdana" w:eastAsia="Verdana" w:hAnsi="Verdana" w:cs="Verdana"/>
          <w:b/>
          <w:sz w:val="24"/>
          <w:szCs w:val="24"/>
        </w:rPr>
        <w:t>Analysis of The Data</w:t>
      </w:r>
    </w:p>
    <w:p w14:paraId="3E26602A" w14:textId="77777777" w:rsidR="001A5FCD" w:rsidRDefault="00000000" w:rsidP="00F90BAE">
      <w:pPr>
        <w:spacing w:before="240" w:after="240" w:line="360" w:lineRule="auto"/>
        <w:rPr>
          <w:rFonts w:ascii="Verdana" w:eastAsia="Verdana" w:hAnsi="Verdana" w:cs="Verdana"/>
        </w:rPr>
      </w:pPr>
      <w:r>
        <w:rPr>
          <w:rFonts w:ascii="Verdana" w:eastAsia="Verdana" w:hAnsi="Verdana" w:cs="Verdana"/>
        </w:rPr>
        <w:t>Table of Contents</w:t>
      </w:r>
    </w:p>
    <w:p w14:paraId="61440818" w14:textId="77777777" w:rsidR="001A5FCD" w:rsidRDefault="00000000" w:rsidP="00F90BAE">
      <w:pPr>
        <w:numPr>
          <w:ilvl w:val="0"/>
          <w:numId w:val="4"/>
        </w:numPr>
        <w:spacing w:before="240" w:line="360" w:lineRule="auto"/>
        <w:rPr>
          <w:rFonts w:ascii="Verdana" w:eastAsia="Verdana" w:hAnsi="Verdana" w:cs="Verdana"/>
        </w:rPr>
      </w:pPr>
      <w:r>
        <w:rPr>
          <w:rFonts w:ascii="Verdana" w:eastAsia="Verdana" w:hAnsi="Verdana" w:cs="Verdana"/>
        </w:rPr>
        <w:t>Executive Summary</w:t>
      </w:r>
      <w:r>
        <w:rPr>
          <w:rFonts w:ascii="Verdana" w:eastAsia="Verdana" w:hAnsi="Verdana" w:cs="Verdana"/>
        </w:rPr>
        <w:br/>
      </w:r>
    </w:p>
    <w:p w14:paraId="09F75C96"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Introduction</w:t>
      </w:r>
      <w:r>
        <w:rPr>
          <w:rFonts w:ascii="Verdana" w:eastAsia="Verdana" w:hAnsi="Verdana" w:cs="Verdana"/>
        </w:rPr>
        <w:br/>
      </w:r>
    </w:p>
    <w:p w14:paraId="71A78E20"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Methodology</w:t>
      </w:r>
      <w:r>
        <w:rPr>
          <w:rFonts w:ascii="Verdana" w:eastAsia="Verdana" w:hAnsi="Verdana" w:cs="Verdana"/>
        </w:rPr>
        <w:br/>
      </w:r>
    </w:p>
    <w:p w14:paraId="44046533"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Detailed Findings</w:t>
      </w:r>
      <w:r>
        <w:rPr>
          <w:rFonts w:ascii="Verdana" w:eastAsia="Verdana" w:hAnsi="Verdana" w:cs="Verdana"/>
        </w:rPr>
        <w:br/>
        <w:t xml:space="preserve"> 4.1 Your Cash-Flow Dynamics</w:t>
      </w:r>
      <w:r>
        <w:rPr>
          <w:rFonts w:ascii="Verdana" w:eastAsia="Verdana" w:hAnsi="Verdana" w:cs="Verdana"/>
        </w:rPr>
        <w:br/>
        <w:t xml:space="preserve"> 4.2 Transaction Profiles</w:t>
      </w:r>
      <w:r>
        <w:rPr>
          <w:rFonts w:ascii="Verdana" w:eastAsia="Verdana" w:hAnsi="Verdana" w:cs="Verdana"/>
        </w:rPr>
        <w:br/>
        <w:t xml:space="preserve"> 4.3 When You’re Most Active</w:t>
      </w:r>
      <w:r>
        <w:rPr>
          <w:rFonts w:ascii="Verdana" w:eastAsia="Verdana" w:hAnsi="Verdana" w:cs="Verdana"/>
        </w:rPr>
        <w:br/>
        <w:t xml:space="preserve"> 4.4 Your Fee Revenue Drivers</w:t>
      </w:r>
      <w:r>
        <w:rPr>
          <w:rFonts w:ascii="Verdana" w:eastAsia="Verdana" w:hAnsi="Verdana" w:cs="Verdana"/>
        </w:rPr>
        <w:br/>
        <w:t xml:space="preserve"> 4.5 Your Top Counterparties</w:t>
      </w:r>
      <w:r>
        <w:rPr>
          <w:rFonts w:ascii="Verdana" w:eastAsia="Verdana" w:hAnsi="Verdana" w:cs="Verdana"/>
        </w:rPr>
        <w:br/>
      </w:r>
    </w:p>
    <w:p w14:paraId="77AB2DDD"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Recommendations for WiDa</w:t>
      </w:r>
      <w:r>
        <w:rPr>
          <w:rFonts w:ascii="Verdana" w:eastAsia="Verdana" w:hAnsi="Verdana" w:cs="Verdana"/>
        </w:rPr>
        <w:br/>
      </w:r>
    </w:p>
    <w:p w14:paraId="7D0B7D67"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Conclusion</w:t>
      </w:r>
      <w:r>
        <w:rPr>
          <w:rFonts w:ascii="Verdana" w:eastAsia="Verdana" w:hAnsi="Verdana" w:cs="Verdana"/>
        </w:rPr>
        <w:br/>
      </w:r>
    </w:p>
    <w:p w14:paraId="3CD6DE04" w14:textId="77777777" w:rsidR="001A5FCD" w:rsidRDefault="00000000" w:rsidP="00F90BAE">
      <w:pPr>
        <w:numPr>
          <w:ilvl w:val="0"/>
          <w:numId w:val="4"/>
        </w:numPr>
        <w:spacing w:after="240" w:line="360" w:lineRule="auto"/>
        <w:rPr>
          <w:rFonts w:ascii="Verdana" w:eastAsia="Verdana" w:hAnsi="Verdana" w:cs="Verdana"/>
        </w:rPr>
      </w:pPr>
      <w:r>
        <w:rPr>
          <w:rFonts w:ascii="Verdana" w:eastAsia="Verdana" w:hAnsi="Verdana" w:cs="Verdana"/>
        </w:rPr>
        <w:t>Appendices</w:t>
      </w:r>
      <w:r>
        <w:rPr>
          <w:rFonts w:ascii="Verdana" w:eastAsia="Verdana" w:hAnsi="Verdana" w:cs="Verdana"/>
        </w:rPr>
        <w:br/>
      </w:r>
    </w:p>
    <w:p w14:paraId="1A101433" w14:textId="77777777" w:rsidR="001A5FCD" w:rsidRDefault="001A5FCD">
      <w:pPr>
        <w:spacing w:line="360" w:lineRule="auto"/>
        <w:jc w:val="both"/>
        <w:rPr>
          <w:rFonts w:ascii="Verdana" w:eastAsia="Verdana" w:hAnsi="Verdana" w:cs="Verdana"/>
        </w:rPr>
      </w:pPr>
    </w:p>
    <w:p w14:paraId="75E3ACB6"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0" w:name="_gy6bkf1nsvj7" w:colFirst="0" w:colLast="0"/>
      <w:bookmarkEnd w:id="0"/>
      <w:r>
        <w:rPr>
          <w:rFonts w:ascii="Verdana" w:eastAsia="Verdana" w:hAnsi="Verdana" w:cs="Verdana"/>
          <w:sz w:val="34"/>
          <w:szCs w:val="34"/>
        </w:rPr>
        <w:t>1. Executive Summary</w:t>
      </w:r>
    </w:p>
    <w:p w14:paraId="3A65A732"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 xml:space="preserve">WiDa, over the past year your </w:t>
      </w:r>
      <w:proofErr w:type="spellStart"/>
      <w:r>
        <w:rPr>
          <w:rFonts w:ascii="Verdana" w:eastAsia="Verdana" w:hAnsi="Verdana" w:cs="Verdana"/>
        </w:rPr>
        <w:t>Moniepoint</w:t>
      </w:r>
      <w:proofErr w:type="spellEnd"/>
      <w:r>
        <w:rPr>
          <w:rFonts w:ascii="Verdana" w:eastAsia="Verdana" w:hAnsi="Verdana" w:cs="Verdana"/>
        </w:rPr>
        <w:t xml:space="preserve"> account saw nearly equal money in and out—₦1,752,695 credited vs. ₦1,751,067 debited—leaving you with a small net gain of ₦1,628. You moved the most money in August to September 2024, and you transact heavily in evening hours (especially around 3–6 pm). Transfers are your primary activity and the sole source of fee revenue. A handful of beneficiaries receive </w:t>
      </w:r>
      <w:r>
        <w:rPr>
          <w:rFonts w:ascii="Verdana" w:eastAsia="Verdana" w:hAnsi="Verdana" w:cs="Verdana"/>
        </w:rPr>
        <w:lastRenderedPageBreak/>
        <w:t>most of your payments, and your platform reliability is perfect (100 % completion). This report breaks down these patterns so you can sharpen liquidity planning, diversify fees, and optimize your high-value relationships.</w:t>
      </w:r>
    </w:p>
    <w:p w14:paraId="68CC045A" w14:textId="77777777" w:rsidR="001A5FCD" w:rsidRDefault="001A5FCD">
      <w:pPr>
        <w:spacing w:line="360" w:lineRule="auto"/>
        <w:jc w:val="both"/>
        <w:rPr>
          <w:rFonts w:ascii="Verdana" w:eastAsia="Verdana" w:hAnsi="Verdana" w:cs="Verdana"/>
        </w:rPr>
      </w:pPr>
    </w:p>
    <w:p w14:paraId="75CFCCB4"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1" w:name="_5d7icxdhvl16" w:colFirst="0" w:colLast="0"/>
      <w:bookmarkEnd w:id="1"/>
      <w:r>
        <w:rPr>
          <w:rFonts w:ascii="Verdana" w:eastAsia="Verdana" w:hAnsi="Verdana" w:cs="Verdana"/>
          <w:sz w:val="34"/>
          <w:szCs w:val="34"/>
        </w:rPr>
        <w:t>2. Introduction</w:t>
      </w:r>
    </w:p>
    <w:p w14:paraId="3FED17B1"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 xml:space="preserve">As the owner of WiDa’s </w:t>
      </w:r>
      <w:proofErr w:type="spellStart"/>
      <w:r>
        <w:rPr>
          <w:rFonts w:ascii="Verdana" w:eastAsia="Verdana" w:hAnsi="Verdana" w:cs="Verdana"/>
        </w:rPr>
        <w:t>Moniepoint</w:t>
      </w:r>
      <w:proofErr w:type="spellEnd"/>
      <w:r>
        <w:rPr>
          <w:rFonts w:ascii="Verdana" w:eastAsia="Verdana" w:hAnsi="Verdana" w:cs="Verdana"/>
        </w:rPr>
        <w:t xml:space="preserve"> account, you need clear visibility into when and how funds flow through your business. This analysis translates raw transaction data (Nov 2023–Nov 2024) into actionable insights on cash-flow timing, fee generation, and key payees—so you can make informed decisions about cash management, pricing, and customer engagement.</w:t>
      </w:r>
    </w:p>
    <w:p w14:paraId="05B2B659" w14:textId="77777777" w:rsidR="001A5FCD" w:rsidRDefault="001A5FCD">
      <w:pPr>
        <w:spacing w:line="360" w:lineRule="auto"/>
        <w:jc w:val="both"/>
        <w:rPr>
          <w:rFonts w:ascii="Verdana" w:eastAsia="Verdana" w:hAnsi="Verdana" w:cs="Verdana"/>
        </w:rPr>
      </w:pPr>
    </w:p>
    <w:p w14:paraId="340A2E07"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2" w:name="_ux7af34e2g9j" w:colFirst="0" w:colLast="0"/>
      <w:bookmarkEnd w:id="2"/>
      <w:r>
        <w:rPr>
          <w:rFonts w:ascii="Verdana" w:eastAsia="Verdana" w:hAnsi="Verdana" w:cs="Verdana"/>
          <w:sz w:val="34"/>
          <w:szCs w:val="34"/>
        </w:rPr>
        <w:t>3. Methodology</w:t>
      </w:r>
    </w:p>
    <w:p w14:paraId="05949724" w14:textId="77777777" w:rsidR="001A5FCD" w:rsidRDefault="00000000">
      <w:pPr>
        <w:numPr>
          <w:ilvl w:val="0"/>
          <w:numId w:val="5"/>
        </w:numPr>
        <w:spacing w:before="240" w:line="360" w:lineRule="auto"/>
        <w:jc w:val="both"/>
        <w:rPr>
          <w:rFonts w:ascii="Verdana" w:eastAsia="Verdana" w:hAnsi="Verdana" w:cs="Verdana"/>
        </w:rPr>
      </w:pPr>
      <w:r>
        <w:rPr>
          <w:rFonts w:ascii="Verdana" w:eastAsia="Verdana" w:hAnsi="Verdana" w:cs="Verdana"/>
        </w:rPr>
        <w:t xml:space="preserve">Data Source: Your </w:t>
      </w:r>
      <w:proofErr w:type="spellStart"/>
      <w:r>
        <w:rPr>
          <w:rFonts w:ascii="Verdana" w:eastAsia="Verdana" w:hAnsi="Verdana" w:cs="Verdana"/>
        </w:rPr>
        <w:t>Moniepoint</w:t>
      </w:r>
      <w:proofErr w:type="spellEnd"/>
      <w:r>
        <w:rPr>
          <w:rFonts w:ascii="Verdana" w:eastAsia="Verdana" w:hAnsi="Verdana" w:cs="Verdana"/>
        </w:rPr>
        <w:t xml:space="preserve"> “</w:t>
      </w:r>
      <w:proofErr w:type="spellStart"/>
      <w:r>
        <w:rPr>
          <w:rFonts w:ascii="Verdana" w:eastAsia="Verdana" w:hAnsi="Verdana" w:cs="Verdana"/>
        </w:rPr>
        <w:t>bank_transactions</w:t>
      </w:r>
      <w:proofErr w:type="spellEnd"/>
      <w:r>
        <w:rPr>
          <w:rFonts w:ascii="Verdana" w:eastAsia="Verdana" w:hAnsi="Verdana" w:cs="Verdana"/>
        </w:rPr>
        <w:t>” export with dates, amounts (debit/credit), transaction types, fees, beneficiaries, and running balances ​.</w:t>
      </w:r>
      <w:r>
        <w:rPr>
          <w:rFonts w:ascii="Verdana" w:eastAsia="Verdana" w:hAnsi="Verdana" w:cs="Verdana"/>
        </w:rPr>
        <w:br/>
      </w:r>
    </w:p>
    <w:p w14:paraId="3076F654" w14:textId="77777777" w:rsidR="001A5FCD" w:rsidRDefault="00000000">
      <w:pPr>
        <w:numPr>
          <w:ilvl w:val="0"/>
          <w:numId w:val="5"/>
        </w:numPr>
        <w:spacing w:line="360" w:lineRule="auto"/>
        <w:jc w:val="both"/>
        <w:rPr>
          <w:rFonts w:ascii="Verdana" w:eastAsia="Verdana" w:hAnsi="Verdana" w:cs="Verdana"/>
        </w:rPr>
      </w:pPr>
      <w:r>
        <w:rPr>
          <w:rFonts w:ascii="Verdana" w:eastAsia="Verdana" w:hAnsi="Verdana" w:cs="Verdana"/>
        </w:rPr>
        <w:t>Approach: We aggregated by month, type, weekday, and hour; computed ratios; ranked top payees; and tracked balance trends.</w:t>
      </w:r>
      <w:r>
        <w:rPr>
          <w:rFonts w:ascii="Verdana" w:eastAsia="Verdana" w:hAnsi="Verdana" w:cs="Verdana"/>
        </w:rPr>
        <w:br/>
      </w:r>
    </w:p>
    <w:p w14:paraId="5ED4BB79" w14:textId="77777777" w:rsidR="001A5FCD" w:rsidRDefault="00000000">
      <w:pPr>
        <w:numPr>
          <w:ilvl w:val="0"/>
          <w:numId w:val="5"/>
        </w:numPr>
        <w:spacing w:after="240" w:line="360" w:lineRule="auto"/>
        <w:jc w:val="both"/>
        <w:rPr>
          <w:rFonts w:ascii="Verdana" w:eastAsia="Verdana" w:hAnsi="Verdana" w:cs="Verdana"/>
        </w:rPr>
      </w:pPr>
      <w:r>
        <w:rPr>
          <w:rFonts w:ascii="Verdana" w:eastAsia="Verdana" w:hAnsi="Verdana" w:cs="Verdana"/>
        </w:rPr>
        <w:t>Key Metrics: Total/average transaction amounts, settlement debits vs. credits, fee revenue, transaction counts, and high-value outflows.</w:t>
      </w:r>
      <w:r>
        <w:rPr>
          <w:rFonts w:ascii="Verdana" w:eastAsia="Verdana" w:hAnsi="Verdana" w:cs="Verdana"/>
        </w:rPr>
        <w:br/>
      </w:r>
    </w:p>
    <w:p w14:paraId="2228EB53" w14:textId="77777777" w:rsidR="001A5FCD" w:rsidRDefault="001A5FCD">
      <w:pPr>
        <w:spacing w:line="360" w:lineRule="auto"/>
        <w:jc w:val="both"/>
        <w:rPr>
          <w:rFonts w:ascii="Verdana" w:eastAsia="Verdana" w:hAnsi="Verdana" w:cs="Verdana"/>
        </w:rPr>
      </w:pPr>
    </w:p>
    <w:p w14:paraId="16D884E1"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3" w:name="_ln03zdlz7e37" w:colFirst="0" w:colLast="0"/>
      <w:bookmarkEnd w:id="3"/>
      <w:r>
        <w:rPr>
          <w:rFonts w:ascii="Verdana" w:eastAsia="Verdana" w:hAnsi="Verdana" w:cs="Verdana"/>
          <w:sz w:val="34"/>
          <w:szCs w:val="34"/>
        </w:rPr>
        <w:t>4. Detailed Findings</w:t>
      </w:r>
    </w:p>
    <w:p w14:paraId="0B6E6849"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4" w:name="_r1dwddyqe4f2" w:colFirst="0" w:colLast="0"/>
      <w:bookmarkEnd w:id="4"/>
      <w:r>
        <w:rPr>
          <w:rFonts w:ascii="Verdana" w:eastAsia="Verdana" w:hAnsi="Verdana" w:cs="Verdana"/>
          <w:color w:val="000000"/>
          <w:sz w:val="26"/>
          <w:szCs w:val="26"/>
        </w:rPr>
        <w:t>4.1 Your Cash-Flow Dynamics</w:t>
      </w:r>
    </w:p>
    <w:p w14:paraId="25A36301" w14:textId="77777777" w:rsidR="001A5FCD" w:rsidRDefault="00000000">
      <w:pPr>
        <w:numPr>
          <w:ilvl w:val="0"/>
          <w:numId w:val="3"/>
        </w:numPr>
        <w:spacing w:before="240" w:line="360" w:lineRule="auto"/>
        <w:jc w:val="both"/>
        <w:rPr>
          <w:rFonts w:ascii="Verdana" w:eastAsia="Verdana" w:hAnsi="Verdana" w:cs="Verdana"/>
        </w:rPr>
      </w:pPr>
      <w:r>
        <w:rPr>
          <w:rFonts w:ascii="Verdana" w:eastAsia="Verdana" w:hAnsi="Verdana" w:cs="Verdana"/>
        </w:rPr>
        <w:lastRenderedPageBreak/>
        <w:t>Total Credits: ₦1,752,695</w:t>
      </w:r>
      <w:r>
        <w:rPr>
          <w:rFonts w:ascii="Verdana" w:eastAsia="Verdana" w:hAnsi="Verdana" w:cs="Verdana"/>
        </w:rPr>
        <w:br/>
      </w:r>
    </w:p>
    <w:p w14:paraId="0819F6D5" w14:textId="77777777" w:rsidR="001A5FCD" w:rsidRDefault="00000000">
      <w:pPr>
        <w:numPr>
          <w:ilvl w:val="0"/>
          <w:numId w:val="3"/>
        </w:numPr>
        <w:spacing w:line="360" w:lineRule="auto"/>
        <w:jc w:val="both"/>
        <w:rPr>
          <w:rFonts w:ascii="Verdana" w:eastAsia="Verdana" w:hAnsi="Verdana" w:cs="Verdana"/>
        </w:rPr>
      </w:pPr>
      <w:r>
        <w:rPr>
          <w:rFonts w:ascii="Verdana" w:eastAsia="Verdana" w:hAnsi="Verdana" w:cs="Verdana"/>
        </w:rPr>
        <w:t>Total Debits: ₦1,751,067</w:t>
      </w:r>
      <w:r>
        <w:rPr>
          <w:rFonts w:ascii="Verdana" w:eastAsia="Verdana" w:hAnsi="Verdana" w:cs="Verdana"/>
        </w:rPr>
        <w:br/>
      </w:r>
    </w:p>
    <w:p w14:paraId="671EF835" w14:textId="77777777" w:rsidR="001A5FCD" w:rsidRDefault="00000000">
      <w:pPr>
        <w:numPr>
          <w:ilvl w:val="0"/>
          <w:numId w:val="3"/>
        </w:numPr>
        <w:spacing w:line="360" w:lineRule="auto"/>
        <w:jc w:val="both"/>
        <w:rPr>
          <w:rFonts w:ascii="Verdana" w:eastAsia="Verdana" w:hAnsi="Verdana" w:cs="Verdana"/>
        </w:rPr>
      </w:pPr>
      <w:r>
        <w:rPr>
          <w:rFonts w:ascii="Verdana" w:eastAsia="Verdana" w:hAnsi="Verdana" w:cs="Verdana"/>
        </w:rPr>
        <w:t>Net Gain: ₦1,628</w:t>
      </w:r>
      <w:r>
        <w:rPr>
          <w:rFonts w:ascii="Verdana" w:eastAsia="Verdana" w:hAnsi="Verdana" w:cs="Verdana"/>
        </w:rPr>
        <w:br/>
      </w:r>
    </w:p>
    <w:p w14:paraId="2A24F740" w14:textId="77777777" w:rsidR="001A5FCD" w:rsidRDefault="00000000">
      <w:pPr>
        <w:numPr>
          <w:ilvl w:val="0"/>
          <w:numId w:val="3"/>
        </w:numPr>
        <w:spacing w:line="360" w:lineRule="auto"/>
        <w:jc w:val="both"/>
        <w:rPr>
          <w:rFonts w:ascii="Verdana" w:eastAsia="Verdana" w:hAnsi="Verdana" w:cs="Verdana"/>
        </w:rPr>
      </w:pPr>
      <w:r>
        <w:rPr>
          <w:rFonts w:ascii="Verdana" w:eastAsia="Verdana" w:hAnsi="Verdana" w:cs="Verdana"/>
        </w:rPr>
        <w:t>Monthly Peaks:</w:t>
      </w:r>
      <w:r>
        <w:rPr>
          <w:rFonts w:ascii="Verdana" w:eastAsia="Verdana" w:hAnsi="Verdana" w:cs="Verdana"/>
        </w:rPr>
        <w:br/>
      </w:r>
    </w:p>
    <w:p w14:paraId="672E1E9A" w14:textId="77777777" w:rsidR="001A5FCD" w:rsidRDefault="00000000">
      <w:pPr>
        <w:numPr>
          <w:ilvl w:val="1"/>
          <w:numId w:val="3"/>
        </w:numPr>
        <w:spacing w:line="360" w:lineRule="auto"/>
        <w:jc w:val="both"/>
        <w:rPr>
          <w:rFonts w:ascii="Verdana" w:eastAsia="Verdana" w:hAnsi="Verdana" w:cs="Verdana"/>
        </w:rPr>
      </w:pPr>
      <w:r>
        <w:rPr>
          <w:rFonts w:ascii="Verdana" w:eastAsia="Verdana" w:hAnsi="Verdana" w:cs="Verdana"/>
        </w:rPr>
        <w:t>Sep ’24: ₦254,030 credits vs. ₦259,110 debits</w:t>
      </w:r>
      <w:r>
        <w:rPr>
          <w:rFonts w:ascii="Verdana" w:eastAsia="Verdana" w:hAnsi="Verdana" w:cs="Verdana"/>
        </w:rPr>
        <w:br/>
      </w:r>
    </w:p>
    <w:p w14:paraId="6F58D74E" w14:textId="77777777" w:rsidR="001A5FCD" w:rsidRDefault="00000000">
      <w:pPr>
        <w:numPr>
          <w:ilvl w:val="1"/>
          <w:numId w:val="3"/>
        </w:numPr>
        <w:spacing w:after="240" w:line="360" w:lineRule="auto"/>
        <w:jc w:val="both"/>
        <w:rPr>
          <w:rFonts w:ascii="Verdana" w:eastAsia="Verdana" w:hAnsi="Verdana" w:cs="Verdana"/>
        </w:rPr>
      </w:pPr>
      <w:r>
        <w:rPr>
          <w:rFonts w:ascii="Verdana" w:eastAsia="Verdana" w:hAnsi="Verdana" w:cs="Verdana"/>
        </w:rPr>
        <w:t>Oct ’24: ₦229,943 credits vs. ₦226,860 debits ​</w:t>
      </w:r>
      <w:r>
        <w:rPr>
          <w:rFonts w:ascii="Verdana" w:eastAsia="Verdana" w:hAnsi="Verdana" w:cs="Verdana"/>
        </w:rPr>
        <w:br/>
      </w:r>
    </w:p>
    <w:p w14:paraId="3E48B19D"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5" w:name="_jtadcummk3x0" w:colFirst="0" w:colLast="0"/>
      <w:bookmarkEnd w:id="5"/>
      <w:r>
        <w:rPr>
          <w:rFonts w:ascii="Verdana" w:eastAsia="Verdana" w:hAnsi="Verdana" w:cs="Verdana"/>
          <w:color w:val="000000"/>
          <w:sz w:val="26"/>
          <w:szCs w:val="26"/>
        </w:rPr>
        <w:t>4.2 Transaction Profiles</w:t>
      </w:r>
    </w:p>
    <w:tbl>
      <w:tblPr>
        <w:tblStyle w:val="a"/>
        <w:tblW w:w="9480" w:type="dxa"/>
        <w:tblBorders>
          <w:top w:val="nil"/>
          <w:left w:val="nil"/>
          <w:bottom w:val="nil"/>
          <w:right w:val="nil"/>
          <w:insideH w:val="nil"/>
          <w:insideV w:val="nil"/>
        </w:tblBorders>
        <w:tblLayout w:type="fixed"/>
        <w:tblLook w:val="0600" w:firstRow="0" w:lastRow="0" w:firstColumn="0" w:lastColumn="0" w:noHBand="1" w:noVBand="1"/>
      </w:tblPr>
      <w:tblGrid>
        <w:gridCol w:w="2370"/>
        <w:gridCol w:w="2370"/>
        <w:gridCol w:w="2370"/>
        <w:gridCol w:w="2370"/>
      </w:tblGrid>
      <w:tr w:rsidR="001A5FCD" w14:paraId="0A730561"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2ABA1" w14:textId="77777777" w:rsidR="001A5FCD" w:rsidRDefault="00000000">
            <w:pPr>
              <w:spacing w:line="360" w:lineRule="auto"/>
              <w:jc w:val="both"/>
              <w:rPr>
                <w:rFonts w:ascii="Verdana" w:eastAsia="Verdana" w:hAnsi="Verdana" w:cs="Verdana"/>
              </w:rPr>
            </w:pPr>
            <w:r>
              <w:rPr>
                <w:rFonts w:ascii="Verdana" w:eastAsia="Verdana" w:hAnsi="Verdana" w:cs="Verdana"/>
              </w:rPr>
              <w:t>Type</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0EFFEC" w14:textId="77777777" w:rsidR="001A5FCD" w:rsidRDefault="00000000">
            <w:pPr>
              <w:spacing w:line="360" w:lineRule="auto"/>
              <w:jc w:val="both"/>
              <w:rPr>
                <w:rFonts w:ascii="Verdana" w:eastAsia="Verdana" w:hAnsi="Verdana" w:cs="Verdana"/>
              </w:rPr>
            </w:pPr>
            <w:r>
              <w:rPr>
                <w:rFonts w:ascii="Verdana" w:eastAsia="Verdana" w:hAnsi="Verdana" w:cs="Verdana"/>
              </w:rPr>
              <w:t>Total (₦)</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7D0908" w14:textId="77777777" w:rsidR="001A5FCD" w:rsidRDefault="00000000">
            <w:pPr>
              <w:spacing w:line="360" w:lineRule="auto"/>
              <w:jc w:val="both"/>
              <w:rPr>
                <w:rFonts w:ascii="Verdana" w:eastAsia="Verdana" w:hAnsi="Verdana" w:cs="Verdana"/>
              </w:rPr>
            </w:pPr>
            <w:r>
              <w:rPr>
                <w:rFonts w:ascii="Verdana" w:eastAsia="Verdana" w:hAnsi="Verdana" w:cs="Verdana"/>
              </w:rPr>
              <w:t>Avg (₦)</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D03AF7" w14:textId="77777777" w:rsidR="001A5FCD" w:rsidRDefault="00000000">
            <w:pPr>
              <w:spacing w:line="360" w:lineRule="auto"/>
              <w:jc w:val="both"/>
              <w:rPr>
                <w:rFonts w:ascii="Verdana" w:eastAsia="Verdana" w:hAnsi="Verdana" w:cs="Verdana"/>
              </w:rPr>
            </w:pPr>
            <w:r>
              <w:rPr>
                <w:rFonts w:ascii="Verdana" w:eastAsia="Verdana" w:hAnsi="Verdana" w:cs="Verdana"/>
              </w:rPr>
              <w:t>Count</w:t>
            </w:r>
          </w:p>
        </w:tc>
      </w:tr>
      <w:tr w:rsidR="001A5FCD" w14:paraId="0EFB8777"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20039" w14:textId="77777777" w:rsidR="001A5FCD" w:rsidRDefault="00000000">
            <w:pPr>
              <w:spacing w:line="360" w:lineRule="auto"/>
              <w:jc w:val="both"/>
              <w:rPr>
                <w:rFonts w:ascii="Verdana" w:eastAsia="Verdana" w:hAnsi="Verdana" w:cs="Verdana"/>
              </w:rPr>
            </w:pPr>
            <w:r>
              <w:rPr>
                <w:rFonts w:ascii="Verdana" w:eastAsia="Verdana" w:hAnsi="Verdana" w:cs="Verdana"/>
              </w:rPr>
              <w:t>TRANSFER</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EF8E6E" w14:textId="77777777" w:rsidR="001A5FCD" w:rsidRDefault="00000000">
            <w:pPr>
              <w:spacing w:line="360" w:lineRule="auto"/>
              <w:jc w:val="both"/>
              <w:rPr>
                <w:rFonts w:ascii="Verdana" w:eastAsia="Verdana" w:hAnsi="Verdana" w:cs="Verdana"/>
              </w:rPr>
            </w:pPr>
            <w:r>
              <w:rPr>
                <w:rFonts w:ascii="Verdana" w:eastAsia="Verdana" w:hAnsi="Verdana" w:cs="Verdana"/>
              </w:rPr>
              <w:t>1,621,092</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37F863" w14:textId="77777777" w:rsidR="001A5FCD" w:rsidRDefault="00000000">
            <w:pPr>
              <w:spacing w:line="360" w:lineRule="auto"/>
              <w:jc w:val="both"/>
              <w:rPr>
                <w:rFonts w:ascii="Verdana" w:eastAsia="Verdana" w:hAnsi="Verdana" w:cs="Verdana"/>
              </w:rPr>
            </w:pPr>
            <w:r>
              <w:rPr>
                <w:rFonts w:ascii="Verdana" w:eastAsia="Verdana" w:hAnsi="Verdana" w:cs="Verdana"/>
              </w:rPr>
              <w:t>2,884.51</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0D36B" w14:textId="77777777" w:rsidR="001A5FCD" w:rsidRDefault="00000000">
            <w:pPr>
              <w:spacing w:line="360" w:lineRule="auto"/>
              <w:jc w:val="both"/>
              <w:rPr>
                <w:rFonts w:ascii="Verdana" w:eastAsia="Verdana" w:hAnsi="Verdana" w:cs="Verdana"/>
              </w:rPr>
            </w:pPr>
            <w:r>
              <w:rPr>
                <w:rFonts w:ascii="Verdana" w:eastAsia="Verdana" w:hAnsi="Verdana" w:cs="Verdana"/>
              </w:rPr>
              <w:t>562</w:t>
            </w:r>
          </w:p>
        </w:tc>
      </w:tr>
      <w:tr w:rsidR="001A5FCD" w14:paraId="4914434E"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88A0AB" w14:textId="77777777" w:rsidR="001A5FCD" w:rsidRDefault="00000000">
            <w:pPr>
              <w:spacing w:line="360" w:lineRule="auto"/>
              <w:jc w:val="both"/>
              <w:rPr>
                <w:rFonts w:ascii="Verdana" w:eastAsia="Verdana" w:hAnsi="Verdana" w:cs="Verdana"/>
              </w:rPr>
            </w:pPr>
            <w:r>
              <w:rPr>
                <w:rFonts w:ascii="Verdana" w:eastAsia="Verdana" w:hAnsi="Verdana" w:cs="Verdana"/>
              </w:rPr>
              <w:t>Unknown</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88A20E" w14:textId="77777777" w:rsidR="001A5FCD" w:rsidRDefault="00000000">
            <w:pPr>
              <w:spacing w:line="360" w:lineRule="auto"/>
              <w:jc w:val="both"/>
              <w:rPr>
                <w:rFonts w:ascii="Verdana" w:eastAsia="Verdana" w:hAnsi="Verdana" w:cs="Verdana"/>
              </w:rPr>
            </w:pPr>
            <w:r>
              <w:rPr>
                <w:rFonts w:ascii="Verdana" w:eastAsia="Verdana" w:hAnsi="Verdana" w:cs="Verdana"/>
              </w:rPr>
              <w:t>73,340</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BDB612" w14:textId="77777777" w:rsidR="001A5FCD" w:rsidRDefault="00000000">
            <w:pPr>
              <w:spacing w:line="360" w:lineRule="auto"/>
              <w:jc w:val="both"/>
              <w:rPr>
                <w:rFonts w:ascii="Verdana" w:eastAsia="Verdana" w:hAnsi="Verdana" w:cs="Verdana"/>
              </w:rPr>
            </w:pPr>
            <w:r>
              <w:rPr>
                <w:rFonts w:ascii="Verdana" w:eastAsia="Verdana" w:hAnsi="Verdana" w:cs="Verdana"/>
              </w:rPr>
              <w:t>96.75</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FEB936" w14:textId="77777777" w:rsidR="001A5FCD" w:rsidRDefault="00000000">
            <w:pPr>
              <w:spacing w:line="360" w:lineRule="auto"/>
              <w:jc w:val="both"/>
              <w:rPr>
                <w:rFonts w:ascii="Verdana" w:eastAsia="Verdana" w:hAnsi="Verdana" w:cs="Verdana"/>
              </w:rPr>
            </w:pPr>
            <w:r>
              <w:rPr>
                <w:rFonts w:ascii="Verdana" w:eastAsia="Verdana" w:hAnsi="Verdana" w:cs="Verdana"/>
              </w:rPr>
              <w:t>758</w:t>
            </w:r>
          </w:p>
        </w:tc>
      </w:tr>
      <w:tr w:rsidR="001A5FCD" w14:paraId="0B921A4E"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66D663" w14:textId="77777777" w:rsidR="001A5FCD" w:rsidRDefault="00000000">
            <w:pPr>
              <w:spacing w:line="360" w:lineRule="auto"/>
              <w:jc w:val="both"/>
              <w:rPr>
                <w:rFonts w:ascii="Verdana" w:eastAsia="Verdana" w:hAnsi="Verdana" w:cs="Verdana"/>
              </w:rPr>
            </w:pPr>
            <w:r>
              <w:rPr>
                <w:rFonts w:ascii="Verdana" w:eastAsia="Verdana" w:hAnsi="Verdana" w:cs="Verdana"/>
              </w:rPr>
              <w:t>AIRTIME</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3B5FA4" w14:textId="77777777" w:rsidR="001A5FCD" w:rsidRDefault="00000000">
            <w:pPr>
              <w:spacing w:line="360" w:lineRule="auto"/>
              <w:jc w:val="both"/>
              <w:rPr>
                <w:rFonts w:ascii="Verdana" w:eastAsia="Verdana" w:hAnsi="Verdana" w:cs="Verdana"/>
              </w:rPr>
            </w:pPr>
            <w:r>
              <w:rPr>
                <w:rFonts w:ascii="Verdana" w:eastAsia="Verdana" w:hAnsi="Verdana" w:cs="Verdana"/>
              </w:rPr>
              <w:t>48,580</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D101F4" w14:textId="77777777" w:rsidR="001A5FCD" w:rsidRDefault="00000000">
            <w:pPr>
              <w:spacing w:line="360" w:lineRule="auto"/>
              <w:jc w:val="both"/>
              <w:rPr>
                <w:rFonts w:ascii="Verdana" w:eastAsia="Verdana" w:hAnsi="Verdana" w:cs="Verdana"/>
              </w:rPr>
            </w:pPr>
            <w:r>
              <w:rPr>
                <w:rFonts w:ascii="Verdana" w:eastAsia="Verdana" w:hAnsi="Verdana" w:cs="Verdana"/>
              </w:rPr>
              <w:t>214.96</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44AC47" w14:textId="77777777" w:rsidR="001A5FCD" w:rsidRDefault="00000000">
            <w:pPr>
              <w:spacing w:line="360" w:lineRule="auto"/>
              <w:jc w:val="both"/>
              <w:rPr>
                <w:rFonts w:ascii="Verdana" w:eastAsia="Verdana" w:hAnsi="Verdana" w:cs="Verdana"/>
              </w:rPr>
            </w:pPr>
            <w:r>
              <w:rPr>
                <w:rFonts w:ascii="Verdana" w:eastAsia="Verdana" w:hAnsi="Verdana" w:cs="Verdana"/>
              </w:rPr>
              <w:t>226</w:t>
            </w:r>
          </w:p>
        </w:tc>
      </w:tr>
      <w:tr w:rsidR="001A5FCD" w14:paraId="515F6514"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07D522" w14:textId="77777777" w:rsidR="001A5FCD" w:rsidRDefault="00000000">
            <w:pPr>
              <w:spacing w:line="360" w:lineRule="auto"/>
              <w:jc w:val="both"/>
              <w:rPr>
                <w:rFonts w:ascii="Verdana" w:eastAsia="Verdana" w:hAnsi="Verdana" w:cs="Verdana"/>
              </w:rPr>
            </w:pPr>
            <w:r>
              <w:rPr>
                <w:rFonts w:ascii="Verdana" w:eastAsia="Verdana" w:hAnsi="Verdana" w:cs="Verdana"/>
              </w:rPr>
              <w:t>DATA_PURCHASE</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887F65" w14:textId="77777777" w:rsidR="001A5FCD" w:rsidRDefault="00000000">
            <w:pPr>
              <w:spacing w:line="360" w:lineRule="auto"/>
              <w:jc w:val="both"/>
              <w:rPr>
                <w:rFonts w:ascii="Verdana" w:eastAsia="Verdana" w:hAnsi="Verdana" w:cs="Verdana"/>
              </w:rPr>
            </w:pPr>
            <w:r>
              <w:rPr>
                <w:rFonts w:ascii="Verdana" w:eastAsia="Verdana" w:hAnsi="Verdana" w:cs="Verdana"/>
              </w:rPr>
              <w:t>26,100</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C4440" w14:textId="77777777" w:rsidR="001A5FCD" w:rsidRDefault="00000000">
            <w:pPr>
              <w:spacing w:line="360" w:lineRule="auto"/>
              <w:jc w:val="both"/>
              <w:rPr>
                <w:rFonts w:ascii="Verdana" w:eastAsia="Verdana" w:hAnsi="Verdana" w:cs="Verdana"/>
              </w:rPr>
            </w:pPr>
            <w:r>
              <w:rPr>
                <w:rFonts w:ascii="Verdana" w:eastAsia="Verdana" w:hAnsi="Verdana" w:cs="Verdana"/>
              </w:rPr>
              <w:t>966.67</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22F6B5" w14:textId="77777777" w:rsidR="001A5FCD" w:rsidRDefault="00000000">
            <w:pPr>
              <w:spacing w:line="360" w:lineRule="auto"/>
              <w:jc w:val="both"/>
              <w:rPr>
                <w:rFonts w:ascii="Verdana" w:eastAsia="Verdana" w:hAnsi="Verdana" w:cs="Verdana"/>
              </w:rPr>
            </w:pPr>
            <w:r>
              <w:rPr>
                <w:rFonts w:ascii="Verdana" w:eastAsia="Verdana" w:hAnsi="Verdana" w:cs="Verdana"/>
              </w:rPr>
              <w:t>27</w:t>
            </w:r>
          </w:p>
        </w:tc>
      </w:tr>
    </w:tbl>
    <w:p w14:paraId="53B59C9C"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Transfers dominate your volume and revenue; “Unknown” transactions merit reclassification.</w:t>
      </w:r>
    </w:p>
    <w:p w14:paraId="7945FF89"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6" w:name="_7k0d19xn9kv4" w:colFirst="0" w:colLast="0"/>
      <w:bookmarkEnd w:id="6"/>
      <w:r>
        <w:rPr>
          <w:rFonts w:ascii="Verdana" w:eastAsia="Verdana" w:hAnsi="Verdana" w:cs="Verdana"/>
          <w:color w:val="000000"/>
          <w:sz w:val="26"/>
          <w:szCs w:val="26"/>
        </w:rPr>
        <w:t>4.3 When You’re Most Active</w:t>
      </w:r>
    </w:p>
    <w:p w14:paraId="0D691612" w14:textId="77777777" w:rsidR="001A5FCD" w:rsidRDefault="00000000">
      <w:pPr>
        <w:numPr>
          <w:ilvl w:val="0"/>
          <w:numId w:val="2"/>
        </w:numPr>
        <w:spacing w:before="240" w:line="360" w:lineRule="auto"/>
        <w:jc w:val="both"/>
        <w:rPr>
          <w:rFonts w:ascii="Verdana" w:eastAsia="Verdana" w:hAnsi="Verdana" w:cs="Verdana"/>
        </w:rPr>
      </w:pPr>
      <w:r>
        <w:rPr>
          <w:rFonts w:ascii="Verdana" w:eastAsia="Verdana" w:hAnsi="Verdana" w:cs="Verdana"/>
        </w:rPr>
        <w:t xml:space="preserve">Busiest Days: Tuesday (263 </w:t>
      </w:r>
      <w:proofErr w:type="spellStart"/>
      <w:r>
        <w:rPr>
          <w:rFonts w:ascii="Verdana" w:eastAsia="Verdana" w:hAnsi="Verdana" w:cs="Verdana"/>
        </w:rPr>
        <w:t>txns</w:t>
      </w:r>
      <w:proofErr w:type="spellEnd"/>
      <w:r>
        <w:rPr>
          <w:rFonts w:ascii="Verdana" w:eastAsia="Verdana" w:hAnsi="Verdana" w:cs="Verdana"/>
        </w:rPr>
        <w:t>; ₦286K), Wednesday (257; ₦293K)</w:t>
      </w:r>
      <w:r>
        <w:rPr>
          <w:rFonts w:ascii="Verdana" w:eastAsia="Verdana" w:hAnsi="Verdana" w:cs="Verdana"/>
        </w:rPr>
        <w:br/>
      </w:r>
    </w:p>
    <w:p w14:paraId="13806837" w14:textId="77777777" w:rsidR="001A5FCD" w:rsidRDefault="00000000">
      <w:pPr>
        <w:numPr>
          <w:ilvl w:val="0"/>
          <w:numId w:val="2"/>
        </w:numPr>
        <w:spacing w:after="240" w:line="360" w:lineRule="auto"/>
        <w:jc w:val="both"/>
        <w:rPr>
          <w:rFonts w:ascii="Verdana" w:eastAsia="Verdana" w:hAnsi="Verdana" w:cs="Verdana"/>
        </w:rPr>
      </w:pPr>
      <w:r>
        <w:rPr>
          <w:rFonts w:ascii="Verdana" w:eastAsia="Verdana" w:hAnsi="Verdana" w:cs="Verdana"/>
        </w:rPr>
        <w:lastRenderedPageBreak/>
        <w:t xml:space="preserve">Peak Hour: 09:00–10:00 am (281 </w:t>
      </w:r>
      <w:proofErr w:type="spellStart"/>
      <w:r>
        <w:rPr>
          <w:rFonts w:ascii="Verdana" w:eastAsia="Verdana" w:hAnsi="Verdana" w:cs="Verdana"/>
        </w:rPr>
        <w:t>txns</w:t>
      </w:r>
      <w:proofErr w:type="spellEnd"/>
      <w:r>
        <w:rPr>
          <w:rFonts w:ascii="Verdana" w:eastAsia="Verdana" w:hAnsi="Verdana" w:cs="Verdana"/>
        </w:rPr>
        <w:t>; ₦334K) and 15:00–16:00 pm (255; ₦281K)</w:t>
      </w:r>
      <w:r>
        <w:rPr>
          <w:rFonts w:ascii="Verdana" w:eastAsia="Verdana" w:hAnsi="Verdana" w:cs="Verdana"/>
        </w:rPr>
        <w:br/>
      </w:r>
    </w:p>
    <w:p w14:paraId="402AB7E2"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Plan system updates outside these windows and target customer outreach around them. ​</w:t>
      </w:r>
    </w:p>
    <w:p w14:paraId="41DD31E4"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7" w:name="_qgyc7u76yb19" w:colFirst="0" w:colLast="0"/>
      <w:bookmarkEnd w:id="7"/>
      <w:r>
        <w:rPr>
          <w:rFonts w:ascii="Verdana" w:eastAsia="Verdana" w:hAnsi="Verdana" w:cs="Verdana"/>
          <w:color w:val="000000"/>
          <w:sz w:val="26"/>
          <w:szCs w:val="26"/>
        </w:rPr>
        <w:t>4.4 Your Fee Revenue Drivers</w:t>
      </w:r>
    </w:p>
    <w:tbl>
      <w:tblPr>
        <w:tblStyle w:val="a0"/>
        <w:tblW w:w="7290" w:type="dxa"/>
        <w:tblBorders>
          <w:top w:val="nil"/>
          <w:left w:val="nil"/>
          <w:bottom w:val="nil"/>
          <w:right w:val="nil"/>
          <w:insideH w:val="nil"/>
          <w:insideV w:val="nil"/>
        </w:tblBorders>
        <w:tblLayout w:type="fixed"/>
        <w:tblLook w:val="0600" w:firstRow="0" w:lastRow="0" w:firstColumn="0" w:lastColumn="0" w:noHBand="1" w:noVBand="1"/>
      </w:tblPr>
      <w:tblGrid>
        <w:gridCol w:w="3510"/>
        <w:gridCol w:w="1935"/>
        <w:gridCol w:w="1845"/>
      </w:tblGrid>
      <w:tr w:rsidR="001A5FCD" w14:paraId="773E1548" w14:textId="77777777">
        <w:trPr>
          <w:trHeight w:val="515"/>
        </w:trPr>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CFDB08" w14:textId="77777777" w:rsidR="001A5FCD" w:rsidRDefault="00000000">
            <w:pPr>
              <w:spacing w:line="360" w:lineRule="auto"/>
              <w:jc w:val="both"/>
              <w:rPr>
                <w:rFonts w:ascii="Verdana" w:eastAsia="Verdana" w:hAnsi="Verdana" w:cs="Verdana"/>
              </w:rPr>
            </w:pPr>
            <w:r>
              <w:rPr>
                <w:rFonts w:ascii="Verdana" w:eastAsia="Verdana" w:hAnsi="Verdana" w:cs="Verdana"/>
              </w:rPr>
              <w:t>Type</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2AEA1" w14:textId="77777777" w:rsidR="001A5FCD" w:rsidRDefault="00000000">
            <w:pPr>
              <w:spacing w:line="360" w:lineRule="auto"/>
              <w:jc w:val="both"/>
              <w:rPr>
                <w:rFonts w:ascii="Verdana" w:eastAsia="Verdana" w:hAnsi="Verdana" w:cs="Verdana"/>
              </w:rPr>
            </w:pPr>
            <w:r>
              <w:rPr>
                <w:rFonts w:ascii="Verdana" w:eastAsia="Verdana" w:hAnsi="Verdana" w:cs="Verdana"/>
              </w:rPr>
              <w:t>Avg Fee (₦)</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C21F79" w14:textId="77777777" w:rsidR="001A5FCD" w:rsidRDefault="00000000">
            <w:pPr>
              <w:spacing w:line="360" w:lineRule="auto"/>
              <w:jc w:val="both"/>
              <w:rPr>
                <w:rFonts w:ascii="Verdana" w:eastAsia="Verdana" w:hAnsi="Verdana" w:cs="Verdana"/>
              </w:rPr>
            </w:pPr>
            <w:r>
              <w:rPr>
                <w:rFonts w:ascii="Verdana" w:eastAsia="Verdana" w:hAnsi="Verdana" w:cs="Verdana"/>
              </w:rPr>
              <w:t>Total Fees (₦)</w:t>
            </w:r>
          </w:p>
        </w:tc>
      </w:tr>
      <w:tr w:rsidR="001A5FCD" w14:paraId="0CD794D3" w14:textId="77777777">
        <w:trPr>
          <w:trHeight w:val="515"/>
        </w:trPr>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C3716E" w14:textId="77777777" w:rsidR="001A5FCD" w:rsidRDefault="00000000">
            <w:pPr>
              <w:spacing w:line="360" w:lineRule="auto"/>
              <w:jc w:val="both"/>
              <w:rPr>
                <w:rFonts w:ascii="Verdana" w:eastAsia="Verdana" w:hAnsi="Verdana" w:cs="Verdana"/>
              </w:rPr>
            </w:pPr>
            <w:r>
              <w:rPr>
                <w:rFonts w:ascii="Verdana" w:eastAsia="Verdana" w:hAnsi="Verdana" w:cs="Verdana"/>
              </w:rPr>
              <w:t>TRANSFER</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E34F9F" w14:textId="77777777" w:rsidR="001A5FCD" w:rsidRDefault="00000000">
            <w:pPr>
              <w:spacing w:line="360" w:lineRule="auto"/>
              <w:jc w:val="both"/>
              <w:rPr>
                <w:rFonts w:ascii="Verdana" w:eastAsia="Verdana" w:hAnsi="Verdana" w:cs="Verdana"/>
              </w:rPr>
            </w:pPr>
            <w:r>
              <w:rPr>
                <w:rFonts w:ascii="Verdana" w:eastAsia="Verdana" w:hAnsi="Verdana" w:cs="Verdana"/>
              </w:rPr>
              <w:t>17.83</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24540" w14:textId="77777777" w:rsidR="001A5FCD" w:rsidRDefault="00000000">
            <w:pPr>
              <w:spacing w:line="360" w:lineRule="auto"/>
              <w:jc w:val="both"/>
              <w:rPr>
                <w:rFonts w:ascii="Verdana" w:eastAsia="Verdana" w:hAnsi="Verdana" w:cs="Verdana"/>
              </w:rPr>
            </w:pPr>
            <w:r>
              <w:rPr>
                <w:rFonts w:ascii="Verdana" w:eastAsia="Verdana" w:hAnsi="Verdana" w:cs="Verdana"/>
              </w:rPr>
              <w:t>10,020</w:t>
            </w:r>
          </w:p>
        </w:tc>
      </w:tr>
      <w:tr w:rsidR="001A5FCD" w14:paraId="445B66ED" w14:textId="77777777">
        <w:trPr>
          <w:trHeight w:val="515"/>
        </w:trPr>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751DC5" w14:textId="77777777" w:rsidR="001A5FCD" w:rsidRDefault="00000000">
            <w:pPr>
              <w:spacing w:line="360" w:lineRule="auto"/>
              <w:jc w:val="both"/>
              <w:rPr>
                <w:rFonts w:ascii="Verdana" w:eastAsia="Verdana" w:hAnsi="Verdana" w:cs="Verdana"/>
              </w:rPr>
            </w:pPr>
            <w:r>
              <w:rPr>
                <w:rFonts w:ascii="Verdana" w:eastAsia="Verdana" w:hAnsi="Verdana" w:cs="Verdana"/>
              </w:rPr>
              <w:t>Unknown</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03F478" w14:textId="77777777" w:rsidR="001A5FCD" w:rsidRDefault="00000000">
            <w:pPr>
              <w:spacing w:line="360" w:lineRule="auto"/>
              <w:jc w:val="both"/>
              <w:rPr>
                <w:rFonts w:ascii="Verdana" w:eastAsia="Verdana" w:hAnsi="Verdana" w:cs="Verdana"/>
              </w:rPr>
            </w:pPr>
            <w:r>
              <w:rPr>
                <w:rFonts w:ascii="Verdana" w:eastAsia="Verdana" w:hAnsi="Verdana" w:cs="Verdana"/>
              </w:rPr>
              <w:t>0.34</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C67AA1" w14:textId="77777777" w:rsidR="001A5FCD" w:rsidRDefault="00000000">
            <w:pPr>
              <w:spacing w:line="360" w:lineRule="auto"/>
              <w:jc w:val="both"/>
              <w:rPr>
                <w:rFonts w:ascii="Verdana" w:eastAsia="Verdana" w:hAnsi="Verdana" w:cs="Verdana"/>
              </w:rPr>
            </w:pPr>
            <w:r>
              <w:rPr>
                <w:rFonts w:ascii="Verdana" w:eastAsia="Verdana" w:hAnsi="Verdana" w:cs="Verdana"/>
              </w:rPr>
              <w:t>260</w:t>
            </w:r>
          </w:p>
        </w:tc>
      </w:tr>
      <w:tr w:rsidR="001A5FCD" w14:paraId="701E1EE1" w14:textId="77777777">
        <w:trPr>
          <w:trHeight w:val="515"/>
        </w:trPr>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887648" w14:textId="77777777" w:rsidR="001A5FCD" w:rsidRDefault="00000000">
            <w:pPr>
              <w:spacing w:line="360" w:lineRule="auto"/>
              <w:jc w:val="both"/>
              <w:rPr>
                <w:rFonts w:ascii="Verdana" w:eastAsia="Verdana" w:hAnsi="Verdana" w:cs="Verdana"/>
              </w:rPr>
            </w:pPr>
            <w:r>
              <w:rPr>
                <w:rFonts w:ascii="Verdana" w:eastAsia="Verdana" w:hAnsi="Verdana" w:cs="Verdana"/>
              </w:rPr>
              <w:t>AIRTIME &amp; DATA_PURCHASE</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2E5603" w14:textId="77777777" w:rsidR="001A5FCD" w:rsidRDefault="00000000">
            <w:pPr>
              <w:spacing w:line="360" w:lineRule="auto"/>
              <w:jc w:val="both"/>
              <w:rPr>
                <w:rFonts w:ascii="Verdana" w:eastAsia="Verdana" w:hAnsi="Verdana" w:cs="Verdana"/>
              </w:rPr>
            </w:pPr>
            <w:r>
              <w:rPr>
                <w:rFonts w:ascii="Verdana" w:eastAsia="Verdana" w:hAnsi="Verdana" w:cs="Verdana"/>
              </w:rPr>
              <w:t>0</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A69139" w14:textId="77777777" w:rsidR="001A5FCD" w:rsidRDefault="00000000">
            <w:pPr>
              <w:spacing w:line="360" w:lineRule="auto"/>
              <w:jc w:val="both"/>
              <w:rPr>
                <w:rFonts w:ascii="Verdana" w:eastAsia="Verdana" w:hAnsi="Verdana" w:cs="Verdana"/>
              </w:rPr>
            </w:pPr>
            <w:r>
              <w:rPr>
                <w:rFonts w:ascii="Verdana" w:eastAsia="Verdana" w:hAnsi="Verdana" w:cs="Verdana"/>
              </w:rPr>
              <w:t>0</w:t>
            </w:r>
          </w:p>
        </w:tc>
      </w:tr>
    </w:tbl>
    <w:p w14:paraId="4E93A296"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All your fee income comes from transfers—consider introducing small fees on other services.</w:t>
      </w:r>
    </w:p>
    <w:p w14:paraId="10D13048"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8" w:name="_ww5vuumv4pva" w:colFirst="0" w:colLast="0"/>
      <w:bookmarkEnd w:id="8"/>
      <w:r>
        <w:rPr>
          <w:rFonts w:ascii="Verdana" w:eastAsia="Verdana" w:hAnsi="Verdana" w:cs="Verdana"/>
          <w:color w:val="000000"/>
          <w:sz w:val="26"/>
          <w:szCs w:val="26"/>
        </w:rPr>
        <w:t>4.5 Your Top Beneficiary</w:t>
      </w:r>
    </w:p>
    <w:tbl>
      <w:tblPr>
        <w:tblStyle w:val="a1"/>
        <w:tblW w:w="5580" w:type="dxa"/>
        <w:tblBorders>
          <w:top w:val="nil"/>
          <w:left w:val="nil"/>
          <w:bottom w:val="nil"/>
          <w:right w:val="nil"/>
          <w:insideH w:val="nil"/>
          <w:insideV w:val="nil"/>
        </w:tblBorders>
        <w:tblLayout w:type="fixed"/>
        <w:tblLook w:val="0600" w:firstRow="0" w:lastRow="0" w:firstColumn="0" w:lastColumn="0" w:noHBand="1" w:noVBand="1"/>
      </w:tblPr>
      <w:tblGrid>
        <w:gridCol w:w="3705"/>
        <w:gridCol w:w="1875"/>
      </w:tblGrid>
      <w:tr w:rsidR="001A5FCD" w14:paraId="1844B089"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360130" w14:textId="77777777" w:rsidR="001A5FCD" w:rsidRDefault="00000000">
            <w:pPr>
              <w:spacing w:line="360" w:lineRule="auto"/>
              <w:jc w:val="both"/>
              <w:rPr>
                <w:rFonts w:ascii="Verdana" w:eastAsia="Verdana" w:hAnsi="Verdana" w:cs="Verdana"/>
              </w:rPr>
            </w:pPr>
            <w:r>
              <w:rPr>
                <w:rFonts w:ascii="Verdana" w:eastAsia="Verdana" w:hAnsi="Verdana" w:cs="Verdana"/>
              </w:rPr>
              <w:t>Beneficiary</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D86FC4" w14:textId="77777777" w:rsidR="001A5FCD" w:rsidRDefault="00000000">
            <w:pPr>
              <w:spacing w:line="360" w:lineRule="auto"/>
              <w:jc w:val="both"/>
              <w:rPr>
                <w:rFonts w:ascii="Verdana" w:eastAsia="Verdana" w:hAnsi="Verdana" w:cs="Verdana"/>
              </w:rPr>
            </w:pPr>
            <w:r>
              <w:rPr>
                <w:rFonts w:ascii="Verdana" w:eastAsia="Verdana" w:hAnsi="Verdana" w:cs="Verdana"/>
              </w:rPr>
              <w:t>Received (₦)</w:t>
            </w:r>
          </w:p>
        </w:tc>
      </w:tr>
      <w:tr w:rsidR="001A5FCD" w14:paraId="142A2291"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3534B0" w14:textId="77777777" w:rsidR="001A5FCD" w:rsidRDefault="00000000">
            <w:pPr>
              <w:spacing w:line="360" w:lineRule="auto"/>
              <w:jc w:val="both"/>
              <w:rPr>
                <w:rFonts w:ascii="Verdana" w:eastAsia="Verdana" w:hAnsi="Verdana" w:cs="Verdana"/>
              </w:rPr>
            </w:pPr>
            <w:r>
              <w:rPr>
                <w:rFonts w:ascii="Verdana" w:eastAsia="Verdana" w:hAnsi="Verdana" w:cs="Verdana"/>
              </w:rPr>
              <w:t>Unknown</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331143" w14:textId="77777777" w:rsidR="001A5FCD" w:rsidRDefault="00000000">
            <w:pPr>
              <w:spacing w:line="360" w:lineRule="auto"/>
              <w:jc w:val="both"/>
              <w:rPr>
                <w:rFonts w:ascii="Verdana" w:eastAsia="Verdana" w:hAnsi="Verdana" w:cs="Verdana"/>
              </w:rPr>
            </w:pPr>
            <w:r>
              <w:rPr>
                <w:rFonts w:ascii="Verdana" w:eastAsia="Verdana" w:hAnsi="Verdana" w:cs="Verdana"/>
              </w:rPr>
              <w:t>1,652,045</w:t>
            </w:r>
          </w:p>
        </w:tc>
      </w:tr>
      <w:tr w:rsidR="001A5FCD" w14:paraId="54C49A6E"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7CC575" w14:textId="77777777" w:rsidR="001A5FCD" w:rsidRDefault="00000000">
            <w:pPr>
              <w:spacing w:line="360" w:lineRule="auto"/>
              <w:jc w:val="both"/>
              <w:rPr>
                <w:rFonts w:ascii="Verdana" w:eastAsia="Verdana" w:hAnsi="Verdana" w:cs="Verdana"/>
              </w:rPr>
            </w:pPr>
            <w:proofErr w:type="spellStart"/>
            <w:r>
              <w:rPr>
                <w:rFonts w:ascii="Verdana" w:eastAsia="Verdana" w:hAnsi="Verdana" w:cs="Verdana"/>
              </w:rPr>
              <w:t>Wilogistics</w:t>
            </w:r>
            <w:proofErr w:type="spellEnd"/>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AFD67E" w14:textId="77777777" w:rsidR="001A5FCD" w:rsidRDefault="00000000">
            <w:pPr>
              <w:spacing w:line="360" w:lineRule="auto"/>
              <w:jc w:val="both"/>
              <w:rPr>
                <w:rFonts w:ascii="Verdana" w:eastAsia="Verdana" w:hAnsi="Verdana" w:cs="Verdana"/>
              </w:rPr>
            </w:pPr>
            <w:r>
              <w:rPr>
                <w:rFonts w:ascii="Verdana" w:eastAsia="Verdana" w:hAnsi="Verdana" w:cs="Verdana"/>
              </w:rPr>
              <w:t>27,100</w:t>
            </w:r>
          </w:p>
        </w:tc>
      </w:tr>
      <w:tr w:rsidR="001A5FCD" w14:paraId="39FE7C7B"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655511" w14:textId="77777777" w:rsidR="001A5FCD" w:rsidRDefault="00000000">
            <w:pPr>
              <w:spacing w:line="360" w:lineRule="auto"/>
              <w:jc w:val="both"/>
              <w:rPr>
                <w:rFonts w:ascii="Verdana" w:eastAsia="Verdana" w:hAnsi="Verdana" w:cs="Verdana"/>
              </w:rPr>
            </w:pPr>
            <w:proofErr w:type="spellStart"/>
            <w:r>
              <w:rPr>
                <w:rFonts w:ascii="Verdana" w:eastAsia="Verdana" w:hAnsi="Verdana" w:cs="Verdana"/>
              </w:rPr>
              <w:t>Opeloyeru</w:t>
            </w:r>
            <w:proofErr w:type="spellEnd"/>
            <w:r>
              <w:rPr>
                <w:rFonts w:ascii="Verdana" w:eastAsia="Verdana" w:hAnsi="Verdana" w:cs="Verdana"/>
              </w:rPr>
              <w:t xml:space="preserve"> Adele Restaurant</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7D1E40" w14:textId="77777777" w:rsidR="001A5FCD" w:rsidRDefault="00000000">
            <w:pPr>
              <w:spacing w:line="360" w:lineRule="auto"/>
              <w:jc w:val="both"/>
              <w:rPr>
                <w:rFonts w:ascii="Verdana" w:eastAsia="Verdana" w:hAnsi="Verdana" w:cs="Verdana"/>
              </w:rPr>
            </w:pPr>
            <w:r>
              <w:rPr>
                <w:rFonts w:ascii="Verdana" w:eastAsia="Verdana" w:hAnsi="Verdana" w:cs="Verdana"/>
              </w:rPr>
              <w:t>13,100</w:t>
            </w:r>
          </w:p>
        </w:tc>
      </w:tr>
      <w:tr w:rsidR="001A5FCD" w14:paraId="52711029"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FA3EA4" w14:textId="77777777" w:rsidR="001A5FCD" w:rsidRDefault="00000000">
            <w:pPr>
              <w:spacing w:line="360" w:lineRule="auto"/>
              <w:jc w:val="both"/>
              <w:rPr>
                <w:rFonts w:ascii="Verdana" w:eastAsia="Verdana" w:hAnsi="Verdana" w:cs="Verdana"/>
              </w:rPr>
            </w:pPr>
            <w:r>
              <w:rPr>
                <w:rFonts w:ascii="Verdana" w:eastAsia="Verdana" w:hAnsi="Verdana" w:cs="Verdana"/>
              </w:rPr>
              <w:t>MTN (9074800938)</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42101E" w14:textId="77777777" w:rsidR="001A5FCD" w:rsidRDefault="00000000">
            <w:pPr>
              <w:spacing w:line="360" w:lineRule="auto"/>
              <w:jc w:val="both"/>
              <w:rPr>
                <w:rFonts w:ascii="Verdana" w:eastAsia="Verdana" w:hAnsi="Verdana" w:cs="Verdana"/>
              </w:rPr>
            </w:pPr>
            <w:r>
              <w:rPr>
                <w:rFonts w:ascii="Verdana" w:eastAsia="Verdana" w:hAnsi="Verdana" w:cs="Verdana"/>
              </w:rPr>
              <w:t>12,526</w:t>
            </w:r>
          </w:p>
        </w:tc>
      </w:tr>
      <w:tr w:rsidR="001A5FCD" w14:paraId="1036ECCA"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85D6C0" w14:textId="77777777" w:rsidR="001A5FCD" w:rsidRDefault="00000000">
            <w:pPr>
              <w:spacing w:line="360" w:lineRule="auto"/>
              <w:jc w:val="both"/>
              <w:rPr>
                <w:rFonts w:ascii="Verdana" w:eastAsia="Verdana" w:hAnsi="Verdana" w:cs="Verdana"/>
              </w:rPr>
            </w:pPr>
            <w:r>
              <w:rPr>
                <w:rFonts w:ascii="Verdana" w:eastAsia="Verdana" w:hAnsi="Verdana" w:cs="Verdana"/>
              </w:rPr>
              <w:t xml:space="preserve">Abdur-Raheem Babatunde </w:t>
            </w:r>
            <w:proofErr w:type="spellStart"/>
            <w:r>
              <w:rPr>
                <w:rFonts w:ascii="Verdana" w:eastAsia="Verdana" w:hAnsi="Verdana" w:cs="Verdana"/>
              </w:rPr>
              <w:t>Alanamu</w:t>
            </w:r>
            <w:proofErr w:type="spellEnd"/>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C6621" w14:textId="77777777" w:rsidR="001A5FCD" w:rsidRDefault="00000000">
            <w:pPr>
              <w:spacing w:line="360" w:lineRule="auto"/>
              <w:jc w:val="both"/>
              <w:rPr>
                <w:rFonts w:ascii="Verdana" w:eastAsia="Verdana" w:hAnsi="Verdana" w:cs="Verdana"/>
              </w:rPr>
            </w:pPr>
            <w:r>
              <w:rPr>
                <w:rFonts w:ascii="Verdana" w:eastAsia="Verdana" w:hAnsi="Verdana" w:cs="Verdana"/>
              </w:rPr>
              <w:t>6,260</w:t>
            </w:r>
          </w:p>
        </w:tc>
      </w:tr>
    </w:tbl>
    <w:p w14:paraId="2626AAF8"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lastRenderedPageBreak/>
        <w:t xml:space="preserve">A large amount being received from unknown suggests the need for investigation to improve </w:t>
      </w:r>
      <w:proofErr w:type="gramStart"/>
      <w:r>
        <w:rPr>
          <w:rFonts w:ascii="Verdana" w:eastAsia="Verdana" w:hAnsi="Verdana" w:cs="Verdana"/>
        </w:rPr>
        <w:t>classification..</w:t>
      </w:r>
      <w:proofErr w:type="gramEnd"/>
    </w:p>
    <w:p w14:paraId="3479BEAA" w14:textId="77777777" w:rsidR="001A5FCD" w:rsidRDefault="001A5FCD">
      <w:pPr>
        <w:spacing w:line="360" w:lineRule="auto"/>
        <w:jc w:val="both"/>
        <w:rPr>
          <w:rFonts w:ascii="Verdana" w:eastAsia="Verdana" w:hAnsi="Verdana" w:cs="Verdana"/>
        </w:rPr>
      </w:pPr>
    </w:p>
    <w:p w14:paraId="3D94600B"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9" w:name="_9zr9z6rryz9f" w:colFirst="0" w:colLast="0"/>
      <w:bookmarkEnd w:id="9"/>
      <w:r>
        <w:rPr>
          <w:rFonts w:ascii="Verdana" w:eastAsia="Verdana" w:hAnsi="Verdana" w:cs="Verdana"/>
          <w:sz w:val="34"/>
          <w:szCs w:val="34"/>
        </w:rPr>
        <w:t>5. Conclusion</w:t>
      </w:r>
    </w:p>
    <w:p w14:paraId="00354923"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 xml:space="preserve">WiDa, your </w:t>
      </w:r>
      <w:proofErr w:type="spellStart"/>
      <w:r>
        <w:rPr>
          <w:rFonts w:ascii="Verdana" w:eastAsia="Verdana" w:hAnsi="Verdana" w:cs="Verdana"/>
        </w:rPr>
        <w:t>Moniepoint</w:t>
      </w:r>
      <w:proofErr w:type="spellEnd"/>
      <w:r>
        <w:rPr>
          <w:rFonts w:ascii="Verdana" w:eastAsia="Verdana" w:hAnsi="Verdana" w:cs="Verdana"/>
        </w:rPr>
        <w:t xml:space="preserve"> activity shows a robust, high-velocity payment operation driven by transfers and concentrated payees. By refining fee structures, enhancing peak-hour resilience, and engaging your top beneficiaries, you can elevate both profitability and customer satisfaction.</w:t>
      </w:r>
    </w:p>
    <w:p w14:paraId="17436D9A" w14:textId="77777777" w:rsidR="001A5FCD" w:rsidRDefault="001A5FCD">
      <w:pPr>
        <w:spacing w:line="360" w:lineRule="auto"/>
        <w:jc w:val="both"/>
        <w:rPr>
          <w:rFonts w:ascii="Verdana" w:eastAsia="Verdana" w:hAnsi="Verdana" w:cs="Verdana"/>
        </w:rPr>
      </w:pPr>
    </w:p>
    <w:p w14:paraId="10D07508"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10" w:name="_hin4t4p96xeb" w:colFirst="0" w:colLast="0"/>
      <w:bookmarkEnd w:id="10"/>
      <w:r>
        <w:rPr>
          <w:rFonts w:ascii="Verdana" w:eastAsia="Verdana" w:hAnsi="Verdana" w:cs="Verdana"/>
          <w:sz w:val="34"/>
          <w:szCs w:val="34"/>
        </w:rPr>
        <w:t>6. Appendices</w:t>
      </w:r>
    </w:p>
    <w:p w14:paraId="28266BB6"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A. Definitions</w:t>
      </w:r>
    </w:p>
    <w:p w14:paraId="64FEECCE" w14:textId="77777777" w:rsidR="001A5FCD" w:rsidRDefault="00000000">
      <w:pPr>
        <w:numPr>
          <w:ilvl w:val="0"/>
          <w:numId w:val="1"/>
        </w:numPr>
        <w:spacing w:before="240" w:line="360" w:lineRule="auto"/>
        <w:jc w:val="both"/>
        <w:rPr>
          <w:rFonts w:ascii="Verdana" w:eastAsia="Verdana" w:hAnsi="Verdana" w:cs="Verdana"/>
        </w:rPr>
      </w:pPr>
      <w:r>
        <w:rPr>
          <w:rFonts w:ascii="Verdana" w:eastAsia="Verdana" w:hAnsi="Verdana" w:cs="Verdana"/>
        </w:rPr>
        <w:t>Credit/Debit Ratio: Credits ÷ Debits per period.</w:t>
      </w:r>
      <w:r>
        <w:rPr>
          <w:rFonts w:ascii="Verdana" w:eastAsia="Verdana" w:hAnsi="Verdana" w:cs="Verdana"/>
        </w:rPr>
        <w:br/>
      </w:r>
    </w:p>
    <w:p w14:paraId="22CF7607" w14:textId="77777777" w:rsidR="001A5FCD" w:rsidRDefault="00000000">
      <w:pPr>
        <w:numPr>
          <w:ilvl w:val="0"/>
          <w:numId w:val="1"/>
        </w:numPr>
        <w:spacing w:after="240" w:line="360" w:lineRule="auto"/>
        <w:jc w:val="both"/>
        <w:rPr>
          <w:rFonts w:ascii="Verdana" w:eastAsia="Verdana" w:hAnsi="Verdana" w:cs="Verdana"/>
        </w:rPr>
      </w:pPr>
      <w:r>
        <w:rPr>
          <w:rFonts w:ascii="Verdana" w:eastAsia="Verdana" w:hAnsi="Verdana" w:cs="Verdana"/>
        </w:rPr>
        <w:t>“Unknown” Category: Transactions needing clearer classification.</w:t>
      </w:r>
      <w:r>
        <w:rPr>
          <w:rFonts w:ascii="Verdana" w:eastAsia="Verdana" w:hAnsi="Verdana" w:cs="Verdana"/>
        </w:rPr>
        <w:br/>
      </w:r>
    </w:p>
    <w:p w14:paraId="0BEFA032"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B. Data Source</w:t>
      </w:r>
      <w:r>
        <w:rPr>
          <w:rFonts w:ascii="Verdana" w:eastAsia="Verdana" w:hAnsi="Verdana" w:cs="Verdana"/>
        </w:rPr>
        <w:br/>
        <w:t xml:space="preserve"> </w:t>
      </w:r>
      <w:proofErr w:type="spellStart"/>
      <w:r>
        <w:rPr>
          <w:rFonts w:ascii="Verdana" w:eastAsia="Verdana" w:hAnsi="Verdana" w:cs="Verdana"/>
        </w:rPr>
        <w:t>Moniepoint</w:t>
      </w:r>
      <w:proofErr w:type="spellEnd"/>
      <w:r>
        <w:rPr>
          <w:rFonts w:ascii="Verdana" w:eastAsia="Verdana" w:hAnsi="Verdana" w:cs="Verdana"/>
        </w:rPr>
        <w:t xml:space="preserve"> “</w:t>
      </w:r>
      <w:proofErr w:type="spellStart"/>
      <w:r>
        <w:rPr>
          <w:rFonts w:ascii="Verdana" w:eastAsia="Verdana" w:hAnsi="Verdana" w:cs="Verdana"/>
        </w:rPr>
        <w:t>bank_transactions</w:t>
      </w:r>
      <w:proofErr w:type="spellEnd"/>
      <w:r>
        <w:rPr>
          <w:rFonts w:ascii="Verdana" w:eastAsia="Verdana" w:hAnsi="Verdana" w:cs="Verdana"/>
        </w:rPr>
        <w:t>” export (Nov 2023–Nov 2024) ​</w:t>
      </w:r>
    </w:p>
    <w:p w14:paraId="02E153BE"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C. Supplemental Tables</w:t>
      </w:r>
    </w:p>
    <w:p w14:paraId="19564EA2" w14:textId="77777777" w:rsidR="001A5FCD" w:rsidRDefault="00000000">
      <w:pPr>
        <w:numPr>
          <w:ilvl w:val="0"/>
          <w:numId w:val="6"/>
        </w:numPr>
        <w:spacing w:before="240" w:line="360" w:lineRule="auto"/>
        <w:jc w:val="both"/>
        <w:rPr>
          <w:rFonts w:ascii="Verdana" w:eastAsia="Verdana" w:hAnsi="Verdana" w:cs="Verdana"/>
        </w:rPr>
      </w:pPr>
      <w:r>
        <w:rPr>
          <w:rFonts w:ascii="Verdana" w:eastAsia="Verdana" w:hAnsi="Verdana" w:cs="Verdana"/>
        </w:rPr>
        <w:t>Monthly flow details (Section 4.1)</w:t>
      </w:r>
      <w:r>
        <w:rPr>
          <w:rFonts w:ascii="Verdana" w:eastAsia="Verdana" w:hAnsi="Verdana" w:cs="Verdana"/>
        </w:rPr>
        <w:br/>
      </w:r>
    </w:p>
    <w:p w14:paraId="1F134F95" w14:textId="77777777" w:rsidR="001A5FCD" w:rsidRDefault="00000000">
      <w:pPr>
        <w:numPr>
          <w:ilvl w:val="0"/>
          <w:numId w:val="6"/>
        </w:numPr>
        <w:spacing w:line="360" w:lineRule="auto"/>
        <w:jc w:val="both"/>
        <w:rPr>
          <w:rFonts w:ascii="Verdana" w:eastAsia="Verdana" w:hAnsi="Verdana" w:cs="Verdana"/>
        </w:rPr>
      </w:pPr>
      <w:r>
        <w:rPr>
          <w:rFonts w:ascii="Verdana" w:eastAsia="Verdana" w:hAnsi="Verdana" w:cs="Verdana"/>
        </w:rPr>
        <w:t>Hourly transaction distribution (Section 4.3)</w:t>
      </w:r>
      <w:r>
        <w:rPr>
          <w:rFonts w:ascii="Verdana" w:eastAsia="Verdana" w:hAnsi="Verdana" w:cs="Verdana"/>
        </w:rPr>
        <w:br/>
      </w:r>
    </w:p>
    <w:p w14:paraId="42E0D07C" w14:textId="77777777" w:rsidR="001A5FCD" w:rsidRDefault="00000000">
      <w:pPr>
        <w:numPr>
          <w:ilvl w:val="0"/>
          <w:numId w:val="6"/>
        </w:numPr>
        <w:spacing w:after="240" w:line="360" w:lineRule="auto"/>
        <w:jc w:val="both"/>
        <w:rPr>
          <w:rFonts w:ascii="Verdana" w:eastAsia="Verdana" w:hAnsi="Verdana" w:cs="Verdana"/>
        </w:rPr>
      </w:pPr>
      <w:r>
        <w:rPr>
          <w:rFonts w:ascii="Verdana" w:eastAsia="Verdana" w:hAnsi="Verdana" w:cs="Verdana"/>
        </w:rPr>
        <w:t>Full top-10 individual transactions list</w:t>
      </w:r>
    </w:p>
    <w:p w14:paraId="45AAF838" w14:textId="77777777" w:rsidR="001A5FCD" w:rsidRDefault="001A5FCD">
      <w:pPr>
        <w:spacing w:line="360" w:lineRule="auto"/>
        <w:jc w:val="both"/>
        <w:rPr>
          <w:rFonts w:ascii="Verdana" w:eastAsia="Verdana" w:hAnsi="Verdana" w:cs="Verdana"/>
        </w:rPr>
      </w:pPr>
    </w:p>
    <w:sectPr w:rsidR="001A5F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0F9"/>
    <w:multiLevelType w:val="multilevel"/>
    <w:tmpl w:val="C77E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9F078B"/>
    <w:multiLevelType w:val="multilevel"/>
    <w:tmpl w:val="1E2E4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51EF2"/>
    <w:multiLevelType w:val="multilevel"/>
    <w:tmpl w:val="E02C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62113"/>
    <w:multiLevelType w:val="multilevel"/>
    <w:tmpl w:val="33CEE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6C7C2C"/>
    <w:multiLevelType w:val="multilevel"/>
    <w:tmpl w:val="CCB49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0471EA"/>
    <w:multiLevelType w:val="multilevel"/>
    <w:tmpl w:val="C95C4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8967479">
    <w:abstractNumId w:val="0"/>
  </w:num>
  <w:num w:numId="2" w16cid:durableId="1781800798">
    <w:abstractNumId w:val="1"/>
  </w:num>
  <w:num w:numId="3" w16cid:durableId="405231542">
    <w:abstractNumId w:val="4"/>
  </w:num>
  <w:num w:numId="4" w16cid:durableId="541209782">
    <w:abstractNumId w:val="3"/>
  </w:num>
  <w:num w:numId="5" w16cid:durableId="946735825">
    <w:abstractNumId w:val="2"/>
  </w:num>
  <w:num w:numId="6" w16cid:durableId="287400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CD"/>
    <w:rsid w:val="001A5FCD"/>
    <w:rsid w:val="007B7159"/>
    <w:rsid w:val="00F90BA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ABFC"/>
  <w15:docId w15:val="{986AA674-84E9-4A28-A818-08B15B82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Muktar</cp:lastModifiedBy>
  <cp:revision>2</cp:revision>
  <dcterms:created xsi:type="dcterms:W3CDTF">2025-06-25T23:31:00Z</dcterms:created>
  <dcterms:modified xsi:type="dcterms:W3CDTF">2025-06-25T23:35:00Z</dcterms:modified>
</cp:coreProperties>
</file>