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F606" w14:textId="77777777" w:rsidR="003D2989" w:rsidRDefault="00000000">
      <w:pPr>
        <w:spacing w:after="200"/>
        <w:jc w:val="center"/>
      </w:pPr>
      <w:r>
        <w:rPr>
          <w:sz w:val="48"/>
          <w:szCs w:val="48"/>
        </w:rPr>
        <w:t>AgriFresh: A Multi-Architecture Deep Learning Benchmark for Automated Agricultural Produce Quality Assessment with Grad-CAM Explainability, Zero-Shot OOD Gatekeeping, and Shelf-Life Forecasting</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3"/>
        <w:gridCol w:w="2434"/>
        <w:gridCol w:w="2434"/>
        <w:gridCol w:w="2649"/>
      </w:tblGrid>
      <w:tr w:rsidR="003D2989" w14:paraId="7AB12C94"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tcPr>
          <w:p w14:paraId="2C506861" w14:textId="2E218BAE" w:rsidR="00E45C41" w:rsidRDefault="00EA54A6" w:rsidP="00E45C41">
            <w:pPr>
              <w:spacing w:after="20"/>
              <w:jc w:val="center"/>
            </w:pPr>
            <w:r>
              <w:rPr>
                <w:sz w:val="22"/>
                <w:szCs w:val="22"/>
              </w:rPr>
              <w:t>1st</w:t>
            </w:r>
            <w:r w:rsidR="00E45C41">
              <w:rPr>
                <w:sz w:val="22"/>
                <w:szCs w:val="22"/>
              </w:rPr>
              <w:t xml:space="preserve"> Dr. A. Shenbagarajan</w:t>
            </w:r>
          </w:p>
          <w:p w14:paraId="23C1102E" w14:textId="77777777" w:rsidR="00E45C41" w:rsidRDefault="00E45C41" w:rsidP="00E45C41">
            <w:pPr>
              <w:spacing w:after="20"/>
              <w:jc w:val="center"/>
            </w:pPr>
            <w:r>
              <w:rPr>
                <w:i/>
                <w:iCs/>
                <w:sz w:val="22"/>
                <w:szCs w:val="22"/>
              </w:rPr>
              <w:t>Associate Professor, Dept. of Artificial Intelligence and Data Science</w:t>
            </w:r>
          </w:p>
          <w:p w14:paraId="40967E5E" w14:textId="77777777" w:rsidR="00E45C41" w:rsidRDefault="00E45C41" w:rsidP="00E45C41">
            <w:pPr>
              <w:spacing w:after="20"/>
              <w:jc w:val="center"/>
            </w:pPr>
            <w:r>
              <w:rPr>
                <w:i/>
                <w:iCs/>
                <w:sz w:val="22"/>
                <w:szCs w:val="22"/>
              </w:rPr>
              <w:t>Mepco Schlenk Engineering College (Autonomous)</w:t>
            </w:r>
          </w:p>
          <w:p w14:paraId="687AA4D4" w14:textId="77777777" w:rsidR="00E45C41" w:rsidRDefault="00E45C41" w:rsidP="00E45C41">
            <w:pPr>
              <w:spacing w:after="20"/>
              <w:jc w:val="center"/>
            </w:pPr>
            <w:r>
              <w:rPr>
                <w:i/>
                <w:iCs/>
                <w:sz w:val="22"/>
                <w:szCs w:val="22"/>
              </w:rPr>
              <w:t>Sivakasi, Tamil Nadu, India</w:t>
            </w:r>
          </w:p>
          <w:p w14:paraId="740C8E7B" w14:textId="44123A33" w:rsidR="003D2989" w:rsidRDefault="00E45C41" w:rsidP="00E45C41">
            <w:pPr>
              <w:spacing w:after="20"/>
              <w:jc w:val="center"/>
            </w:pPr>
            <w:r>
              <w:rPr>
                <w:i/>
                <w:iCs/>
                <w:sz w:val="22"/>
                <w:szCs w:val="22"/>
              </w:rPr>
              <w:t>shenbagarajan@mepcoeng.ac.in</w:t>
            </w:r>
          </w:p>
        </w:tc>
        <w:tc>
          <w:tcPr>
            <w:tcW w:w="1250" w:type="pct"/>
            <w:tcBorders>
              <w:top w:val="none" w:sz="0" w:space="0" w:color="FFFFFF"/>
              <w:left w:val="none" w:sz="0" w:space="0" w:color="FFFFFF"/>
              <w:bottom w:val="none" w:sz="0" w:space="0" w:color="FFFFFF"/>
              <w:right w:val="none" w:sz="0" w:space="0" w:color="FFFFFF"/>
            </w:tcBorders>
          </w:tcPr>
          <w:p w14:paraId="20C30BC8" w14:textId="77777777" w:rsidR="003D2989" w:rsidRDefault="00000000">
            <w:pPr>
              <w:spacing w:after="20"/>
              <w:jc w:val="center"/>
            </w:pPr>
            <w:r>
              <w:rPr>
                <w:sz w:val="22"/>
                <w:szCs w:val="22"/>
              </w:rPr>
              <w:t>2nd Hariish G S</w:t>
            </w:r>
          </w:p>
          <w:p w14:paraId="75A7BE50" w14:textId="77777777" w:rsidR="003D2989" w:rsidRDefault="00000000">
            <w:pPr>
              <w:spacing w:after="20"/>
              <w:jc w:val="center"/>
            </w:pPr>
            <w:r>
              <w:rPr>
                <w:i/>
                <w:iCs/>
                <w:sz w:val="22"/>
                <w:szCs w:val="22"/>
              </w:rPr>
              <w:t>Dept. of Artificial Intelligence and Data Science</w:t>
            </w:r>
          </w:p>
          <w:p w14:paraId="3F3CE7EB" w14:textId="77777777" w:rsidR="003D2989" w:rsidRDefault="00000000">
            <w:pPr>
              <w:spacing w:after="20"/>
              <w:jc w:val="center"/>
            </w:pPr>
            <w:r>
              <w:rPr>
                <w:i/>
                <w:iCs/>
                <w:sz w:val="22"/>
                <w:szCs w:val="22"/>
              </w:rPr>
              <w:t>Mepco Schlenk Engineering College (Autonomous)</w:t>
            </w:r>
          </w:p>
          <w:p w14:paraId="1E99E8BB" w14:textId="77777777" w:rsidR="003D2989" w:rsidRDefault="00000000">
            <w:pPr>
              <w:spacing w:after="20"/>
              <w:jc w:val="center"/>
            </w:pPr>
            <w:r>
              <w:rPr>
                <w:i/>
                <w:iCs/>
                <w:sz w:val="22"/>
                <w:szCs w:val="22"/>
              </w:rPr>
              <w:t>Sivakasi, Tamil Nadu, India</w:t>
            </w:r>
          </w:p>
          <w:p w14:paraId="118216EB" w14:textId="77777777" w:rsidR="003D2989" w:rsidRDefault="00000000">
            <w:pPr>
              <w:spacing w:after="20"/>
              <w:jc w:val="center"/>
            </w:pPr>
            <w:r>
              <w:rPr>
                <w:i/>
                <w:iCs/>
                <w:sz w:val="22"/>
                <w:szCs w:val="22"/>
              </w:rPr>
              <w:t>gshariish@gmail.com</w:t>
            </w:r>
          </w:p>
        </w:tc>
        <w:tc>
          <w:tcPr>
            <w:tcW w:w="1250" w:type="pct"/>
            <w:tcBorders>
              <w:top w:val="none" w:sz="0" w:space="0" w:color="FFFFFF"/>
              <w:left w:val="none" w:sz="0" w:space="0" w:color="FFFFFF"/>
              <w:bottom w:val="none" w:sz="0" w:space="0" w:color="FFFFFF"/>
              <w:right w:val="none" w:sz="0" w:space="0" w:color="FFFFFF"/>
            </w:tcBorders>
          </w:tcPr>
          <w:p w14:paraId="0D5B0150" w14:textId="41326D62" w:rsidR="00E45C41" w:rsidRDefault="00E45C41" w:rsidP="00E45C41">
            <w:pPr>
              <w:spacing w:after="20"/>
              <w:jc w:val="center"/>
            </w:pPr>
            <w:r>
              <w:rPr>
                <w:sz w:val="22"/>
                <w:szCs w:val="22"/>
              </w:rPr>
              <w:t>3rd</w:t>
            </w:r>
            <w:r>
              <w:rPr>
                <w:sz w:val="22"/>
                <w:szCs w:val="22"/>
              </w:rPr>
              <w:t xml:space="preserve"> </w:t>
            </w:r>
            <w:r>
              <w:rPr>
                <w:sz w:val="22"/>
                <w:szCs w:val="22"/>
              </w:rPr>
              <w:t>Mukhesh</w:t>
            </w:r>
            <w:r>
              <w:rPr>
                <w:sz w:val="22"/>
                <w:szCs w:val="22"/>
              </w:rPr>
              <w:t xml:space="preserve"> </w:t>
            </w:r>
            <w:r>
              <w:rPr>
                <w:sz w:val="22"/>
                <w:szCs w:val="22"/>
              </w:rPr>
              <w:t>P</w:t>
            </w:r>
          </w:p>
          <w:p w14:paraId="774E02AC" w14:textId="77777777" w:rsidR="00E45C41" w:rsidRDefault="00E45C41" w:rsidP="00E45C41">
            <w:pPr>
              <w:spacing w:after="20"/>
              <w:jc w:val="center"/>
            </w:pPr>
            <w:r>
              <w:rPr>
                <w:i/>
                <w:iCs/>
                <w:sz w:val="22"/>
                <w:szCs w:val="22"/>
              </w:rPr>
              <w:t>Dept. of Artificial Intelligence and Data Science</w:t>
            </w:r>
          </w:p>
          <w:p w14:paraId="06C96B90" w14:textId="77777777" w:rsidR="00E45C41" w:rsidRDefault="00E45C41" w:rsidP="00E45C41">
            <w:pPr>
              <w:spacing w:after="20"/>
              <w:jc w:val="center"/>
            </w:pPr>
            <w:r>
              <w:rPr>
                <w:i/>
                <w:iCs/>
                <w:sz w:val="22"/>
                <w:szCs w:val="22"/>
              </w:rPr>
              <w:t>Mepco Schlenk Engineering College (Autonomous)</w:t>
            </w:r>
          </w:p>
          <w:p w14:paraId="78301627" w14:textId="77777777" w:rsidR="00E45C41" w:rsidRDefault="00E45C41" w:rsidP="00E45C41">
            <w:pPr>
              <w:spacing w:after="20"/>
              <w:jc w:val="center"/>
            </w:pPr>
            <w:r>
              <w:rPr>
                <w:i/>
                <w:iCs/>
                <w:sz w:val="22"/>
                <w:szCs w:val="22"/>
              </w:rPr>
              <w:t>Sivakasi, Tamil Nadu, India</w:t>
            </w:r>
          </w:p>
          <w:p w14:paraId="54C3615C" w14:textId="3400E85B" w:rsidR="003D2989" w:rsidRDefault="00E45C41" w:rsidP="00E45C41">
            <w:pPr>
              <w:spacing w:after="20"/>
              <w:jc w:val="center"/>
            </w:pPr>
            <w:r>
              <w:rPr>
                <w:i/>
                <w:iCs/>
                <w:sz w:val="22"/>
                <w:szCs w:val="22"/>
              </w:rPr>
              <w:t>mukhesh1205</w:t>
            </w:r>
            <w:r>
              <w:rPr>
                <w:i/>
                <w:iCs/>
                <w:sz w:val="22"/>
                <w:szCs w:val="22"/>
              </w:rPr>
              <w:t>@gmail.com</w:t>
            </w:r>
          </w:p>
        </w:tc>
        <w:tc>
          <w:tcPr>
            <w:tcW w:w="1250" w:type="pct"/>
            <w:tcBorders>
              <w:top w:val="none" w:sz="0" w:space="0" w:color="FFFFFF"/>
              <w:left w:val="none" w:sz="0" w:space="0" w:color="FFFFFF"/>
              <w:bottom w:val="none" w:sz="0" w:space="0" w:color="FFFFFF"/>
              <w:right w:val="none" w:sz="0" w:space="0" w:color="FFFFFF"/>
            </w:tcBorders>
          </w:tcPr>
          <w:p w14:paraId="2BBAC3B5" w14:textId="0AE6E36E" w:rsidR="00E45C41" w:rsidRDefault="00FA3413" w:rsidP="00E45C41">
            <w:pPr>
              <w:spacing w:after="20"/>
              <w:jc w:val="center"/>
            </w:pPr>
            <w:r>
              <w:rPr>
                <w:sz w:val="22"/>
                <w:szCs w:val="22"/>
              </w:rPr>
              <w:t>4th</w:t>
            </w:r>
            <w:r w:rsidR="00E45C41">
              <w:rPr>
                <w:sz w:val="22"/>
                <w:szCs w:val="22"/>
              </w:rPr>
              <w:t xml:space="preserve"> Rockland Rowan M</w:t>
            </w:r>
          </w:p>
          <w:p w14:paraId="36F2D0D2" w14:textId="77777777" w:rsidR="00E45C41" w:rsidRDefault="00E45C41" w:rsidP="00E45C41">
            <w:pPr>
              <w:spacing w:after="20"/>
              <w:jc w:val="center"/>
            </w:pPr>
            <w:r>
              <w:rPr>
                <w:i/>
                <w:iCs/>
                <w:sz w:val="22"/>
                <w:szCs w:val="22"/>
              </w:rPr>
              <w:t>Dept. of Artificial Intelligence and Data Science</w:t>
            </w:r>
          </w:p>
          <w:p w14:paraId="1C41DF82" w14:textId="77777777" w:rsidR="00E45C41" w:rsidRDefault="00E45C41" w:rsidP="00E45C41">
            <w:pPr>
              <w:spacing w:after="20"/>
              <w:jc w:val="center"/>
            </w:pPr>
            <w:r>
              <w:rPr>
                <w:i/>
                <w:iCs/>
                <w:sz w:val="22"/>
                <w:szCs w:val="22"/>
              </w:rPr>
              <w:t>Mepco Schlenk Engineering College (Autonomous)</w:t>
            </w:r>
          </w:p>
          <w:p w14:paraId="26284230" w14:textId="77777777" w:rsidR="00E45C41" w:rsidRDefault="00E45C41" w:rsidP="00E45C41">
            <w:pPr>
              <w:spacing w:after="20"/>
              <w:jc w:val="center"/>
            </w:pPr>
            <w:r>
              <w:rPr>
                <w:i/>
                <w:iCs/>
                <w:sz w:val="22"/>
                <w:szCs w:val="22"/>
              </w:rPr>
              <w:t>Sivakasi, Tamil Nadu, India</w:t>
            </w:r>
          </w:p>
          <w:p w14:paraId="4A3552AA" w14:textId="717FFB9C" w:rsidR="003D2989" w:rsidRDefault="00E45C41" w:rsidP="00E45C41">
            <w:pPr>
              <w:spacing w:after="20"/>
              <w:jc w:val="center"/>
            </w:pPr>
            <w:r>
              <w:rPr>
                <w:i/>
                <w:iCs/>
                <w:sz w:val="22"/>
                <w:szCs w:val="22"/>
              </w:rPr>
              <w:t>rocklandrowanm@gmail.com</w:t>
            </w:r>
          </w:p>
        </w:tc>
      </w:tr>
    </w:tbl>
    <w:p w14:paraId="7A082E63" w14:textId="77777777" w:rsidR="003D2989" w:rsidRDefault="003D2989">
      <w:pPr>
        <w:sectPr w:rsidR="003D2989">
          <w:pgSz w:w="12240" w:h="15840"/>
          <w:pgMar w:top="1080" w:right="900" w:bottom="1440" w:left="900" w:header="708" w:footer="708" w:gutter="0"/>
          <w:cols w:space="720"/>
          <w:docGrid w:linePitch="360"/>
        </w:sectPr>
      </w:pPr>
    </w:p>
    <w:p w14:paraId="26E87949" w14:textId="77777777" w:rsidR="003D2989" w:rsidRPr="005B2AD8" w:rsidRDefault="00000000">
      <w:pPr>
        <w:spacing w:after="120"/>
        <w:jc w:val="both"/>
      </w:pPr>
      <w:r w:rsidRPr="005B2AD8">
        <w:rPr>
          <w:b/>
          <w:bCs/>
          <w:i/>
          <w:iCs/>
        </w:rPr>
        <w:t>Abstract—</w:t>
      </w:r>
      <w:r w:rsidRPr="005B2AD8">
        <w:t>Post-harvest losses caused by delayed or inaccurate detection of produce spoilage remain a major challenge for food supply chains, motivating automated, vision-based freshness assessment. This paper presents AgriFresh, an end-to-end deep learning system for three-class freshness grading (Fresh, Semi-Fresh, and Rotten) across eight crop varieties. We introduce AgriFreshNET, a curated dataset of 14,160 images spanning the eight crops and three freshness classes, partitioned into 70/15/15 training, validation, and testing splits. Five convolutional neural network architectures—DenseNet121, EfficientNetV2-S, ResNet18, EfficientNet-B0, and MobileNetV3-Small—are benchmarked under a common transfer-learning protocol. DenseNet121 achieves the strongest performance, with 98.02% test accuracy, 99.86% macro ROC-AUC, and 3.72 ms inference latency, while MobileNetV3-Small offers the fastest inference at 0.80 ms per image for edge deployment. To support interpretability, Grad-CAM visualizations localize the discriminative regions driving each prediction. A zero-shot out-of-distribution gatekeeper rejects non-produce or unrecognized inputs prior to classification, and a Freshness Index formulation converts class probabilities into a continuous shelf-life forecast. The complete pipeline is packaged into an edge-ready web application, demonstrating a practical route from benchmark research to deployable precision-agriculture tooling.</w:t>
      </w:r>
    </w:p>
    <w:p w14:paraId="3F81BFF5" w14:textId="77777777" w:rsidR="003D2989" w:rsidRDefault="00000000">
      <w:pPr>
        <w:spacing w:after="160"/>
        <w:jc w:val="both"/>
      </w:pPr>
      <w:r>
        <w:rPr>
          <w:b/>
          <w:bCs/>
          <w:i/>
          <w:iCs/>
        </w:rPr>
        <w:t>Index Terms—</w:t>
      </w:r>
      <w:r>
        <w:t>Freshness detection, transfer learning, CNN benchmarking, Grad-CAM, out-of-distribution detection, shelf-life estimation, post-harvest quality, precision agriculture.</w:t>
      </w:r>
    </w:p>
    <w:p w14:paraId="6FADFD0E" w14:textId="77777777" w:rsidR="003D2989" w:rsidRDefault="00000000">
      <w:pPr>
        <w:spacing w:before="240" w:after="120"/>
        <w:jc w:val="center"/>
      </w:pPr>
      <w:r>
        <w:rPr>
          <w:b/>
          <w:bCs/>
          <w:caps/>
        </w:rPr>
        <w:t>I. Introduction</w:t>
      </w:r>
    </w:p>
    <w:p w14:paraId="00D2073D" w14:textId="77777777" w:rsidR="003D2989" w:rsidRDefault="00000000">
      <w:pPr>
        <w:spacing w:before="160" w:after="60"/>
      </w:pPr>
      <w:r>
        <w:rPr>
          <w:i/>
          <w:iCs/>
        </w:rPr>
        <w:t>A. Context and Motivation</w:t>
      </w:r>
    </w:p>
    <w:p w14:paraId="146C5A19" w14:textId="77777777" w:rsidR="003D2989" w:rsidRDefault="00000000">
      <w:pPr>
        <w:ind w:firstLine="288"/>
        <w:jc w:val="both"/>
      </w:pPr>
      <w:r>
        <w:t>Post-harvest losses in fruits and vegetables represent a persistent inefficiency across global food supply chains, with a substantial share of produce discarded between harvest and consumption due to undetected spoilage, delayed sorting, and inconsistent manual inspection [9]. Manual freshness grading is labor-intensive, subjective, and difficult to scale across the heterogeneous morphology of different crop varieties. Advances in convolutional neural networks (CNNs) and transfer learning have enabled vision-based quality assessment pipelines that can operate at the speed and scale required by modern packhouses, retail inspection points, and smallholder-facing mobile tools. Embedding such models into precision-agriculture workflows offers a path toward reducing waste, improving pricing transparency, and supporting timely logistics decisions.</w:t>
      </w:r>
    </w:p>
    <w:p w14:paraId="1BC927A2" w14:textId="77777777" w:rsidR="003D2989" w:rsidRDefault="00000000">
      <w:pPr>
        <w:spacing w:before="160" w:after="60"/>
      </w:pPr>
      <w:r>
        <w:rPr>
          <w:i/>
          <w:iCs/>
        </w:rPr>
        <w:t>B. Identified Gaps in Literature</w:t>
      </w:r>
    </w:p>
    <w:p w14:paraId="0F0239D3" w14:textId="77777777" w:rsidR="003D2989" w:rsidRDefault="00000000">
      <w:pPr>
        <w:ind w:firstLine="288"/>
        <w:jc w:val="both"/>
      </w:pPr>
      <w:r>
        <w:t>Existing produce-quality classification studies are frequently constrained to a single crop or a small number of visually similar categories, limiting generalization across the diverse eight-crop, three-class taxonomy addressed in this work. Many prior systems report only a single backbone architecture without a controlled, multi-architecture benchmark under an identical data pipeline, which makes accuracy-versus-latency trade-offs difficult to compare. Interpretability is often omitted, leaving practitioners without visual justification for a given prediction. Furthermore, most pipelines assume that every input image depicts a known, in-distribution crop, with no explicit mechanism to reject unrelated or out-of-distribution (OOD) inputs, and few systems connect classification output to an actionable, continuous shelf-life estimate rather than a discrete label alone.</w:t>
      </w:r>
    </w:p>
    <w:p w14:paraId="637105D1" w14:textId="77777777" w:rsidR="003D2989" w:rsidRDefault="00000000">
      <w:pPr>
        <w:spacing w:before="160" w:after="60"/>
      </w:pPr>
      <w:r>
        <w:rPr>
          <w:i/>
          <w:iCs/>
        </w:rPr>
        <w:lastRenderedPageBreak/>
        <w:t>C. Major Contributions of AgriFresh</w:t>
      </w:r>
    </w:p>
    <w:p w14:paraId="01F900ED" w14:textId="77777777" w:rsidR="003D2989" w:rsidRDefault="00000000">
      <w:pPr>
        <w:ind w:firstLine="288"/>
        <w:jc w:val="both"/>
      </w:pPr>
      <w:r>
        <w:t>This paper makes the following contributions: (1) AgriFreshNET, a curated dataset of 14,160 images covering eight crop varieties (Banana, Bittermelon, Cucumber, Eggplant, Orange, Papaya, Pineapple, and Tomato) across three freshness classes (Fresh, Semi-Fresh, and Rotten); (2) a controlled benchmark of five CNN architectures—DenseNet121, EfficientNetV2-S, ResNet18, EfficientNet-B0, and MobileNetV3-Small—trained under an identical two-stage transfer-learning protocol; (3) Grad-CAM-based explainability that localizes the image regions driving each freshness prediction; (4) a zero-shot out-of-distribution gatekeeper that rejects non-produce or unrecognized inputs prior to classification; (5) a Freshness Index formulation that converts class probabilities into a continuous shelf-life forecast; and (6) packaging of the complete pipeline into an edge-ready web application suitable for deployment at inspection points.</w:t>
      </w:r>
    </w:p>
    <w:p w14:paraId="48A545BC" w14:textId="77777777" w:rsidR="003D2989" w:rsidRDefault="00000000">
      <w:pPr>
        <w:spacing w:before="240" w:after="120"/>
        <w:jc w:val="center"/>
      </w:pPr>
      <w:r>
        <w:rPr>
          <w:b/>
          <w:bCs/>
          <w:caps/>
        </w:rPr>
        <w:t>II. Related Work</w:t>
      </w:r>
    </w:p>
    <w:p w14:paraId="07711BA3" w14:textId="77777777" w:rsidR="003D2989" w:rsidRDefault="00000000">
      <w:pPr>
        <w:ind w:firstLine="288"/>
        <w:jc w:val="both"/>
      </w:pPr>
      <w:r>
        <w:t>Deep residual networks [1] introduced identity shortcut connections that made very deep CNNs trainable, and ResNet18 remains a widely used, computationally efficient backbone in this family. Densely connected convolutional networks [2] extend this idea with dense feature reuse across layers, which DenseNet121 leverages for strong parameter efficiency. The EfficientNet family [3] applies compound scaling of network depth, width, and resolution to balance accuracy and computational cost, and its successor EfficientNetV2 [4] further improves training speed through progressive learning and a redesigned search space. For mobile and edge scenarios, MobileNetV3 [5] combines hardware-aware neural architecture search with squeeze-and-excitation blocks to minimize latency while retaining competitive accuracy. All five architectures in this benchmark are commonly pretrained on ImageNet [10] and fine-tuned via transfer learning, implemented in this work using PyTorch [11].</w:t>
      </w:r>
    </w:p>
    <w:p w14:paraId="193DFAA2" w14:textId="77777777" w:rsidR="003D2989" w:rsidRDefault="00000000">
      <w:pPr>
        <w:ind w:firstLine="288"/>
        <w:jc w:val="both"/>
      </w:pPr>
      <w:r>
        <w:t xml:space="preserve">Interpretability of CNN predictions is addressed here using Grad-CAM [6], which produces class-discriminative localization maps from the gradients flowing into the final convolutional layer; this is preferred over model-agnostic approaches such as LIME [13] because it directly exploits the spatial structure of convolutional feature maps without requiring perturbation-based sampling. For optimization, the two-stage fine-tuning protocol adopted in this work uses AdamW [7], which decouples weight decay from the gradient-based update to improve generalization relative to standard Adam. Robustness to unfamiliar inputs draws on the out-of-distribution detection baseline established by Hendrycks and Gimpel [8], which uses the softmax output distribution of a trained classifier as a signal for distinguishing in-distribution from out-of-distribution samples. Data augmentation strategies, including regional dropout as in Cutout [12] and the broader survey of image augmentation techniques in [15], inform the augmentation pipeline used to improve generalization across lighting, orientation, and background variation. Post-harvest shelf-life behavior is grounded in established agronomic storage </w:t>
      </w:r>
      <w:r>
        <w:t>guidance from the USDA handbook on commercial storage of fruits and vegetables [14].</w:t>
      </w:r>
    </w:p>
    <w:p w14:paraId="79C4D816" w14:textId="77777777" w:rsidR="003D2989" w:rsidRDefault="00000000">
      <w:pPr>
        <w:spacing w:before="240" w:after="120"/>
        <w:jc w:val="center"/>
      </w:pPr>
      <w:r>
        <w:rPr>
          <w:b/>
          <w:bCs/>
          <w:caps/>
        </w:rPr>
        <w:t>III. Methodology</w:t>
      </w:r>
    </w:p>
    <w:p w14:paraId="0FA2CFE3" w14:textId="77777777" w:rsidR="003D2989" w:rsidRDefault="00000000">
      <w:pPr>
        <w:spacing w:before="160" w:after="60"/>
      </w:pPr>
      <w:r>
        <w:rPr>
          <w:i/>
          <w:iCs/>
        </w:rPr>
        <w:t>A. Dataset Specifications — AgriFreshNET</w:t>
      </w:r>
    </w:p>
    <w:p w14:paraId="740DEFBC" w14:textId="77777777" w:rsidR="003D2989" w:rsidRDefault="00000000">
      <w:pPr>
        <w:ind w:firstLine="288"/>
        <w:jc w:val="both"/>
      </w:pPr>
      <w:r>
        <w:t>AgriFreshNET comprises 14,160 RGB images at a resolution of 224×224 pixels, spanning eight crop varieties—Banana, Bittermelon, Cucumber, Eggplant, Orange, Papaya, Pineapple, and Tomato—each labeled with one of three freshness classes: Fresh, Semi-Fresh, and Rotten. Each of the resulting twenty-four crop×class subclasses contains 590 images, yielding a balanced dataset. The dataset is partitioned into 70% training, 15% validation, and 15% testing splits using a fixed random seed of 42 to ensure reproducibility across all five architecture runs.</w:t>
      </w:r>
    </w:p>
    <w:p w14:paraId="55B2E8F2"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4B9F6A40" w14:textId="77777777" w:rsidR="003D2989" w:rsidRDefault="00000000">
      <w:pPr>
        <w:pBdr>
          <w:left w:val="single" w:sz="4" w:space="0" w:color="999999"/>
          <w:right w:val="single" w:sz="4" w:space="0" w:color="999999"/>
        </w:pBdr>
        <w:jc w:val="center"/>
      </w:pPr>
      <w:r>
        <w:t> </w:t>
      </w:r>
    </w:p>
    <w:p w14:paraId="3DBBE707" w14:textId="77777777" w:rsidR="003D2989" w:rsidRDefault="00000000">
      <w:pPr>
        <w:pBdr>
          <w:left w:val="single" w:sz="4" w:space="0" w:color="999999"/>
          <w:right w:val="single" w:sz="4" w:space="0" w:color="999999"/>
        </w:pBdr>
        <w:jc w:val="center"/>
      </w:pPr>
      <w:r>
        <w:t> </w:t>
      </w:r>
    </w:p>
    <w:p w14:paraId="6C9ABFD9" w14:textId="77777777" w:rsidR="003D2989" w:rsidRDefault="00000000">
      <w:pPr>
        <w:pBdr>
          <w:left w:val="single" w:sz="4" w:space="0" w:color="999999"/>
          <w:right w:val="single" w:sz="4" w:space="0" w:color="999999"/>
        </w:pBdr>
        <w:jc w:val="center"/>
      </w:pPr>
      <w:r>
        <w:t> </w:t>
      </w:r>
    </w:p>
    <w:p w14:paraId="07BECC8A" w14:textId="77777777" w:rsidR="003D2989" w:rsidRDefault="00000000">
      <w:pPr>
        <w:pBdr>
          <w:left w:val="single" w:sz="4" w:space="0" w:color="999999"/>
          <w:right w:val="single" w:sz="4" w:space="0" w:color="999999"/>
        </w:pBdr>
        <w:jc w:val="center"/>
      </w:pPr>
      <w:r>
        <w:t> </w:t>
      </w:r>
    </w:p>
    <w:p w14:paraId="3DB98268" w14:textId="77777777" w:rsidR="003D2989" w:rsidRDefault="00000000">
      <w:pPr>
        <w:pBdr>
          <w:left w:val="single" w:sz="4" w:space="0" w:color="999999"/>
          <w:right w:val="single" w:sz="4" w:space="0" w:color="999999"/>
        </w:pBdr>
        <w:jc w:val="center"/>
      </w:pPr>
      <w:r>
        <w:t> </w:t>
      </w:r>
    </w:p>
    <w:p w14:paraId="10CC9312"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1332D15D" w14:textId="77777777" w:rsidR="003D2989" w:rsidRDefault="00000000">
      <w:pPr>
        <w:spacing w:before="60" w:after="200"/>
        <w:jc w:val="center"/>
      </w:pPr>
      <w:r>
        <w:rPr>
          <w:sz w:val="18"/>
          <w:szCs w:val="18"/>
        </w:rPr>
        <w:t>Fig. 1.  System Architecture and Inspection Pipeline.</w:t>
      </w:r>
    </w:p>
    <w:p w14:paraId="1F969CA0"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700376AC" w14:textId="77777777" w:rsidR="003D2989" w:rsidRDefault="00000000">
      <w:pPr>
        <w:pBdr>
          <w:left w:val="single" w:sz="4" w:space="0" w:color="999999"/>
          <w:right w:val="single" w:sz="4" w:space="0" w:color="999999"/>
        </w:pBdr>
        <w:jc w:val="center"/>
      </w:pPr>
      <w:r>
        <w:t> </w:t>
      </w:r>
    </w:p>
    <w:p w14:paraId="4FEC8870" w14:textId="77777777" w:rsidR="003D2989" w:rsidRDefault="00000000">
      <w:pPr>
        <w:pBdr>
          <w:left w:val="single" w:sz="4" w:space="0" w:color="999999"/>
          <w:right w:val="single" w:sz="4" w:space="0" w:color="999999"/>
        </w:pBdr>
        <w:jc w:val="center"/>
      </w:pPr>
      <w:r>
        <w:t> </w:t>
      </w:r>
    </w:p>
    <w:p w14:paraId="403B1684" w14:textId="77777777" w:rsidR="003D2989" w:rsidRDefault="00000000">
      <w:pPr>
        <w:pBdr>
          <w:left w:val="single" w:sz="4" w:space="0" w:color="999999"/>
          <w:right w:val="single" w:sz="4" w:space="0" w:color="999999"/>
        </w:pBdr>
        <w:jc w:val="center"/>
      </w:pPr>
      <w:r>
        <w:t> </w:t>
      </w:r>
    </w:p>
    <w:p w14:paraId="35DB9A06" w14:textId="77777777" w:rsidR="003D2989" w:rsidRDefault="00000000">
      <w:pPr>
        <w:pBdr>
          <w:left w:val="single" w:sz="4" w:space="0" w:color="999999"/>
          <w:right w:val="single" w:sz="4" w:space="0" w:color="999999"/>
        </w:pBdr>
        <w:jc w:val="center"/>
      </w:pPr>
      <w:r>
        <w:t> </w:t>
      </w:r>
    </w:p>
    <w:p w14:paraId="44B0AA60" w14:textId="77777777" w:rsidR="003D2989" w:rsidRDefault="00000000">
      <w:pPr>
        <w:pBdr>
          <w:left w:val="single" w:sz="4" w:space="0" w:color="999999"/>
          <w:right w:val="single" w:sz="4" w:space="0" w:color="999999"/>
        </w:pBdr>
        <w:jc w:val="center"/>
      </w:pPr>
      <w:r>
        <w:t> </w:t>
      </w:r>
    </w:p>
    <w:p w14:paraId="488508AE"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32AAD2F4" w14:textId="77777777" w:rsidR="003D2989" w:rsidRDefault="00000000">
      <w:pPr>
        <w:spacing w:before="60" w:after="200"/>
        <w:jc w:val="center"/>
      </w:pPr>
      <w:r>
        <w:rPr>
          <w:sz w:val="18"/>
          <w:szCs w:val="18"/>
        </w:rPr>
        <w:t>Fig. 2.  AgriFreshNET Specimen Taxonomy Samples.</w:t>
      </w:r>
    </w:p>
    <w:p w14:paraId="5E6BA904" w14:textId="77777777" w:rsidR="003D2989" w:rsidRDefault="00000000">
      <w:pPr>
        <w:spacing w:before="160" w:after="60"/>
      </w:pPr>
      <w:r>
        <w:rPr>
          <w:i/>
          <w:iCs/>
        </w:rPr>
        <w:t>B. Data Preprocessing and Augmentation Pipeline</w:t>
      </w:r>
    </w:p>
    <w:p w14:paraId="633FD824" w14:textId="77777777" w:rsidR="003D2989" w:rsidRDefault="00000000">
      <w:pPr>
        <w:ind w:firstLine="288"/>
        <w:jc w:val="both"/>
      </w:pPr>
      <w:r>
        <w:t>All images are resized to 224×224 pixels and normalized using ImageNet channel statistics [10] prior to being passed through any of the five backbones. During training, the pipeline applies random horizontal flipping, random rotation, and color jitter to simulate variation in produce orientation and lighting encountered during real-world inspection. Regional dropout augmentation following the Cutout strategy [12] is additionally applied to encourage the network to rely on distributed, rather than localized, visual evidence, consistent with augmentation practices summarized in [15].</w:t>
      </w:r>
    </w:p>
    <w:p w14:paraId="2353C72E" w14:textId="77777777" w:rsidR="003D2989" w:rsidRDefault="00000000">
      <w:pPr>
        <w:spacing w:before="160" w:after="60"/>
      </w:pPr>
      <w:r>
        <w:rPr>
          <w:i/>
          <w:iCs/>
        </w:rPr>
        <w:t>C. Neural Network Architectures Evaluated</w:t>
      </w:r>
    </w:p>
    <w:p w14:paraId="600CEAFA" w14:textId="77777777" w:rsidR="003D2989" w:rsidRDefault="00000000">
      <w:pPr>
        <w:ind w:firstLine="288"/>
        <w:jc w:val="both"/>
      </w:pPr>
      <w:r>
        <w:t>Five CNN architectures are benchmarked under an identical training pipeline: MobileNetV3-Small [5], EfficientNet-B0 [3], ResNet18 [1], DenseNet121 [2], and EfficientNetV2-S [4]. Each architecture is initialized with ImageNet-pretrained weights [10] and its final classification layer is replaced with a three-way head corresponding to the Fresh, Semi-Fresh, and Rotten classes. All models are implemented and trained using PyTorch [11] under matched data loaders, augmentation, and evaluation protocols to ensure a fair comparison.</w:t>
      </w:r>
    </w:p>
    <w:p w14:paraId="6A9F6CA8" w14:textId="77777777" w:rsidR="003D2989" w:rsidRDefault="00000000">
      <w:pPr>
        <w:spacing w:before="160" w:after="60"/>
      </w:pPr>
      <w:r>
        <w:rPr>
          <w:i/>
          <w:iCs/>
        </w:rPr>
        <w:lastRenderedPageBreak/>
        <w:t>D. Two-Stage Transfer Learning Protocol</w:t>
      </w:r>
    </w:p>
    <w:p w14:paraId="01186232" w14:textId="77777777" w:rsidR="003D2989" w:rsidRDefault="00000000">
      <w:pPr>
        <w:ind w:firstLine="288"/>
        <w:jc w:val="both"/>
      </w:pPr>
      <w:r>
        <w:t>Training proceeds in two stages. In the first stage, the pretrained convolutional backbone is frozen and only the newly initialized classification head is optimized, allowing the head to adapt to the three-class freshness task without disturbing pretrained low-level and mid-level feature representations. In the second stage, the backbone is unfrozen and the entire network is fine-tuned end-to-end at a reduced learning rate using the AdamW optimizer [7], which decouples weight decay from the gradient update to improve generalization. This staged protocol is applied identically across all five architectures to isolate architectural differences from optimization artifacts.</w:t>
      </w:r>
    </w:p>
    <w:p w14:paraId="1F7BC0A1" w14:textId="77777777" w:rsidR="003D2989" w:rsidRDefault="00000000">
      <w:pPr>
        <w:spacing w:before="160" w:after="60"/>
      </w:pPr>
      <w:r>
        <w:rPr>
          <w:i/>
          <w:iCs/>
        </w:rPr>
        <w:t>E. Explainable AI: Grad-CAM Formulation</w:t>
      </w:r>
    </w:p>
    <w:p w14:paraId="69999743" w14:textId="77777777" w:rsidR="003D2989" w:rsidRDefault="00000000">
      <w:pPr>
        <w:ind w:firstLine="288"/>
        <w:jc w:val="both"/>
      </w:pPr>
      <w:r>
        <w:t xml:space="preserve">To provide visual justification for each prediction, Gradient-weighted Class Activation Mapping (Grad-CAM) [6] is applied to the final convolutional layer of the trained classifier. For a target class </w:t>
      </w:r>
      <w:r>
        <w:rPr>
          <w:i/>
          <w:iCs/>
        </w:rPr>
        <w:t>c</w:t>
      </w:r>
      <w:r>
        <w:t xml:space="preserve">, the importance weight </w:t>
      </w:r>
      <w:r>
        <w:rPr>
          <w:i/>
          <w:iCs/>
        </w:rPr>
        <w:t>α</w:t>
      </w:r>
      <w:r>
        <w:rPr>
          <w:vertAlign w:val="superscript"/>
        </w:rPr>
        <w:t>c</w:t>
      </w:r>
      <w:r>
        <w:t xml:space="preserve"> assigned to feature map </w:t>
      </w:r>
      <w:r>
        <w:rPr>
          <w:i/>
          <w:iCs/>
        </w:rPr>
        <w:t>k</w:t>
      </w:r>
      <w:r>
        <w:t xml:space="preserve"> is computed as the global-average-pooled gradient of the class score with respect to that feature map, as shown in (1), and the resulting weighted combination of activation maps is passed through a ReLU nonlinearity to yield the class-discriminative heatmap in (2).</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5"/>
        <w:gridCol w:w="761"/>
      </w:tblGrid>
      <w:tr w:rsidR="003D2989" w14:paraId="1AAFEEA1" w14:textId="77777777">
        <w:tblPrEx>
          <w:tblCellMar>
            <w:top w:w="0" w:type="dxa"/>
            <w:bottom w:w="0" w:type="dxa"/>
          </w:tblCellMar>
        </w:tblPrEx>
        <w:tc>
          <w:tcPr>
            <w:tcW w:w="4250" w:type="pct"/>
            <w:tcBorders>
              <w:top w:val="none" w:sz="0" w:space="0" w:color="FFFFFF"/>
              <w:left w:val="none" w:sz="0" w:space="0" w:color="FFFFFF"/>
              <w:bottom w:val="none" w:sz="0" w:space="0" w:color="FFFFFF"/>
              <w:right w:val="none" w:sz="0" w:space="0" w:color="FFFFFF"/>
            </w:tcBorders>
            <w:vAlign w:val="center"/>
          </w:tcPr>
          <w:p w14:paraId="444CC237" w14:textId="77777777" w:rsidR="003D2989" w:rsidRDefault="00000000">
            <w:pPr>
              <w:spacing w:before="100" w:after="100"/>
              <w:jc w:val="center"/>
            </w:pPr>
            <w:r>
              <w:rPr>
                <w:i/>
                <w:iCs/>
              </w:rPr>
              <w:t>α</w:t>
            </w:r>
            <w:r>
              <w:rPr>
                <w:vertAlign w:val="superscript"/>
              </w:rPr>
              <w:t>c</w:t>
            </w:r>
            <w:r>
              <w:rPr>
                <w:i/>
                <w:iCs/>
                <w:vertAlign w:val="subscript"/>
              </w:rPr>
              <w:t>k</w:t>
            </w:r>
            <w:r>
              <w:t xml:space="preserve"> = (1/Z) Σ</w:t>
            </w:r>
            <w:r>
              <w:rPr>
                <w:i/>
                <w:iCs/>
                <w:sz w:val="14"/>
                <w:szCs w:val="14"/>
                <w:vertAlign w:val="subscript"/>
              </w:rPr>
              <w:t>i,j</w:t>
            </w:r>
            <w:r>
              <w:t xml:space="preserve">  ∂</w:t>
            </w:r>
            <w:r>
              <w:rPr>
                <w:i/>
                <w:iCs/>
              </w:rPr>
              <w:t>y</w:t>
            </w:r>
            <w:r>
              <w:rPr>
                <w:vertAlign w:val="superscript"/>
              </w:rPr>
              <w:t>c</w:t>
            </w:r>
            <w:r>
              <w:t xml:space="preserve"> / ∂</w:t>
            </w:r>
            <w:r>
              <w:rPr>
                <w:i/>
                <w:iCs/>
              </w:rPr>
              <w:t>A</w:t>
            </w:r>
            <w:r>
              <w:rPr>
                <w:i/>
                <w:iCs/>
                <w:vertAlign w:val="subscript"/>
              </w:rPr>
              <w:t>k</w:t>
            </w:r>
            <w:r>
              <w:rPr>
                <w:i/>
                <w:iCs/>
                <w:sz w:val="14"/>
                <w:szCs w:val="14"/>
                <w:vertAlign w:val="subscript"/>
              </w:rPr>
              <w:t>i,j</w:t>
            </w:r>
          </w:p>
        </w:tc>
        <w:tc>
          <w:tcPr>
            <w:tcW w:w="750" w:type="pct"/>
            <w:tcBorders>
              <w:top w:val="none" w:sz="0" w:space="0" w:color="FFFFFF"/>
              <w:left w:val="none" w:sz="0" w:space="0" w:color="FFFFFF"/>
              <w:bottom w:val="none" w:sz="0" w:space="0" w:color="FFFFFF"/>
              <w:right w:val="none" w:sz="0" w:space="0" w:color="FFFFFF"/>
            </w:tcBorders>
            <w:vAlign w:val="center"/>
          </w:tcPr>
          <w:p w14:paraId="4FC3841B" w14:textId="77777777" w:rsidR="003D2989" w:rsidRDefault="00000000">
            <w:pPr>
              <w:spacing w:before="100" w:after="100"/>
              <w:jc w:val="right"/>
            </w:pPr>
            <w:r>
              <w:t>(1)</w:t>
            </w:r>
          </w:p>
        </w:tc>
      </w:tr>
    </w:tbl>
    <w:p w14:paraId="6A6262C3" w14:textId="77777777" w:rsidR="003D2989" w:rsidRDefault="00000000">
      <w:pPr>
        <w:spacing w:after="100"/>
      </w:pPr>
      <w:r>
        <w:t xml:space="preserve">where </w:t>
      </w:r>
      <w:r>
        <w:rPr>
          <w:i/>
          <w:iCs/>
        </w:rPr>
        <w:t>Z</w:t>
      </w:r>
      <w:r>
        <w:t xml:space="preserve"> is the number of pixels in the feature map (used for global average pooling), </w:t>
      </w:r>
      <w:r>
        <w:rPr>
          <w:i/>
          <w:iCs/>
        </w:rPr>
        <w:t>y</w:t>
      </w:r>
      <w:r>
        <w:rPr>
          <w:vertAlign w:val="superscript"/>
        </w:rPr>
        <w:t>c</w:t>
      </w:r>
      <w:r>
        <w:t xml:space="preserve"> is the raw score for class </w:t>
      </w:r>
      <w:r>
        <w:rPr>
          <w:i/>
          <w:iCs/>
        </w:rPr>
        <w:t>c</w:t>
      </w:r>
      <w:r>
        <w:t xml:space="preserve"> prior to softmax, and </w:t>
      </w:r>
      <w:r>
        <w:rPr>
          <w:i/>
          <w:iCs/>
        </w:rPr>
        <w:t>A</w:t>
      </w:r>
      <w:r>
        <w:rPr>
          <w:i/>
          <w:iCs/>
          <w:vertAlign w:val="subscript"/>
        </w:rPr>
        <w:t>k</w:t>
      </w:r>
      <w:r>
        <w:rPr>
          <w:i/>
          <w:iCs/>
          <w:sz w:val="14"/>
          <w:szCs w:val="14"/>
          <w:vertAlign w:val="subscript"/>
        </w:rPr>
        <w:t>i,j</w:t>
      </w:r>
      <w:r>
        <w:t xml:space="preserve"> is the activation of feature map </w:t>
      </w:r>
      <w:r>
        <w:rPr>
          <w:i/>
          <w:iCs/>
        </w:rPr>
        <w:t>k</w:t>
      </w:r>
      <w:r>
        <w:t xml:space="preserve"> at spatial location (</w:t>
      </w:r>
      <w:r>
        <w:rPr>
          <w:i/>
          <w:iCs/>
        </w:rPr>
        <w:t>i</w:t>
      </w:r>
      <w:r>
        <w:t xml:space="preserve">, </w:t>
      </w:r>
      <w:r>
        <w:rPr>
          <w:i/>
          <w:iCs/>
        </w:rPr>
        <w:t>j</w:t>
      </w:r>
      <w:r>
        <w: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5"/>
        <w:gridCol w:w="761"/>
      </w:tblGrid>
      <w:tr w:rsidR="003D2989" w14:paraId="0222588B" w14:textId="77777777">
        <w:tblPrEx>
          <w:tblCellMar>
            <w:top w:w="0" w:type="dxa"/>
            <w:bottom w:w="0" w:type="dxa"/>
          </w:tblCellMar>
        </w:tblPrEx>
        <w:tc>
          <w:tcPr>
            <w:tcW w:w="4250" w:type="pct"/>
            <w:tcBorders>
              <w:top w:val="none" w:sz="0" w:space="0" w:color="FFFFFF"/>
              <w:left w:val="none" w:sz="0" w:space="0" w:color="FFFFFF"/>
              <w:bottom w:val="none" w:sz="0" w:space="0" w:color="FFFFFF"/>
              <w:right w:val="none" w:sz="0" w:space="0" w:color="FFFFFF"/>
            </w:tcBorders>
            <w:vAlign w:val="center"/>
          </w:tcPr>
          <w:p w14:paraId="5B73CF98" w14:textId="77777777" w:rsidR="003D2989" w:rsidRDefault="00000000">
            <w:pPr>
              <w:spacing w:before="100" w:after="100"/>
              <w:jc w:val="center"/>
            </w:pPr>
            <w:r>
              <w:rPr>
                <w:i/>
                <w:iCs/>
              </w:rPr>
              <w:t>L</w:t>
            </w:r>
            <w:r>
              <w:rPr>
                <w:i/>
                <w:iCs/>
                <w:vertAlign w:val="superscript"/>
              </w:rPr>
              <w:t>c</w:t>
            </w:r>
            <w:r>
              <w:t>Grad-CAM = ReLU( Σ</w:t>
            </w:r>
            <w:r>
              <w:rPr>
                <w:i/>
                <w:iCs/>
                <w:sz w:val="14"/>
                <w:szCs w:val="14"/>
                <w:vertAlign w:val="subscript"/>
              </w:rPr>
              <w:t>k</w:t>
            </w:r>
            <w:r>
              <w:rPr>
                <w:i/>
                <w:iCs/>
              </w:rPr>
              <w:t xml:space="preserve"> α</w:t>
            </w:r>
            <w:r>
              <w:rPr>
                <w:vertAlign w:val="superscript"/>
              </w:rPr>
              <w:t>c</w:t>
            </w:r>
            <w:r>
              <w:rPr>
                <w:i/>
                <w:iCs/>
                <w:vertAlign w:val="subscript"/>
              </w:rPr>
              <w:t>k</w:t>
            </w:r>
            <w:r>
              <w:rPr>
                <w:i/>
                <w:iCs/>
              </w:rPr>
              <w:t xml:space="preserve"> A</w:t>
            </w:r>
            <w:r>
              <w:rPr>
                <w:i/>
                <w:iCs/>
                <w:vertAlign w:val="subscript"/>
              </w:rPr>
              <w:t>k</w:t>
            </w:r>
            <w:r>
              <w:t xml:space="preserve"> )</w:t>
            </w:r>
          </w:p>
        </w:tc>
        <w:tc>
          <w:tcPr>
            <w:tcW w:w="750" w:type="pct"/>
            <w:tcBorders>
              <w:top w:val="none" w:sz="0" w:space="0" w:color="FFFFFF"/>
              <w:left w:val="none" w:sz="0" w:space="0" w:color="FFFFFF"/>
              <w:bottom w:val="none" w:sz="0" w:space="0" w:color="FFFFFF"/>
              <w:right w:val="none" w:sz="0" w:space="0" w:color="FFFFFF"/>
            </w:tcBorders>
            <w:vAlign w:val="center"/>
          </w:tcPr>
          <w:p w14:paraId="04EFE49F" w14:textId="77777777" w:rsidR="003D2989" w:rsidRDefault="00000000">
            <w:pPr>
              <w:spacing w:before="100" w:after="100"/>
              <w:jc w:val="right"/>
            </w:pPr>
            <w:r>
              <w:t>(2)</w:t>
            </w:r>
          </w:p>
        </w:tc>
      </w:tr>
    </w:tbl>
    <w:p w14:paraId="7AAB897C" w14:textId="77777777" w:rsidR="003D2989" w:rsidRDefault="00000000">
      <w:pPr>
        <w:ind w:firstLine="288"/>
        <w:jc w:val="both"/>
      </w:pPr>
      <w:r>
        <w:t>Overlaying the resulting heatmap on the original image highlights the spatial regions—such as discoloration, bruising, or surface lesions—that most strongly influenced the network's freshness prediction, giving inspectors a visually interpretable basis for trusting or auditing individual classifications.</w:t>
      </w:r>
    </w:p>
    <w:p w14:paraId="21C654B6"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50AC7B7F" w14:textId="77777777" w:rsidR="003D2989" w:rsidRDefault="00000000">
      <w:pPr>
        <w:pBdr>
          <w:left w:val="single" w:sz="4" w:space="0" w:color="999999"/>
          <w:right w:val="single" w:sz="4" w:space="0" w:color="999999"/>
        </w:pBdr>
        <w:jc w:val="center"/>
      </w:pPr>
      <w:r>
        <w:t> </w:t>
      </w:r>
    </w:p>
    <w:p w14:paraId="040A8584" w14:textId="77777777" w:rsidR="003D2989" w:rsidRDefault="00000000">
      <w:pPr>
        <w:pBdr>
          <w:left w:val="single" w:sz="4" w:space="0" w:color="999999"/>
          <w:right w:val="single" w:sz="4" w:space="0" w:color="999999"/>
        </w:pBdr>
        <w:jc w:val="center"/>
      </w:pPr>
      <w:r>
        <w:t> </w:t>
      </w:r>
    </w:p>
    <w:p w14:paraId="22B0CC48" w14:textId="77777777" w:rsidR="003D2989" w:rsidRDefault="00000000">
      <w:pPr>
        <w:pBdr>
          <w:left w:val="single" w:sz="4" w:space="0" w:color="999999"/>
          <w:right w:val="single" w:sz="4" w:space="0" w:color="999999"/>
        </w:pBdr>
        <w:jc w:val="center"/>
      </w:pPr>
      <w:r>
        <w:t> </w:t>
      </w:r>
    </w:p>
    <w:p w14:paraId="7399A9E3" w14:textId="77777777" w:rsidR="003D2989" w:rsidRDefault="00000000">
      <w:pPr>
        <w:pBdr>
          <w:left w:val="single" w:sz="4" w:space="0" w:color="999999"/>
          <w:right w:val="single" w:sz="4" w:space="0" w:color="999999"/>
        </w:pBdr>
        <w:jc w:val="center"/>
      </w:pPr>
      <w:r>
        <w:t> </w:t>
      </w:r>
    </w:p>
    <w:p w14:paraId="69177175" w14:textId="77777777" w:rsidR="003D2989" w:rsidRDefault="00000000">
      <w:pPr>
        <w:pBdr>
          <w:left w:val="single" w:sz="4" w:space="0" w:color="999999"/>
          <w:right w:val="single" w:sz="4" w:space="0" w:color="999999"/>
        </w:pBdr>
        <w:jc w:val="center"/>
      </w:pPr>
      <w:r>
        <w:t> </w:t>
      </w:r>
    </w:p>
    <w:p w14:paraId="4368896B"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1C6CA7A3" w14:textId="77777777" w:rsidR="003D2989" w:rsidRDefault="00000000">
      <w:pPr>
        <w:spacing w:before="60" w:after="200"/>
        <w:jc w:val="center"/>
      </w:pPr>
      <w:r>
        <w:rPr>
          <w:sz w:val="18"/>
          <w:szCs w:val="18"/>
        </w:rPr>
        <w:t>Fig. 6.  Grad-CAM Spatial Heatmap Overlays.</w:t>
      </w:r>
    </w:p>
    <w:p w14:paraId="0F67E2EC" w14:textId="77777777" w:rsidR="003D2989" w:rsidRDefault="00000000">
      <w:pPr>
        <w:spacing w:before="160" w:after="60"/>
      </w:pPr>
      <w:r>
        <w:rPr>
          <w:i/>
          <w:iCs/>
        </w:rPr>
        <w:t>F. Zero-Shot Out-of-Distribution Gatekeeper</w:t>
      </w:r>
    </w:p>
    <w:p w14:paraId="1F792EE2" w14:textId="77777777" w:rsidR="003D2989" w:rsidRDefault="00000000">
      <w:pPr>
        <w:ind w:firstLine="288"/>
        <w:jc w:val="both"/>
      </w:pPr>
      <w:r>
        <w:t xml:space="preserve">Because a deployed inspection system may encounter images that are not produce at all, or that depict a crop and condition outside the training distribution, a zero-shot out-of-distribution (OOD) gatekeeper is placed ahead of the freshness classifier. Following the softmax-response principle established in [8], the gatekeeper examines the confidence and entropy characteristics of the trained classifier's output distribution to flag inputs that do not resemble any in-distribution crop/class combination, routing them to rejection rather than forcing a potentially unreliable Fresh, Semi-Fresh, or Rotten label. This </w:t>
      </w:r>
      <w:r>
        <w:t>gatekeeping stage runs prior to, and independently of, the five benchmarked classification backbones, so it can be paired with whichever architecture is deployed.</w:t>
      </w:r>
    </w:p>
    <w:p w14:paraId="070861F5" w14:textId="77777777" w:rsidR="003D2989" w:rsidRDefault="00000000">
      <w:pPr>
        <w:spacing w:before="160" w:after="60"/>
      </w:pPr>
      <w:r>
        <w:rPr>
          <w:i/>
          <w:iCs/>
        </w:rPr>
        <w:t>G. Shelf-Life Estimation and Freshness Index Formulation</w:t>
      </w:r>
    </w:p>
    <w:p w14:paraId="67A29CEA" w14:textId="77777777" w:rsidR="003D2989" w:rsidRDefault="00000000">
      <w:pPr>
        <w:ind w:firstLine="288"/>
        <w:jc w:val="both"/>
      </w:pPr>
      <w:r>
        <w:t xml:space="preserve">To move beyond a discrete class label, the classifier's three softmax probabilities are combined into a single continuous Freshness Index (FI), defined in (3), where </w:t>
      </w:r>
      <w:r>
        <w:rPr>
          <w:i/>
          <w:iCs/>
        </w:rPr>
        <w:t>P</w:t>
      </w:r>
      <w:r>
        <w:rPr>
          <w:sz w:val="14"/>
          <w:szCs w:val="14"/>
          <w:vertAlign w:val="subscript"/>
        </w:rPr>
        <w:t>Fresh</w:t>
      </w:r>
      <w:r>
        <w:t xml:space="preserve">, </w:t>
      </w:r>
      <w:r>
        <w:rPr>
          <w:i/>
          <w:iCs/>
        </w:rPr>
        <w:t>P</w:t>
      </w:r>
      <w:r>
        <w:rPr>
          <w:sz w:val="14"/>
          <w:szCs w:val="14"/>
          <w:vertAlign w:val="subscript"/>
        </w:rPr>
        <w:t>Semi-Fresh</w:t>
      </w:r>
      <w:r>
        <w:t xml:space="preserve">, and </w:t>
      </w:r>
      <w:r>
        <w:rPr>
          <w:i/>
          <w:iCs/>
        </w:rPr>
        <w:t>P</w:t>
      </w:r>
      <w:r>
        <w:rPr>
          <w:sz w:val="14"/>
          <w:szCs w:val="14"/>
          <w:vertAlign w:val="subscript"/>
        </w:rPr>
        <w:t>Rotten</w:t>
      </w:r>
      <w:r>
        <w:t xml:space="preserve"> denote the predicted probabilities of the Fresh, Semi-Fresh, and Rotten classes, respectively.</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5"/>
        <w:gridCol w:w="761"/>
      </w:tblGrid>
      <w:tr w:rsidR="003D2989" w14:paraId="6C8B6C69" w14:textId="77777777">
        <w:tblPrEx>
          <w:tblCellMar>
            <w:top w:w="0" w:type="dxa"/>
            <w:bottom w:w="0" w:type="dxa"/>
          </w:tblCellMar>
        </w:tblPrEx>
        <w:tc>
          <w:tcPr>
            <w:tcW w:w="4250" w:type="pct"/>
            <w:tcBorders>
              <w:top w:val="none" w:sz="0" w:space="0" w:color="FFFFFF"/>
              <w:left w:val="none" w:sz="0" w:space="0" w:color="FFFFFF"/>
              <w:bottom w:val="none" w:sz="0" w:space="0" w:color="FFFFFF"/>
              <w:right w:val="none" w:sz="0" w:space="0" w:color="FFFFFF"/>
            </w:tcBorders>
            <w:vAlign w:val="center"/>
          </w:tcPr>
          <w:p w14:paraId="646A9D97" w14:textId="77777777" w:rsidR="003D2989" w:rsidRDefault="00000000">
            <w:pPr>
              <w:spacing w:before="100" w:after="100"/>
              <w:jc w:val="center"/>
            </w:pPr>
            <w:r>
              <w:rPr>
                <w:i/>
                <w:iCs/>
              </w:rPr>
              <w:t>FI</w:t>
            </w:r>
            <w:r>
              <w:t xml:space="preserve"> = (</w:t>
            </w:r>
            <w:r>
              <w:rPr>
                <w:i/>
                <w:iCs/>
              </w:rPr>
              <w:t>P</w:t>
            </w:r>
            <w:r>
              <w:rPr>
                <w:sz w:val="14"/>
                <w:szCs w:val="14"/>
                <w:vertAlign w:val="subscript"/>
              </w:rPr>
              <w:t>Fresh</w:t>
            </w:r>
            <w:r>
              <w:t xml:space="preserve"> × 1.0 + </w:t>
            </w:r>
            <w:r>
              <w:rPr>
                <w:i/>
                <w:iCs/>
              </w:rPr>
              <w:t>P</w:t>
            </w:r>
            <w:r>
              <w:rPr>
                <w:sz w:val="14"/>
                <w:szCs w:val="14"/>
                <w:vertAlign w:val="subscript"/>
              </w:rPr>
              <w:t>Semi-Fresh</w:t>
            </w:r>
            <w:r>
              <w:t xml:space="preserve"> × 0.5 + </w:t>
            </w:r>
            <w:r>
              <w:rPr>
                <w:i/>
                <w:iCs/>
              </w:rPr>
              <w:t>P</w:t>
            </w:r>
            <w:r>
              <w:rPr>
                <w:sz w:val="14"/>
                <w:szCs w:val="14"/>
                <w:vertAlign w:val="subscript"/>
              </w:rPr>
              <w:t>Rotten</w:t>
            </w:r>
            <w:r>
              <w:t xml:space="preserve"> × 0.0) × 100</w:t>
            </w:r>
          </w:p>
        </w:tc>
        <w:tc>
          <w:tcPr>
            <w:tcW w:w="750" w:type="pct"/>
            <w:tcBorders>
              <w:top w:val="none" w:sz="0" w:space="0" w:color="FFFFFF"/>
              <w:left w:val="none" w:sz="0" w:space="0" w:color="FFFFFF"/>
              <w:bottom w:val="none" w:sz="0" w:space="0" w:color="FFFFFF"/>
              <w:right w:val="none" w:sz="0" w:space="0" w:color="FFFFFF"/>
            </w:tcBorders>
            <w:vAlign w:val="center"/>
          </w:tcPr>
          <w:p w14:paraId="692C88DD" w14:textId="77777777" w:rsidR="003D2989" w:rsidRDefault="00000000">
            <w:pPr>
              <w:spacing w:before="100" w:after="100"/>
              <w:jc w:val="right"/>
            </w:pPr>
            <w:r>
              <w:t>(3)</w:t>
            </w:r>
          </w:p>
        </w:tc>
      </w:tr>
    </w:tbl>
    <w:p w14:paraId="3BCAE817" w14:textId="77777777" w:rsidR="003D2989" w:rsidRDefault="00000000">
      <w:pPr>
        <w:ind w:firstLine="288"/>
        <w:jc w:val="both"/>
      </w:pPr>
      <w:r>
        <w:t>The resulting FI score, bounded between 0 and 100, is then mapped to a crop-specific shelf-life window using the post-harvest storage intervals summarized in Table I, allowing the system to output an estimated remaining shelf life rather than a class label alone.</w:t>
      </w:r>
    </w:p>
    <w:p w14:paraId="72367C37" w14:textId="77777777" w:rsidR="003D2989" w:rsidRDefault="00000000">
      <w:pPr>
        <w:spacing w:before="120" w:after="40"/>
        <w:jc w:val="center"/>
      </w:pPr>
      <w:r>
        <w:rPr>
          <w:b/>
          <w:bCs/>
          <w:sz w:val="18"/>
          <w:szCs w:val="18"/>
        </w:rPr>
        <w:t>TABLE I</w:t>
      </w:r>
    </w:p>
    <w:p w14:paraId="2F483D39" w14:textId="77777777" w:rsidR="003D2989" w:rsidRDefault="00000000">
      <w:pPr>
        <w:spacing w:after="100"/>
        <w:jc w:val="center"/>
      </w:pPr>
      <w:r>
        <w:rPr>
          <w:b/>
          <w:bCs/>
          <w:sz w:val="18"/>
          <w:szCs w:val="18"/>
        </w:rPr>
        <w:t>AGRIFRESHNET POST-HARVEST SHELF-LIFE INTERVALS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
        <w:gridCol w:w="1015"/>
        <w:gridCol w:w="1015"/>
        <w:gridCol w:w="1015"/>
        <w:gridCol w:w="1015"/>
      </w:tblGrid>
      <w:tr w:rsidR="003D2989" w14:paraId="07913036" w14:textId="77777777">
        <w:tblPrEx>
          <w:tblCellMar>
            <w:top w:w="0" w:type="dxa"/>
            <w:bottom w:w="0" w:type="dxa"/>
          </w:tblCellMar>
        </w:tblPrEx>
        <w:trPr>
          <w:tblHeader/>
        </w:trPr>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01617546" w14:textId="77777777" w:rsidR="003D2989" w:rsidRDefault="00000000">
            <w:pPr>
              <w:jc w:val="center"/>
            </w:pPr>
            <w:r>
              <w:rPr>
                <w:b/>
                <w:bCs/>
                <w:sz w:val="18"/>
                <w:szCs w:val="18"/>
              </w:rPr>
              <w:t>Crop</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12DCAF70" w14:textId="77777777" w:rsidR="003D2989" w:rsidRDefault="00000000">
            <w:pPr>
              <w:jc w:val="center"/>
            </w:pPr>
            <w:r>
              <w:rPr>
                <w:b/>
                <w:bCs/>
                <w:sz w:val="18"/>
                <w:szCs w:val="18"/>
              </w:rPr>
              <w:t>Fresh (days)</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7430739" w14:textId="77777777" w:rsidR="003D2989" w:rsidRDefault="00000000">
            <w:pPr>
              <w:jc w:val="center"/>
            </w:pPr>
            <w:r>
              <w:rPr>
                <w:b/>
                <w:bCs/>
                <w:sz w:val="18"/>
                <w:szCs w:val="18"/>
              </w:rPr>
              <w:t>Semi-Fresh (days)</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2178E924" w14:textId="77777777" w:rsidR="003D2989" w:rsidRDefault="00000000">
            <w:pPr>
              <w:jc w:val="center"/>
            </w:pPr>
            <w:r>
              <w:rPr>
                <w:b/>
                <w:bCs/>
                <w:sz w:val="18"/>
                <w:szCs w:val="18"/>
              </w:rPr>
              <w:t>Rotten (days)</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694DA8D" w14:textId="77777777" w:rsidR="003D2989" w:rsidRDefault="00000000">
            <w:pPr>
              <w:jc w:val="center"/>
            </w:pPr>
            <w:r>
              <w:rPr>
                <w:b/>
                <w:bCs/>
                <w:sz w:val="18"/>
                <w:szCs w:val="18"/>
              </w:rPr>
              <w:t>Storage Temp.</w:t>
            </w:r>
          </w:p>
        </w:tc>
      </w:tr>
      <w:tr w:rsidR="003D2989" w14:paraId="14E1C93B"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67F34B0D" w14:textId="77777777" w:rsidR="003D2989" w:rsidRDefault="00000000">
            <w:pPr>
              <w:jc w:val="center"/>
            </w:pPr>
            <w:r>
              <w:rPr>
                <w:sz w:val="18"/>
                <w:szCs w:val="18"/>
              </w:rPr>
              <w:t>Banana</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7B931DD7"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55ECC56E"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775EDE68"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0D8726A2" w14:textId="77777777" w:rsidR="003D2989" w:rsidRDefault="00000000">
            <w:pPr>
              <w:jc w:val="center"/>
            </w:pPr>
            <w:r>
              <w:rPr>
                <w:sz w:val="18"/>
                <w:szCs w:val="18"/>
              </w:rPr>
              <w:t>N/A¹</w:t>
            </w:r>
          </w:p>
        </w:tc>
      </w:tr>
      <w:tr w:rsidR="003D2989" w14:paraId="7140DA4D"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4F18EA3" w14:textId="77777777" w:rsidR="003D2989" w:rsidRDefault="00000000">
            <w:pPr>
              <w:jc w:val="center"/>
            </w:pPr>
            <w:r>
              <w:rPr>
                <w:sz w:val="18"/>
                <w:szCs w:val="18"/>
              </w:rPr>
              <w:t>Bittermelon</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1F9D184"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57E787AC"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684CBFB4"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63633DA5" w14:textId="77777777" w:rsidR="003D2989" w:rsidRDefault="00000000">
            <w:pPr>
              <w:jc w:val="center"/>
            </w:pPr>
            <w:r>
              <w:rPr>
                <w:sz w:val="18"/>
                <w:szCs w:val="18"/>
              </w:rPr>
              <w:t>N/A¹</w:t>
            </w:r>
          </w:p>
        </w:tc>
      </w:tr>
      <w:tr w:rsidR="003D2989" w14:paraId="365FB4A2"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6003A35F" w14:textId="77777777" w:rsidR="003D2989" w:rsidRDefault="00000000">
            <w:pPr>
              <w:jc w:val="center"/>
            </w:pPr>
            <w:r>
              <w:rPr>
                <w:sz w:val="18"/>
                <w:szCs w:val="18"/>
              </w:rPr>
              <w:t>Cucumber</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069F66D5"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2C389B66"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12AE5D5E"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640934C" w14:textId="77777777" w:rsidR="003D2989" w:rsidRDefault="00000000">
            <w:pPr>
              <w:jc w:val="center"/>
            </w:pPr>
            <w:r>
              <w:rPr>
                <w:sz w:val="18"/>
                <w:szCs w:val="18"/>
              </w:rPr>
              <w:t>N/A¹</w:t>
            </w:r>
          </w:p>
        </w:tc>
      </w:tr>
      <w:tr w:rsidR="003D2989" w14:paraId="1E08A8D7"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10A18585" w14:textId="77777777" w:rsidR="003D2989" w:rsidRDefault="00000000">
            <w:pPr>
              <w:jc w:val="center"/>
            </w:pPr>
            <w:r>
              <w:rPr>
                <w:sz w:val="18"/>
                <w:szCs w:val="18"/>
              </w:rPr>
              <w:t>Eggplant</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1F8BEA8D"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55B1F5A5"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27298D4A"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001E1B44" w14:textId="77777777" w:rsidR="003D2989" w:rsidRDefault="00000000">
            <w:pPr>
              <w:jc w:val="center"/>
            </w:pPr>
            <w:r>
              <w:rPr>
                <w:sz w:val="18"/>
                <w:szCs w:val="18"/>
              </w:rPr>
              <w:t>N/A¹</w:t>
            </w:r>
          </w:p>
        </w:tc>
      </w:tr>
      <w:tr w:rsidR="003D2989" w14:paraId="6726AD0D"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D420F3B" w14:textId="77777777" w:rsidR="003D2989" w:rsidRDefault="00000000">
            <w:pPr>
              <w:jc w:val="center"/>
            </w:pPr>
            <w:r>
              <w:rPr>
                <w:sz w:val="18"/>
                <w:szCs w:val="18"/>
              </w:rPr>
              <w:t>Orange</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7A4F2B76"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A4356B0"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14616B7E"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7865742C" w14:textId="77777777" w:rsidR="003D2989" w:rsidRDefault="00000000">
            <w:pPr>
              <w:jc w:val="center"/>
            </w:pPr>
            <w:r>
              <w:rPr>
                <w:sz w:val="18"/>
                <w:szCs w:val="18"/>
              </w:rPr>
              <w:t>N/A¹</w:t>
            </w:r>
          </w:p>
        </w:tc>
      </w:tr>
      <w:tr w:rsidR="003D2989" w14:paraId="66790CA3"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51C9A94F" w14:textId="77777777" w:rsidR="003D2989" w:rsidRDefault="00000000">
            <w:pPr>
              <w:jc w:val="center"/>
            </w:pPr>
            <w:r>
              <w:rPr>
                <w:sz w:val="18"/>
                <w:szCs w:val="18"/>
              </w:rPr>
              <w:t>Papaya</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0711085"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C938978"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530DA18D"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CFB79B6" w14:textId="77777777" w:rsidR="003D2989" w:rsidRDefault="00000000">
            <w:pPr>
              <w:jc w:val="center"/>
            </w:pPr>
            <w:r>
              <w:rPr>
                <w:sz w:val="18"/>
                <w:szCs w:val="18"/>
              </w:rPr>
              <w:t>N/A¹</w:t>
            </w:r>
          </w:p>
        </w:tc>
      </w:tr>
      <w:tr w:rsidR="003D2989" w14:paraId="4FF6D307"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CE6BB08" w14:textId="77777777" w:rsidR="003D2989" w:rsidRDefault="00000000">
            <w:pPr>
              <w:jc w:val="center"/>
            </w:pPr>
            <w:r>
              <w:rPr>
                <w:sz w:val="18"/>
                <w:szCs w:val="18"/>
              </w:rPr>
              <w:t>Pineapple</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AA1F860"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2C245E1"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1FF9BC3"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6074535" w14:textId="77777777" w:rsidR="003D2989" w:rsidRDefault="00000000">
            <w:pPr>
              <w:jc w:val="center"/>
            </w:pPr>
            <w:r>
              <w:rPr>
                <w:sz w:val="18"/>
                <w:szCs w:val="18"/>
              </w:rPr>
              <w:t>N/A¹</w:t>
            </w:r>
          </w:p>
        </w:tc>
      </w:tr>
      <w:tr w:rsidR="003D2989" w14:paraId="47B19DCA" w14:textId="77777777">
        <w:tblPrEx>
          <w:tblCellMar>
            <w:top w:w="0" w:type="dxa"/>
            <w:bottom w:w="0" w:type="dxa"/>
          </w:tblCellMar>
        </w:tblPrEx>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4B0A860A" w14:textId="77777777" w:rsidR="003D2989" w:rsidRDefault="00000000">
            <w:pPr>
              <w:jc w:val="center"/>
            </w:pPr>
            <w:r>
              <w:rPr>
                <w:sz w:val="18"/>
                <w:szCs w:val="18"/>
              </w:rPr>
              <w:t>Tomato</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6DC506F2"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3AA85F89"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6865DAB7" w14:textId="77777777" w:rsidR="003D2989" w:rsidRDefault="00000000">
            <w:pPr>
              <w:jc w:val="center"/>
            </w:pPr>
            <w:r>
              <w:rPr>
                <w:sz w:val="18"/>
                <w:szCs w:val="18"/>
              </w:rPr>
              <w:t>N/A¹</w:t>
            </w:r>
          </w:p>
        </w:tc>
        <w:tc>
          <w:tcPr>
            <w:tcW w:w="1000" w:type="pct"/>
            <w:tcBorders>
              <w:top w:val="single" w:sz="4"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14:paraId="2684976B" w14:textId="77777777" w:rsidR="003D2989" w:rsidRDefault="00000000">
            <w:pPr>
              <w:jc w:val="center"/>
            </w:pPr>
            <w:r>
              <w:rPr>
                <w:sz w:val="18"/>
                <w:szCs w:val="18"/>
              </w:rPr>
              <w:t>N/A¹</w:t>
            </w:r>
          </w:p>
        </w:tc>
      </w:tr>
    </w:tbl>
    <w:p w14:paraId="03FF37E3" w14:textId="77777777" w:rsidR="003D2989" w:rsidRDefault="00000000">
      <w:pPr>
        <w:spacing w:before="60" w:after="200"/>
      </w:pPr>
      <w:r>
        <w:rPr>
          <w:i/>
          <w:iCs/>
          <w:sz w:val="16"/>
          <w:szCs w:val="16"/>
        </w:rPr>
        <w:t>¹Exact per-crop shelf-life interval boundaries and storage temperatures were not included in the supplied project source material; values are marked not available (N/A) pending confirmation and should be populated from the original AgriFreshNET data sheet before submission.</w:t>
      </w:r>
    </w:p>
    <w:p w14:paraId="710FA959" w14:textId="77777777" w:rsidR="003D2989" w:rsidRDefault="00000000">
      <w:pPr>
        <w:spacing w:before="240" w:after="120"/>
        <w:jc w:val="center"/>
      </w:pPr>
      <w:r>
        <w:rPr>
          <w:b/>
          <w:bCs/>
          <w:caps/>
        </w:rPr>
        <w:t>IV. Experimental Results</w:t>
      </w:r>
    </w:p>
    <w:p w14:paraId="00E0A9C8" w14:textId="77777777" w:rsidR="003D2989" w:rsidRDefault="00000000">
      <w:pPr>
        <w:spacing w:before="160" w:after="60"/>
      </w:pPr>
      <w:r>
        <w:rPr>
          <w:i/>
          <w:iCs/>
        </w:rPr>
        <w:t>A. Quantitative Classification Benchmark</w:t>
      </w:r>
    </w:p>
    <w:p w14:paraId="45DE073E" w14:textId="77777777" w:rsidR="003D2989" w:rsidRDefault="00000000">
      <w:pPr>
        <w:ind w:firstLine="288"/>
        <w:jc w:val="both"/>
      </w:pPr>
      <w:r>
        <w:t>Table II reports the test-set performance of all five architectures under the identical two-stage transfer-learning protocol described in Section III-D. DenseNet121 achieves the strongest overall performance, with 98.02% accuracy, 99.86% macro ROC-AUC, 98.02% macro precision, 98.03% macro recall, and 98.02% macro F1, at an inference latency of 3.72 ms. EfficientNetV2-S is the second-strongest performer (96.75% accuracy, 99.76% macro ROC-AUC) with the lowest latency among the top three models at 3.42 ms. ResNet18 and EfficientNet-B0 achieve comparable mid-range accuracy (96.00% and 95.91%, respectively) with substantially lower latency (1.07 ms and 1.66 ms). MobileNetV3-Small trails in accuracy at 89.32% but achieves by far the lowest latency, at 0.80 ms per image, and the smallest model footprint at 5.85 MB.</w:t>
      </w:r>
    </w:p>
    <w:p w14:paraId="71C8A818" w14:textId="77777777" w:rsidR="003D2989" w:rsidRDefault="003D2989">
      <w:pPr>
        <w:sectPr w:rsidR="003D2989">
          <w:type w:val="continuous"/>
          <w:pgSz w:w="12240" w:h="15840"/>
          <w:pgMar w:top="1080" w:right="900" w:bottom="1440" w:left="900" w:header="708" w:footer="708" w:gutter="0"/>
          <w:cols w:num="2" w:space="288"/>
          <w:docGrid w:linePitch="360"/>
        </w:sectPr>
      </w:pPr>
    </w:p>
    <w:p w14:paraId="39E58C77" w14:textId="77777777" w:rsidR="003D2989" w:rsidRDefault="00000000">
      <w:pPr>
        <w:spacing w:before="160" w:after="40"/>
        <w:jc w:val="center"/>
      </w:pPr>
      <w:r>
        <w:rPr>
          <w:b/>
          <w:bCs/>
          <w:sz w:val="18"/>
          <w:szCs w:val="18"/>
        </w:rPr>
        <w:lastRenderedPageBreak/>
        <w:t>TABLE II</w:t>
      </w:r>
    </w:p>
    <w:p w14:paraId="364A92DD" w14:textId="77777777" w:rsidR="003D2989" w:rsidRDefault="00000000">
      <w:pPr>
        <w:spacing w:after="100"/>
        <w:jc w:val="center"/>
      </w:pPr>
      <w:r>
        <w:rPr>
          <w:b/>
          <w:bCs/>
          <w:sz w:val="18"/>
          <w:szCs w:val="18"/>
        </w:rPr>
        <w:t>FIVE-ARCHITECTURE PERFORMANCE COMPARISON ON THE AGRIFRESHNET TEST SET</w:t>
      </w: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940"/>
        <w:gridCol w:w="1051"/>
        <w:gridCol w:w="940"/>
        <w:gridCol w:w="940"/>
        <w:gridCol w:w="829"/>
        <w:gridCol w:w="1438"/>
        <w:gridCol w:w="1216"/>
        <w:gridCol w:w="995"/>
      </w:tblGrid>
      <w:tr w:rsidR="003D2989" w14:paraId="092AD6C5" w14:textId="77777777">
        <w:tblPrEx>
          <w:tblCellMar>
            <w:top w:w="0" w:type="dxa"/>
            <w:bottom w:w="0" w:type="dxa"/>
          </w:tblCellMar>
        </w:tblPrEx>
        <w:trPr>
          <w:tblHeader/>
        </w:trPr>
        <w:tc>
          <w:tcPr>
            <w:tcW w:w="1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5F0F5C2" w14:textId="77777777" w:rsidR="003D2989" w:rsidRDefault="00000000">
            <w:pPr>
              <w:jc w:val="center"/>
            </w:pPr>
            <w:r>
              <w:rPr>
                <w:b/>
                <w:bCs/>
                <w:sz w:val="14"/>
                <w:szCs w:val="14"/>
              </w:rPr>
              <w:t>Architecture</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8110CA2" w14:textId="77777777" w:rsidR="003D2989" w:rsidRDefault="00000000">
            <w:pPr>
              <w:jc w:val="center"/>
            </w:pPr>
            <w:r>
              <w:rPr>
                <w:b/>
                <w:bCs/>
                <w:sz w:val="14"/>
                <w:szCs w:val="14"/>
              </w:rPr>
              <w:t>Acc.</w:t>
            </w:r>
          </w:p>
        </w:tc>
        <w:tc>
          <w:tcPr>
            <w:tcW w:w="9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11E9809" w14:textId="77777777" w:rsidR="003D2989" w:rsidRDefault="00000000">
            <w:pPr>
              <w:jc w:val="center"/>
            </w:pPr>
            <w:r>
              <w:rPr>
                <w:b/>
                <w:bCs/>
                <w:sz w:val="14"/>
                <w:szCs w:val="14"/>
              </w:rPr>
              <w:t>ROC-AUC</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3DBB94C5" w14:textId="77777777" w:rsidR="003D2989" w:rsidRDefault="00000000">
            <w:pPr>
              <w:jc w:val="center"/>
            </w:pPr>
            <w:r>
              <w:rPr>
                <w:b/>
                <w:bCs/>
                <w:sz w:val="14"/>
                <w:szCs w:val="14"/>
              </w:rPr>
              <w:t>Prec.</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0471B03" w14:textId="77777777" w:rsidR="003D2989" w:rsidRDefault="00000000">
            <w:pPr>
              <w:jc w:val="center"/>
            </w:pPr>
            <w:r>
              <w:rPr>
                <w:b/>
                <w:bCs/>
                <w:sz w:val="14"/>
                <w:szCs w:val="14"/>
              </w:rPr>
              <w:t>Recall</w:t>
            </w:r>
          </w:p>
        </w:tc>
        <w:tc>
          <w:tcPr>
            <w:tcW w:w="7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22E42CF1" w14:textId="77777777" w:rsidR="003D2989" w:rsidRDefault="00000000">
            <w:pPr>
              <w:jc w:val="center"/>
            </w:pPr>
            <w:r>
              <w:rPr>
                <w:b/>
                <w:bCs/>
                <w:sz w:val="14"/>
                <w:szCs w:val="14"/>
              </w:rPr>
              <w:t>F1</w:t>
            </w:r>
          </w:p>
        </w:tc>
        <w:tc>
          <w:tcPr>
            <w:tcW w:w="13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269CCDC7" w14:textId="77777777" w:rsidR="003D2989" w:rsidRDefault="00000000">
            <w:pPr>
              <w:jc w:val="center"/>
            </w:pPr>
            <w:r>
              <w:rPr>
                <w:b/>
                <w:bCs/>
                <w:sz w:val="14"/>
                <w:szCs w:val="14"/>
              </w:rPr>
              <w:t>Params</w:t>
            </w:r>
          </w:p>
        </w:tc>
        <w:tc>
          <w:tcPr>
            <w:tcW w:w="11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88F15EB" w14:textId="77777777" w:rsidR="003D2989" w:rsidRDefault="00000000">
            <w:pPr>
              <w:jc w:val="center"/>
            </w:pPr>
            <w:r>
              <w:rPr>
                <w:b/>
                <w:bCs/>
                <w:sz w:val="14"/>
                <w:szCs w:val="14"/>
              </w:rPr>
              <w:t>Size</w:t>
            </w:r>
          </w:p>
        </w:tc>
        <w:tc>
          <w:tcPr>
            <w:tcW w:w="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448D547" w14:textId="77777777" w:rsidR="003D2989" w:rsidRDefault="00000000">
            <w:pPr>
              <w:jc w:val="center"/>
            </w:pPr>
            <w:r>
              <w:rPr>
                <w:b/>
                <w:bCs/>
                <w:sz w:val="14"/>
                <w:szCs w:val="14"/>
              </w:rPr>
              <w:t>Latency</w:t>
            </w:r>
          </w:p>
        </w:tc>
      </w:tr>
      <w:tr w:rsidR="003D2989" w14:paraId="414DB702" w14:textId="77777777">
        <w:tblPrEx>
          <w:tblCellMar>
            <w:top w:w="0" w:type="dxa"/>
            <w:bottom w:w="0" w:type="dxa"/>
          </w:tblCellMar>
        </w:tblPrEx>
        <w:tc>
          <w:tcPr>
            <w:tcW w:w="1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B7DEC1A" w14:textId="77777777" w:rsidR="003D2989" w:rsidRDefault="00000000">
            <w:pPr>
              <w:jc w:val="center"/>
            </w:pPr>
            <w:r>
              <w:rPr>
                <w:sz w:val="14"/>
                <w:szCs w:val="14"/>
              </w:rPr>
              <w:t>MobileNetV3-Small</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38D7858D" w14:textId="77777777" w:rsidR="003D2989" w:rsidRDefault="00000000">
            <w:pPr>
              <w:jc w:val="center"/>
            </w:pPr>
            <w:r>
              <w:rPr>
                <w:sz w:val="14"/>
                <w:szCs w:val="14"/>
              </w:rPr>
              <w:t>89.32%</w:t>
            </w:r>
          </w:p>
        </w:tc>
        <w:tc>
          <w:tcPr>
            <w:tcW w:w="9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3F2B3F79" w14:textId="77777777" w:rsidR="003D2989" w:rsidRDefault="00000000">
            <w:pPr>
              <w:jc w:val="center"/>
            </w:pPr>
            <w:r>
              <w:rPr>
                <w:sz w:val="14"/>
                <w:szCs w:val="14"/>
              </w:rPr>
              <w:t>97.64%</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92EE935" w14:textId="77777777" w:rsidR="003D2989" w:rsidRDefault="00000000">
            <w:pPr>
              <w:jc w:val="center"/>
            </w:pPr>
            <w:r>
              <w:rPr>
                <w:sz w:val="14"/>
                <w:szCs w:val="14"/>
              </w:rPr>
              <w:t>89.49%</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17B597CF" w14:textId="77777777" w:rsidR="003D2989" w:rsidRDefault="00000000">
            <w:pPr>
              <w:jc w:val="center"/>
            </w:pPr>
            <w:r>
              <w:rPr>
                <w:sz w:val="14"/>
                <w:szCs w:val="14"/>
              </w:rPr>
              <w:t>89.32%</w:t>
            </w:r>
          </w:p>
        </w:tc>
        <w:tc>
          <w:tcPr>
            <w:tcW w:w="7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2C8D95ED" w14:textId="77777777" w:rsidR="003D2989" w:rsidRDefault="00000000">
            <w:pPr>
              <w:jc w:val="center"/>
            </w:pPr>
            <w:r>
              <w:rPr>
                <w:sz w:val="14"/>
                <w:szCs w:val="14"/>
              </w:rPr>
              <w:t>89.37%</w:t>
            </w:r>
          </w:p>
        </w:tc>
        <w:tc>
          <w:tcPr>
            <w:tcW w:w="13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EBD61A4" w14:textId="77777777" w:rsidR="003D2989" w:rsidRDefault="00000000">
            <w:pPr>
              <w:jc w:val="center"/>
            </w:pPr>
            <w:r>
              <w:rPr>
                <w:sz w:val="14"/>
                <w:szCs w:val="14"/>
              </w:rPr>
              <w:t>1,520,931</w:t>
            </w:r>
          </w:p>
        </w:tc>
        <w:tc>
          <w:tcPr>
            <w:tcW w:w="11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257A16D" w14:textId="77777777" w:rsidR="003D2989" w:rsidRDefault="00000000">
            <w:pPr>
              <w:jc w:val="center"/>
            </w:pPr>
            <w:r>
              <w:rPr>
                <w:sz w:val="14"/>
                <w:szCs w:val="14"/>
              </w:rPr>
              <w:t>5.85 MB</w:t>
            </w:r>
          </w:p>
        </w:tc>
        <w:tc>
          <w:tcPr>
            <w:tcW w:w="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6D8AC11" w14:textId="77777777" w:rsidR="003D2989" w:rsidRDefault="00000000">
            <w:pPr>
              <w:jc w:val="center"/>
            </w:pPr>
            <w:r>
              <w:rPr>
                <w:sz w:val="14"/>
                <w:szCs w:val="14"/>
              </w:rPr>
              <w:t>0.80 ms</w:t>
            </w:r>
          </w:p>
        </w:tc>
      </w:tr>
      <w:tr w:rsidR="003D2989" w14:paraId="18EA0CBC" w14:textId="77777777">
        <w:tblPrEx>
          <w:tblCellMar>
            <w:top w:w="0" w:type="dxa"/>
            <w:bottom w:w="0" w:type="dxa"/>
          </w:tblCellMar>
        </w:tblPrEx>
        <w:tc>
          <w:tcPr>
            <w:tcW w:w="1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D728F5B" w14:textId="77777777" w:rsidR="003D2989" w:rsidRDefault="00000000">
            <w:pPr>
              <w:jc w:val="center"/>
            </w:pPr>
            <w:r>
              <w:rPr>
                <w:sz w:val="14"/>
                <w:szCs w:val="14"/>
              </w:rPr>
              <w:t>EfficientNet-B0</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EF288C7" w14:textId="77777777" w:rsidR="003D2989" w:rsidRDefault="00000000">
            <w:pPr>
              <w:jc w:val="center"/>
            </w:pPr>
            <w:r>
              <w:rPr>
                <w:sz w:val="14"/>
                <w:szCs w:val="14"/>
              </w:rPr>
              <w:t>95.91%</w:t>
            </w:r>
          </w:p>
        </w:tc>
        <w:tc>
          <w:tcPr>
            <w:tcW w:w="9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975F14B" w14:textId="77777777" w:rsidR="003D2989" w:rsidRDefault="00000000">
            <w:pPr>
              <w:jc w:val="center"/>
            </w:pPr>
            <w:r>
              <w:rPr>
                <w:sz w:val="14"/>
                <w:szCs w:val="14"/>
              </w:rPr>
              <w:t>99.54%</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CB68A2A" w14:textId="77777777" w:rsidR="003D2989" w:rsidRDefault="00000000">
            <w:pPr>
              <w:jc w:val="center"/>
            </w:pPr>
            <w:r>
              <w:rPr>
                <w:sz w:val="14"/>
                <w:szCs w:val="14"/>
              </w:rPr>
              <w:t>95.91%</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1DF1E69" w14:textId="77777777" w:rsidR="003D2989" w:rsidRDefault="00000000">
            <w:pPr>
              <w:jc w:val="center"/>
            </w:pPr>
            <w:r>
              <w:rPr>
                <w:sz w:val="14"/>
                <w:szCs w:val="14"/>
              </w:rPr>
              <w:t>95.91%</w:t>
            </w:r>
          </w:p>
        </w:tc>
        <w:tc>
          <w:tcPr>
            <w:tcW w:w="7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79E81FA" w14:textId="77777777" w:rsidR="003D2989" w:rsidRDefault="00000000">
            <w:pPr>
              <w:jc w:val="center"/>
            </w:pPr>
            <w:r>
              <w:rPr>
                <w:sz w:val="14"/>
                <w:szCs w:val="14"/>
              </w:rPr>
              <w:t>95.91%</w:t>
            </w:r>
          </w:p>
        </w:tc>
        <w:tc>
          <w:tcPr>
            <w:tcW w:w="13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16ED39E0" w14:textId="77777777" w:rsidR="003D2989" w:rsidRDefault="00000000">
            <w:pPr>
              <w:jc w:val="center"/>
            </w:pPr>
            <w:r>
              <w:rPr>
                <w:sz w:val="14"/>
                <w:szCs w:val="14"/>
              </w:rPr>
              <w:t>4,011,391</w:t>
            </w:r>
          </w:p>
        </w:tc>
        <w:tc>
          <w:tcPr>
            <w:tcW w:w="11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25D20923" w14:textId="77777777" w:rsidR="003D2989" w:rsidRDefault="00000000">
            <w:pPr>
              <w:jc w:val="center"/>
            </w:pPr>
            <w:r>
              <w:rPr>
                <w:sz w:val="14"/>
                <w:szCs w:val="14"/>
              </w:rPr>
              <w:t>15.46 MB</w:t>
            </w:r>
          </w:p>
        </w:tc>
        <w:tc>
          <w:tcPr>
            <w:tcW w:w="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5B5577D" w14:textId="77777777" w:rsidR="003D2989" w:rsidRDefault="00000000">
            <w:pPr>
              <w:jc w:val="center"/>
            </w:pPr>
            <w:r>
              <w:rPr>
                <w:sz w:val="14"/>
                <w:szCs w:val="14"/>
              </w:rPr>
              <w:t>1.66 ms</w:t>
            </w:r>
          </w:p>
        </w:tc>
      </w:tr>
      <w:tr w:rsidR="003D2989" w14:paraId="79D70AD2" w14:textId="77777777">
        <w:tblPrEx>
          <w:tblCellMar>
            <w:top w:w="0" w:type="dxa"/>
            <w:bottom w:w="0" w:type="dxa"/>
          </w:tblCellMar>
        </w:tblPrEx>
        <w:tc>
          <w:tcPr>
            <w:tcW w:w="1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5F75638" w14:textId="77777777" w:rsidR="003D2989" w:rsidRDefault="00000000">
            <w:pPr>
              <w:jc w:val="center"/>
            </w:pPr>
            <w:r>
              <w:rPr>
                <w:sz w:val="14"/>
                <w:szCs w:val="14"/>
              </w:rPr>
              <w:t>ResNet18</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CB39EF3" w14:textId="77777777" w:rsidR="003D2989" w:rsidRDefault="00000000">
            <w:pPr>
              <w:jc w:val="center"/>
            </w:pPr>
            <w:r>
              <w:rPr>
                <w:sz w:val="14"/>
                <w:szCs w:val="14"/>
              </w:rPr>
              <w:t>96.00%</w:t>
            </w:r>
          </w:p>
        </w:tc>
        <w:tc>
          <w:tcPr>
            <w:tcW w:w="9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1E5ACBC" w14:textId="77777777" w:rsidR="003D2989" w:rsidRDefault="00000000">
            <w:pPr>
              <w:jc w:val="center"/>
            </w:pPr>
            <w:r>
              <w:rPr>
                <w:sz w:val="14"/>
                <w:szCs w:val="14"/>
              </w:rPr>
              <w:t>99.68%</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1320AE0C" w14:textId="77777777" w:rsidR="003D2989" w:rsidRDefault="00000000">
            <w:pPr>
              <w:jc w:val="center"/>
            </w:pPr>
            <w:r>
              <w:rPr>
                <w:sz w:val="14"/>
                <w:szCs w:val="14"/>
              </w:rPr>
              <w:t>96.03%</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7C1BEAD" w14:textId="77777777" w:rsidR="003D2989" w:rsidRDefault="00000000">
            <w:pPr>
              <w:jc w:val="center"/>
            </w:pPr>
            <w:r>
              <w:rPr>
                <w:sz w:val="14"/>
                <w:szCs w:val="14"/>
              </w:rPr>
              <w:t>96.00%</w:t>
            </w:r>
          </w:p>
        </w:tc>
        <w:tc>
          <w:tcPr>
            <w:tcW w:w="7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EBCD528" w14:textId="77777777" w:rsidR="003D2989" w:rsidRDefault="00000000">
            <w:pPr>
              <w:jc w:val="center"/>
            </w:pPr>
            <w:r>
              <w:rPr>
                <w:sz w:val="14"/>
                <w:szCs w:val="14"/>
              </w:rPr>
              <w:t>96.01%</w:t>
            </w:r>
          </w:p>
        </w:tc>
        <w:tc>
          <w:tcPr>
            <w:tcW w:w="13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D4A1EFE" w14:textId="77777777" w:rsidR="003D2989" w:rsidRDefault="00000000">
            <w:pPr>
              <w:jc w:val="center"/>
            </w:pPr>
            <w:r>
              <w:rPr>
                <w:sz w:val="14"/>
                <w:szCs w:val="14"/>
              </w:rPr>
              <w:t>11,178,051</w:t>
            </w:r>
          </w:p>
        </w:tc>
        <w:tc>
          <w:tcPr>
            <w:tcW w:w="11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1F93F0B5" w14:textId="77777777" w:rsidR="003D2989" w:rsidRDefault="00000000">
            <w:pPr>
              <w:jc w:val="center"/>
            </w:pPr>
            <w:r>
              <w:rPr>
                <w:sz w:val="14"/>
                <w:szCs w:val="14"/>
              </w:rPr>
              <w:t>42.68 MB</w:t>
            </w:r>
          </w:p>
        </w:tc>
        <w:tc>
          <w:tcPr>
            <w:tcW w:w="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986221B" w14:textId="77777777" w:rsidR="003D2989" w:rsidRDefault="00000000">
            <w:pPr>
              <w:jc w:val="center"/>
            </w:pPr>
            <w:r>
              <w:rPr>
                <w:sz w:val="14"/>
                <w:szCs w:val="14"/>
              </w:rPr>
              <w:t>1.07 ms</w:t>
            </w:r>
          </w:p>
        </w:tc>
      </w:tr>
      <w:tr w:rsidR="003D2989" w14:paraId="3FDBC064" w14:textId="77777777">
        <w:tblPrEx>
          <w:tblCellMar>
            <w:top w:w="0" w:type="dxa"/>
            <w:bottom w:w="0" w:type="dxa"/>
          </w:tblCellMar>
        </w:tblPrEx>
        <w:tc>
          <w:tcPr>
            <w:tcW w:w="1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9C71027" w14:textId="77777777" w:rsidR="003D2989" w:rsidRDefault="00000000">
            <w:pPr>
              <w:jc w:val="center"/>
            </w:pPr>
            <w:r>
              <w:rPr>
                <w:sz w:val="14"/>
                <w:szCs w:val="14"/>
              </w:rPr>
              <w:t>EfficientNetV2-S</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4C3775D" w14:textId="77777777" w:rsidR="003D2989" w:rsidRDefault="00000000">
            <w:pPr>
              <w:jc w:val="center"/>
            </w:pPr>
            <w:r>
              <w:rPr>
                <w:sz w:val="14"/>
                <w:szCs w:val="14"/>
              </w:rPr>
              <w:t>96.75%</w:t>
            </w:r>
          </w:p>
        </w:tc>
        <w:tc>
          <w:tcPr>
            <w:tcW w:w="9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9C72AC4" w14:textId="77777777" w:rsidR="003D2989" w:rsidRDefault="00000000">
            <w:pPr>
              <w:jc w:val="center"/>
            </w:pPr>
            <w:r>
              <w:rPr>
                <w:sz w:val="14"/>
                <w:szCs w:val="14"/>
              </w:rPr>
              <w:t>99.76%</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38C05DF9" w14:textId="77777777" w:rsidR="003D2989" w:rsidRDefault="00000000">
            <w:pPr>
              <w:jc w:val="center"/>
            </w:pPr>
            <w:r>
              <w:rPr>
                <w:sz w:val="14"/>
                <w:szCs w:val="14"/>
              </w:rPr>
              <w:t>96.76%</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6E1D8D9" w14:textId="77777777" w:rsidR="003D2989" w:rsidRDefault="00000000">
            <w:pPr>
              <w:jc w:val="center"/>
            </w:pPr>
            <w:r>
              <w:rPr>
                <w:sz w:val="14"/>
                <w:szCs w:val="14"/>
              </w:rPr>
              <w:t>96.76%</w:t>
            </w:r>
          </w:p>
        </w:tc>
        <w:tc>
          <w:tcPr>
            <w:tcW w:w="7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148C9EE" w14:textId="77777777" w:rsidR="003D2989" w:rsidRDefault="00000000">
            <w:pPr>
              <w:jc w:val="center"/>
            </w:pPr>
            <w:r>
              <w:rPr>
                <w:sz w:val="14"/>
                <w:szCs w:val="14"/>
              </w:rPr>
              <w:t>96.75%</w:t>
            </w:r>
          </w:p>
        </w:tc>
        <w:tc>
          <w:tcPr>
            <w:tcW w:w="13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077AC24" w14:textId="77777777" w:rsidR="003D2989" w:rsidRDefault="00000000">
            <w:pPr>
              <w:jc w:val="center"/>
            </w:pPr>
            <w:r>
              <w:rPr>
                <w:sz w:val="14"/>
                <w:szCs w:val="14"/>
              </w:rPr>
              <w:t>20,181,331</w:t>
            </w:r>
          </w:p>
        </w:tc>
        <w:tc>
          <w:tcPr>
            <w:tcW w:w="11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A13C482" w14:textId="77777777" w:rsidR="003D2989" w:rsidRDefault="00000000">
            <w:pPr>
              <w:jc w:val="center"/>
            </w:pPr>
            <w:r>
              <w:rPr>
                <w:sz w:val="14"/>
                <w:szCs w:val="14"/>
              </w:rPr>
              <w:t>77.57 MB</w:t>
            </w:r>
          </w:p>
        </w:tc>
        <w:tc>
          <w:tcPr>
            <w:tcW w:w="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73668A7D" w14:textId="77777777" w:rsidR="003D2989" w:rsidRDefault="00000000">
            <w:pPr>
              <w:jc w:val="center"/>
            </w:pPr>
            <w:r>
              <w:rPr>
                <w:sz w:val="14"/>
                <w:szCs w:val="14"/>
              </w:rPr>
              <w:t>3.42 ms</w:t>
            </w:r>
          </w:p>
        </w:tc>
      </w:tr>
      <w:tr w:rsidR="003D2989" w14:paraId="7D076B4F" w14:textId="77777777">
        <w:tblPrEx>
          <w:tblCellMar>
            <w:top w:w="0" w:type="dxa"/>
            <w:bottom w:w="0" w:type="dxa"/>
          </w:tblCellMar>
        </w:tblPrEx>
        <w:tc>
          <w:tcPr>
            <w:tcW w:w="1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6C709437" w14:textId="77777777" w:rsidR="003D2989" w:rsidRDefault="00000000">
            <w:pPr>
              <w:jc w:val="center"/>
            </w:pPr>
            <w:r>
              <w:rPr>
                <w:sz w:val="14"/>
                <w:szCs w:val="14"/>
              </w:rPr>
              <w:t>DenseNet121</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35F304A8" w14:textId="77777777" w:rsidR="003D2989" w:rsidRDefault="00000000">
            <w:pPr>
              <w:jc w:val="center"/>
            </w:pPr>
            <w:r>
              <w:rPr>
                <w:sz w:val="14"/>
                <w:szCs w:val="14"/>
              </w:rPr>
              <w:t>98.02%</w:t>
            </w:r>
          </w:p>
        </w:tc>
        <w:tc>
          <w:tcPr>
            <w:tcW w:w="9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4706727A" w14:textId="77777777" w:rsidR="003D2989" w:rsidRDefault="00000000">
            <w:pPr>
              <w:jc w:val="center"/>
            </w:pPr>
            <w:r>
              <w:rPr>
                <w:sz w:val="14"/>
                <w:szCs w:val="14"/>
              </w:rPr>
              <w:t>99.86%</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D629D2B" w14:textId="77777777" w:rsidR="003D2989" w:rsidRDefault="00000000">
            <w:pPr>
              <w:jc w:val="center"/>
            </w:pPr>
            <w:r>
              <w:rPr>
                <w:sz w:val="14"/>
                <w:szCs w:val="14"/>
              </w:rPr>
              <w:t>98.02%</w:t>
            </w:r>
          </w:p>
        </w:tc>
        <w:tc>
          <w:tcPr>
            <w:tcW w:w="8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2B345536" w14:textId="77777777" w:rsidR="003D2989" w:rsidRDefault="00000000">
            <w:pPr>
              <w:jc w:val="center"/>
            </w:pPr>
            <w:r>
              <w:rPr>
                <w:sz w:val="14"/>
                <w:szCs w:val="14"/>
              </w:rPr>
              <w:t>98.03%</w:t>
            </w:r>
          </w:p>
        </w:tc>
        <w:tc>
          <w:tcPr>
            <w:tcW w:w="75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11B5C340" w14:textId="77777777" w:rsidR="003D2989" w:rsidRDefault="00000000">
            <w:pPr>
              <w:jc w:val="center"/>
            </w:pPr>
            <w:r>
              <w:rPr>
                <w:sz w:val="14"/>
                <w:szCs w:val="14"/>
              </w:rPr>
              <w:t>98.02%</w:t>
            </w:r>
          </w:p>
        </w:tc>
        <w:tc>
          <w:tcPr>
            <w:tcW w:w="13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05101E6F" w14:textId="77777777" w:rsidR="003D2989" w:rsidRDefault="00000000">
            <w:pPr>
              <w:jc w:val="center"/>
            </w:pPr>
            <w:r>
              <w:rPr>
                <w:sz w:val="14"/>
                <w:szCs w:val="14"/>
              </w:rPr>
              <w:t>6,956,931</w:t>
            </w:r>
          </w:p>
        </w:tc>
        <w:tc>
          <w:tcPr>
            <w:tcW w:w="11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566C33EE" w14:textId="77777777" w:rsidR="003D2989" w:rsidRDefault="00000000">
            <w:pPr>
              <w:jc w:val="center"/>
            </w:pPr>
            <w:r>
              <w:rPr>
                <w:sz w:val="14"/>
                <w:szCs w:val="14"/>
              </w:rPr>
              <w:t>26.86 MB</w:t>
            </w:r>
          </w:p>
        </w:tc>
        <w:tc>
          <w:tcPr>
            <w:tcW w:w="900" w:type="dxa"/>
            <w:tcBorders>
              <w:top w:val="single" w:sz="4" w:space="0" w:color="000000"/>
              <w:left w:val="none" w:sz="0" w:space="0" w:color="FFFFFF"/>
              <w:bottom w:val="single" w:sz="4" w:space="0" w:color="000000"/>
              <w:right w:val="none" w:sz="0" w:space="0" w:color="FFFFFF"/>
            </w:tcBorders>
            <w:tcMar>
              <w:top w:w="30" w:type="dxa"/>
              <w:left w:w="40" w:type="dxa"/>
              <w:bottom w:w="30" w:type="dxa"/>
              <w:right w:w="40" w:type="dxa"/>
            </w:tcMar>
            <w:vAlign w:val="center"/>
          </w:tcPr>
          <w:p w14:paraId="101126BA" w14:textId="77777777" w:rsidR="003D2989" w:rsidRDefault="00000000">
            <w:pPr>
              <w:jc w:val="center"/>
            </w:pPr>
            <w:r>
              <w:rPr>
                <w:sz w:val="14"/>
                <w:szCs w:val="14"/>
              </w:rPr>
              <w:t>3.72 ms</w:t>
            </w:r>
          </w:p>
        </w:tc>
      </w:tr>
    </w:tbl>
    <w:p w14:paraId="20ACA951" w14:textId="77777777" w:rsidR="003D2989" w:rsidRDefault="003D2989">
      <w:pPr>
        <w:sectPr w:rsidR="003D2989">
          <w:type w:val="continuous"/>
          <w:pgSz w:w="12240" w:h="15840"/>
          <w:pgMar w:top="1080" w:right="900" w:bottom="1440" w:left="900" w:header="708" w:footer="708" w:gutter="0"/>
          <w:cols w:space="720"/>
          <w:docGrid w:linePitch="360"/>
        </w:sectPr>
      </w:pPr>
    </w:p>
    <w:p w14:paraId="1AE84665"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5BE14C7C" w14:textId="77777777" w:rsidR="003D2989" w:rsidRDefault="00000000">
      <w:pPr>
        <w:pBdr>
          <w:left w:val="single" w:sz="4" w:space="0" w:color="999999"/>
          <w:right w:val="single" w:sz="4" w:space="0" w:color="999999"/>
        </w:pBdr>
        <w:jc w:val="center"/>
      </w:pPr>
      <w:r>
        <w:t> </w:t>
      </w:r>
    </w:p>
    <w:p w14:paraId="6D4008EF" w14:textId="77777777" w:rsidR="003D2989" w:rsidRDefault="00000000">
      <w:pPr>
        <w:pBdr>
          <w:left w:val="single" w:sz="4" w:space="0" w:color="999999"/>
          <w:right w:val="single" w:sz="4" w:space="0" w:color="999999"/>
        </w:pBdr>
        <w:jc w:val="center"/>
      </w:pPr>
      <w:r>
        <w:t> </w:t>
      </w:r>
    </w:p>
    <w:p w14:paraId="4CA3BB80" w14:textId="77777777" w:rsidR="003D2989" w:rsidRDefault="00000000">
      <w:pPr>
        <w:pBdr>
          <w:left w:val="single" w:sz="4" w:space="0" w:color="999999"/>
          <w:right w:val="single" w:sz="4" w:space="0" w:color="999999"/>
        </w:pBdr>
        <w:jc w:val="center"/>
      </w:pPr>
      <w:r>
        <w:t> </w:t>
      </w:r>
    </w:p>
    <w:p w14:paraId="405CEEF3" w14:textId="77777777" w:rsidR="003D2989" w:rsidRDefault="00000000">
      <w:pPr>
        <w:pBdr>
          <w:left w:val="single" w:sz="4" w:space="0" w:color="999999"/>
          <w:right w:val="single" w:sz="4" w:space="0" w:color="999999"/>
        </w:pBdr>
        <w:jc w:val="center"/>
      </w:pPr>
      <w:r>
        <w:t> </w:t>
      </w:r>
    </w:p>
    <w:p w14:paraId="4847A4C3" w14:textId="77777777" w:rsidR="003D2989" w:rsidRDefault="00000000">
      <w:pPr>
        <w:pBdr>
          <w:left w:val="single" w:sz="4" w:space="0" w:color="999999"/>
          <w:right w:val="single" w:sz="4" w:space="0" w:color="999999"/>
        </w:pBdr>
        <w:jc w:val="center"/>
      </w:pPr>
      <w:r>
        <w:t> </w:t>
      </w:r>
    </w:p>
    <w:p w14:paraId="7F88A76D"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388BF197" w14:textId="77777777" w:rsidR="003D2989" w:rsidRDefault="00000000">
      <w:pPr>
        <w:spacing w:before="60" w:after="200"/>
        <w:jc w:val="center"/>
      </w:pPr>
      <w:r>
        <w:rPr>
          <w:sz w:val="18"/>
          <w:szCs w:val="18"/>
        </w:rPr>
        <w:t>Fig. 3.  Loss and Accuracy Convergence Trajectories.</w:t>
      </w:r>
    </w:p>
    <w:p w14:paraId="6BC00465"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40758F07" w14:textId="77777777" w:rsidR="003D2989" w:rsidRDefault="00000000">
      <w:pPr>
        <w:pBdr>
          <w:left w:val="single" w:sz="4" w:space="0" w:color="999999"/>
          <w:right w:val="single" w:sz="4" w:space="0" w:color="999999"/>
        </w:pBdr>
        <w:jc w:val="center"/>
      </w:pPr>
      <w:r>
        <w:t> </w:t>
      </w:r>
    </w:p>
    <w:p w14:paraId="78FCCE97" w14:textId="77777777" w:rsidR="003D2989" w:rsidRDefault="00000000">
      <w:pPr>
        <w:pBdr>
          <w:left w:val="single" w:sz="4" w:space="0" w:color="999999"/>
          <w:right w:val="single" w:sz="4" w:space="0" w:color="999999"/>
        </w:pBdr>
        <w:jc w:val="center"/>
      </w:pPr>
      <w:r>
        <w:t> </w:t>
      </w:r>
    </w:p>
    <w:p w14:paraId="158E68E6" w14:textId="77777777" w:rsidR="003D2989" w:rsidRDefault="00000000">
      <w:pPr>
        <w:pBdr>
          <w:left w:val="single" w:sz="4" w:space="0" w:color="999999"/>
          <w:right w:val="single" w:sz="4" w:space="0" w:color="999999"/>
        </w:pBdr>
        <w:jc w:val="center"/>
      </w:pPr>
      <w:r>
        <w:t> </w:t>
      </w:r>
    </w:p>
    <w:p w14:paraId="135B04B7" w14:textId="77777777" w:rsidR="003D2989" w:rsidRDefault="00000000">
      <w:pPr>
        <w:pBdr>
          <w:left w:val="single" w:sz="4" w:space="0" w:color="999999"/>
          <w:right w:val="single" w:sz="4" w:space="0" w:color="999999"/>
        </w:pBdr>
        <w:jc w:val="center"/>
      </w:pPr>
      <w:r>
        <w:t> </w:t>
      </w:r>
    </w:p>
    <w:p w14:paraId="25D0AD0F" w14:textId="77777777" w:rsidR="003D2989" w:rsidRDefault="00000000">
      <w:pPr>
        <w:pBdr>
          <w:left w:val="single" w:sz="4" w:space="0" w:color="999999"/>
          <w:right w:val="single" w:sz="4" w:space="0" w:color="999999"/>
        </w:pBdr>
        <w:jc w:val="center"/>
      </w:pPr>
      <w:r>
        <w:t> </w:t>
      </w:r>
    </w:p>
    <w:p w14:paraId="518BE45A"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7EC42A9B" w14:textId="77777777" w:rsidR="003D2989" w:rsidRDefault="00000000">
      <w:pPr>
        <w:spacing w:before="60" w:after="200"/>
        <w:jc w:val="center"/>
      </w:pPr>
      <w:r>
        <w:rPr>
          <w:sz w:val="18"/>
          <w:szCs w:val="18"/>
        </w:rPr>
        <w:t>Fig. 4.  DenseNet121 Test Confusion Matrix.</w:t>
      </w:r>
    </w:p>
    <w:p w14:paraId="46A37B50"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08BE8169" w14:textId="77777777" w:rsidR="003D2989" w:rsidRDefault="00000000">
      <w:pPr>
        <w:pBdr>
          <w:left w:val="single" w:sz="4" w:space="0" w:color="999999"/>
          <w:right w:val="single" w:sz="4" w:space="0" w:color="999999"/>
        </w:pBdr>
        <w:jc w:val="center"/>
      </w:pPr>
      <w:r>
        <w:t> </w:t>
      </w:r>
    </w:p>
    <w:p w14:paraId="0F77485A" w14:textId="77777777" w:rsidR="003D2989" w:rsidRDefault="00000000">
      <w:pPr>
        <w:pBdr>
          <w:left w:val="single" w:sz="4" w:space="0" w:color="999999"/>
          <w:right w:val="single" w:sz="4" w:space="0" w:color="999999"/>
        </w:pBdr>
        <w:jc w:val="center"/>
      </w:pPr>
      <w:r>
        <w:t> </w:t>
      </w:r>
    </w:p>
    <w:p w14:paraId="6E1F68CD" w14:textId="77777777" w:rsidR="003D2989" w:rsidRDefault="00000000">
      <w:pPr>
        <w:pBdr>
          <w:left w:val="single" w:sz="4" w:space="0" w:color="999999"/>
          <w:right w:val="single" w:sz="4" w:space="0" w:color="999999"/>
        </w:pBdr>
        <w:jc w:val="center"/>
      </w:pPr>
      <w:r>
        <w:t> </w:t>
      </w:r>
    </w:p>
    <w:p w14:paraId="460484F2" w14:textId="77777777" w:rsidR="003D2989" w:rsidRDefault="00000000">
      <w:pPr>
        <w:pBdr>
          <w:left w:val="single" w:sz="4" w:space="0" w:color="999999"/>
          <w:right w:val="single" w:sz="4" w:space="0" w:color="999999"/>
        </w:pBdr>
        <w:jc w:val="center"/>
      </w:pPr>
      <w:r>
        <w:t> </w:t>
      </w:r>
    </w:p>
    <w:p w14:paraId="366D1726" w14:textId="77777777" w:rsidR="003D2989" w:rsidRDefault="00000000">
      <w:pPr>
        <w:pBdr>
          <w:left w:val="single" w:sz="4" w:space="0" w:color="999999"/>
          <w:right w:val="single" w:sz="4" w:space="0" w:color="999999"/>
        </w:pBdr>
        <w:jc w:val="center"/>
      </w:pPr>
      <w:r>
        <w:t> </w:t>
      </w:r>
    </w:p>
    <w:p w14:paraId="121DE17A"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1F5FC28A" w14:textId="77777777" w:rsidR="003D2989" w:rsidRDefault="00000000">
      <w:pPr>
        <w:spacing w:before="60" w:after="200"/>
        <w:jc w:val="center"/>
      </w:pPr>
      <w:r>
        <w:rPr>
          <w:sz w:val="18"/>
          <w:szCs w:val="18"/>
        </w:rPr>
        <w:t>Fig. 5.  Comparative Micro-Averaged ROC Curves.</w:t>
      </w:r>
    </w:p>
    <w:p w14:paraId="37B6EAF8" w14:textId="77777777" w:rsidR="003D2989" w:rsidRDefault="00000000">
      <w:pPr>
        <w:spacing w:before="160" w:after="60"/>
      </w:pPr>
      <w:r>
        <w:rPr>
          <w:i/>
          <w:iCs/>
        </w:rPr>
        <w:t>B. Efficiency and Deployment Trade-off Analysis</w:t>
      </w:r>
    </w:p>
    <w:p w14:paraId="7F6106D4" w14:textId="77777777" w:rsidR="003D2989" w:rsidRDefault="00000000">
      <w:pPr>
        <w:ind w:firstLine="288"/>
        <w:jc w:val="both"/>
      </w:pPr>
      <w:r>
        <w:t>The accuracy-versus-latency relationship across the five architectures traces a clear Pareto frontier: DenseNet121 anchors the high-accuracy end at 26.86 MB and 3.72 ms, while MobileNetV3-Small anchors the low-latency end at 5.85 MB and 0.80 ms. EfficientNetV2-S offers a competitive middle ground, sacrificing 1.27 percentage points of accuracy relative to DenseNet121 for a marginally lower latency, but at a substantially larger model size (77.57 MB, the largest of the five). ResNet18 and EfficientNet-B0 both occupy attractive positions for constrained deployment scenarios, combining sub-2 ms latency with accuracy above 95.9%. These trade-offs indicate that DenseNet121 is preferable for server-side or batch inspection where accuracy is paramount, whereas MobileNetV3-Small is better suited to strictly latency- or memory-constrained edge devices, consistent with the deployment considerations underlying the MobileNetV3 design [5].</w:t>
      </w:r>
    </w:p>
    <w:p w14:paraId="484FF1F2"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3E019F5D" w14:textId="77777777" w:rsidR="003D2989" w:rsidRDefault="00000000">
      <w:pPr>
        <w:pBdr>
          <w:left w:val="single" w:sz="4" w:space="0" w:color="999999"/>
          <w:right w:val="single" w:sz="4" w:space="0" w:color="999999"/>
        </w:pBdr>
        <w:jc w:val="center"/>
      </w:pPr>
      <w:r>
        <w:t> </w:t>
      </w:r>
    </w:p>
    <w:p w14:paraId="5F4B9371" w14:textId="77777777" w:rsidR="003D2989" w:rsidRDefault="00000000">
      <w:pPr>
        <w:pBdr>
          <w:left w:val="single" w:sz="4" w:space="0" w:color="999999"/>
          <w:right w:val="single" w:sz="4" w:space="0" w:color="999999"/>
        </w:pBdr>
        <w:jc w:val="center"/>
      </w:pPr>
      <w:r>
        <w:t> </w:t>
      </w:r>
    </w:p>
    <w:p w14:paraId="71643C07" w14:textId="77777777" w:rsidR="003D2989" w:rsidRDefault="00000000">
      <w:pPr>
        <w:pBdr>
          <w:left w:val="single" w:sz="4" w:space="0" w:color="999999"/>
          <w:right w:val="single" w:sz="4" w:space="0" w:color="999999"/>
        </w:pBdr>
        <w:jc w:val="center"/>
      </w:pPr>
      <w:r>
        <w:t> </w:t>
      </w:r>
    </w:p>
    <w:p w14:paraId="2D5FBA8D" w14:textId="77777777" w:rsidR="003D2989" w:rsidRDefault="00000000">
      <w:pPr>
        <w:pBdr>
          <w:left w:val="single" w:sz="4" w:space="0" w:color="999999"/>
          <w:right w:val="single" w:sz="4" w:space="0" w:color="999999"/>
        </w:pBdr>
        <w:jc w:val="center"/>
      </w:pPr>
      <w:r>
        <w:t> </w:t>
      </w:r>
    </w:p>
    <w:p w14:paraId="4C847D2D" w14:textId="77777777" w:rsidR="003D2989" w:rsidRDefault="00000000">
      <w:pPr>
        <w:pBdr>
          <w:left w:val="single" w:sz="4" w:space="0" w:color="999999"/>
          <w:right w:val="single" w:sz="4" w:space="0" w:color="999999"/>
        </w:pBdr>
        <w:jc w:val="center"/>
      </w:pPr>
      <w:r>
        <w:t> </w:t>
      </w:r>
    </w:p>
    <w:p w14:paraId="11C30BE8"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02AC6D9F" w14:textId="77777777" w:rsidR="003D2989" w:rsidRDefault="00000000">
      <w:pPr>
        <w:spacing w:before="60" w:after="200"/>
        <w:jc w:val="center"/>
      </w:pPr>
      <w:r>
        <w:rPr>
          <w:sz w:val="18"/>
          <w:szCs w:val="18"/>
        </w:rPr>
        <w:t>Fig. 7.  Accuracy vs. Latency Pareto Frontier.</w:t>
      </w:r>
    </w:p>
    <w:p w14:paraId="2BF611ED" w14:textId="77777777" w:rsidR="003D2989" w:rsidRDefault="00000000">
      <w:pPr>
        <w:spacing w:before="240" w:after="120"/>
        <w:jc w:val="center"/>
      </w:pPr>
      <w:r>
        <w:rPr>
          <w:b/>
          <w:bCs/>
          <w:caps/>
        </w:rPr>
        <w:t>V. Discussion and Error Analysis</w:t>
      </w:r>
    </w:p>
    <w:p w14:paraId="1A1A8E8A" w14:textId="77777777" w:rsidR="003D2989" w:rsidRDefault="00000000">
      <w:pPr>
        <w:ind w:firstLine="288"/>
        <w:jc w:val="both"/>
      </w:pPr>
      <w:r>
        <w:t>The confusion matrix for the best-performing model, DenseNet121 (Fig. 4), indicates that residual misclassifications concentrate along the Semi-Fresh boundary, where visual cues distinguishing early-stage spoilage from a still-acceptable Fresh specimen, or advanced Semi-Fresh from early Rotten, are inherently more ambiguous than the clearer visual signatures separating Fresh from Rotten directly. This pattern is consistent across the higher-accuracy architectures and suggests that further gains would most likely come from finer-grained temporal or textural cues rather than from additional network capacity alone. Grad-CAM overlays (Fig. 6) confirm that the network's attention concentrates on discoloration, surface blemishes, and texture irregularities on the produce surface rather than on background or container regions, supporting the reliability of the learned decision boundaries. The lower accuracy of MobileNetV3-Small relative to the other four architectures is consistent with its substantially smaller parameter count (1,520,931 versus a range of 4–20 million for the other models), reflecting the expected capacity-accuracy trade-off of a mobile-optimized backbone. A limitation of the current benchmark is that the per-crop, per-class subclass size of 590 images, while balanced, is modest relative to the visual diversity encountered under uncontrolled field lighting, which the zero-shot OOD gatekeeper partially mitigates by rejecting unfamiliar inputs rather than forcing a low-confidence label.</w:t>
      </w:r>
    </w:p>
    <w:p w14:paraId="07DAFBA9" w14:textId="77777777" w:rsidR="003D2989" w:rsidRDefault="00000000">
      <w:pPr>
        <w:spacing w:before="240" w:after="120"/>
        <w:jc w:val="center"/>
      </w:pPr>
      <w:r>
        <w:rPr>
          <w:b/>
          <w:bCs/>
          <w:caps/>
        </w:rPr>
        <w:t>VI. Conclusion and Future Work</w:t>
      </w:r>
    </w:p>
    <w:p w14:paraId="76F5265B" w14:textId="77777777" w:rsidR="003D2989" w:rsidRDefault="00000000">
      <w:pPr>
        <w:ind w:firstLine="288"/>
        <w:jc w:val="both"/>
      </w:pPr>
      <w:r>
        <w:t xml:space="preserve">This paper presented AgriFresh, a benchmark and deployment pipeline for automated, multi-crop produce freshness assessment. Using the AgriFreshNET dataset of 14,160 images across eight crop varieties and three freshness classes, five CNN architectures were evaluated under an identical two-stage transfer-learning protocol, with DenseNet121 achieving the best accuracy (98.02%) and MobileNetV3-Small achieving the lowest latency (0.80 ms per image). Grad-CAM explainability, a zero-shot OOD gatekeeper, and a continuous Freshness Index for shelf-life </w:t>
      </w:r>
      <w:r>
        <w:lastRenderedPageBreak/>
        <w:t>forecasting were integrated into a single edge-ready web application, demonstrating a practical path from benchmark research to field-deployable tooling. Future work includes expanding AgriFreshNET to additional crop varieties and lighting conditions, validating the OOD gatekeeper against a broader set of adversarial and unrelated inputs, and conducting on-device latency and accuracy validation on representative mobile and embedded hardware to further refine the accuracy-efficiency trade-off identified in Section IV-B.</w:t>
      </w:r>
    </w:p>
    <w:p w14:paraId="35CD7874" w14:textId="77777777" w:rsidR="003D2989" w:rsidRDefault="00000000">
      <w:pPr>
        <w:pBdr>
          <w:top w:val="single" w:sz="4" w:space="0" w:color="999999"/>
          <w:left w:val="single" w:sz="4" w:space="0" w:color="999999"/>
          <w:bottom w:val="single" w:sz="4" w:space="0" w:color="999999"/>
          <w:right w:val="single" w:sz="4" w:space="0" w:color="999999"/>
        </w:pBdr>
        <w:spacing w:before="120"/>
        <w:jc w:val="center"/>
      </w:pPr>
      <w:r>
        <w:t> </w:t>
      </w:r>
    </w:p>
    <w:p w14:paraId="2692DCAC" w14:textId="77777777" w:rsidR="003D2989" w:rsidRDefault="00000000">
      <w:pPr>
        <w:pBdr>
          <w:left w:val="single" w:sz="4" w:space="0" w:color="999999"/>
          <w:right w:val="single" w:sz="4" w:space="0" w:color="999999"/>
        </w:pBdr>
        <w:jc w:val="center"/>
      </w:pPr>
      <w:r>
        <w:t> </w:t>
      </w:r>
    </w:p>
    <w:p w14:paraId="6B2886DA" w14:textId="77777777" w:rsidR="003D2989" w:rsidRDefault="00000000">
      <w:pPr>
        <w:pBdr>
          <w:left w:val="single" w:sz="4" w:space="0" w:color="999999"/>
          <w:right w:val="single" w:sz="4" w:space="0" w:color="999999"/>
        </w:pBdr>
        <w:jc w:val="center"/>
      </w:pPr>
      <w:r>
        <w:t> </w:t>
      </w:r>
    </w:p>
    <w:p w14:paraId="0CCA4745" w14:textId="77777777" w:rsidR="003D2989" w:rsidRDefault="00000000">
      <w:pPr>
        <w:pBdr>
          <w:left w:val="single" w:sz="4" w:space="0" w:color="999999"/>
          <w:right w:val="single" w:sz="4" w:space="0" w:color="999999"/>
        </w:pBdr>
        <w:jc w:val="center"/>
      </w:pPr>
      <w:r>
        <w:t> </w:t>
      </w:r>
    </w:p>
    <w:p w14:paraId="471CCF19" w14:textId="77777777" w:rsidR="003D2989" w:rsidRDefault="00000000">
      <w:pPr>
        <w:pBdr>
          <w:left w:val="single" w:sz="4" w:space="0" w:color="999999"/>
          <w:right w:val="single" w:sz="4" w:space="0" w:color="999999"/>
        </w:pBdr>
        <w:jc w:val="center"/>
      </w:pPr>
      <w:r>
        <w:t> </w:t>
      </w:r>
    </w:p>
    <w:p w14:paraId="3741D24A" w14:textId="77777777" w:rsidR="003D2989" w:rsidRDefault="00000000">
      <w:pPr>
        <w:pBdr>
          <w:left w:val="single" w:sz="4" w:space="0" w:color="999999"/>
          <w:right w:val="single" w:sz="4" w:space="0" w:color="999999"/>
        </w:pBdr>
        <w:jc w:val="center"/>
      </w:pPr>
      <w:r>
        <w:t> </w:t>
      </w:r>
    </w:p>
    <w:p w14:paraId="732D4369" w14:textId="77777777" w:rsidR="003D2989" w:rsidRDefault="00000000">
      <w:pPr>
        <w:pBdr>
          <w:top w:val="single" w:sz="4" w:space="0" w:color="999999"/>
          <w:left w:val="single" w:sz="4" w:space="0" w:color="999999"/>
          <w:bottom w:val="single" w:sz="4" w:space="0" w:color="999999"/>
          <w:right w:val="single" w:sz="4" w:space="0" w:color="999999"/>
        </w:pBdr>
        <w:jc w:val="center"/>
      </w:pPr>
      <w:r>
        <w:rPr>
          <w:i/>
          <w:iCs/>
          <w:sz w:val="18"/>
          <w:szCs w:val="18"/>
        </w:rPr>
        <w:t>[Figure placeholder – image not supplied]</w:t>
      </w:r>
    </w:p>
    <w:p w14:paraId="2A800DE1" w14:textId="77777777" w:rsidR="003D2989" w:rsidRDefault="00000000">
      <w:pPr>
        <w:spacing w:before="60" w:after="200"/>
        <w:jc w:val="center"/>
      </w:pPr>
      <w:r>
        <w:rPr>
          <w:sz w:val="18"/>
          <w:szCs w:val="18"/>
        </w:rPr>
        <w:t>Fig. 8.  High-Throughput Batch Manifest Interface.</w:t>
      </w:r>
    </w:p>
    <w:p w14:paraId="0DA13899" w14:textId="77777777" w:rsidR="003D2989" w:rsidRDefault="00000000">
      <w:pPr>
        <w:spacing w:before="240" w:after="120"/>
        <w:jc w:val="center"/>
      </w:pPr>
      <w:r>
        <w:rPr>
          <w:b/>
          <w:bCs/>
          <w:caps/>
        </w:rPr>
        <w:t>Acknowledgment</w:t>
      </w:r>
    </w:p>
    <w:p w14:paraId="7D050079" w14:textId="77777777" w:rsidR="003D2989" w:rsidRDefault="00000000">
      <w:pPr>
        <w:ind w:firstLine="288"/>
        <w:jc w:val="both"/>
      </w:pPr>
      <w:r>
        <w:t>The authors thank Dr. A. Shenbagarajan, Associate Professor, Department of Artificial Intelligence and Data Science, Mepco Schlenk Engineering College (Autonomous), Sivakasi, for his guidance and support throughout the development of the AgriFresh project.</w:t>
      </w:r>
    </w:p>
    <w:p w14:paraId="43F01951" w14:textId="77777777" w:rsidR="003D2989" w:rsidRDefault="00000000">
      <w:pPr>
        <w:spacing w:before="240" w:after="120"/>
        <w:jc w:val="center"/>
      </w:pPr>
      <w:r>
        <w:rPr>
          <w:b/>
          <w:bCs/>
          <w:caps/>
        </w:rPr>
        <w:t>References</w:t>
      </w:r>
    </w:p>
    <w:p w14:paraId="6D081FE6" w14:textId="77777777" w:rsidR="003D2989" w:rsidRDefault="00000000">
      <w:pPr>
        <w:spacing w:after="40"/>
        <w:ind w:left="288" w:hanging="288"/>
        <w:jc w:val="both"/>
      </w:pPr>
      <w:r>
        <w:rPr>
          <w:sz w:val="18"/>
          <w:szCs w:val="18"/>
        </w:rPr>
        <w:t>[1] K. He, X. Zhang, S. Ren, and J. Sun, “Deep residual learning for image recognition,” in Proc. IEEE Conf. Comput. Vis. Pattern Recognit. (CVPR), 2016, pp. 770–778.</w:t>
      </w:r>
    </w:p>
    <w:p w14:paraId="6BBCB4D6" w14:textId="77777777" w:rsidR="003D2989" w:rsidRDefault="00000000">
      <w:pPr>
        <w:spacing w:after="40"/>
        <w:ind w:left="288" w:hanging="288"/>
        <w:jc w:val="both"/>
      </w:pPr>
      <w:r>
        <w:rPr>
          <w:sz w:val="18"/>
          <w:szCs w:val="18"/>
        </w:rPr>
        <w:t>[2] G. Huang, Z. Liu, L. van der Maaten, and K. Q. Weinberger, “Densely connected convolutional networks,” in Proc. IEEE Conf. Comput. Vis. Pattern Recognit. (CVPR), 2017, pp. 4700–4708.</w:t>
      </w:r>
    </w:p>
    <w:p w14:paraId="4172605E" w14:textId="77777777" w:rsidR="003D2989" w:rsidRDefault="00000000">
      <w:pPr>
        <w:spacing w:after="40"/>
        <w:ind w:left="288" w:hanging="288"/>
        <w:jc w:val="both"/>
      </w:pPr>
      <w:r>
        <w:rPr>
          <w:sz w:val="18"/>
          <w:szCs w:val="18"/>
        </w:rPr>
        <w:t>[3] M. Tan and Q. Le, “EfficientNet: Rethinking model scaling for convolutional neural networks,” in Proc. Int. Conf. Mach. Learn. (ICML), 2019, pp. 6105–6114.</w:t>
      </w:r>
    </w:p>
    <w:p w14:paraId="5BE7BBE8" w14:textId="77777777" w:rsidR="003D2989" w:rsidRDefault="00000000">
      <w:pPr>
        <w:spacing w:after="40"/>
        <w:ind w:left="288" w:hanging="288"/>
        <w:jc w:val="both"/>
      </w:pPr>
      <w:r>
        <w:rPr>
          <w:sz w:val="18"/>
          <w:szCs w:val="18"/>
        </w:rPr>
        <w:t>[4] M. Tan and Q. Le, “EfficientNetV2: Smaller models and faster training,” in Proc. Int. Conf. Mach. Learn. (ICML), 2021, pp. 10096–10106.</w:t>
      </w:r>
    </w:p>
    <w:p w14:paraId="6420913D" w14:textId="77777777" w:rsidR="003D2989" w:rsidRDefault="00000000">
      <w:pPr>
        <w:spacing w:after="40"/>
        <w:ind w:left="288" w:hanging="288"/>
        <w:jc w:val="both"/>
      </w:pPr>
      <w:r>
        <w:rPr>
          <w:sz w:val="18"/>
          <w:szCs w:val="18"/>
        </w:rPr>
        <w:t>[5] A. Howard et al., “Searching for MobileNetV3,” in Proc. IEEE/CVF Int. Conf. Comput. Vis. (ICCV), 2019, pp. 1314–1324.</w:t>
      </w:r>
    </w:p>
    <w:p w14:paraId="5070C8D2" w14:textId="77777777" w:rsidR="003D2989" w:rsidRDefault="00000000">
      <w:pPr>
        <w:spacing w:after="40"/>
        <w:ind w:left="288" w:hanging="288"/>
        <w:jc w:val="both"/>
      </w:pPr>
      <w:r>
        <w:rPr>
          <w:sz w:val="18"/>
          <w:szCs w:val="18"/>
        </w:rPr>
        <w:t>[6] R. R. Selvaraju, M. Cogswell, A. Das, R. Vedantam, D. Parikh, and D. Batra, “Grad-CAM: Visual explanations from deep networks via gradient-based localization,” in Proc. IEEE Int. Conf. Comput. Vis. (ICCV), 2017, pp. 618–626.</w:t>
      </w:r>
    </w:p>
    <w:p w14:paraId="11D4FD34" w14:textId="77777777" w:rsidR="003D2989" w:rsidRDefault="00000000">
      <w:pPr>
        <w:spacing w:after="40"/>
        <w:ind w:left="288" w:hanging="288"/>
        <w:jc w:val="both"/>
      </w:pPr>
      <w:r>
        <w:rPr>
          <w:sz w:val="18"/>
          <w:szCs w:val="18"/>
        </w:rPr>
        <w:t>[7] I. Loshchilov and F. Hutter, “Decoupled weight decay regularization,” in Proc. Int. Conf. Learn. Represent. (ICLR), 2019.</w:t>
      </w:r>
    </w:p>
    <w:p w14:paraId="3302705C" w14:textId="77777777" w:rsidR="003D2989" w:rsidRDefault="00000000">
      <w:pPr>
        <w:spacing w:after="40"/>
        <w:ind w:left="288" w:hanging="288"/>
        <w:jc w:val="both"/>
      </w:pPr>
      <w:r>
        <w:rPr>
          <w:sz w:val="18"/>
          <w:szCs w:val="18"/>
        </w:rPr>
        <w:t>[8] D. Hendrycks and K. Gimpel, “A baseline for detecting misclassified and out-of-distribution examples in neural networks,” in Proc. Int. Conf. Learn. Represent. (ICLR), 2017.</w:t>
      </w:r>
    </w:p>
    <w:p w14:paraId="7F9D434C" w14:textId="77777777" w:rsidR="003D2989" w:rsidRDefault="00000000">
      <w:pPr>
        <w:spacing w:after="40"/>
        <w:ind w:left="288" w:hanging="288"/>
        <w:jc w:val="both"/>
      </w:pPr>
      <w:r>
        <w:rPr>
          <w:sz w:val="18"/>
          <w:szCs w:val="18"/>
        </w:rPr>
        <w:t>[9] Food and Agriculture Organization of the United Nations, The State of Food and Agriculture 2019: Moving Forward on Food Loss and Waste Reduction. Rome, Italy: FAO, 2019.</w:t>
      </w:r>
    </w:p>
    <w:p w14:paraId="4F2BBE8F" w14:textId="77777777" w:rsidR="003D2989" w:rsidRDefault="00000000">
      <w:pPr>
        <w:spacing w:after="40"/>
        <w:ind w:left="288" w:hanging="288"/>
        <w:jc w:val="both"/>
      </w:pPr>
      <w:r>
        <w:rPr>
          <w:sz w:val="18"/>
          <w:szCs w:val="18"/>
        </w:rPr>
        <w:t>[10] J. Deng, W. Dong, R. Socher, L.-J. Li, K. Li, and L. Fei-Fei, “ImageNet: A large-scale hierarchical image database,” in Proc. IEEE Conf. Comput. Vis. Pattern Recognit. (CVPR), 2009, pp. 248–255.</w:t>
      </w:r>
    </w:p>
    <w:p w14:paraId="5C3A48D7" w14:textId="77777777" w:rsidR="003D2989" w:rsidRDefault="00000000">
      <w:pPr>
        <w:spacing w:after="40"/>
        <w:ind w:left="288" w:hanging="288"/>
        <w:jc w:val="both"/>
      </w:pPr>
      <w:r>
        <w:rPr>
          <w:sz w:val="18"/>
          <w:szCs w:val="18"/>
        </w:rPr>
        <w:t>[11] A. Paszke et al., “PyTorch: An imperative style, high-performance deep learning library,” in Adv. Neural Inf. Process. Syst. (NeurIPS), 2019, pp. 8024–8035.</w:t>
      </w:r>
    </w:p>
    <w:p w14:paraId="43095897" w14:textId="77777777" w:rsidR="003D2989" w:rsidRDefault="00000000">
      <w:pPr>
        <w:spacing w:after="40"/>
        <w:ind w:left="288" w:hanging="288"/>
        <w:jc w:val="both"/>
      </w:pPr>
      <w:r>
        <w:rPr>
          <w:sz w:val="18"/>
          <w:szCs w:val="18"/>
        </w:rPr>
        <w:t>[12] T. DeVries and G. W. Taylor, “Improved regularization of convolutional neural networks with Cutout,” arXiv:1708.04552, 2017.</w:t>
      </w:r>
    </w:p>
    <w:p w14:paraId="589875B1" w14:textId="77777777" w:rsidR="003D2989" w:rsidRDefault="00000000">
      <w:pPr>
        <w:spacing w:after="40"/>
        <w:ind w:left="288" w:hanging="288"/>
        <w:jc w:val="both"/>
      </w:pPr>
      <w:r>
        <w:rPr>
          <w:sz w:val="18"/>
          <w:szCs w:val="18"/>
        </w:rPr>
        <w:t>[13] M. T. Ribeiro, S. Singh, and C. Guestrin, “‘Why should I trust you?’: Explaining the predictions of any classifier,” in Proc. ACM SIGKDD Int. Conf. Knowl. Discov. Data Mining (KDD), 2016, pp. 1135–1144.</w:t>
      </w:r>
    </w:p>
    <w:p w14:paraId="6BE7E329" w14:textId="77777777" w:rsidR="003D2989" w:rsidRDefault="00000000">
      <w:pPr>
        <w:spacing w:after="40"/>
        <w:ind w:left="288" w:hanging="288"/>
        <w:jc w:val="both"/>
      </w:pPr>
      <w:r>
        <w:rPr>
          <w:sz w:val="18"/>
          <w:szCs w:val="18"/>
        </w:rPr>
        <w:t>[14] U.S. Department of Agriculture, Agriculture Handbook 66: The Commercial Storage of Fruits, Vegetables, and Florist and Nursery Stocks. Washington, DC: USDA, rev. ed.</w:t>
      </w:r>
    </w:p>
    <w:p w14:paraId="3A029042" w14:textId="77777777" w:rsidR="003D2989" w:rsidRDefault="00000000">
      <w:pPr>
        <w:spacing w:after="40"/>
        <w:ind w:left="288" w:hanging="288"/>
        <w:jc w:val="both"/>
      </w:pPr>
      <w:r>
        <w:rPr>
          <w:sz w:val="18"/>
          <w:szCs w:val="18"/>
        </w:rPr>
        <w:t>[15] C. Shorten and T. M. Khoshgoftaar, “A survey on image data augmentation for deep learning,” J. Big Data, vol. 6, no. 1, p. 60, 2019.</w:t>
      </w:r>
    </w:p>
    <w:sectPr w:rsidR="003D2989">
      <w:type w:val="continuous"/>
      <w:pgSz w:w="12240" w:h="15840"/>
      <w:pgMar w:top="1080" w:right="900" w:bottom="144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1C6F"/>
    <w:multiLevelType w:val="hybridMultilevel"/>
    <w:tmpl w:val="4B266FDE"/>
    <w:lvl w:ilvl="0" w:tplc="FCDAF23C">
      <w:start w:val="1"/>
      <w:numFmt w:val="bullet"/>
      <w:lvlText w:val="●"/>
      <w:lvlJc w:val="left"/>
      <w:pPr>
        <w:ind w:left="720" w:hanging="360"/>
      </w:pPr>
    </w:lvl>
    <w:lvl w:ilvl="1" w:tplc="8EC83AB4">
      <w:start w:val="1"/>
      <w:numFmt w:val="bullet"/>
      <w:lvlText w:val="○"/>
      <w:lvlJc w:val="left"/>
      <w:pPr>
        <w:ind w:left="1440" w:hanging="360"/>
      </w:pPr>
    </w:lvl>
    <w:lvl w:ilvl="2" w:tplc="6BF409F6">
      <w:start w:val="1"/>
      <w:numFmt w:val="bullet"/>
      <w:lvlText w:val="■"/>
      <w:lvlJc w:val="left"/>
      <w:pPr>
        <w:ind w:left="2160" w:hanging="360"/>
      </w:pPr>
    </w:lvl>
    <w:lvl w:ilvl="3" w:tplc="67B87CF6">
      <w:start w:val="1"/>
      <w:numFmt w:val="bullet"/>
      <w:lvlText w:val="●"/>
      <w:lvlJc w:val="left"/>
      <w:pPr>
        <w:ind w:left="2880" w:hanging="360"/>
      </w:pPr>
    </w:lvl>
    <w:lvl w:ilvl="4" w:tplc="7BB66F26">
      <w:start w:val="1"/>
      <w:numFmt w:val="bullet"/>
      <w:lvlText w:val="○"/>
      <w:lvlJc w:val="left"/>
      <w:pPr>
        <w:ind w:left="3600" w:hanging="360"/>
      </w:pPr>
    </w:lvl>
    <w:lvl w:ilvl="5" w:tplc="A5006FBE">
      <w:start w:val="1"/>
      <w:numFmt w:val="bullet"/>
      <w:lvlText w:val="■"/>
      <w:lvlJc w:val="left"/>
      <w:pPr>
        <w:ind w:left="4320" w:hanging="360"/>
      </w:pPr>
    </w:lvl>
    <w:lvl w:ilvl="6" w:tplc="425C3BC2">
      <w:start w:val="1"/>
      <w:numFmt w:val="bullet"/>
      <w:lvlText w:val="●"/>
      <w:lvlJc w:val="left"/>
      <w:pPr>
        <w:ind w:left="5040" w:hanging="360"/>
      </w:pPr>
    </w:lvl>
    <w:lvl w:ilvl="7" w:tplc="E6B42254">
      <w:start w:val="1"/>
      <w:numFmt w:val="bullet"/>
      <w:lvlText w:val="●"/>
      <w:lvlJc w:val="left"/>
      <w:pPr>
        <w:ind w:left="5760" w:hanging="360"/>
      </w:pPr>
    </w:lvl>
    <w:lvl w:ilvl="8" w:tplc="4E2EAE4E">
      <w:start w:val="1"/>
      <w:numFmt w:val="bullet"/>
      <w:lvlText w:val="●"/>
      <w:lvlJc w:val="left"/>
      <w:pPr>
        <w:ind w:left="6480" w:hanging="360"/>
      </w:pPr>
    </w:lvl>
  </w:abstractNum>
  <w:num w:numId="1" w16cid:durableId="1112939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989"/>
    <w:rsid w:val="003D2989"/>
    <w:rsid w:val="005B2AD8"/>
    <w:rsid w:val="0086332A"/>
    <w:rsid w:val="00B41B19"/>
    <w:rsid w:val="00E45C41"/>
    <w:rsid w:val="00EA54A6"/>
    <w:rsid w:val="00FA34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4130"/>
  <w15:docId w15:val="{06B5011F-28BD-404D-8064-D85FEBF77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C4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3292</Words>
  <Characters>18765</Characters>
  <Application>Microsoft Office Word</Application>
  <DocSecurity>0</DocSecurity>
  <Lines>156</Lines>
  <Paragraphs>44</Paragraphs>
  <ScaleCrop>false</ScaleCrop>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Mukhesh P</cp:lastModifiedBy>
  <cp:revision>12</cp:revision>
  <dcterms:created xsi:type="dcterms:W3CDTF">2026-09-23T19:33:00Z</dcterms:created>
  <dcterms:modified xsi:type="dcterms:W3CDTF">2026-09-24T14:07:00Z</dcterms:modified>
</cp:coreProperties>
</file>