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ТЕСТ-ПЛАН</w:t>
      </w:r>
    </w:p>
    <w:p>
      <w:pPr>
        <w:pStyle w:val="Subtitle"/>
      </w:pPr>
      <w:r>
        <w:t>Разработка тестовых процедур для автоматического тестирования пользовательских приложений</w:t>
      </w:r>
    </w:p>
    <w:p>
      <w:r>
        <w:t>Проект: Task Manager · Версия: 0.2 (уточнённый проект) · Дата: 19.10.2026</w:t>
      </w:r>
    </w:p>
    <w:p>
      <w:r>
        <w:t>Статус: проект документа. Подтверждены маршруты регистрации, CSRF и удаления аккаунта; остальные контракты и UI-локаторы уточняются после сверки с реализацией.</w:t>
      </w:r>
    </w:p>
    <w:p>
      <w:pPr>
        <w:pStyle w:val="Heading1"/>
      </w:pPr>
      <w:r>
        <w:t>1. Цель и объект тестирования</w:t>
      </w:r>
    </w:p>
    <w:p>
      <w:r>
        <w:t>Цель — спроектировать и реализовать воспроизводимые автоматизированные процедуры для проверки веб-приложения Task Manager. Объект тестирования: Spring Boot веб-приложение с UI, REST API, регистрацией, авторизацией и операциями над задачами. Публичная среда: https://task-manager-kqoi.onrender.com. Для изменяющих данные сценариев предпочтительна отдельная тестовая среда/БД.</w:t>
      </w:r>
    </w:p>
    <w:p>
      <w:pPr>
        <w:pStyle w:val="Heading1"/>
      </w:pPr>
      <w:r>
        <w:t>2. Область охвата</w:t>
      </w:r>
    </w:p>
    <w:p>
      <w:r>
        <w:t>В области тестирования: регистрация и валидация; вход, выход и сессии; создание, просмотр, редактирование, удаление задач; статусы, приоритеты, сроки; изоляция данных пользователей; CSRF; корректность HTTP-статусов и JSON. Вне области первоначального этапа: нагрузочные испытания, мобильные платформы, внешние интеграции, полный аудит безопасности.</w:t>
      </w:r>
    </w:p>
    <w:p>
      <w:pPr>
        <w:pStyle w:val="Heading1"/>
      </w:pPr>
      <w:r>
        <w:t>3. Стратегия и уровни</w:t>
      </w:r>
    </w:p>
    <w:p>
      <w:r>
        <w:t>40 запланированных сценариев: 20 UI и 20 API. UI — Selenium WebDriver + TestNG, Page Object и явные ожидания. API — REST Assured + TestNG; изолированные HTTP-сессии, cookies и CSRF-токен одной сессии. Позитивные, негативные, граничные и проверки прав доступа. Проверять HTTP-код, формат тела ответа (JSON либо текст), состояние данных; неподтверждённые статусы уточнять по контроллерам и обработчикам ошибок.</w:t>
      </w:r>
    </w:p>
    <w:p>
      <w:pPr>
        <w:pStyle w:val="Heading1"/>
      </w:pPr>
      <w:r>
        <w:t>4. Тестовые артефакты</w:t>
      </w:r>
    </w:p>
    <w:p>
      <w:r>
        <w:t>Test_Matrix.xlsx — соответствие требований REQ-01…REQ-09 и кейсов; Test_Cases.xlsx — 40 кейсов UI-001…UI-020 и API-001…API-020; Test_Data.xlsx — фикстуры TD-* и правила генерации. Ссылки на ID сохраняются согласованными. Фактические статусы ответов, не подтверждённые кодом, помечены для уточнения.</w:t>
      </w:r>
    </w:p>
    <w:p>
      <w:pPr>
        <w:pStyle w:val="Heading1"/>
      </w:pPr>
      <w:r>
        <w:t>5. Архитектура автоматизации</w:t>
      </w:r>
    </w:p>
    <w:p>
      <w:r>
        <w:t>Родительский Maven pom.xml с packaging=pom и модулями ui-tests и api-tests. Java 17, TestNG, Selenium WebDriver, REST Assured, Allure, GitHub Actions. UI использует Page Object; API — clients, DTO и генераторы тестовых данных. Секреты — только из переменных окружения. Для API используются session cookies, CSRF и авторизация Spring Security formLogin.</w:t>
      </w:r>
    </w:p>
    <w:p>
      <w:pPr>
        <w:pStyle w:val="Heading1"/>
      </w:pPr>
      <w:r>
        <w:t>6. Окружение и подготовка</w:t>
      </w:r>
    </w:p>
    <w:p>
      <w:r>
        <w:t>Локальная среда и Render; Chrome, Java 17, Maven, PostgreSQL. Для тестов регистрации создавать уникальных временных пользователей; после проверки авторизоваться и удалить через DELETE /api/users/me (ожидается 204). Для CRUD использовать выделенный тестовый аккаунт и независимые задачи, удаляемые после каждого теста. Очистка best effort: сбой сети может оставить данные; предпочтительна отдельная БД. Render Free может засыпать; холодный старт сам по себе не дефект.</w:t>
      </w:r>
    </w:p>
    <w:p>
      <w:pPr>
        <w:pStyle w:val="Heading1"/>
      </w:pPr>
      <w:r>
        <w:t>7. Критерии входа</w:t>
      </w:r>
    </w:p>
    <w:p>
      <w:r>
        <w:t>Приложение доступно; выделенный тестовый аккаунт готов; API-контракт проверен по коду и Swagger; UI-локаторы определены; сценарии и тестовые данные согласованы; доступен GET /api/csrf (после развёртывания разрешения в SecurityConfig); подтверждена схема formLogin.</w:t>
      </w:r>
    </w:p>
    <w:p>
      <w:pPr>
        <w:pStyle w:val="Heading1"/>
      </w:pPr>
      <w:r>
        <w:t>8. Критерии завершения</w:t>
      </w:r>
    </w:p>
    <w:p>
      <w:r>
        <w:t>Все утверждённые кейсы автоматизированы либо имеют обоснованное исключение; тесты воспроизводимы и независимы; отчёт Allure формируется; выявленные дефекты и ограничения зафиксированы; есть результаты локального и CI-запуска. Процент успешности не задаётся заранее и определяется фактическим прогоном.</w:t>
      </w:r>
    </w:p>
    <w:p>
      <w:pPr>
        <w:pStyle w:val="Heading1"/>
      </w:pPr>
      <w:r>
        <w:t>9. Риски и ограничения</w:t>
      </w:r>
    </w:p>
    <w:p>
      <w:r>
        <w:t>Риски: холодный старт Render, общая БД, оставшиеся данные при неудачном teardown, конфликт параллельных прогонов, изменение DTO/HTML, особенности formLogin и CSRF. Меры: отдельная тестовая БД по возможности, UUID для временных данных, отдельные сессии и CSRF, @AfterMethod(alwaysRun = true), проверка очистки, повторная диагностика сбоев.</w:t>
      </w:r>
    </w:p>
    <w:p>
      <w:pPr>
        <w:pStyle w:val="Heading1"/>
      </w:pPr>
      <w:r>
        <w:t>10. Отчётность и показатели</w:t>
      </w:r>
    </w:p>
    <w:p>
      <w:r>
        <w:t>Allure: пройденные/упавшие/пропущенные тесты, длительность, вложения и скриншоты UI при ошибках. Показатели ВКР: доля автоматизированных кейсов, длительность прогонов, стабильность повторных запусков, выявленные дефекты. Сравнение с ручным выполнением возможно после замеров, без выдуманных значений.</w:t>
      </w:r>
    </w:p>
    <w:p>
      <w:pPr>
        <w:pStyle w:val="Heading1"/>
      </w:pPr>
      <w:r>
        <w:t>11. План иллюстраций для ВКР</w:t>
      </w:r>
    </w:p>
    <w:p>
      <w:r>
        <w:t>Архитектура многомодульного Maven-проекта; схема тестовой среды и CI; последовательность авторизации и CSRF; Page Object и поток выполнения UI-теста; взаимодействие REST Assured с API; фрагмент матрицы покрытия; фрагмент тест-кейса; скриншоты Allure; диаграмма результатов прогонов.</w:t>
      </w:r>
    </w:p>
    <w:p>
      <w:pPr>
        <w:pStyle w:val="Heading1"/>
      </w:pPr>
      <w:r>
        <w:t>12. Порядок работ</w:t>
      </w:r>
    </w:p>
    <w:p>
      <w:r>
        <w:t>1) Сверить тестовую матрицу с функциональностью Task Manager. 2) Уточнить кейсы и данные. 3) Создать Maven-модули. 4) Реализовать базовые фикстуры и тесты. 5) Настроить Allure и GitHub Actions. 6) Выполнить прогоны и измерения. 7) Обновить документы и материалы ВКР.</w:t>
      </w:r>
    </w:p>
    <w:p>
      <w:r>
        <w:t>Примечание: тест-план является проектной документацией для ВКР и подлежит согласованию с руководителем.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2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2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24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