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ТЕСТ-ПЛАН</w:t>
      </w:r>
    </w:p>
    <w:p>
      <w:pPr>
        <w:pStyle w:val="Subtitle"/>
      </w:pPr>
      <w:r>
        <w:t>Разработка тестовых процедур для автоматического тестирования пользовательских приложений</w:t>
      </w:r>
    </w:p>
    <w:p>
      <w:r>
        <w:t>Проект: Task Manager · Версия: 1.1 · Подтверждённые прогоны: 27.10.2026</w:t>
      </w:r>
    </w:p>
    <w:p>
      <w:r>
        <w:t>Статус: актуальный объём автоматизации сопоставлен с Java-тестами, DataProvider и сохранёнными результатами. Первоначальные нереализованные сценарии отделены от действующего реестра.</w:t>
      </w:r>
    </w:p>
    <w:p>
      <w:pPr>
        <w:pStyle w:val="Heading1"/>
      </w:pPr>
      <w:r>
        <w:t>1. Цель и объект тестирования</w:t>
      </w:r>
    </w:p>
    <w:p>
      <w:r>
        <w:t>Цель — воспроизводимая проверка регистрации, авторизации и операций с задачами в отдельной тестовой среде https://task-manager-test-588r.onrender.com. Используется PostgreSQL task_manager_test на подтверждённом тестовом hostname и порту. Production исключён из конфигурации запусков.</w:t>
      </w:r>
    </w:p>
    <w:p>
      <w:pPr>
        <w:pStyle w:val="Heading1"/>
      </w:pPr>
      <w:r>
        <w:t>2. Область охвата</w:t>
      </w:r>
    </w:p>
    <w:p>
      <w:r>
        <w:t>Реализованы регистрация и API/HTML-валидация, вход, API-выход, список и CRUD задач, API-изоляция пользователей, JSON Schema и JDBC-проверки. Получение CSRF является служебным шагом клиентов и не считается самостоятельным тестом защиты без токена. Актуальный реестр содержит только реализованные сценарии.</w:t>
      </w:r>
    </w:p>
    <w:p>
      <w:pPr>
        <w:pStyle w:val="Heading1"/>
      </w:pPr>
      <w:r>
        <w:t>3. Стратегия и уровни</w:t>
      </w:r>
    </w:p>
    <w:p>
      <w:r>
        <w:t>Самостоятельных логических кейсов — 66: 34 API и 32 UI. Они реализованы 56 Java-методами: 27 API и 29 UI. В 23 DataProvider описаны 84 параметризованных выполнения; ещё 33 вызова не имеют параметров. Regression подтверждает 51 API и 66 UI выполнений, всего 117. Smoke — 6 API и 4 UI, подмножество Regression. Кейс может объединять однотипные строки DataProvider; количество кейсов, методов и выполнений — разные показатели.</w:t>
      </w:r>
    </w:p>
    <w:p>
      <w:pPr>
        <w:pStyle w:val="Heading1"/>
      </w:pPr>
      <w:r>
        <w:t>4. Тестовые артефакты</w:t>
      </w:r>
    </w:p>
    <w:p>
      <w:r>
        <w:t>Test_Cases_extended.xlsx: «Тест-кейсы» — 66 актуальных сценариев; «Связанные проверки» — 4 проверки внутри родительских сценариев с сохранёнными ID, без дополнительного счёта запусков; «Первоначальный план» — 14 исторических кейсов вне действующего объёма; «Сводка» — правила подсчёта. Для каждого актуального кейса указаны Java-класс, метод, данные/строки DataProvider, ожидаемый результат и подтверждение PASS.</w:t>
      </w:r>
    </w:p>
    <w:p>
      <w:pPr>
        <w:pStyle w:val="Heading1"/>
      </w:pPr>
      <w:r>
        <w:t>5. Архитектура автоматизации</w:t>
      </w:r>
    </w:p>
    <w:p>
      <w:r>
        <w:t>Родительский Maven POM и модули api-tests / ui-tests; Java 17, TestNG 7.10.2, Selenium 4.27.0, REST Assured 5.5.0, PostgreSQL JDBC, Allure TestNG 2.29.1. Шаги в Page Object и API-клиентах; AspectJ 1.9.22.1 обеспечивает @Step. HTTP-вложения содержат только метод, разрешённый путь, статус и длительность.</w:t>
      </w:r>
    </w:p>
    <w:p>
      <w:pPr>
        <w:pStyle w:val="Heading1"/>
      </w:pPr>
      <w:r>
        <w:t>6. Окружение и подготовка</w:t>
      </w:r>
    </w:p>
    <w:p>
      <w:pPr>
        <w:keepLines/>
      </w:pPr>
      <w:r>
        <w:t>Секреты сохраняются однократно scripts/Initialize-TestSecrets.ps1 вне Git через Windows DPAPI и ACL. Запуск: scripts/Invoke-TestMaven.ps1 с именем набора или метода. TLS require / verify-full сохраняется как введён. Очищаются только данные, зарегистрированные существующим JDBC teardown.</w:t>
      </w:r>
    </w:p>
    <w:p>
      <w:pPr>
        <w:pStyle w:val="Heading1"/>
      </w:pPr>
      <w:r>
        <w:t>7. Критерии входа</w:t>
      </w:r>
    </w:p>
    <w:p>
      <w:r>
        <w:t>Нужны Java 17, Maven, Chrome, доступ к тестовому Render и PostgreSQL, постоянный тестовый пользователь и четыре секрета. UI ожидает готовность Render до четырёх минут; CI выполняет аналогичный прогрев для каждого набора. Рабочее локальное подключение проверено без изменения серверных настроек PostgreSQL.</w:t>
      </w:r>
    </w:p>
    <w:p>
      <w:pPr>
        <w:pStyle w:val="Heading1"/>
      </w:pPr>
      <w:r>
        <w:t>8. Критерии завершения</w:t>
      </w:r>
    </w:p>
    <w:p>
      <w:r>
        <w:t>Критерий завершения: каждый актуальный кейс связан с реализованным методом и подтверждённой записью запуска. 66 основных кейсов распределяют все 117 выполнений Regression без повторного счёта; связанные проверки не добавляют вызовов. Исторический план не влияет на текущие статусы и показатели. Ошибок teardown нет; удалённый CI остаётся неподтверждённым до запуска в GitHub.</w:t>
      </w:r>
    </w:p>
    <w:p>
      <w:pPr>
        <w:pStyle w:val="Heading1"/>
      </w:pPr>
      <w:r>
        <w:t>9. Риски и ограничения</w:t>
      </w:r>
    </w:p>
    <w:p>
      <w:r>
        <w:t>DPAPI доступен процессам того же пользователя Windows. Общая тестовая БД исключает параллельные запуски. CI использует max-parallel=1 и общую concurrency group без отмены текущего запуска. Холодный старт Render и ограничения сети могут увеличивать время. Selenium предупреждает о несовпадении CDP с Chrome 156; текущие WebDriver-сценарии проходят и CDP не используют. Прямой запуск Maven в обход скрипта не получает его защиты вывода.</w:t>
      </w:r>
    </w:p>
    <w:p>
      <w:pPr>
        <w:pStyle w:val="Heading1"/>
      </w:pPr>
      <w:r>
        <w:t>10. Отчётность и показатели</w:t>
      </w:r>
    </w:p>
    <w:p>
      <w:r>
        <w:t>Источник фактических статусов — сохранённые Allure JSON от 27.10.2026: API Smoke 6 PASS; API Regression 51 PASS; UI Smoke 4 PASS; UI Regression 66 PASS. Новые запуски ради правки документов не выполнялись. Номера вариантов DataProvider сопоставлены с порядком строк исходного кода. Все 84 варианта описаны отдельно в Test Data с ожидаемыми результатами и UUID подтверждения.</w:t>
      </w:r>
    </w:p>
    <w:p>
      <w:pPr>
        <w:pStyle w:val="Heading1"/>
      </w:pPr>
      <w:r>
        <w:t>11. Данные и матрица трассировки</w:t>
      </w:r>
    </w:p>
    <w:p>
      <w:r>
        <w:t>Test_Data_updated.xlsx содержит используемые фикстуры, 23 набора и отдельный лист «DataProvider» с 84 строками без значений паролей. Неиспользуемые данные перенесены в историю. Test_Matrix_updated.xlsx ссылается только на актуальные кейсы и показывает отдельно число кейсов, методов и выполнений. REQ-08/REQ-09 из первоначального плана оставлены в истории; REQ-10 описывает фактическую JDBC-проверку.</w:t>
      </w:r>
    </w:p>
    <w:p>
      <w:pPr>
        <w:pStyle w:val="Heading1"/>
      </w:pPr>
      <w:r>
        <w:t>12. Воспроизведение результатов</w:t>
      </w:r>
    </w:p>
    <w:p>
      <w:r>
        <w:t>Отчёты Smoke и Regression формируются отдельно scripts/Get-AllureReport.ps1. Подтверждения хранятся в target/runs/&lt;Suite&gt;/allure-results; не суммировать повторные архивные прогоны. GitHub workflow .github/workflows/tests.yml подготовлен для environment test и GitHub Secrets, но не опубликован и не запускался. Все значения секретов исключены из документации; настройки окружения описаны в workflow.</w:t>
      </w:r>
    </w:p>
    <w:p>
      <w:r>
        <w:t>Тесты, DataProvider и очистка ради документации не изменялись. Сохранены ID реализованных сценариев; новые ID назначены только фактически существующим вариантам. Основной проект и production не изменялись. Commit, push и merge не выполнялись.</w:t>
      </w:r>
    </w:p>
    <w:sectPr w:rsidR="00FC693F" w:rsidRPr="0006063C" w:rsidSect="00034616">
      <w:pgSz w:w="12240" w:h="15840"/>
      <w:pgMar w:top="1134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324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632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