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2D7A" w14:textId="77777777" w:rsidR="001C4CD7" w:rsidRDefault="001C4CD7">
      <w:pPr>
        <w:widowControl w:val="0"/>
        <w:pBdr>
          <w:top w:val="nil"/>
          <w:left w:val="nil"/>
          <w:bottom w:val="nil"/>
          <w:right w:val="nil"/>
          <w:between w:val="nil"/>
        </w:pBdr>
        <w:spacing w:after="0"/>
        <w:rPr>
          <w:rFonts w:ascii="Arial" w:eastAsia="Arial" w:hAnsi="Arial" w:cs="Arial"/>
          <w:color w:val="000000"/>
          <w:sz w:val="22"/>
          <w:szCs w:val="22"/>
        </w:rPr>
      </w:pPr>
    </w:p>
    <w:tbl>
      <w:tblPr>
        <w:tblStyle w:val="a"/>
        <w:tblW w:w="10166"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5083"/>
        <w:gridCol w:w="5083"/>
      </w:tblGrid>
      <w:tr w:rsidR="001C4CD7" w14:paraId="02A4DA1A" w14:textId="77777777">
        <w:trPr>
          <w:jc w:val="center"/>
        </w:trPr>
        <w:tc>
          <w:tcPr>
            <w:tcW w:w="5083" w:type="dxa"/>
          </w:tcPr>
          <w:p w14:paraId="6AB56068" w14:textId="77777777" w:rsidR="001C4CD7" w:rsidRDefault="00FB69A7">
            <w:pPr>
              <w:jc w:val="center"/>
              <w:rPr>
                <w:rFonts w:ascii="Arial" w:eastAsia="Arial" w:hAnsi="Arial" w:cs="Arial"/>
              </w:rPr>
            </w:pPr>
            <w:r>
              <w:rPr>
                <w:rFonts w:ascii="Arial" w:eastAsia="Arial" w:hAnsi="Arial" w:cs="Arial"/>
                <w:noProof/>
              </w:rPr>
              <w:drawing>
                <wp:inline distT="0" distB="0" distL="114300" distR="114300" wp14:anchorId="67003D30" wp14:editId="0F384D28">
                  <wp:extent cx="1051560" cy="135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051560" cy="135125"/>
                          </a:xfrm>
                          <a:prstGeom prst="rect">
                            <a:avLst/>
                          </a:prstGeom>
                          <a:ln/>
                        </pic:spPr>
                      </pic:pic>
                    </a:graphicData>
                  </a:graphic>
                </wp:inline>
              </w:drawing>
            </w:r>
          </w:p>
        </w:tc>
        <w:tc>
          <w:tcPr>
            <w:tcW w:w="5083" w:type="dxa"/>
            <w:tcMar>
              <w:top w:w="90" w:type="dxa"/>
              <w:bottom w:w="90" w:type="dxa"/>
            </w:tcMar>
            <w:vAlign w:val="center"/>
          </w:tcPr>
          <w:p w14:paraId="4B4073BC" w14:textId="77777777" w:rsidR="001C4CD7" w:rsidRDefault="00FB69A7">
            <w:pPr>
              <w:rPr>
                <w:rFonts w:ascii="Arial" w:eastAsia="Arial" w:hAnsi="Arial" w:cs="Arial"/>
              </w:rPr>
            </w:pPr>
            <w:r>
              <w:rPr>
                <w:rFonts w:ascii="Arial" w:eastAsia="Arial" w:hAnsi="Arial" w:cs="Arial"/>
                <w:b/>
                <w:bCs/>
                <w:color w:val="0B2748"/>
                <w:sz w:val="26"/>
                <w:szCs w:val="26"/>
              </w:rPr>
              <w:t>SIMATS ENGINEERING</w:t>
            </w:r>
            <w:r>
              <w:rPr>
                <w:rFonts w:ascii="Arial" w:eastAsia="Arial" w:hAnsi="Arial" w:cs="Arial"/>
                <w:b/>
                <w:bCs/>
                <w:color w:val="0B2748"/>
                <w:sz w:val="26"/>
                <w:szCs w:val="26"/>
              </w:rPr>
              <w:br/>
              <w:t>Department of Computer Science and Engineering</w:t>
            </w:r>
          </w:p>
        </w:tc>
      </w:tr>
    </w:tbl>
    <w:p w14:paraId="094FD304" w14:textId="77777777" w:rsidR="001C4CD7" w:rsidRDefault="00FB69A7">
      <w:pPr>
        <w:jc w:val="center"/>
        <w:rPr>
          <w:rFonts w:ascii="Arial" w:eastAsia="Arial" w:hAnsi="Arial" w:cs="Arial"/>
        </w:rPr>
      </w:pPr>
      <w:r>
        <w:rPr>
          <w:rFonts w:ascii="Arial" w:eastAsia="Arial" w:hAnsi="Arial" w:cs="Arial"/>
          <w:b/>
          <w:bCs/>
          <w:color w:val="0B2748"/>
          <w:sz w:val="40"/>
          <w:szCs w:val="40"/>
        </w:rPr>
        <w:t>CSA15 Cloud Computing and Big Data Analytics</w:t>
      </w:r>
    </w:p>
    <w:p w14:paraId="565F0371" w14:textId="77777777" w:rsidR="001C4CD7" w:rsidRDefault="00FB69A7">
      <w:pPr>
        <w:jc w:val="center"/>
        <w:rPr>
          <w:rFonts w:ascii="Arial" w:eastAsia="Arial" w:hAnsi="Arial" w:cs="Arial"/>
        </w:rPr>
      </w:pPr>
      <w:r>
        <w:rPr>
          <w:rFonts w:ascii="Arial" w:eastAsia="Arial" w:hAnsi="Arial" w:cs="Arial"/>
          <w:b/>
          <w:bCs/>
          <w:color w:val="1565C0"/>
          <w:sz w:val="22"/>
          <w:szCs w:val="22"/>
        </w:rPr>
        <w:t>CO3 AT2 - Capstone Cloud Access and Service Integration Case Study Student Template</w:t>
      </w:r>
    </w:p>
    <w:tbl>
      <w:tblPr>
        <w:tblStyle w:val="a0"/>
        <w:tblW w:w="10164"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2541"/>
        <w:gridCol w:w="2541"/>
        <w:gridCol w:w="2541"/>
        <w:gridCol w:w="2541"/>
      </w:tblGrid>
      <w:tr w:rsidR="001C4CD7" w14:paraId="73AC3741" w14:textId="77777777">
        <w:trPr>
          <w:jc w:val="center"/>
        </w:trPr>
        <w:tc>
          <w:tcPr>
            <w:tcW w:w="2541" w:type="dxa"/>
            <w:shd w:val="clear" w:color="auto" w:fill="EAF4FF"/>
            <w:tcMar>
              <w:top w:w="90" w:type="dxa"/>
              <w:bottom w:w="90" w:type="dxa"/>
            </w:tcMar>
            <w:vAlign w:val="center"/>
          </w:tcPr>
          <w:p w14:paraId="1613DF5C" w14:textId="77777777" w:rsidR="001C4CD7" w:rsidRDefault="00FB69A7">
            <w:pPr>
              <w:rPr>
                <w:rFonts w:ascii="Arial" w:eastAsia="Arial" w:hAnsi="Arial" w:cs="Arial"/>
              </w:rPr>
            </w:pPr>
            <w:r>
              <w:rPr>
                <w:rFonts w:ascii="Arial" w:eastAsia="Arial" w:hAnsi="Arial" w:cs="Arial"/>
                <w:b/>
                <w:bCs/>
                <w:color w:val="0B2748"/>
                <w:sz w:val="17"/>
                <w:szCs w:val="17"/>
              </w:rPr>
              <w:t>Course Code</w:t>
            </w:r>
          </w:p>
        </w:tc>
        <w:tc>
          <w:tcPr>
            <w:tcW w:w="2541" w:type="dxa"/>
            <w:shd w:val="clear" w:color="auto" w:fill="FFFFFF"/>
            <w:tcMar>
              <w:top w:w="90" w:type="dxa"/>
              <w:bottom w:w="90" w:type="dxa"/>
            </w:tcMar>
            <w:vAlign w:val="center"/>
          </w:tcPr>
          <w:p w14:paraId="136C8465" w14:textId="77777777" w:rsidR="001C4CD7" w:rsidRDefault="00FB69A7">
            <w:pPr>
              <w:rPr>
                <w:rFonts w:ascii="Arial" w:eastAsia="Arial" w:hAnsi="Arial" w:cs="Arial"/>
              </w:rPr>
            </w:pPr>
            <w:r>
              <w:rPr>
                <w:rFonts w:ascii="Arial" w:eastAsia="Arial" w:hAnsi="Arial" w:cs="Arial"/>
                <w:color w:val="0B2748"/>
                <w:sz w:val="17"/>
                <w:szCs w:val="17"/>
              </w:rPr>
              <w:t>CSA15</w:t>
            </w:r>
          </w:p>
        </w:tc>
        <w:tc>
          <w:tcPr>
            <w:tcW w:w="2541" w:type="dxa"/>
            <w:shd w:val="clear" w:color="auto" w:fill="EAF4FF"/>
            <w:tcMar>
              <w:top w:w="90" w:type="dxa"/>
              <w:bottom w:w="90" w:type="dxa"/>
            </w:tcMar>
            <w:vAlign w:val="center"/>
          </w:tcPr>
          <w:p w14:paraId="451FE478" w14:textId="77777777" w:rsidR="001C4CD7" w:rsidRDefault="00FB69A7">
            <w:pPr>
              <w:rPr>
                <w:rFonts w:ascii="Arial" w:eastAsia="Arial" w:hAnsi="Arial" w:cs="Arial"/>
              </w:rPr>
            </w:pPr>
            <w:r>
              <w:rPr>
                <w:rFonts w:ascii="Arial" w:eastAsia="Arial" w:hAnsi="Arial" w:cs="Arial"/>
                <w:b/>
                <w:bCs/>
                <w:color w:val="0B2748"/>
                <w:sz w:val="17"/>
                <w:szCs w:val="17"/>
              </w:rPr>
              <w:t>Course Title</w:t>
            </w:r>
          </w:p>
        </w:tc>
        <w:tc>
          <w:tcPr>
            <w:tcW w:w="2541" w:type="dxa"/>
            <w:shd w:val="clear" w:color="auto" w:fill="FFFFFF"/>
            <w:tcMar>
              <w:top w:w="90" w:type="dxa"/>
              <w:bottom w:w="90" w:type="dxa"/>
            </w:tcMar>
            <w:vAlign w:val="center"/>
          </w:tcPr>
          <w:p w14:paraId="738C97E6" w14:textId="77777777" w:rsidR="001C4CD7" w:rsidRDefault="00FB69A7">
            <w:pPr>
              <w:rPr>
                <w:rFonts w:ascii="Arial" w:eastAsia="Arial" w:hAnsi="Arial" w:cs="Arial"/>
              </w:rPr>
            </w:pPr>
            <w:r>
              <w:rPr>
                <w:rFonts w:ascii="Arial" w:eastAsia="Arial" w:hAnsi="Arial" w:cs="Arial"/>
                <w:color w:val="0B2748"/>
                <w:sz w:val="17"/>
                <w:szCs w:val="17"/>
              </w:rPr>
              <w:t>Cloud Computing and Big Data Analytics</w:t>
            </w:r>
          </w:p>
        </w:tc>
      </w:tr>
      <w:tr w:rsidR="001C4CD7" w14:paraId="3B397025" w14:textId="77777777">
        <w:trPr>
          <w:jc w:val="center"/>
        </w:trPr>
        <w:tc>
          <w:tcPr>
            <w:tcW w:w="2541" w:type="dxa"/>
            <w:shd w:val="clear" w:color="auto" w:fill="EAF4FF"/>
            <w:tcMar>
              <w:top w:w="90" w:type="dxa"/>
              <w:bottom w:w="90" w:type="dxa"/>
            </w:tcMar>
            <w:vAlign w:val="center"/>
          </w:tcPr>
          <w:p w14:paraId="30D0BD9D" w14:textId="77777777" w:rsidR="001C4CD7" w:rsidRDefault="00FB69A7">
            <w:pPr>
              <w:rPr>
                <w:rFonts w:ascii="Arial" w:eastAsia="Arial" w:hAnsi="Arial" w:cs="Arial"/>
              </w:rPr>
            </w:pPr>
            <w:r>
              <w:rPr>
                <w:rFonts w:ascii="Arial" w:eastAsia="Arial" w:hAnsi="Arial" w:cs="Arial"/>
                <w:b/>
                <w:bCs/>
                <w:color w:val="0B2748"/>
                <w:sz w:val="17"/>
                <w:szCs w:val="17"/>
              </w:rPr>
              <w:t>Assessment</w:t>
            </w:r>
          </w:p>
        </w:tc>
        <w:tc>
          <w:tcPr>
            <w:tcW w:w="2541" w:type="dxa"/>
            <w:shd w:val="clear" w:color="auto" w:fill="FFFFFF"/>
            <w:tcMar>
              <w:top w:w="90" w:type="dxa"/>
              <w:bottom w:w="90" w:type="dxa"/>
            </w:tcMar>
            <w:vAlign w:val="center"/>
          </w:tcPr>
          <w:p w14:paraId="5306F365" w14:textId="77777777" w:rsidR="001C4CD7" w:rsidRDefault="00FB69A7">
            <w:pPr>
              <w:rPr>
                <w:rFonts w:ascii="Arial" w:eastAsia="Arial" w:hAnsi="Arial" w:cs="Arial"/>
              </w:rPr>
            </w:pPr>
            <w:r>
              <w:rPr>
                <w:rFonts w:ascii="Arial" w:eastAsia="Arial" w:hAnsi="Arial" w:cs="Arial"/>
                <w:color w:val="0B2748"/>
                <w:sz w:val="17"/>
                <w:szCs w:val="17"/>
              </w:rPr>
              <w:t>CO3 AT2 - Capstone Cloud Access and Service Integration Case Study</w:t>
            </w:r>
          </w:p>
        </w:tc>
        <w:tc>
          <w:tcPr>
            <w:tcW w:w="2541" w:type="dxa"/>
            <w:shd w:val="clear" w:color="auto" w:fill="EAF4FF"/>
            <w:tcMar>
              <w:top w:w="90" w:type="dxa"/>
              <w:bottom w:w="90" w:type="dxa"/>
            </w:tcMar>
            <w:vAlign w:val="center"/>
          </w:tcPr>
          <w:p w14:paraId="4CB44ED8" w14:textId="77777777" w:rsidR="001C4CD7" w:rsidRDefault="00FB69A7">
            <w:pPr>
              <w:rPr>
                <w:rFonts w:ascii="Arial" w:eastAsia="Arial" w:hAnsi="Arial" w:cs="Arial"/>
              </w:rPr>
            </w:pPr>
            <w:r>
              <w:rPr>
                <w:rFonts w:ascii="Arial" w:eastAsia="Arial" w:hAnsi="Arial" w:cs="Arial"/>
                <w:b/>
                <w:bCs/>
                <w:color w:val="0B2748"/>
                <w:sz w:val="17"/>
                <w:szCs w:val="17"/>
              </w:rPr>
              <w:t>Submission Type</w:t>
            </w:r>
          </w:p>
        </w:tc>
        <w:tc>
          <w:tcPr>
            <w:tcW w:w="2541" w:type="dxa"/>
            <w:shd w:val="clear" w:color="auto" w:fill="FFFFFF"/>
            <w:tcMar>
              <w:top w:w="90" w:type="dxa"/>
              <w:bottom w:w="90" w:type="dxa"/>
            </w:tcMar>
            <w:vAlign w:val="center"/>
          </w:tcPr>
          <w:p w14:paraId="3C41968D" w14:textId="77777777" w:rsidR="001C4CD7" w:rsidRDefault="00FB69A7">
            <w:pPr>
              <w:rPr>
                <w:rFonts w:ascii="Arial" w:eastAsia="Arial" w:hAnsi="Arial" w:cs="Arial"/>
              </w:rPr>
            </w:pPr>
            <w:r>
              <w:rPr>
                <w:rFonts w:ascii="Arial" w:eastAsia="Arial" w:hAnsi="Arial" w:cs="Arial"/>
                <w:color w:val="0B2748"/>
                <w:sz w:val="17"/>
                <w:szCs w:val="17"/>
              </w:rPr>
              <w:t>Individual digital case-study document</w:t>
            </w:r>
          </w:p>
        </w:tc>
      </w:tr>
      <w:tr w:rsidR="001C4CD7" w14:paraId="17CFAEF4" w14:textId="77777777">
        <w:trPr>
          <w:jc w:val="center"/>
        </w:trPr>
        <w:tc>
          <w:tcPr>
            <w:tcW w:w="2541" w:type="dxa"/>
            <w:shd w:val="clear" w:color="auto" w:fill="EAF4FF"/>
            <w:tcMar>
              <w:top w:w="90" w:type="dxa"/>
              <w:bottom w:w="90" w:type="dxa"/>
            </w:tcMar>
            <w:vAlign w:val="center"/>
          </w:tcPr>
          <w:p w14:paraId="25901BE0" w14:textId="77777777" w:rsidR="001C4CD7" w:rsidRDefault="00FB69A7">
            <w:pPr>
              <w:rPr>
                <w:rFonts w:ascii="Arial" w:eastAsia="Arial" w:hAnsi="Arial" w:cs="Arial"/>
              </w:rPr>
            </w:pPr>
            <w:r>
              <w:rPr>
                <w:rFonts w:ascii="Arial" w:eastAsia="Arial" w:hAnsi="Arial" w:cs="Arial"/>
                <w:b/>
                <w:bCs/>
                <w:color w:val="0B2748"/>
                <w:sz w:val="17"/>
                <w:szCs w:val="17"/>
              </w:rPr>
              <w:t>Faculty</w:t>
            </w:r>
          </w:p>
        </w:tc>
        <w:tc>
          <w:tcPr>
            <w:tcW w:w="2541" w:type="dxa"/>
            <w:shd w:val="clear" w:color="auto" w:fill="FFFFFF"/>
            <w:tcMar>
              <w:top w:w="90" w:type="dxa"/>
              <w:bottom w:w="90" w:type="dxa"/>
            </w:tcMar>
            <w:vAlign w:val="center"/>
          </w:tcPr>
          <w:p w14:paraId="248A3173" w14:textId="77777777" w:rsidR="001C4CD7" w:rsidRDefault="00FB69A7">
            <w:pPr>
              <w:rPr>
                <w:rFonts w:ascii="Arial" w:eastAsia="Arial" w:hAnsi="Arial" w:cs="Arial"/>
              </w:rPr>
            </w:pPr>
            <w:r>
              <w:rPr>
                <w:rFonts w:ascii="Arial" w:eastAsia="Arial" w:hAnsi="Arial" w:cs="Arial"/>
                <w:color w:val="0B2748"/>
                <w:sz w:val="17"/>
                <w:szCs w:val="17"/>
              </w:rPr>
              <w:t>Dr C. Rajesh Babu</w:t>
            </w:r>
          </w:p>
        </w:tc>
        <w:tc>
          <w:tcPr>
            <w:tcW w:w="2541" w:type="dxa"/>
            <w:shd w:val="clear" w:color="auto" w:fill="EAF4FF"/>
            <w:tcMar>
              <w:top w:w="90" w:type="dxa"/>
              <w:bottom w:w="90" w:type="dxa"/>
            </w:tcMar>
            <w:vAlign w:val="center"/>
          </w:tcPr>
          <w:p w14:paraId="6497D0C8" w14:textId="77777777" w:rsidR="001C4CD7" w:rsidRDefault="00FB69A7">
            <w:pPr>
              <w:rPr>
                <w:rFonts w:ascii="Arial" w:eastAsia="Arial" w:hAnsi="Arial" w:cs="Arial"/>
              </w:rPr>
            </w:pPr>
            <w:r>
              <w:rPr>
                <w:rFonts w:ascii="Arial" w:eastAsia="Arial" w:hAnsi="Arial" w:cs="Arial"/>
                <w:b/>
                <w:bCs/>
                <w:color w:val="0B2748"/>
                <w:sz w:val="17"/>
                <w:szCs w:val="17"/>
              </w:rPr>
              <w:t>Employee ID</w:t>
            </w:r>
          </w:p>
        </w:tc>
        <w:tc>
          <w:tcPr>
            <w:tcW w:w="2541" w:type="dxa"/>
            <w:shd w:val="clear" w:color="auto" w:fill="FFFFFF"/>
            <w:tcMar>
              <w:top w:w="90" w:type="dxa"/>
              <w:bottom w:w="90" w:type="dxa"/>
            </w:tcMar>
            <w:vAlign w:val="center"/>
          </w:tcPr>
          <w:p w14:paraId="2F3177DA" w14:textId="77777777" w:rsidR="001C4CD7" w:rsidRDefault="00FB69A7">
            <w:pPr>
              <w:rPr>
                <w:rFonts w:ascii="Arial" w:eastAsia="Arial" w:hAnsi="Arial" w:cs="Arial"/>
              </w:rPr>
            </w:pPr>
            <w:r>
              <w:rPr>
                <w:rFonts w:ascii="Arial" w:eastAsia="Arial" w:hAnsi="Arial" w:cs="Arial"/>
                <w:color w:val="0B2748"/>
                <w:sz w:val="17"/>
                <w:szCs w:val="17"/>
              </w:rPr>
              <w:t>SSETSCS415</w:t>
            </w:r>
          </w:p>
        </w:tc>
      </w:tr>
      <w:tr w:rsidR="001C4CD7" w14:paraId="4DC1C2AB" w14:textId="77777777">
        <w:trPr>
          <w:jc w:val="center"/>
        </w:trPr>
        <w:tc>
          <w:tcPr>
            <w:tcW w:w="2541" w:type="dxa"/>
            <w:shd w:val="clear" w:color="auto" w:fill="EAF4FF"/>
            <w:tcMar>
              <w:top w:w="90" w:type="dxa"/>
              <w:bottom w:w="90" w:type="dxa"/>
            </w:tcMar>
            <w:vAlign w:val="center"/>
          </w:tcPr>
          <w:p w14:paraId="1577886E" w14:textId="77777777" w:rsidR="001C4CD7" w:rsidRDefault="00FB69A7">
            <w:pPr>
              <w:rPr>
                <w:rFonts w:ascii="Arial" w:eastAsia="Arial" w:hAnsi="Arial" w:cs="Arial"/>
              </w:rPr>
            </w:pPr>
            <w:r>
              <w:rPr>
                <w:rFonts w:ascii="Arial" w:eastAsia="Arial" w:hAnsi="Arial" w:cs="Arial"/>
                <w:b/>
                <w:bCs/>
                <w:color w:val="0B2748"/>
                <w:sz w:val="17"/>
                <w:szCs w:val="17"/>
              </w:rPr>
              <w:t>Mode</w:t>
            </w:r>
          </w:p>
        </w:tc>
        <w:tc>
          <w:tcPr>
            <w:tcW w:w="2541" w:type="dxa"/>
            <w:shd w:val="clear" w:color="auto" w:fill="FFFFFF"/>
            <w:tcMar>
              <w:top w:w="90" w:type="dxa"/>
              <w:bottom w:w="90" w:type="dxa"/>
            </w:tcMar>
            <w:vAlign w:val="center"/>
          </w:tcPr>
          <w:p w14:paraId="25B9A9DF" w14:textId="77777777" w:rsidR="001C4CD7" w:rsidRDefault="00FB69A7">
            <w:pPr>
              <w:rPr>
                <w:rFonts w:ascii="Arial" w:eastAsia="Arial" w:hAnsi="Arial" w:cs="Arial"/>
              </w:rPr>
            </w:pPr>
            <w:r>
              <w:rPr>
                <w:rFonts w:ascii="Arial" w:eastAsia="Arial" w:hAnsi="Arial" w:cs="Arial"/>
                <w:color w:val="0B2748"/>
                <w:sz w:val="17"/>
                <w:szCs w:val="17"/>
              </w:rPr>
              <w:t>Case study / capstone design reasoning</w:t>
            </w:r>
          </w:p>
        </w:tc>
        <w:tc>
          <w:tcPr>
            <w:tcW w:w="2541" w:type="dxa"/>
            <w:shd w:val="clear" w:color="auto" w:fill="EAF4FF"/>
            <w:tcMar>
              <w:top w:w="90" w:type="dxa"/>
              <w:bottom w:w="90" w:type="dxa"/>
            </w:tcMar>
            <w:vAlign w:val="center"/>
          </w:tcPr>
          <w:p w14:paraId="5EB6958B" w14:textId="77777777" w:rsidR="001C4CD7" w:rsidRDefault="00FB69A7">
            <w:pPr>
              <w:rPr>
                <w:rFonts w:ascii="Arial" w:eastAsia="Arial" w:hAnsi="Arial" w:cs="Arial"/>
              </w:rPr>
            </w:pPr>
            <w:r>
              <w:rPr>
                <w:rFonts w:ascii="Arial" w:eastAsia="Arial" w:hAnsi="Arial" w:cs="Arial"/>
                <w:b/>
                <w:bCs/>
                <w:color w:val="0B2748"/>
                <w:sz w:val="17"/>
                <w:szCs w:val="17"/>
              </w:rPr>
              <w:t>Submission</w:t>
            </w:r>
          </w:p>
        </w:tc>
        <w:tc>
          <w:tcPr>
            <w:tcW w:w="2541" w:type="dxa"/>
            <w:shd w:val="clear" w:color="auto" w:fill="FFFFFF"/>
            <w:tcMar>
              <w:top w:w="90" w:type="dxa"/>
              <w:bottom w:w="90" w:type="dxa"/>
            </w:tcMar>
            <w:vAlign w:val="center"/>
          </w:tcPr>
          <w:p w14:paraId="1D93E4EB" w14:textId="77777777" w:rsidR="001C4CD7" w:rsidRDefault="00FB69A7">
            <w:pPr>
              <w:rPr>
                <w:rFonts w:ascii="Arial" w:eastAsia="Arial" w:hAnsi="Arial" w:cs="Arial"/>
              </w:rPr>
            </w:pPr>
            <w:r>
              <w:rPr>
                <w:rFonts w:ascii="Arial" w:eastAsia="Arial" w:hAnsi="Arial" w:cs="Arial"/>
                <w:color w:val="0B2748"/>
                <w:sz w:val="17"/>
                <w:szCs w:val="17"/>
              </w:rPr>
              <w:t>GitHub repository link through Google Classroom</w:t>
            </w:r>
          </w:p>
        </w:tc>
      </w:tr>
    </w:tbl>
    <w:p w14:paraId="1D55F5E9" w14:textId="77777777" w:rsidR="001C4CD7" w:rsidRDefault="001C4CD7">
      <w:pPr>
        <w:rPr>
          <w:rFonts w:ascii="Arial" w:eastAsia="Arial" w:hAnsi="Arial" w:cs="Arial"/>
        </w:rPr>
      </w:pPr>
    </w:p>
    <w:tbl>
      <w:tblPr>
        <w:tblStyle w:val="a1"/>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591E782E" w14:textId="77777777">
        <w:trPr>
          <w:jc w:val="center"/>
        </w:trPr>
        <w:tc>
          <w:tcPr>
            <w:tcW w:w="10166" w:type="dxa"/>
            <w:shd w:val="clear" w:color="auto" w:fill="EAF4FF"/>
            <w:tcMar>
              <w:top w:w="90" w:type="dxa"/>
              <w:bottom w:w="90" w:type="dxa"/>
            </w:tcMar>
            <w:vAlign w:val="center"/>
          </w:tcPr>
          <w:p w14:paraId="05C7B2AE" w14:textId="77777777" w:rsidR="001C4CD7" w:rsidRDefault="00FB69A7">
            <w:pPr>
              <w:rPr>
                <w:rFonts w:ascii="Arial" w:eastAsia="Arial" w:hAnsi="Arial" w:cs="Arial"/>
              </w:rPr>
            </w:pPr>
            <w:r>
              <w:rPr>
                <w:rFonts w:ascii="Arial" w:eastAsia="Arial" w:hAnsi="Arial" w:cs="Arial"/>
                <w:b/>
                <w:bCs/>
                <w:color w:val="0B2748"/>
                <w:sz w:val="19"/>
                <w:szCs w:val="19"/>
              </w:rPr>
              <w:t>How This Template Works</w:t>
            </w:r>
            <w:r>
              <w:rPr>
                <w:rFonts w:ascii="Arial" w:eastAsia="Arial" w:hAnsi="Arial" w:cs="Arial"/>
                <w:b/>
                <w:bCs/>
                <w:color w:val="0B2748"/>
                <w:sz w:val="19"/>
                <w:szCs w:val="19"/>
              </w:rPr>
              <w:b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00F554AE" w14:textId="77777777" w:rsidR="001C4CD7" w:rsidRDefault="00FB69A7">
      <w:pPr>
        <w:pStyle w:val="Heading1"/>
        <w:rPr>
          <w:rFonts w:ascii="Arial" w:eastAsia="Arial" w:hAnsi="Arial" w:cs="Arial"/>
        </w:rPr>
      </w:pPr>
      <w:r>
        <w:rPr>
          <w:rFonts w:ascii="Arial" w:eastAsia="Arial" w:hAnsi="Arial" w:cs="Arial"/>
        </w:rPr>
        <w:t>Student and Capstone Details</w:t>
      </w:r>
    </w:p>
    <w:tbl>
      <w:tblPr>
        <w:tblStyle w:val="a2"/>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5083"/>
        <w:gridCol w:w="5083"/>
      </w:tblGrid>
      <w:tr w:rsidR="001C4CD7" w14:paraId="26594AC0" w14:textId="77777777">
        <w:trPr>
          <w:jc w:val="center"/>
        </w:trPr>
        <w:tc>
          <w:tcPr>
            <w:tcW w:w="5083" w:type="dxa"/>
            <w:shd w:val="clear" w:color="auto" w:fill="EAF4FF"/>
            <w:tcMar>
              <w:top w:w="90" w:type="dxa"/>
              <w:bottom w:w="90" w:type="dxa"/>
            </w:tcMar>
            <w:vAlign w:val="center"/>
          </w:tcPr>
          <w:p w14:paraId="5EBE5420" w14:textId="77777777" w:rsidR="001C4CD7" w:rsidRDefault="00FB69A7">
            <w:pPr>
              <w:rPr>
                <w:rFonts w:ascii="Arial" w:eastAsia="Arial" w:hAnsi="Arial" w:cs="Arial"/>
              </w:rPr>
            </w:pPr>
            <w:r>
              <w:rPr>
                <w:rFonts w:ascii="Arial" w:eastAsia="Arial" w:hAnsi="Arial" w:cs="Arial"/>
                <w:b/>
                <w:bCs/>
                <w:color w:val="0B2748"/>
                <w:sz w:val="19"/>
                <w:szCs w:val="19"/>
              </w:rPr>
              <w:t>Student Name</w:t>
            </w:r>
          </w:p>
        </w:tc>
        <w:tc>
          <w:tcPr>
            <w:tcW w:w="5083" w:type="dxa"/>
            <w:tcMar>
              <w:top w:w="90" w:type="dxa"/>
              <w:bottom w:w="90" w:type="dxa"/>
            </w:tcMar>
            <w:vAlign w:val="center"/>
          </w:tcPr>
          <w:p w14:paraId="46AE4351" w14:textId="7BB7747A" w:rsidR="001C4CD7" w:rsidRDefault="00A74541">
            <w:pPr>
              <w:rPr>
                <w:rFonts w:ascii="Arial" w:eastAsia="Arial" w:hAnsi="Arial" w:cs="Arial"/>
              </w:rPr>
            </w:pPr>
            <w:r>
              <w:rPr>
                <w:rFonts w:ascii="Arial" w:eastAsia="Arial" w:hAnsi="Arial" w:cs="Arial"/>
              </w:rPr>
              <w:t>MUKILAN R</w:t>
            </w:r>
          </w:p>
        </w:tc>
      </w:tr>
      <w:tr w:rsidR="001C4CD7" w14:paraId="60F1372D" w14:textId="77777777">
        <w:trPr>
          <w:jc w:val="center"/>
        </w:trPr>
        <w:tc>
          <w:tcPr>
            <w:tcW w:w="5083" w:type="dxa"/>
            <w:shd w:val="clear" w:color="auto" w:fill="EAF4FF"/>
            <w:tcMar>
              <w:top w:w="90" w:type="dxa"/>
              <w:bottom w:w="90" w:type="dxa"/>
            </w:tcMar>
            <w:vAlign w:val="center"/>
          </w:tcPr>
          <w:p w14:paraId="4A9576CD" w14:textId="77777777" w:rsidR="001C4CD7" w:rsidRDefault="00FB69A7">
            <w:pPr>
              <w:rPr>
                <w:rFonts w:ascii="Arial" w:eastAsia="Arial" w:hAnsi="Arial" w:cs="Arial"/>
              </w:rPr>
            </w:pPr>
            <w:r>
              <w:rPr>
                <w:rFonts w:ascii="Arial" w:eastAsia="Arial" w:hAnsi="Arial" w:cs="Arial"/>
                <w:b/>
                <w:bCs/>
                <w:color w:val="0B2748"/>
                <w:sz w:val="19"/>
                <w:szCs w:val="19"/>
              </w:rPr>
              <w:t>Register Number</w:t>
            </w:r>
          </w:p>
        </w:tc>
        <w:tc>
          <w:tcPr>
            <w:tcW w:w="5083" w:type="dxa"/>
            <w:tcMar>
              <w:top w:w="90" w:type="dxa"/>
              <w:bottom w:w="90" w:type="dxa"/>
            </w:tcMar>
            <w:vAlign w:val="center"/>
          </w:tcPr>
          <w:p w14:paraId="62FB6226" w14:textId="434E2DA6" w:rsidR="001C4CD7" w:rsidRDefault="00FB69A7">
            <w:pPr>
              <w:rPr>
                <w:rFonts w:ascii="Arial" w:eastAsia="Arial" w:hAnsi="Arial" w:cs="Arial"/>
              </w:rPr>
            </w:pPr>
            <w:r>
              <w:rPr>
                <w:rFonts w:ascii="Arial" w:eastAsia="Arial" w:hAnsi="Arial" w:cs="Arial"/>
              </w:rPr>
              <w:t>192</w:t>
            </w:r>
            <w:r w:rsidR="00F812DD">
              <w:rPr>
                <w:rFonts w:ascii="Arial" w:eastAsia="Arial" w:hAnsi="Arial" w:cs="Arial"/>
              </w:rPr>
              <w:t>421043</w:t>
            </w:r>
          </w:p>
        </w:tc>
      </w:tr>
      <w:tr w:rsidR="001C4CD7" w14:paraId="670C2F45" w14:textId="77777777">
        <w:trPr>
          <w:jc w:val="center"/>
        </w:trPr>
        <w:tc>
          <w:tcPr>
            <w:tcW w:w="5083" w:type="dxa"/>
            <w:shd w:val="clear" w:color="auto" w:fill="EAF4FF"/>
            <w:tcMar>
              <w:top w:w="90" w:type="dxa"/>
              <w:bottom w:w="90" w:type="dxa"/>
            </w:tcMar>
            <w:vAlign w:val="center"/>
          </w:tcPr>
          <w:p w14:paraId="20DE9E5A" w14:textId="77777777" w:rsidR="001C4CD7" w:rsidRDefault="00FB69A7">
            <w:pPr>
              <w:rPr>
                <w:rFonts w:ascii="Arial" w:eastAsia="Arial" w:hAnsi="Arial" w:cs="Arial"/>
              </w:rPr>
            </w:pPr>
            <w:r>
              <w:rPr>
                <w:rFonts w:ascii="Arial" w:eastAsia="Arial" w:hAnsi="Arial" w:cs="Arial"/>
                <w:b/>
                <w:bCs/>
                <w:color w:val="0B2748"/>
                <w:sz w:val="19"/>
                <w:szCs w:val="19"/>
              </w:rPr>
              <w:t>Class / Slot</w:t>
            </w:r>
          </w:p>
        </w:tc>
        <w:tc>
          <w:tcPr>
            <w:tcW w:w="5083" w:type="dxa"/>
            <w:tcMar>
              <w:top w:w="90" w:type="dxa"/>
              <w:bottom w:w="90" w:type="dxa"/>
            </w:tcMar>
            <w:vAlign w:val="center"/>
          </w:tcPr>
          <w:p w14:paraId="176DB6D8" w14:textId="77777777" w:rsidR="001C4CD7" w:rsidRDefault="00FB69A7">
            <w:pPr>
              <w:rPr>
                <w:rFonts w:ascii="Arial" w:eastAsia="Arial" w:hAnsi="Arial" w:cs="Arial"/>
              </w:rPr>
            </w:pPr>
            <w:r>
              <w:rPr>
                <w:rFonts w:ascii="Arial" w:eastAsia="Arial" w:hAnsi="Arial" w:cs="Arial"/>
                <w:color w:val="0B2748"/>
                <w:sz w:val="19"/>
                <w:szCs w:val="19"/>
              </w:rPr>
              <w:t>Slot B</w:t>
            </w:r>
          </w:p>
        </w:tc>
      </w:tr>
      <w:tr w:rsidR="001C4CD7" w14:paraId="1DA66981" w14:textId="77777777">
        <w:trPr>
          <w:jc w:val="center"/>
        </w:trPr>
        <w:tc>
          <w:tcPr>
            <w:tcW w:w="5083" w:type="dxa"/>
            <w:shd w:val="clear" w:color="auto" w:fill="EAF4FF"/>
            <w:tcMar>
              <w:top w:w="90" w:type="dxa"/>
              <w:bottom w:w="90" w:type="dxa"/>
            </w:tcMar>
            <w:vAlign w:val="center"/>
          </w:tcPr>
          <w:p w14:paraId="597E49C0" w14:textId="77777777" w:rsidR="001C4CD7" w:rsidRDefault="00FB69A7">
            <w:pPr>
              <w:rPr>
                <w:rFonts w:ascii="Arial" w:eastAsia="Arial" w:hAnsi="Arial" w:cs="Arial"/>
              </w:rPr>
            </w:pPr>
            <w:r>
              <w:rPr>
                <w:rFonts w:ascii="Arial" w:eastAsia="Arial" w:hAnsi="Arial" w:cs="Arial"/>
                <w:b/>
                <w:bCs/>
                <w:color w:val="0B2748"/>
                <w:sz w:val="19"/>
                <w:szCs w:val="19"/>
              </w:rPr>
              <w:t>Capstone Title</w:t>
            </w:r>
          </w:p>
        </w:tc>
        <w:tc>
          <w:tcPr>
            <w:tcW w:w="5083" w:type="dxa"/>
            <w:tcMar>
              <w:top w:w="90" w:type="dxa"/>
              <w:bottom w:w="90" w:type="dxa"/>
            </w:tcMar>
            <w:vAlign w:val="center"/>
          </w:tcPr>
          <w:p w14:paraId="5CE022DD" w14:textId="77777777" w:rsidR="001C4CD7" w:rsidRDefault="00FB69A7">
            <w:pPr>
              <w:rPr>
                <w:rFonts w:ascii="Arial" w:eastAsia="Arial" w:hAnsi="Arial" w:cs="Arial"/>
              </w:rPr>
            </w:pPr>
            <w:proofErr w:type="spellStart"/>
            <w:r>
              <w:rPr>
                <w:rFonts w:ascii="Arial" w:eastAsia="Arial" w:hAnsi="Arial" w:cs="Arial"/>
              </w:rPr>
              <w:t>SkillForge</w:t>
            </w:r>
            <w:proofErr w:type="spellEnd"/>
            <w:r>
              <w:rPr>
                <w:rFonts w:ascii="Arial" w:eastAsia="Arial" w:hAnsi="Arial" w:cs="Arial"/>
              </w:rPr>
              <w:t xml:space="preserve"> – CO-Attainment Cloud Tutor Using Recommendation Analytics</w:t>
            </w:r>
          </w:p>
        </w:tc>
      </w:tr>
      <w:tr w:rsidR="001C4CD7" w14:paraId="0FF7957E" w14:textId="77777777">
        <w:trPr>
          <w:jc w:val="center"/>
        </w:trPr>
        <w:tc>
          <w:tcPr>
            <w:tcW w:w="5083" w:type="dxa"/>
            <w:shd w:val="clear" w:color="auto" w:fill="EAF4FF"/>
            <w:tcMar>
              <w:top w:w="90" w:type="dxa"/>
              <w:bottom w:w="90" w:type="dxa"/>
            </w:tcMar>
            <w:vAlign w:val="center"/>
          </w:tcPr>
          <w:p w14:paraId="142A3EF3" w14:textId="77777777" w:rsidR="001C4CD7" w:rsidRDefault="00FB69A7">
            <w:pPr>
              <w:rPr>
                <w:rFonts w:ascii="Arial" w:eastAsia="Arial" w:hAnsi="Arial" w:cs="Arial"/>
              </w:rPr>
            </w:pPr>
            <w:r>
              <w:rPr>
                <w:rFonts w:ascii="Arial" w:eastAsia="Arial" w:hAnsi="Arial" w:cs="Arial"/>
                <w:b/>
                <w:bCs/>
                <w:color w:val="0B2748"/>
                <w:sz w:val="19"/>
                <w:szCs w:val="19"/>
              </w:rPr>
              <w:t>CO3 AT1 Evidence Link</w:t>
            </w:r>
          </w:p>
        </w:tc>
        <w:tc>
          <w:tcPr>
            <w:tcW w:w="5083" w:type="dxa"/>
            <w:tcMar>
              <w:top w:w="90" w:type="dxa"/>
              <w:bottom w:w="90" w:type="dxa"/>
            </w:tcMar>
            <w:vAlign w:val="center"/>
          </w:tcPr>
          <w:p w14:paraId="33BDB5E3" w14:textId="77777777" w:rsidR="001C4CD7" w:rsidRDefault="001C4CD7">
            <w:pPr>
              <w:rPr>
                <w:rFonts w:ascii="Arial" w:eastAsia="Arial" w:hAnsi="Arial" w:cs="Arial"/>
              </w:rPr>
            </w:pPr>
          </w:p>
        </w:tc>
      </w:tr>
      <w:tr w:rsidR="001C4CD7" w14:paraId="5FB53D8F" w14:textId="77777777">
        <w:trPr>
          <w:jc w:val="center"/>
        </w:trPr>
        <w:tc>
          <w:tcPr>
            <w:tcW w:w="5083" w:type="dxa"/>
            <w:shd w:val="clear" w:color="auto" w:fill="EAF4FF"/>
            <w:tcMar>
              <w:top w:w="90" w:type="dxa"/>
              <w:bottom w:w="90" w:type="dxa"/>
            </w:tcMar>
            <w:vAlign w:val="center"/>
          </w:tcPr>
          <w:p w14:paraId="282EB5F4" w14:textId="77777777" w:rsidR="001C4CD7" w:rsidRDefault="00FB69A7">
            <w:pPr>
              <w:rPr>
                <w:rFonts w:ascii="Arial" w:eastAsia="Arial" w:hAnsi="Arial" w:cs="Arial"/>
              </w:rPr>
            </w:pPr>
            <w:r>
              <w:rPr>
                <w:rFonts w:ascii="Arial" w:eastAsia="Arial" w:hAnsi="Arial" w:cs="Arial"/>
                <w:b/>
                <w:bCs/>
                <w:color w:val="0B2748"/>
                <w:sz w:val="19"/>
                <w:szCs w:val="19"/>
              </w:rPr>
              <w:t>GitHub Repository Link</w:t>
            </w:r>
          </w:p>
        </w:tc>
        <w:tc>
          <w:tcPr>
            <w:tcW w:w="5083" w:type="dxa"/>
            <w:tcMar>
              <w:top w:w="90" w:type="dxa"/>
              <w:bottom w:w="90" w:type="dxa"/>
            </w:tcMar>
            <w:vAlign w:val="center"/>
          </w:tcPr>
          <w:p w14:paraId="23070771" w14:textId="77777777" w:rsidR="001C4CD7" w:rsidRDefault="001C4CD7">
            <w:pPr>
              <w:rPr>
                <w:rFonts w:ascii="Arial" w:eastAsia="Arial" w:hAnsi="Arial" w:cs="Arial"/>
              </w:rPr>
            </w:pPr>
          </w:p>
        </w:tc>
      </w:tr>
      <w:tr w:rsidR="001C4CD7" w14:paraId="5C58A2A1" w14:textId="77777777">
        <w:trPr>
          <w:jc w:val="center"/>
        </w:trPr>
        <w:tc>
          <w:tcPr>
            <w:tcW w:w="5083" w:type="dxa"/>
            <w:shd w:val="clear" w:color="auto" w:fill="EAF4FF"/>
            <w:tcMar>
              <w:top w:w="90" w:type="dxa"/>
              <w:bottom w:w="90" w:type="dxa"/>
            </w:tcMar>
            <w:vAlign w:val="center"/>
          </w:tcPr>
          <w:p w14:paraId="47078A0A" w14:textId="77777777" w:rsidR="001C4CD7" w:rsidRDefault="00FB69A7">
            <w:pPr>
              <w:rPr>
                <w:rFonts w:ascii="Arial" w:eastAsia="Arial" w:hAnsi="Arial" w:cs="Arial"/>
              </w:rPr>
            </w:pPr>
            <w:r>
              <w:rPr>
                <w:rFonts w:ascii="Arial" w:eastAsia="Arial" w:hAnsi="Arial" w:cs="Arial"/>
                <w:b/>
                <w:bCs/>
                <w:color w:val="0B2748"/>
                <w:sz w:val="19"/>
                <w:szCs w:val="19"/>
              </w:rPr>
              <w:t>Submission Date</w:t>
            </w:r>
          </w:p>
        </w:tc>
        <w:tc>
          <w:tcPr>
            <w:tcW w:w="5083" w:type="dxa"/>
            <w:tcMar>
              <w:top w:w="90" w:type="dxa"/>
              <w:bottom w:w="90" w:type="dxa"/>
            </w:tcMar>
            <w:vAlign w:val="center"/>
          </w:tcPr>
          <w:p w14:paraId="07477B7A" w14:textId="77777777" w:rsidR="001C4CD7" w:rsidRDefault="001C4CD7">
            <w:pPr>
              <w:rPr>
                <w:rFonts w:ascii="Arial" w:eastAsia="Arial" w:hAnsi="Arial" w:cs="Arial"/>
              </w:rPr>
            </w:pPr>
          </w:p>
        </w:tc>
      </w:tr>
    </w:tbl>
    <w:p w14:paraId="4F63D3E1" w14:textId="77777777" w:rsidR="001C4CD7" w:rsidRDefault="00FB69A7">
      <w:pPr>
        <w:pStyle w:val="Heading1"/>
        <w:rPr>
          <w:rFonts w:ascii="Arial" w:eastAsia="Arial" w:hAnsi="Arial" w:cs="Arial"/>
        </w:rPr>
      </w:pPr>
      <w:r>
        <w:rPr>
          <w:rFonts w:ascii="Arial" w:eastAsia="Arial" w:hAnsi="Arial" w:cs="Arial"/>
        </w:rPr>
        <w:t>Case 1: Cloud-Native Backend and Web API Architecture</w:t>
      </w:r>
    </w:p>
    <w:tbl>
      <w:tblPr>
        <w:tblStyle w:val="a3"/>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57FDCB7B" w14:textId="77777777">
        <w:trPr>
          <w:jc w:val="center"/>
        </w:trPr>
        <w:tc>
          <w:tcPr>
            <w:tcW w:w="10166" w:type="dxa"/>
            <w:shd w:val="clear" w:color="auto" w:fill="E7F8FC"/>
            <w:tcMar>
              <w:top w:w="90" w:type="dxa"/>
              <w:bottom w:w="90" w:type="dxa"/>
            </w:tcMar>
            <w:vAlign w:val="center"/>
          </w:tcPr>
          <w:p w14:paraId="43C42CF7" w14:textId="77777777" w:rsidR="001C4CD7" w:rsidRDefault="00FB69A7">
            <w:pPr>
              <w:rPr>
                <w:rFonts w:ascii="Arial" w:eastAsia="Arial" w:hAnsi="Arial" w:cs="Arial"/>
              </w:rPr>
            </w:pPr>
            <w:r>
              <w:rPr>
                <w:rFonts w:ascii="Arial" w:eastAsia="Arial" w:hAnsi="Arial" w:cs="Arial"/>
                <w:b/>
                <w:bCs/>
                <w:color w:val="0B2748"/>
                <w:sz w:val="19"/>
                <w:szCs w:val="19"/>
              </w:rPr>
              <w:t>Scenario</w:t>
            </w:r>
            <w:r>
              <w:rPr>
                <w:rFonts w:ascii="Arial" w:eastAsia="Arial" w:hAnsi="Arial" w:cs="Arial"/>
                <w:b/>
                <w:bCs/>
                <w:color w:val="0B2748"/>
                <w:sz w:val="19"/>
                <w:szCs w:val="19"/>
              </w:rPr>
              <w:br/>
              <w:t xml:space="preserve">A food delivery company wants to deploy a cloud-native backend with web APIs, browser/mobile clients and </w:t>
            </w:r>
            <w:r>
              <w:rPr>
                <w:rFonts w:ascii="Arial" w:eastAsia="Arial" w:hAnsi="Arial" w:cs="Arial"/>
                <w:b/>
                <w:bCs/>
                <w:color w:val="0B2748"/>
                <w:sz w:val="19"/>
                <w:szCs w:val="19"/>
              </w:rPr>
              <w:lastRenderedPageBreak/>
              <w:t>shared cloud storage for receipts and delivery images. Design the architecture and explain the role of each component.</w:t>
            </w:r>
          </w:p>
        </w:tc>
      </w:tr>
    </w:tbl>
    <w:p w14:paraId="3E742006" w14:textId="77777777" w:rsidR="001C4CD7" w:rsidRDefault="00FB69A7">
      <w:pPr>
        <w:pStyle w:val="Heading3"/>
        <w:rPr>
          <w:rFonts w:ascii="Arial" w:eastAsia="Arial" w:hAnsi="Arial" w:cs="Arial"/>
        </w:rPr>
      </w:pPr>
      <w:r>
        <w:rPr>
          <w:rFonts w:ascii="Arial" w:eastAsia="Arial" w:hAnsi="Arial" w:cs="Arial"/>
        </w:rPr>
        <w:lastRenderedPageBreak/>
        <w:t>A. Case Architecture Diagram</w:t>
      </w:r>
    </w:p>
    <w:tbl>
      <w:tblPr>
        <w:tblStyle w:val="a4"/>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1F67A555" w14:textId="77777777">
        <w:trPr>
          <w:jc w:val="center"/>
        </w:trPr>
        <w:tc>
          <w:tcPr>
            <w:tcW w:w="10166" w:type="dxa"/>
            <w:tcMar>
              <w:top w:w="90" w:type="dxa"/>
              <w:bottom w:w="90" w:type="dxa"/>
            </w:tcMar>
            <w:vAlign w:val="center"/>
          </w:tcPr>
          <w:p w14:paraId="07FD6711" w14:textId="77777777" w:rsidR="001C4CD7" w:rsidRDefault="00FB69A7">
            <w:pPr>
              <w:rPr>
                <w:rFonts w:ascii="Arial" w:eastAsia="Arial" w:hAnsi="Arial" w:cs="Arial"/>
              </w:rPr>
            </w:pPr>
            <w:r>
              <w:rPr>
                <w:rFonts w:ascii="Arial" w:eastAsia="Arial" w:hAnsi="Arial" w:cs="Arial"/>
                <w:noProof/>
              </w:rPr>
              <w:drawing>
                <wp:inline distT="0" distB="0" distL="114300" distR="114300" wp14:anchorId="7DF4AE86" wp14:editId="2ED85752">
                  <wp:extent cx="5760720" cy="332841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60720" cy="3328416"/>
                          </a:xfrm>
                          <a:prstGeom prst="rect">
                            <a:avLst/>
                          </a:prstGeom>
                          <a:ln/>
                        </pic:spPr>
                      </pic:pic>
                    </a:graphicData>
                  </a:graphic>
                </wp:inline>
              </w:drawing>
            </w:r>
          </w:p>
        </w:tc>
      </w:tr>
    </w:tbl>
    <w:p w14:paraId="663E8385" w14:textId="77777777" w:rsidR="001C4CD7" w:rsidRDefault="00FB69A7">
      <w:pPr>
        <w:pStyle w:val="Heading3"/>
        <w:rPr>
          <w:rFonts w:ascii="Arial" w:eastAsia="Arial" w:hAnsi="Arial" w:cs="Arial"/>
        </w:rPr>
      </w:pPr>
      <w:r>
        <w:rPr>
          <w:rFonts w:ascii="Arial" w:eastAsia="Arial" w:hAnsi="Arial" w:cs="Arial"/>
        </w:rPr>
        <w:t>B. Component Role Explanation</w:t>
      </w:r>
    </w:p>
    <w:tbl>
      <w:tblPr>
        <w:tblStyle w:val="a5"/>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0200CA78" w14:textId="77777777">
        <w:trPr>
          <w:jc w:val="center"/>
        </w:trPr>
        <w:tc>
          <w:tcPr>
            <w:tcW w:w="10166" w:type="dxa"/>
            <w:tcMar>
              <w:top w:w="90" w:type="dxa"/>
              <w:bottom w:w="90" w:type="dxa"/>
            </w:tcMar>
            <w:vAlign w:val="center"/>
          </w:tcPr>
          <w:p w14:paraId="074876C3" w14:textId="77777777" w:rsidR="001C4CD7" w:rsidRDefault="00FB69A7">
            <w:pPr>
              <w:jc w:val="both"/>
              <w:rPr>
                <w:rFonts w:ascii="Arial" w:eastAsia="Arial" w:hAnsi="Arial" w:cs="Arial"/>
              </w:rPr>
            </w:pPr>
            <w:r>
              <w:rPr>
                <w:rFonts w:ascii="Arial" w:eastAsia="Arial" w:hAnsi="Arial" w:cs="Arial"/>
              </w:rPr>
              <w:t>Web/Mobile Clients: the student/faculty browser and mobile apps are thin clients that call the backend only through HTTPS REST endpoints – no direct database or storage access, which keeps credentials off the client.</w:t>
            </w:r>
            <w:r>
              <w:rPr>
                <w:rFonts w:ascii="Arial" w:eastAsia="Arial" w:hAnsi="Arial" w:cs="Arial"/>
              </w:rPr>
              <w:br/>
            </w:r>
            <w:r>
              <w:rPr>
                <w:rFonts w:ascii="Arial" w:eastAsia="Arial" w:hAnsi="Arial" w:cs="Arial"/>
              </w:rPr>
              <w:t xml:space="preserve">API Gateway / Load Balancer: the </w:t>
            </w:r>
            <w:proofErr w:type="gramStart"/>
            <w:r>
              <w:rPr>
                <w:rFonts w:ascii="Arial" w:eastAsia="Arial" w:hAnsi="Arial" w:cs="Arial"/>
              </w:rPr>
              <w:t>single entry</w:t>
            </w:r>
            <w:proofErr w:type="gramEnd"/>
            <w:r>
              <w:rPr>
                <w:rFonts w:ascii="Arial" w:eastAsia="Arial" w:hAnsi="Arial" w:cs="Arial"/>
              </w:rPr>
              <w:t xml:space="preserve"> point for all requests. It terminates TLS, validates the auth token on every call, applies rate limiting, and routes requests to the correct backend service, so the backend never has to trust the client directly.</w:t>
            </w:r>
            <w:r>
              <w:rPr>
                <w:rFonts w:ascii="Arial" w:eastAsia="Arial" w:hAnsi="Arial" w:cs="Arial"/>
              </w:rPr>
              <w:br/>
              <w:t>Auth Service: issues and verifies JWT/OAuth tokens for students and faculty, decoupled from business logic so it can scale and be updated independently.</w:t>
            </w:r>
            <w:r>
              <w:rPr>
                <w:rFonts w:ascii="Arial" w:eastAsia="Arial" w:hAnsi="Arial" w:cs="Arial"/>
              </w:rPr>
              <w:br/>
            </w:r>
            <w:r>
              <w:rPr>
                <w:rFonts w:ascii="Arial" w:eastAsia="Arial" w:hAnsi="Arial" w:cs="Arial"/>
              </w:rPr>
              <w:t>CO-Attainment &amp; Progress Service: the core compute layer that records quiz/assessment results, computes per-student and per-class Course Outcome (CO) attainment scores; stateless so it can be horizontally scaled behind the gateway.</w:t>
            </w:r>
            <w:r>
              <w:rPr>
                <w:rFonts w:ascii="Arial" w:eastAsia="Arial" w:hAnsi="Arial" w:cs="Arial"/>
              </w:rPr>
              <w:br/>
            </w:r>
            <w:r>
              <w:rPr>
                <w:rFonts w:ascii="Arial" w:eastAsia="Arial" w:hAnsi="Arial" w:cs="Arial"/>
              </w:rPr>
              <w:t>Recommendation Engine (serverless function): triggered by events (e.g. a quiz just scored) to run the recommendation-analytics logic and suggest remedial content for weak COs, rather than running continuously – cost-efficient since inference only needs to happen after new data arrives.</w:t>
            </w:r>
            <w:r>
              <w:rPr>
                <w:rFonts w:ascii="Arial" w:eastAsia="Arial" w:hAnsi="Arial" w:cs="Arial"/>
              </w:rPr>
              <w:br/>
              <w:t>Database: a managed SQL/NoSQL store for structured data (student profiles, quiz scores, CO attainment records) with built-in backups and replication.</w:t>
            </w:r>
            <w:r>
              <w:rPr>
                <w:rFonts w:ascii="Arial" w:eastAsia="Arial" w:hAnsi="Arial" w:cs="Arial"/>
              </w:rPr>
              <w:br/>
            </w:r>
            <w:r>
              <w:rPr>
                <w:rFonts w:ascii="Arial" w:eastAsia="Arial" w:hAnsi="Arial" w:cs="Arial"/>
              </w:rPr>
              <w:t>Object Storage: holds unstructured binary content – course material (PDFs/videos) and generated recommendation/CO-attainment reports – referenced by URL from the database rather than stored as blobs in it, which keeps the database small and fast.</w:t>
            </w:r>
            <w:r>
              <w:rPr>
                <w:rFonts w:ascii="Arial" w:eastAsia="Arial" w:hAnsi="Arial" w:cs="Arial"/>
              </w:rPr>
              <w:br/>
              <w:t>Logs &amp; Monitoring: collects metrics/traces from every component so failures and latency issues can be diagnosed without touching student data directly.</w:t>
            </w:r>
          </w:p>
        </w:tc>
      </w:tr>
    </w:tbl>
    <w:p w14:paraId="736416D6" w14:textId="77777777" w:rsidR="001C4CD7" w:rsidRDefault="00FB69A7">
      <w:pPr>
        <w:pStyle w:val="Heading3"/>
        <w:rPr>
          <w:rFonts w:ascii="Arial" w:eastAsia="Arial" w:hAnsi="Arial" w:cs="Arial"/>
        </w:rPr>
      </w:pPr>
      <w:r>
        <w:rPr>
          <w:rFonts w:ascii="Arial" w:eastAsia="Arial" w:hAnsi="Arial" w:cs="Arial"/>
        </w:rPr>
        <w:lastRenderedPageBreak/>
        <w:t>C. Capstone Extension: user-to-cloud workflow for your product</w:t>
      </w:r>
    </w:p>
    <w:tbl>
      <w:tblPr>
        <w:tblStyle w:val="a6"/>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119C2E98" w14:textId="77777777">
        <w:trPr>
          <w:jc w:val="center"/>
        </w:trPr>
        <w:tc>
          <w:tcPr>
            <w:tcW w:w="10166" w:type="dxa"/>
            <w:tcMar>
              <w:top w:w="90" w:type="dxa"/>
              <w:bottom w:w="90" w:type="dxa"/>
            </w:tcMar>
            <w:vAlign w:val="center"/>
          </w:tcPr>
          <w:p w14:paraId="61CD0741" w14:textId="77777777" w:rsidR="001C4CD7" w:rsidRDefault="00FB69A7">
            <w:pPr>
              <w:rPr>
                <w:rFonts w:ascii="Arial" w:eastAsia="Arial" w:hAnsi="Arial" w:cs="Arial"/>
              </w:rPr>
            </w:pPr>
            <w:proofErr w:type="spellStart"/>
            <w:r>
              <w:rPr>
                <w:rFonts w:ascii="Arial" w:eastAsia="Arial" w:hAnsi="Arial" w:cs="Arial"/>
              </w:rPr>
              <w:t>SkillForge</w:t>
            </w:r>
            <w:proofErr w:type="spellEnd"/>
            <w:r>
              <w:rPr>
                <w:rFonts w:ascii="Arial" w:eastAsia="Arial" w:hAnsi="Arial" w:cs="Arial"/>
              </w:rPr>
              <w:t xml:space="preserve"> follows this same pattern directly: the student/faculty web or mobile client calls a REST API gateway that checks a JWT before reaching the CO-Attainment Service. When a student submits a quiz, the backend writes the raw score to the database and emits a 'quiz scored' event; a serverless Recommendation Engine function picks up that event, recalculates the student's CO-attainment profile, runs the recommendation-analytics logic, and writes a personalized study-plan report to object storage (with the URL sav</w:t>
            </w:r>
            <w:r>
              <w:rPr>
                <w:rFonts w:ascii="Arial" w:eastAsia="Arial" w:hAnsi="Arial" w:cs="Arial"/>
              </w:rPr>
              <w:t>ed back to the student's record). Faculty uploading course material (lecture PDFs/videos) upload directly to object storage via a pre-signed URL rather than through the compute service. All services emit logs to a central monitoring dashboard so attainment-calculation errors can be traced during grading/demo.</w:t>
            </w:r>
          </w:p>
        </w:tc>
      </w:tr>
    </w:tbl>
    <w:p w14:paraId="2FB438DD" w14:textId="77777777" w:rsidR="001C4CD7" w:rsidRDefault="00FB69A7">
      <w:pPr>
        <w:pStyle w:val="Heading1"/>
        <w:rPr>
          <w:rFonts w:ascii="Arial" w:eastAsia="Arial" w:hAnsi="Arial" w:cs="Arial"/>
        </w:rPr>
      </w:pPr>
      <w:r>
        <w:rPr>
          <w:rFonts w:ascii="Arial" w:eastAsia="Arial" w:hAnsi="Arial" w:cs="Arial"/>
        </w:rPr>
        <w:t>Case 2: Storage and Serverless Upload Workflow</w:t>
      </w:r>
    </w:p>
    <w:tbl>
      <w:tblPr>
        <w:tblStyle w:val="a7"/>
        <w:tblW w:w="10164"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2541"/>
        <w:gridCol w:w="2541"/>
        <w:gridCol w:w="2541"/>
        <w:gridCol w:w="2541"/>
      </w:tblGrid>
      <w:tr w:rsidR="001C4CD7" w14:paraId="150B48B8" w14:textId="77777777">
        <w:trPr>
          <w:gridAfter w:val="3"/>
          <w:jc w:val="center"/>
        </w:trPr>
        <w:tc>
          <w:tcPr>
            <w:tcW w:w="2541" w:type="dxa"/>
            <w:shd w:val="clear" w:color="auto" w:fill="EAF4FF"/>
            <w:tcMar>
              <w:top w:w="90" w:type="dxa"/>
              <w:bottom w:w="90" w:type="dxa"/>
            </w:tcMar>
            <w:vAlign w:val="center"/>
          </w:tcPr>
          <w:p w14:paraId="2FF6403E" w14:textId="77777777" w:rsidR="001C4CD7" w:rsidRDefault="00FB69A7">
            <w:pPr>
              <w:rPr>
                <w:rFonts w:ascii="Arial" w:eastAsia="Arial" w:hAnsi="Arial" w:cs="Arial"/>
              </w:rPr>
            </w:pPr>
            <w:r>
              <w:rPr>
                <w:rFonts w:ascii="Arial" w:eastAsia="Arial" w:hAnsi="Arial" w:cs="Arial"/>
                <w:b/>
                <w:bCs/>
                <w:color w:val="0B2748"/>
                <w:sz w:val="19"/>
                <w:szCs w:val="19"/>
              </w:rPr>
              <w:t>Scenario</w:t>
            </w:r>
            <w:r>
              <w:rPr>
                <w:rFonts w:ascii="Arial" w:eastAsia="Arial" w:hAnsi="Arial" w:cs="Arial"/>
                <w:b/>
                <w:bCs/>
                <w:color w:val="0B2748"/>
                <w:sz w:val="19"/>
                <w:szCs w:val="19"/>
              </w:rPr>
              <w:br/>
              <w:t>A media startup must decide between SAN-backed storage, object storage and serverless processing for upload workflows. Recommend a deployment model and justify it.</w:t>
            </w:r>
          </w:p>
        </w:tc>
      </w:tr>
      <w:tr w:rsidR="001C4CD7" w14:paraId="2F6BBAC7" w14:textId="77777777">
        <w:trPr>
          <w:jc w:val="center"/>
        </w:trPr>
        <w:tc>
          <w:tcPr>
            <w:tcW w:w="2541" w:type="dxa"/>
            <w:shd w:val="clear" w:color="auto" w:fill="0B2748"/>
            <w:tcMar>
              <w:top w:w="90" w:type="dxa"/>
              <w:bottom w:w="90" w:type="dxa"/>
            </w:tcMar>
            <w:vAlign w:val="center"/>
          </w:tcPr>
          <w:p w14:paraId="6CF1652D" w14:textId="77777777" w:rsidR="001C4CD7" w:rsidRDefault="00FB69A7">
            <w:pPr>
              <w:rPr>
                <w:rFonts w:ascii="Arial" w:eastAsia="Arial" w:hAnsi="Arial" w:cs="Arial"/>
              </w:rPr>
            </w:pPr>
            <w:r>
              <w:rPr>
                <w:rFonts w:ascii="Arial" w:eastAsia="Arial" w:hAnsi="Arial" w:cs="Arial"/>
                <w:b/>
                <w:bCs/>
                <w:color w:val="FFFFFF"/>
                <w:sz w:val="17"/>
                <w:szCs w:val="17"/>
              </w:rPr>
              <w:t>Data / Event</w:t>
            </w:r>
          </w:p>
        </w:tc>
        <w:tc>
          <w:tcPr>
            <w:tcW w:w="2541" w:type="dxa"/>
            <w:shd w:val="clear" w:color="auto" w:fill="0B2748"/>
            <w:tcMar>
              <w:top w:w="90" w:type="dxa"/>
              <w:bottom w:w="90" w:type="dxa"/>
            </w:tcMar>
            <w:vAlign w:val="center"/>
          </w:tcPr>
          <w:p w14:paraId="03C3613E" w14:textId="77777777" w:rsidR="001C4CD7" w:rsidRDefault="00FB69A7">
            <w:pPr>
              <w:rPr>
                <w:rFonts w:ascii="Arial" w:eastAsia="Arial" w:hAnsi="Arial" w:cs="Arial"/>
              </w:rPr>
            </w:pPr>
            <w:r>
              <w:rPr>
                <w:rFonts w:ascii="Arial" w:eastAsia="Arial" w:hAnsi="Arial" w:cs="Arial"/>
                <w:b/>
                <w:bCs/>
                <w:color w:val="FFFFFF"/>
                <w:sz w:val="17"/>
                <w:szCs w:val="17"/>
              </w:rPr>
              <w:t>Best Storage</w:t>
            </w:r>
          </w:p>
        </w:tc>
        <w:tc>
          <w:tcPr>
            <w:tcW w:w="2541" w:type="dxa"/>
            <w:shd w:val="clear" w:color="auto" w:fill="0B2748"/>
            <w:tcMar>
              <w:top w:w="90" w:type="dxa"/>
              <w:bottom w:w="90" w:type="dxa"/>
            </w:tcMar>
            <w:vAlign w:val="center"/>
          </w:tcPr>
          <w:p w14:paraId="79763E98" w14:textId="77777777" w:rsidR="001C4CD7" w:rsidRDefault="00FB69A7">
            <w:pPr>
              <w:rPr>
                <w:rFonts w:ascii="Arial" w:eastAsia="Arial" w:hAnsi="Arial" w:cs="Arial"/>
              </w:rPr>
            </w:pPr>
            <w:r>
              <w:rPr>
                <w:rFonts w:ascii="Arial" w:eastAsia="Arial" w:hAnsi="Arial" w:cs="Arial"/>
                <w:b/>
                <w:bCs/>
                <w:color w:val="FFFFFF"/>
                <w:sz w:val="17"/>
                <w:szCs w:val="17"/>
              </w:rPr>
              <w:t>Serverless Action</w:t>
            </w:r>
          </w:p>
        </w:tc>
        <w:tc>
          <w:tcPr>
            <w:tcW w:w="2541" w:type="dxa"/>
            <w:shd w:val="clear" w:color="auto" w:fill="0B2748"/>
            <w:tcMar>
              <w:top w:w="90" w:type="dxa"/>
              <w:bottom w:w="90" w:type="dxa"/>
            </w:tcMar>
            <w:vAlign w:val="center"/>
          </w:tcPr>
          <w:p w14:paraId="484C3A77" w14:textId="77777777" w:rsidR="001C4CD7" w:rsidRDefault="00FB69A7">
            <w:pPr>
              <w:rPr>
                <w:rFonts w:ascii="Arial" w:eastAsia="Arial" w:hAnsi="Arial" w:cs="Arial"/>
              </w:rPr>
            </w:pPr>
            <w:r>
              <w:rPr>
                <w:rFonts w:ascii="Arial" w:eastAsia="Arial" w:hAnsi="Arial" w:cs="Arial"/>
                <w:b/>
                <w:bCs/>
                <w:color w:val="FFFFFF"/>
                <w:sz w:val="17"/>
                <w:szCs w:val="17"/>
              </w:rPr>
              <w:t>Reason</w:t>
            </w:r>
          </w:p>
        </w:tc>
      </w:tr>
      <w:tr w:rsidR="001C4CD7" w14:paraId="7094F686" w14:textId="77777777">
        <w:trPr>
          <w:jc w:val="center"/>
        </w:trPr>
        <w:tc>
          <w:tcPr>
            <w:tcW w:w="2541" w:type="dxa"/>
            <w:tcMar>
              <w:top w:w="90" w:type="dxa"/>
              <w:bottom w:w="90" w:type="dxa"/>
            </w:tcMar>
            <w:vAlign w:val="center"/>
          </w:tcPr>
          <w:p w14:paraId="52E92C13" w14:textId="77777777" w:rsidR="001C4CD7" w:rsidRDefault="00FB69A7">
            <w:pPr>
              <w:rPr>
                <w:rFonts w:ascii="Arial" w:eastAsia="Arial" w:hAnsi="Arial" w:cs="Arial"/>
              </w:rPr>
            </w:pPr>
            <w:r>
              <w:rPr>
                <w:rFonts w:ascii="Arial" w:eastAsia="Arial" w:hAnsi="Arial" w:cs="Arial"/>
              </w:rPr>
              <w:t>Quiz/assessment submitted by student</w:t>
            </w:r>
          </w:p>
        </w:tc>
        <w:tc>
          <w:tcPr>
            <w:tcW w:w="2541" w:type="dxa"/>
            <w:tcMar>
              <w:top w:w="90" w:type="dxa"/>
              <w:bottom w:w="90" w:type="dxa"/>
            </w:tcMar>
            <w:vAlign w:val="center"/>
          </w:tcPr>
          <w:p w14:paraId="564CAF31" w14:textId="77777777" w:rsidR="001C4CD7" w:rsidRDefault="00FB69A7">
            <w:pPr>
              <w:rPr>
                <w:rFonts w:ascii="Arial" w:eastAsia="Arial" w:hAnsi="Arial" w:cs="Arial"/>
              </w:rPr>
            </w:pPr>
            <w:r>
              <w:rPr>
                <w:rFonts w:ascii="Arial" w:eastAsia="Arial" w:hAnsi="Arial" w:cs="Arial"/>
              </w:rPr>
              <w:t>Managed relational database</w:t>
            </w:r>
          </w:p>
        </w:tc>
        <w:tc>
          <w:tcPr>
            <w:tcW w:w="2541" w:type="dxa"/>
            <w:tcMar>
              <w:top w:w="90" w:type="dxa"/>
              <w:bottom w:w="90" w:type="dxa"/>
            </w:tcMar>
            <w:vAlign w:val="center"/>
          </w:tcPr>
          <w:p w14:paraId="56E9BFEB" w14:textId="77777777" w:rsidR="001C4CD7" w:rsidRDefault="00FB69A7">
            <w:pPr>
              <w:rPr>
                <w:rFonts w:ascii="Arial" w:eastAsia="Arial" w:hAnsi="Arial" w:cs="Arial"/>
              </w:rPr>
            </w:pPr>
            <w:r>
              <w:rPr>
                <w:rFonts w:ascii="Arial" w:eastAsia="Arial" w:hAnsi="Arial" w:cs="Arial"/>
              </w:rPr>
              <w:t>Trigger CO-attainment recalculation + recommendation-engine function</w:t>
            </w:r>
          </w:p>
        </w:tc>
        <w:tc>
          <w:tcPr>
            <w:tcW w:w="2541" w:type="dxa"/>
            <w:tcMar>
              <w:top w:w="90" w:type="dxa"/>
              <w:bottom w:w="90" w:type="dxa"/>
            </w:tcMar>
            <w:vAlign w:val="center"/>
          </w:tcPr>
          <w:p w14:paraId="60748165" w14:textId="77777777" w:rsidR="001C4CD7" w:rsidRDefault="00FB69A7">
            <w:pPr>
              <w:rPr>
                <w:rFonts w:ascii="Arial" w:eastAsia="Arial" w:hAnsi="Arial" w:cs="Arial"/>
              </w:rPr>
            </w:pPr>
            <w:r>
              <w:rPr>
                <w:rFonts w:ascii="Arial" w:eastAsia="Arial" w:hAnsi="Arial" w:cs="Arial"/>
              </w:rPr>
              <w:t>Scores are structured, relational data needing transactional consistency; the event trigger keeps recommendation compute at zero cost when idle.</w:t>
            </w:r>
          </w:p>
        </w:tc>
      </w:tr>
      <w:tr w:rsidR="001C4CD7" w14:paraId="3F3CACFB" w14:textId="77777777">
        <w:trPr>
          <w:jc w:val="center"/>
        </w:trPr>
        <w:tc>
          <w:tcPr>
            <w:tcW w:w="2541" w:type="dxa"/>
            <w:tcMar>
              <w:top w:w="90" w:type="dxa"/>
              <w:bottom w:w="90" w:type="dxa"/>
            </w:tcMar>
            <w:vAlign w:val="center"/>
          </w:tcPr>
          <w:p w14:paraId="1DC27608" w14:textId="77777777" w:rsidR="001C4CD7" w:rsidRDefault="00FB69A7">
            <w:pPr>
              <w:rPr>
                <w:rFonts w:ascii="Arial" w:eastAsia="Arial" w:hAnsi="Arial" w:cs="Arial"/>
              </w:rPr>
            </w:pPr>
            <w:r>
              <w:rPr>
                <w:rFonts w:ascii="Arial" w:eastAsia="Arial" w:hAnsi="Arial" w:cs="Arial"/>
              </w:rPr>
              <w:t>Course material upload (lecture PDF/video)</w:t>
            </w:r>
          </w:p>
        </w:tc>
        <w:tc>
          <w:tcPr>
            <w:tcW w:w="2541" w:type="dxa"/>
            <w:tcMar>
              <w:top w:w="90" w:type="dxa"/>
              <w:bottom w:w="90" w:type="dxa"/>
            </w:tcMar>
            <w:vAlign w:val="center"/>
          </w:tcPr>
          <w:p w14:paraId="4836D46B" w14:textId="77777777" w:rsidR="001C4CD7" w:rsidRDefault="00FB69A7">
            <w:pPr>
              <w:rPr>
                <w:rFonts w:ascii="Arial" w:eastAsia="Arial" w:hAnsi="Arial" w:cs="Arial"/>
              </w:rPr>
            </w:pPr>
            <w:r>
              <w:rPr>
                <w:rFonts w:ascii="Arial" w:eastAsia="Arial" w:hAnsi="Arial" w:cs="Arial"/>
              </w:rPr>
              <w:t>Object storage (e.g. S3-class)</w:t>
            </w:r>
          </w:p>
        </w:tc>
        <w:tc>
          <w:tcPr>
            <w:tcW w:w="2541" w:type="dxa"/>
            <w:tcMar>
              <w:top w:w="90" w:type="dxa"/>
              <w:bottom w:w="90" w:type="dxa"/>
            </w:tcMar>
            <w:vAlign w:val="center"/>
          </w:tcPr>
          <w:p w14:paraId="7A7FD998" w14:textId="77777777" w:rsidR="001C4CD7" w:rsidRDefault="00FB69A7">
            <w:pPr>
              <w:rPr>
                <w:rFonts w:ascii="Arial" w:eastAsia="Arial" w:hAnsi="Arial" w:cs="Arial"/>
              </w:rPr>
            </w:pPr>
            <w:r>
              <w:rPr>
                <w:rFonts w:ascii="Arial" w:eastAsia="Arial" w:hAnsi="Arial" w:cs="Arial"/>
              </w:rPr>
              <w:t>Trigger indexing/transcoding function</w:t>
            </w:r>
          </w:p>
        </w:tc>
        <w:tc>
          <w:tcPr>
            <w:tcW w:w="2541" w:type="dxa"/>
            <w:tcMar>
              <w:top w:w="90" w:type="dxa"/>
              <w:bottom w:w="90" w:type="dxa"/>
            </w:tcMar>
            <w:vAlign w:val="center"/>
          </w:tcPr>
          <w:p w14:paraId="15CB9C6D" w14:textId="77777777" w:rsidR="001C4CD7" w:rsidRDefault="00FB69A7">
            <w:pPr>
              <w:rPr>
                <w:rFonts w:ascii="Arial" w:eastAsia="Arial" w:hAnsi="Arial" w:cs="Arial"/>
              </w:rPr>
            </w:pPr>
            <w:r>
              <w:rPr>
                <w:rFonts w:ascii="Arial" w:eastAsia="Arial" w:hAnsi="Arial" w:cs="Arial"/>
              </w:rPr>
              <w:t>Large, mostly-immutable binaries; serverless processing avoids running a server 24/7 for occasional faculty uploads.</w:t>
            </w:r>
          </w:p>
        </w:tc>
      </w:tr>
      <w:tr w:rsidR="001C4CD7" w14:paraId="584F51B3" w14:textId="77777777">
        <w:trPr>
          <w:jc w:val="center"/>
        </w:trPr>
        <w:tc>
          <w:tcPr>
            <w:tcW w:w="2541" w:type="dxa"/>
            <w:tcMar>
              <w:top w:w="90" w:type="dxa"/>
              <w:bottom w:w="90" w:type="dxa"/>
            </w:tcMar>
            <w:vAlign w:val="center"/>
          </w:tcPr>
          <w:p w14:paraId="15C4F98B" w14:textId="77777777" w:rsidR="001C4CD7" w:rsidRDefault="00FB69A7">
            <w:pPr>
              <w:rPr>
                <w:rFonts w:ascii="Arial" w:eastAsia="Arial" w:hAnsi="Arial" w:cs="Arial"/>
              </w:rPr>
            </w:pPr>
            <w:r>
              <w:rPr>
                <w:rFonts w:ascii="Arial" w:eastAsia="Arial" w:hAnsi="Arial" w:cs="Arial"/>
              </w:rPr>
              <w:t>Generated recommendation / CO-attainment report</w:t>
            </w:r>
          </w:p>
        </w:tc>
        <w:tc>
          <w:tcPr>
            <w:tcW w:w="2541" w:type="dxa"/>
            <w:tcMar>
              <w:top w:w="90" w:type="dxa"/>
              <w:bottom w:w="90" w:type="dxa"/>
            </w:tcMar>
            <w:vAlign w:val="center"/>
          </w:tcPr>
          <w:p w14:paraId="40A6139A" w14:textId="77777777" w:rsidR="001C4CD7" w:rsidRDefault="00FB69A7">
            <w:pPr>
              <w:rPr>
                <w:rFonts w:ascii="Arial" w:eastAsia="Arial" w:hAnsi="Arial" w:cs="Arial"/>
              </w:rPr>
            </w:pPr>
            <w:r>
              <w:rPr>
                <w:rFonts w:ascii="Arial" w:eastAsia="Arial" w:hAnsi="Arial" w:cs="Arial"/>
              </w:rPr>
              <w:t>Object storage</w:t>
            </w:r>
          </w:p>
        </w:tc>
        <w:tc>
          <w:tcPr>
            <w:tcW w:w="2541" w:type="dxa"/>
            <w:tcMar>
              <w:top w:w="90" w:type="dxa"/>
              <w:bottom w:w="90" w:type="dxa"/>
            </w:tcMar>
            <w:vAlign w:val="center"/>
          </w:tcPr>
          <w:p w14:paraId="3E4AC713" w14:textId="77777777" w:rsidR="001C4CD7" w:rsidRDefault="00FB69A7">
            <w:pPr>
              <w:rPr>
                <w:rFonts w:ascii="Arial" w:eastAsia="Arial" w:hAnsi="Arial" w:cs="Arial"/>
              </w:rPr>
            </w:pPr>
            <w:r>
              <w:rPr>
                <w:rFonts w:ascii="Arial" w:eastAsia="Arial" w:hAnsi="Arial" w:cs="Arial"/>
              </w:rPr>
              <w:t>Generate report via serverless function, store, then notify student</w:t>
            </w:r>
          </w:p>
        </w:tc>
        <w:tc>
          <w:tcPr>
            <w:tcW w:w="2541" w:type="dxa"/>
            <w:tcMar>
              <w:top w:w="90" w:type="dxa"/>
              <w:bottom w:w="90" w:type="dxa"/>
            </w:tcMar>
            <w:vAlign w:val="center"/>
          </w:tcPr>
          <w:p w14:paraId="55C3EC5B" w14:textId="77777777" w:rsidR="001C4CD7" w:rsidRDefault="00FB69A7">
            <w:pPr>
              <w:rPr>
                <w:rFonts w:ascii="Arial" w:eastAsia="Arial" w:hAnsi="Arial" w:cs="Arial"/>
              </w:rPr>
            </w:pPr>
            <w:r>
              <w:rPr>
                <w:rFonts w:ascii="Arial" w:eastAsia="Arial" w:hAnsi="Arial" w:cs="Arial"/>
              </w:rPr>
              <w:t>Reports are write-once documents best kept out of the relational DB; event-driven generation keeps cost near zero when idle.</w:t>
            </w:r>
          </w:p>
        </w:tc>
      </w:tr>
      <w:tr w:rsidR="001C4CD7" w14:paraId="7B090BF7" w14:textId="77777777">
        <w:trPr>
          <w:jc w:val="center"/>
        </w:trPr>
        <w:tc>
          <w:tcPr>
            <w:tcW w:w="2541" w:type="dxa"/>
            <w:tcMar>
              <w:top w:w="90" w:type="dxa"/>
              <w:bottom w:w="90" w:type="dxa"/>
            </w:tcMar>
            <w:vAlign w:val="center"/>
          </w:tcPr>
          <w:p w14:paraId="75FE166B" w14:textId="77777777" w:rsidR="001C4CD7" w:rsidRDefault="00FB69A7">
            <w:pPr>
              <w:rPr>
                <w:rFonts w:ascii="Arial" w:eastAsia="Arial" w:hAnsi="Arial" w:cs="Arial"/>
              </w:rPr>
            </w:pPr>
            <w:r>
              <w:rPr>
                <w:rFonts w:ascii="Arial" w:eastAsia="Arial" w:hAnsi="Arial" w:cs="Arial"/>
              </w:rPr>
              <w:lastRenderedPageBreak/>
              <w:t>Bulk CO-attainment analytics export (e.g. semester report)</w:t>
            </w:r>
          </w:p>
        </w:tc>
        <w:tc>
          <w:tcPr>
            <w:tcW w:w="2541" w:type="dxa"/>
            <w:tcMar>
              <w:top w:w="90" w:type="dxa"/>
              <w:bottom w:w="90" w:type="dxa"/>
            </w:tcMar>
            <w:vAlign w:val="center"/>
          </w:tcPr>
          <w:p w14:paraId="2FAEF145" w14:textId="77777777" w:rsidR="001C4CD7" w:rsidRDefault="00FB69A7">
            <w:pPr>
              <w:rPr>
                <w:rFonts w:ascii="Arial" w:eastAsia="Arial" w:hAnsi="Arial" w:cs="Arial"/>
              </w:rPr>
            </w:pPr>
            <w:r>
              <w:rPr>
                <w:rFonts w:ascii="Arial" w:eastAsia="Arial" w:hAnsi="Arial" w:cs="Arial"/>
              </w:rPr>
              <w:t>Object storage (as export file) + SAN only if a legacy institutional system requires block access</w:t>
            </w:r>
          </w:p>
        </w:tc>
        <w:tc>
          <w:tcPr>
            <w:tcW w:w="2541" w:type="dxa"/>
            <w:tcMar>
              <w:top w:w="90" w:type="dxa"/>
              <w:bottom w:w="90" w:type="dxa"/>
            </w:tcMar>
            <w:vAlign w:val="center"/>
          </w:tcPr>
          <w:p w14:paraId="656ABB35" w14:textId="77777777" w:rsidR="001C4CD7" w:rsidRDefault="00FB69A7">
            <w:pPr>
              <w:rPr>
                <w:rFonts w:ascii="Arial" w:eastAsia="Arial" w:hAnsi="Arial" w:cs="Arial"/>
              </w:rPr>
            </w:pPr>
            <w:r>
              <w:rPr>
                <w:rFonts w:ascii="Arial" w:eastAsia="Arial" w:hAnsi="Arial" w:cs="Arial"/>
              </w:rPr>
              <w:t>Scheduled serverless job aggregates DB data into a report file</w:t>
            </w:r>
          </w:p>
        </w:tc>
        <w:tc>
          <w:tcPr>
            <w:tcW w:w="2541" w:type="dxa"/>
            <w:tcMar>
              <w:top w:w="90" w:type="dxa"/>
              <w:bottom w:w="90" w:type="dxa"/>
            </w:tcMar>
            <w:vAlign w:val="center"/>
          </w:tcPr>
          <w:p w14:paraId="4A9CC39C" w14:textId="77777777" w:rsidR="001C4CD7" w:rsidRDefault="00FB69A7">
            <w:pPr>
              <w:rPr>
                <w:rFonts w:ascii="Arial" w:eastAsia="Arial" w:hAnsi="Arial" w:cs="Arial"/>
              </w:rPr>
            </w:pPr>
            <w:r>
              <w:rPr>
                <w:rFonts w:ascii="Arial" w:eastAsia="Arial" w:hAnsi="Arial" w:cs="Arial"/>
              </w:rPr>
              <w:t>Infrequent, large, sequential read/write – ideal for serverless batch processing writing to cheap object storage rather than a database.</w:t>
            </w:r>
          </w:p>
        </w:tc>
      </w:tr>
    </w:tbl>
    <w:p w14:paraId="251CE9D5" w14:textId="77777777" w:rsidR="001C4CD7" w:rsidRDefault="00FB69A7">
      <w:pPr>
        <w:pStyle w:val="Heading3"/>
        <w:rPr>
          <w:rFonts w:ascii="Arial" w:eastAsia="Arial" w:hAnsi="Arial" w:cs="Arial"/>
        </w:rPr>
      </w:pPr>
      <w:r>
        <w:rPr>
          <w:rFonts w:ascii="Arial" w:eastAsia="Arial" w:hAnsi="Arial" w:cs="Arial"/>
        </w:rPr>
        <w:t>A. Storage and Serverless Recommendation</w:t>
      </w:r>
    </w:p>
    <w:tbl>
      <w:tblPr>
        <w:tblStyle w:val="a8"/>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71F2BC27" w14:textId="77777777">
        <w:trPr>
          <w:jc w:val="center"/>
        </w:trPr>
        <w:tc>
          <w:tcPr>
            <w:tcW w:w="10166" w:type="dxa"/>
            <w:tcMar>
              <w:top w:w="90" w:type="dxa"/>
              <w:bottom w:w="90" w:type="dxa"/>
            </w:tcMar>
            <w:vAlign w:val="center"/>
          </w:tcPr>
          <w:p w14:paraId="614367D2" w14:textId="77777777" w:rsidR="001C4CD7" w:rsidRDefault="00FB69A7">
            <w:pPr>
              <w:rPr>
                <w:rFonts w:ascii="Arial" w:eastAsia="Arial" w:hAnsi="Arial" w:cs="Arial"/>
              </w:rPr>
            </w:pPr>
            <w:r>
              <w:rPr>
                <w:rFonts w:ascii="Arial" w:eastAsia="Arial" w:hAnsi="Arial" w:cs="Arial"/>
              </w:rPr>
              <w:t>Recommendation: use object storage (not SAN) as the primary store for uploaded media, paired with serverless functions for processing. SAN (block storage) is optimized for low-latency attached-disk workloads like databases and VMs, but it is expensive to scale and not designed for storing millions of independent files accessed over HTTP. Object storage is purpose-built for exactly this: virtually unlimited scale, HTTP(S) access, per-object metadata, lifecycle policies (e.g. auto-archive old receipts), and n</w:t>
            </w:r>
            <w:r>
              <w:rPr>
                <w:rFonts w:ascii="Arial" w:eastAsia="Arial" w:hAnsi="Arial" w:cs="Arial"/>
              </w:rPr>
              <w:t>ative event triggers that fire a serverless function the moment a file lands – no server needs to be running to "watch" for uploads. SAN is reserved only for the database tier where the OS needs a real attached volume.</w:t>
            </w:r>
          </w:p>
        </w:tc>
      </w:tr>
    </w:tbl>
    <w:p w14:paraId="08290E58" w14:textId="77777777" w:rsidR="001C4CD7" w:rsidRDefault="00FB69A7">
      <w:pPr>
        <w:pStyle w:val="Heading3"/>
        <w:rPr>
          <w:rFonts w:ascii="Arial" w:eastAsia="Arial" w:hAnsi="Arial" w:cs="Arial"/>
        </w:rPr>
      </w:pPr>
      <w:r>
        <w:rPr>
          <w:rFonts w:ascii="Arial" w:eastAsia="Arial" w:hAnsi="Arial" w:cs="Arial"/>
        </w:rPr>
        <w:t>B. Failure Handling and Cost/Performance Explanation</w:t>
      </w:r>
    </w:p>
    <w:tbl>
      <w:tblPr>
        <w:tblStyle w:val="a9"/>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7702827A" w14:textId="77777777">
        <w:trPr>
          <w:jc w:val="center"/>
        </w:trPr>
        <w:tc>
          <w:tcPr>
            <w:tcW w:w="10166" w:type="dxa"/>
            <w:tcMar>
              <w:top w:w="90" w:type="dxa"/>
              <w:bottom w:w="90" w:type="dxa"/>
            </w:tcMar>
            <w:vAlign w:val="center"/>
          </w:tcPr>
          <w:p w14:paraId="2A180848" w14:textId="77777777" w:rsidR="001C4CD7" w:rsidRDefault="00FB69A7">
            <w:pPr>
              <w:rPr>
                <w:rFonts w:ascii="Arial" w:eastAsia="Arial" w:hAnsi="Arial" w:cs="Arial"/>
              </w:rPr>
            </w:pPr>
            <w:r>
              <w:rPr>
                <w:rFonts w:ascii="Arial" w:eastAsia="Arial" w:hAnsi="Arial" w:cs="Arial"/>
              </w:rPr>
              <w:t>Failure handling: uploads use pre-signed URLs so a failed upload simply fails client-side and can be retried without leaving a partial file recorded in the database (the DB record is only created after a successful upload event). Serverless processing functions are configured with a retry policy and a dead-letter queue, so an image that fails to resize twice is captured for manual review instead of silently disappearing. Idempotent function design (checking if a thumbnail already exists before regenerating)</w:t>
            </w:r>
            <w:r>
              <w:rPr>
                <w:rFonts w:ascii="Arial" w:eastAsia="Arial" w:hAnsi="Arial" w:cs="Arial"/>
              </w:rPr>
              <w:t xml:space="preserve"> protects against duplicate event delivery.</w:t>
            </w:r>
            <w:r>
              <w:rPr>
                <w:rFonts w:ascii="Arial" w:eastAsia="Arial" w:hAnsi="Arial" w:cs="Arial"/>
              </w:rPr>
              <w:br/>
            </w:r>
            <w:r>
              <w:rPr>
                <w:rFonts w:ascii="Arial" w:eastAsia="Arial" w:hAnsi="Arial" w:cs="Arial"/>
              </w:rPr>
              <w:t xml:space="preserve">Cost/performance: object storage bills per GB stored and per request, with no idle cost, versus SAN/EBS-style storage which is billed for provisioned capacity whether used or not. Serverless functions bill per invocation/duration, so the resize/notification workloads (which are bursty and idle most of the time) cost far less than running a dedicated always-on server. The trade-off is cold-start latency on infrequently invoked functions, which is acceptable here since uploads are not on the user's critical, </w:t>
            </w:r>
            <w:r>
              <w:rPr>
                <w:rFonts w:ascii="Arial" w:eastAsia="Arial" w:hAnsi="Arial" w:cs="Arial"/>
              </w:rPr>
              <w:t>real-time path.</w:t>
            </w:r>
          </w:p>
        </w:tc>
      </w:tr>
    </w:tbl>
    <w:p w14:paraId="365477BC" w14:textId="77777777" w:rsidR="001C4CD7" w:rsidRDefault="00FB69A7">
      <w:pPr>
        <w:pStyle w:val="Heading3"/>
        <w:rPr>
          <w:rFonts w:ascii="Arial" w:eastAsia="Arial" w:hAnsi="Arial" w:cs="Arial"/>
        </w:rPr>
      </w:pPr>
      <w:r>
        <w:rPr>
          <w:rFonts w:ascii="Arial" w:eastAsia="Arial" w:hAnsi="Arial" w:cs="Arial"/>
        </w:rPr>
        <w:t>C. Capstone Extension: one upload/event workflow</w:t>
      </w:r>
    </w:p>
    <w:tbl>
      <w:tblPr>
        <w:tblStyle w:val="aa"/>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5AED45B3" w14:textId="77777777">
        <w:trPr>
          <w:jc w:val="center"/>
        </w:trPr>
        <w:tc>
          <w:tcPr>
            <w:tcW w:w="10166" w:type="dxa"/>
            <w:tcMar>
              <w:top w:w="90" w:type="dxa"/>
              <w:bottom w:w="90" w:type="dxa"/>
            </w:tcMar>
            <w:vAlign w:val="center"/>
          </w:tcPr>
          <w:p w14:paraId="6182330C" w14:textId="77777777" w:rsidR="001C4CD7" w:rsidRDefault="00FB69A7">
            <w:pPr>
              <w:rPr>
                <w:rFonts w:ascii="Arial" w:eastAsia="Arial" w:hAnsi="Arial" w:cs="Arial"/>
              </w:rPr>
            </w:pPr>
            <w:r>
              <w:rPr>
                <w:rFonts w:ascii="Arial" w:eastAsia="Arial" w:hAnsi="Arial" w:cs="Arial"/>
              </w:rPr>
              <w:t xml:space="preserve">In </w:t>
            </w:r>
            <w:proofErr w:type="spellStart"/>
            <w:r>
              <w:rPr>
                <w:rFonts w:ascii="Arial" w:eastAsia="Arial" w:hAnsi="Arial" w:cs="Arial"/>
              </w:rPr>
              <w:t>SkillForge</w:t>
            </w:r>
            <w:proofErr w:type="spellEnd"/>
            <w:r>
              <w:rPr>
                <w:rFonts w:ascii="Arial" w:eastAsia="Arial" w:hAnsi="Arial" w:cs="Arial"/>
              </w:rPr>
              <w:t>, a student completing a quiz triggers this exact workflow: the score is written synchronously to the database, which emits a 'quiz scored' event; a serverless function recalculates the student's CO-attainment values, invokes the recommendation-analytics logic to pick remedial resources for weak COs, writes a personalized report PDF to object storage, and finally a lightweight notification function alerts the student that a new study recommendation is ready. No backend server sits idle waiting – t</w:t>
            </w:r>
            <w:r>
              <w:rPr>
                <w:rFonts w:ascii="Arial" w:eastAsia="Arial" w:hAnsi="Arial" w:cs="Arial"/>
              </w:rPr>
              <w:t>he whole chain only runs when a quiz is actually submitted.</w:t>
            </w:r>
          </w:p>
        </w:tc>
      </w:tr>
    </w:tbl>
    <w:p w14:paraId="5B97C4E9" w14:textId="77777777" w:rsidR="001C4CD7" w:rsidRDefault="00FB69A7">
      <w:pPr>
        <w:pStyle w:val="Heading1"/>
        <w:rPr>
          <w:rFonts w:ascii="Arial" w:eastAsia="Arial" w:hAnsi="Arial" w:cs="Arial"/>
        </w:rPr>
      </w:pPr>
      <w:r>
        <w:rPr>
          <w:rFonts w:ascii="Arial" w:eastAsia="Arial" w:hAnsi="Arial" w:cs="Arial"/>
        </w:rPr>
        <w:t>Case 3: Edge, Fog and Cloud Placement</w:t>
      </w:r>
    </w:p>
    <w:tbl>
      <w:tblPr>
        <w:tblStyle w:val="ab"/>
        <w:tblW w:w="10165"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2033"/>
        <w:gridCol w:w="2033"/>
        <w:gridCol w:w="2033"/>
        <w:gridCol w:w="2033"/>
        <w:gridCol w:w="2033"/>
      </w:tblGrid>
      <w:tr w:rsidR="001C4CD7" w14:paraId="43A267E7" w14:textId="77777777">
        <w:trPr>
          <w:gridAfter w:val="4"/>
          <w:jc w:val="center"/>
        </w:trPr>
        <w:tc>
          <w:tcPr>
            <w:tcW w:w="2033" w:type="dxa"/>
            <w:shd w:val="clear" w:color="auto" w:fill="E7F8FC"/>
            <w:tcMar>
              <w:top w:w="90" w:type="dxa"/>
              <w:bottom w:w="90" w:type="dxa"/>
            </w:tcMar>
            <w:vAlign w:val="center"/>
          </w:tcPr>
          <w:p w14:paraId="6869F329" w14:textId="77777777" w:rsidR="001C4CD7" w:rsidRDefault="00FB69A7">
            <w:pPr>
              <w:rPr>
                <w:rFonts w:ascii="Arial" w:eastAsia="Arial" w:hAnsi="Arial" w:cs="Arial"/>
              </w:rPr>
            </w:pPr>
            <w:r>
              <w:rPr>
                <w:rFonts w:ascii="Arial" w:eastAsia="Arial" w:hAnsi="Arial" w:cs="Arial"/>
                <w:b/>
                <w:bCs/>
                <w:color w:val="0B2748"/>
                <w:sz w:val="19"/>
                <w:szCs w:val="19"/>
              </w:rPr>
              <w:t>Scenario</w:t>
            </w:r>
            <w:r>
              <w:rPr>
                <w:rFonts w:ascii="Arial" w:eastAsia="Arial" w:hAnsi="Arial" w:cs="Arial"/>
                <w:b/>
                <w:bCs/>
                <w:color w:val="0B2748"/>
                <w:sz w:val="19"/>
                <w:szCs w:val="19"/>
              </w:rPr>
              <w:br/>
              <w:t xml:space="preserve">A smart-city platform needs low-latency decision-making near sensors while still </w:t>
            </w:r>
            <w:r>
              <w:rPr>
                <w:rFonts w:ascii="Arial" w:eastAsia="Arial" w:hAnsi="Arial" w:cs="Arial"/>
                <w:b/>
                <w:bCs/>
                <w:color w:val="0B2748"/>
                <w:sz w:val="19"/>
                <w:szCs w:val="19"/>
              </w:rPr>
              <w:lastRenderedPageBreak/>
              <w:t>using the cloud for analytics. Decide what runs at edge, fog and cloud.</w:t>
            </w:r>
          </w:p>
        </w:tc>
      </w:tr>
      <w:tr w:rsidR="001C4CD7" w14:paraId="66F6DE09" w14:textId="77777777">
        <w:trPr>
          <w:jc w:val="center"/>
        </w:trPr>
        <w:tc>
          <w:tcPr>
            <w:tcW w:w="2033" w:type="dxa"/>
            <w:shd w:val="clear" w:color="auto" w:fill="0B2748"/>
            <w:tcMar>
              <w:top w:w="90" w:type="dxa"/>
              <w:bottom w:w="90" w:type="dxa"/>
            </w:tcMar>
            <w:vAlign w:val="center"/>
          </w:tcPr>
          <w:p w14:paraId="4878D3FF" w14:textId="77777777" w:rsidR="001C4CD7" w:rsidRDefault="00FB69A7">
            <w:pPr>
              <w:rPr>
                <w:rFonts w:ascii="Arial" w:eastAsia="Arial" w:hAnsi="Arial" w:cs="Arial"/>
              </w:rPr>
            </w:pPr>
            <w:r>
              <w:rPr>
                <w:rFonts w:ascii="Arial" w:eastAsia="Arial" w:hAnsi="Arial" w:cs="Arial"/>
                <w:b/>
                <w:bCs/>
                <w:color w:val="FFFFFF"/>
                <w:sz w:val="16"/>
                <w:szCs w:val="16"/>
              </w:rPr>
              <w:lastRenderedPageBreak/>
              <w:t>Task</w:t>
            </w:r>
          </w:p>
        </w:tc>
        <w:tc>
          <w:tcPr>
            <w:tcW w:w="2033" w:type="dxa"/>
            <w:shd w:val="clear" w:color="auto" w:fill="0B2748"/>
            <w:tcMar>
              <w:top w:w="90" w:type="dxa"/>
              <w:bottom w:w="90" w:type="dxa"/>
            </w:tcMar>
            <w:vAlign w:val="center"/>
          </w:tcPr>
          <w:p w14:paraId="5E69B7A0" w14:textId="77777777" w:rsidR="001C4CD7" w:rsidRDefault="00FB69A7">
            <w:pPr>
              <w:rPr>
                <w:rFonts w:ascii="Arial" w:eastAsia="Arial" w:hAnsi="Arial" w:cs="Arial"/>
              </w:rPr>
            </w:pPr>
            <w:r>
              <w:rPr>
                <w:rFonts w:ascii="Arial" w:eastAsia="Arial" w:hAnsi="Arial" w:cs="Arial"/>
                <w:b/>
                <w:bCs/>
                <w:color w:val="FFFFFF"/>
                <w:sz w:val="16"/>
                <w:szCs w:val="16"/>
              </w:rPr>
              <w:t>Layer</w:t>
            </w:r>
          </w:p>
        </w:tc>
        <w:tc>
          <w:tcPr>
            <w:tcW w:w="2033" w:type="dxa"/>
            <w:shd w:val="clear" w:color="auto" w:fill="0B2748"/>
            <w:tcMar>
              <w:top w:w="90" w:type="dxa"/>
              <w:bottom w:w="90" w:type="dxa"/>
            </w:tcMar>
            <w:vAlign w:val="center"/>
          </w:tcPr>
          <w:p w14:paraId="18B654BC" w14:textId="77777777" w:rsidR="001C4CD7" w:rsidRDefault="00FB69A7">
            <w:pPr>
              <w:rPr>
                <w:rFonts w:ascii="Arial" w:eastAsia="Arial" w:hAnsi="Arial" w:cs="Arial"/>
              </w:rPr>
            </w:pPr>
            <w:r>
              <w:rPr>
                <w:rFonts w:ascii="Arial" w:eastAsia="Arial" w:hAnsi="Arial" w:cs="Arial"/>
                <w:b/>
                <w:bCs/>
                <w:color w:val="FFFFFF"/>
                <w:sz w:val="16"/>
                <w:szCs w:val="16"/>
              </w:rPr>
              <w:t>Latency Need</w:t>
            </w:r>
          </w:p>
        </w:tc>
        <w:tc>
          <w:tcPr>
            <w:tcW w:w="2033" w:type="dxa"/>
            <w:shd w:val="clear" w:color="auto" w:fill="0B2748"/>
            <w:tcMar>
              <w:top w:w="90" w:type="dxa"/>
              <w:bottom w:w="90" w:type="dxa"/>
            </w:tcMar>
            <w:vAlign w:val="center"/>
          </w:tcPr>
          <w:p w14:paraId="25DD8172" w14:textId="77777777" w:rsidR="001C4CD7" w:rsidRDefault="00FB69A7">
            <w:pPr>
              <w:rPr>
                <w:rFonts w:ascii="Arial" w:eastAsia="Arial" w:hAnsi="Arial" w:cs="Arial"/>
              </w:rPr>
            </w:pPr>
            <w:r>
              <w:rPr>
                <w:rFonts w:ascii="Arial" w:eastAsia="Arial" w:hAnsi="Arial" w:cs="Arial"/>
                <w:b/>
                <w:bCs/>
                <w:color w:val="FFFFFF"/>
                <w:sz w:val="16"/>
                <w:szCs w:val="16"/>
              </w:rPr>
              <w:t>Data Volume</w:t>
            </w:r>
          </w:p>
        </w:tc>
        <w:tc>
          <w:tcPr>
            <w:tcW w:w="2033" w:type="dxa"/>
            <w:shd w:val="clear" w:color="auto" w:fill="0B2748"/>
            <w:tcMar>
              <w:top w:w="90" w:type="dxa"/>
              <w:bottom w:w="90" w:type="dxa"/>
            </w:tcMar>
            <w:vAlign w:val="center"/>
          </w:tcPr>
          <w:p w14:paraId="3DBBC164" w14:textId="77777777" w:rsidR="001C4CD7" w:rsidRDefault="00FB69A7">
            <w:pPr>
              <w:rPr>
                <w:rFonts w:ascii="Arial" w:eastAsia="Arial" w:hAnsi="Arial" w:cs="Arial"/>
              </w:rPr>
            </w:pPr>
            <w:r>
              <w:rPr>
                <w:rFonts w:ascii="Arial" w:eastAsia="Arial" w:hAnsi="Arial" w:cs="Arial"/>
                <w:b/>
                <w:bCs/>
                <w:color w:val="FFFFFF"/>
                <w:sz w:val="16"/>
                <w:szCs w:val="16"/>
              </w:rPr>
              <w:t>Reason</w:t>
            </w:r>
          </w:p>
        </w:tc>
      </w:tr>
      <w:tr w:rsidR="001C4CD7" w14:paraId="63FF0BE3" w14:textId="77777777">
        <w:trPr>
          <w:jc w:val="center"/>
        </w:trPr>
        <w:tc>
          <w:tcPr>
            <w:tcW w:w="2033" w:type="dxa"/>
            <w:tcMar>
              <w:top w:w="90" w:type="dxa"/>
              <w:bottom w:w="90" w:type="dxa"/>
            </w:tcMar>
            <w:vAlign w:val="center"/>
          </w:tcPr>
          <w:p w14:paraId="27B0EEC4" w14:textId="77777777" w:rsidR="001C4CD7" w:rsidRDefault="00FB69A7">
            <w:pPr>
              <w:rPr>
                <w:rFonts w:ascii="Arial" w:eastAsia="Arial" w:hAnsi="Arial" w:cs="Arial"/>
              </w:rPr>
            </w:pPr>
            <w:r>
              <w:rPr>
                <w:rFonts w:ascii="Arial" w:eastAsia="Arial" w:hAnsi="Arial" w:cs="Arial"/>
              </w:rPr>
              <w:t>Sensor anomaly detection (e.g. traffic/air quality spike)</w:t>
            </w:r>
          </w:p>
        </w:tc>
        <w:tc>
          <w:tcPr>
            <w:tcW w:w="2033" w:type="dxa"/>
            <w:tcMar>
              <w:top w:w="90" w:type="dxa"/>
              <w:bottom w:w="90" w:type="dxa"/>
            </w:tcMar>
            <w:vAlign w:val="center"/>
          </w:tcPr>
          <w:p w14:paraId="49C49378" w14:textId="77777777" w:rsidR="001C4CD7" w:rsidRDefault="00FB69A7">
            <w:pPr>
              <w:rPr>
                <w:rFonts w:ascii="Arial" w:eastAsia="Arial" w:hAnsi="Arial" w:cs="Arial"/>
              </w:rPr>
            </w:pPr>
            <w:r>
              <w:rPr>
                <w:rFonts w:ascii="Arial" w:eastAsia="Arial" w:hAnsi="Arial" w:cs="Arial"/>
              </w:rPr>
              <w:t>Edge</w:t>
            </w:r>
          </w:p>
        </w:tc>
        <w:tc>
          <w:tcPr>
            <w:tcW w:w="2033" w:type="dxa"/>
            <w:tcMar>
              <w:top w:w="90" w:type="dxa"/>
              <w:bottom w:w="90" w:type="dxa"/>
            </w:tcMar>
            <w:vAlign w:val="center"/>
          </w:tcPr>
          <w:p w14:paraId="155A3A43" w14:textId="77777777" w:rsidR="001C4CD7" w:rsidRDefault="00FB69A7">
            <w:pPr>
              <w:rPr>
                <w:rFonts w:ascii="Arial" w:eastAsia="Arial" w:hAnsi="Arial" w:cs="Arial"/>
              </w:rPr>
            </w:pPr>
            <w:r>
              <w:rPr>
                <w:rFonts w:ascii="Arial" w:eastAsia="Arial" w:hAnsi="Arial" w:cs="Arial"/>
              </w:rPr>
              <w:t>Milliseconds</w:t>
            </w:r>
          </w:p>
        </w:tc>
        <w:tc>
          <w:tcPr>
            <w:tcW w:w="2033" w:type="dxa"/>
            <w:tcMar>
              <w:top w:w="90" w:type="dxa"/>
              <w:bottom w:w="90" w:type="dxa"/>
            </w:tcMar>
            <w:vAlign w:val="center"/>
          </w:tcPr>
          <w:p w14:paraId="4179E3BF" w14:textId="77777777" w:rsidR="001C4CD7" w:rsidRDefault="00FB69A7">
            <w:pPr>
              <w:rPr>
                <w:rFonts w:ascii="Arial" w:eastAsia="Arial" w:hAnsi="Arial" w:cs="Arial"/>
              </w:rPr>
            </w:pPr>
            <w:r>
              <w:rPr>
                <w:rFonts w:ascii="Arial" w:eastAsia="Arial" w:hAnsi="Arial" w:cs="Arial"/>
              </w:rPr>
              <w:t>Small (per-sensor reading)</w:t>
            </w:r>
          </w:p>
        </w:tc>
        <w:tc>
          <w:tcPr>
            <w:tcW w:w="2033" w:type="dxa"/>
            <w:tcMar>
              <w:top w:w="90" w:type="dxa"/>
              <w:bottom w:w="90" w:type="dxa"/>
            </w:tcMar>
            <w:vAlign w:val="center"/>
          </w:tcPr>
          <w:p w14:paraId="7C22F432" w14:textId="77777777" w:rsidR="001C4CD7" w:rsidRDefault="00FB69A7">
            <w:pPr>
              <w:rPr>
                <w:rFonts w:ascii="Arial" w:eastAsia="Arial" w:hAnsi="Arial" w:cs="Arial"/>
              </w:rPr>
            </w:pPr>
            <w:r>
              <w:rPr>
                <w:rFonts w:ascii="Arial" w:eastAsia="Arial" w:hAnsi="Arial" w:cs="Arial"/>
              </w:rPr>
              <w:t>Immediate local action is required (e.g. trigger a signal change) before data can round-trip to the cloud.</w:t>
            </w:r>
          </w:p>
        </w:tc>
      </w:tr>
      <w:tr w:rsidR="001C4CD7" w14:paraId="78DB41E2" w14:textId="77777777">
        <w:trPr>
          <w:jc w:val="center"/>
        </w:trPr>
        <w:tc>
          <w:tcPr>
            <w:tcW w:w="2033" w:type="dxa"/>
            <w:tcMar>
              <w:top w:w="90" w:type="dxa"/>
              <w:bottom w:w="90" w:type="dxa"/>
            </w:tcMar>
            <w:vAlign w:val="center"/>
          </w:tcPr>
          <w:p w14:paraId="4A77E8B1" w14:textId="77777777" w:rsidR="001C4CD7" w:rsidRDefault="00FB69A7">
            <w:pPr>
              <w:rPr>
                <w:rFonts w:ascii="Arial" w:eastAsia="Arial" w:hAnsi="Arial" w:cs="Arial"/>
              </w:rPr>
            </w:pPr>
            <w:r>
              <w:rPr>
                <w:rFonts w:ascii="Arial" w:eastAsia="Arial" w:hAnsi="Arial" w:cs="Arial"/>
              </w:rPr>
              <w:t xml:space="preserve">Local data aggregation across a </w:t>
            </w:r>
            <w:proofErr w:type="spellStart"/>
            <w:r>
              <w:rPr>
                <w:rFonts w:ascii="Arial" w:eastAsia="Arial" w:hAnsi="Arial" w:cs="Arial"/>
              </w:rPr>
              <w:t>neighbourhood</w:t>
            </w:r>
            <w:proofErr w:type="spellEnd"/>
            <w:r>
              <w:rPr>
                <w:rFonts w:ascii="Arial" w:eastAsia="Arial" w:hAnsi="Arial" w:cs="Arial"/>
              </w:rPr>
              <w:t xml:space="preserve"> cluster</w:t>
            </w:r>
          </w:p>
        </w:tc>
        <w:tc>
          <w:tcPr>
            <w:tcW w:w="2033" w:type="dxa"/>
            <w:tcMar>
              <w:top w:w="90" w:type="dxa"/>
              <w:bottom w:w="90" w:type="dxa"/>
            </w:tcMar>
            <w:vAlign w:val="center"/>
          </w:tcPr>
          <w:p w14:paraId="7526B759" w14:textId="77777777" w:rsidR="001C4CD7" w:rsidRDefault="00FB69A7">
            <w:pPr>
              <w:rPr>
                <w:rFonts w:ascii="Arial" w:eastAsia="Arial" w:hAnsi="Arial" w:cs="Arial"/>
              </w:rPr>
            </w:pPr>
            <w:r>
              <w:rPr>
                <w:rFonts w:ascii="Arial" w:eastAsia="Arial" w:hAnsi="Arial" w:cs="Arial"/>
              </w:rPr>
              <w:t>Fog</w:t>
            </w:r>
          </w:p>
        </w:tc>
        <w:tc>
          <w:tcPr>
            <w:tcW w:w="2033" w:type="dxa"/>
            <w:tcMar>
              <w:top w:w="90" w:type="dxa"/>
              <w:bottom w:w="90" w:type="dxa"/>
            </w:tcMar>
            <w:vAlign w:val="center"/>
          </w:tcPr>
          <w:p w14:paraId="6954C47F" w14:textId="77777777" w:rsidR="001C4CD7" w:rsidRDefault="00FB69A7">
            <w:pPr>
              <w:rPr>
                <w:rFonts w:ascii="Arial" w:eastAsia="Arial" w:hAnsi="Arial" w:cs="Arial"/>
              </w:rPr>
            </w:pPr>
            <w:r>
              <w:rPr>
                <w:rFonts w:ascii="Arial" w:eastAsia="Arial" w:hAnsi="Arial" w:cs="Arial"/>
              </w:rPr>
              <w:t>Seconds</w:t>
            </w:r>
          </w:p>
        </w:tc>
        <w:tc>
          <w:tcPr>
            <w:tcW w:w="2033" w:type="dxa"/>
            <w:tcMar>
              <w:top w:w="90" w:type="dxa"/>
              <w:bottom w:w="90" w:type="dxa"/>
            </w:tcMar>
            <w:vAlign w:val="center"/>
          </w:tcPr>
          <w:p w14:paraId="74031D04" w14:textId="77777777" w:rsidR="001C4CD7" w:rsidRDefault="00FB69A7">
            <w:pPr>
              <w:rPr>
                <w:rFonts w:ascii="Arial" w:eastAsia="Arial" w:hAnsi="Arial" w:cs="Arial"/>
              </w:rPr>
            </w:pPr>
            <w:r>
              <w:rPr>
                <w:rFonts w:ascii="Arial" w:eastAsia="Arial" w:hAnsi="Arial" w:cs="Arial"/>
              </w:rPr>
              <w:t>Medium (batched readings)</w:t>
            </w:r>
          </w:p>
        </w:tc>
        <w:tc>
          <w:tcPr>
            <w:tcW w:w="2033" w:type="dxa"/>
            <w:tcMar>
              <w:top w:w="90" w:type="dxa"/>
              <w:bottom w:w="90" w:type="dxa"/>
            </w:tcMar>
            <w:vAlign w:val="center"/>
          </w:tcPr>
          <w:p w14:paraId="367D1D56" w14:textId="77777777" w:rsidR="001C4CD7" w:rsidRDefault="00FB69A7">
            <w:pPr>
              <w:rPr>
                <w:rFonts w:ascii="Arial" w:eastAsia="Arial" w:hAnsi="Arial" w:cs="Arial"/>
              </w:rPr>
            </w:pPr>
            <w:r>
              <w:rPr>
                <w:rFonts w:ascii="Arial" w:eastAsia="Arial" w:hAnsi="Arial" w:cs="Arial"/>
              </w:rPr>
              <w:t>A fog node close to the sensors can aggregate/filter data from many devices before sending only summaries upstream, cutting bandwidth.</w:t>
            </w:r>
          </w:p>
        </w:tc>
      </w:tr>
      <w:tr w:rsidR="001C4CD7" w14:paraId="67CE9662" w14:textId="77777777">
        <w:trPr>
          <w:jc w:val="center"/>
        </w:trPr>
        <w:tc>
          <w:tcPr>
            <w:tcW w:w="2033" w:type="dxa"/>
            <w:tcMar>
              <w:top w:w="90" w:type="dxa"/>
              <w:bottom w:w="90" w:type="dxa"/>
            </w:tcMar>
            <w:vAlign w:val="center"/>
          </w:tcPr>
          <w:p w14:paraId="0E7B6C8C" w14:textId="77777777" w:rsidR="001C4CD7" w:rsidRDefault="00FB69A7">
            <w:pPr>
              <w:rPr>
                <w:rFonts w:ascii="Arial" w:eastAsia="Arial" w:hAnsi="Arial" w:cs="Arial"/>
              </w:rPr>
            </w:pPr>
            <w:r>
              <w:rPr>
                <w:rFonts w:ascii="Arial" w:eastAsia="Arial" w:hAnsi="Arial" w:cs="Arial"/>
              </w:rPr>
              <w:t>Long-term trend analytics and city-wide dashboards</w:t>
            </w:r>
          </w:p>
        </w:tc>
        <w:tc>
          <w:tcPr>
            <w:tcW w:w="2033" w:type="dxa"/>
            <w:tcMar>
              <w:top w:w="90" w:type="dxa"/>
              <w:bottom w:w="90" w:type="dxa"/>
            </w:tcMar>
            <w:vAlign w:val="center"/>
          </w:tcPr>
          <w:p w14:paraId="2FFFEAA3" w14:textId="77777777" w:rsidR="001C4CD7" w:rsidRDefault="00FB69A7">
            <w:pPr>
              <w:rPr>
                <w:rFonts w:ascii="Arial" w:eastAsia="Arial" w:hAnsi="Arial" w:cs="Arial"/>
              </w:rPr>
            </w:pPr>
            <w:r>
              <w:rPr>
                <w:rFonts w:ascii="Arial" w:eastAsia="Arial" w:hAnsi="Arial" w:cs="Arial"/>
              </w:rPr>
              <w:t>Cloud</w:t>
            </w:r>
          </w:p>
        </w:tc>
        <w:tc>
          <w:tcPr>
            <w:tcW w:w="2033" w:type="dxa"/>
            <w:tcMar>
              <w:top w:w="90" w:type="dxa"/>
              <w:bottom w:w="90" w:type="dxa"/>
            </w:tcMar>
            <w:vAlign w:val="center"/>
          </w:tcPr>
          <w:p w14:paraId="07D93667" w14:textId="77777777" w:rsidR="001C4CD7" w:rsidRDefault="00FB69A7">
            <w:pPr>
              <w:rPr>
                <w:rFonts w:ascii="Arial" w:eastAsia="Arial" w:hAnsi="Arial" w:cs="Arial"/>
              </w:rPr>
            </w:pPr>
            <w:r>
              <w:rPr>
                <w:rFonts w:ascii="Arial" w:eastAsia="Arial" w:hAnsi="Arial" w:cs="Arial"/>
              </w:rPr>
              <w:t>Minutes to hours (not latency-sensitive)</w:t>
            </w:r>
          </w:p>
        </w:tc>
        <w:tc>
          <w:tcPr>
            <w:tcW w:w="2033" w:type="dxa"/>
            <w:tcMar>
              <w:top w:w="90" w:type="dxa"/>
              <w:bottom w:w="90" w:type="dxa"/>
            </w:tcMar>
            <w:vAlign w:val="center"/>
          </w:tcPr>
          <w:p w14:paraId="3308AFF6" w14:textId="77777777" w:rsidR="001C4CD7" w:rsidRDefault="00FB69A7">
            <w:pPr>
              <w:rPr>
                <w:rFonts w:ascii="Arial" w:eastAsia="Arial" w:hAnsi="Arial" w:cs="Arial"/>
              </w:rPr>
            </w:pPr>
            <w:r>
              <w:rPr>
                <w:rFonts w:ascii="Arial" w:eastAsia="Arial" w:hAnsi="Arial" w:cs="Arial"/>
              </w:rPr>
              <w:t>Large (historical, city-wide)</w:t>
            </w:r>
          </w:p>
        </w:tc>
        <w:tc>
          <w:tcPr>
            <w:tcW w:w="2033" w:type="dxa"/>
            <w:tcMar>
              <w:top w:w="90" w:type="dxa"/>
              <w:bottom w:w="90" w:type="dxa"/>
            </w:tcMar>
            <w:vAlign w:val="center"/>
          </w:tcPr>
          <w:p w14:paraId="6F534017" w14:textId="77777777" w:rsidR="001C4CD7" w:rsidRDefault="00FB69A7">
            <w:pPr>
              <w:rPr>
                <w:rFonts w:ascii="Arial" w:eastAsia="Arial" w:hAnsi="Arial" w:cs="Arial"/>
              </w:rPr>
            </w:pPr>
            <w:r>
              <w:rPr>
                <w:rFonts w:ascii="Arial" w:eastAsia="Arial" w:hAnsi="Arial" w:cs="Arial"/>
              </w:rPr>
              <w:t>Cloud offers the storage and compute needed for big-data analytics, ML model training and cross-district reporting.</w:t>
            </w:r>
          </w:p>
        </w:tc>
      </w:tr>
      <w:tr w:rsidR="001C4CD7" w14:paraId="6F2CBB56" w14:textId="77777777">
        <w:trPr>
          <w:jc w:val="center"/>
        </w:trPr>
        <w:tc>
          <w:tcPr>
            <w:tcW w:w="2033" w:type="dxa"/>
            <w:tcMar>
              <w:top w:w="90" w:type="dxa"/>
              <w:bottom w:w="90" w:type="dxa"/>
            </w:tcMar>
            <w:vAlign w:val="center"/>
          </w:tcPr>
          <w:p w14:paraId="7B6C1A52" w14:textId="77777777" w:rsidR="001C4CD7" w:rsidRDefault="00FB69A7">
            <w:pPr>
              <w:rPr>
                <w:rFonts w:ascii="Arial" w:eastAsia="Arial" w:hAnsi="Arial" w:cs="Arial"/>
              </w:rPr>
            </w:pPr>
            <w:r>
              <w:rPr>
                <w:rFonts w:ascii="Arial" w:eastAsia="Arial" w:hAnsi="Arial" w:cs="Arial"/>
              </w:rPr>
              <w:t>Firmware/config updates to sensors</w:t>
            </w:r>
          </w:p>
        </w:tc>
        <w:tc>
          <w:tcPr>
            <w:tcW w:w="2033" w:type="dxa"/>
            <w:tcMar>
              <w:top w:w="90" w:type="dxa"/>
              <w:bottom w:w="90" w:type="dxa"/>
            </w:tcMar>
            <w:vAlign w:val="center"/>
          </w:tcPr>
          <w:p w14:paraId="7D3AAB21" w14:textId="77777777" w:rsidR="001C4CD7" w:rsidRDefault="00FB69A7">
            <w:pPr>
              <w:rPr>
                <w:rFonts w:ascii="Arial" w:eastAsia="Arial" w:hAnsi="Arial" w:cs="Arial"/>
              </w:rPr>
            </w:pPr>
            <w:r>
              <w:rPr>
                <w:rFonts w:ascii="Arial" w:eastAsia="Arial" w:hAnsi="Arial" w:cs="Arial"/>
              </w:rPr>
              <w:t>Cloud (orchestration) pushed via fog</w:t>
            </w:r>
          </w:p>
        </w:tc>
        <w:tc>
          <w:tcPr>
            <w:tcW w:w="2033" w:type="dxa"/>
            <w:tcMar>
              <w:top w:w="90" w:type="dxa"/>
              <w:bottom w:w="90" w:type="dxa"/>
            </w:tcMar>
            <w:vAlign w:val="center"/>
          </w:tcPr>
          <w:p w14:paraId="4EC40E31" w14:textId="77777777" w:rsidR="001C4CD7" w:rsidRDefault="00FB69A7">
            <w:pPr>
              <w:rPr>
                <w:rFonts w:ascii="Arial" w:eastAsia="Arial" w:hAnsi="Arial" w:cs="Arial"/>
              </w:rPr>
            </w:pPr>
            <w:r>
              <w:rPr>
                <w:rFonts w:ascii="Arial" w:eastAsia="Arial" w:hAnsi="Arial" w:cs="Arial"/>
              </w:rPr>
              <w:t>Not latency-sensitive</w:t>
            </w:r>
          </w:p>
        </w:tc>
        <w:tc>
          <w:tcPr>
            <w:tcW w:w="2033" w:type="dxa"/>
            <w:tcMar>
              <w:top w:w="90" w:type="dxa"/>
              <w:bottom w:w="90" w:type="dxa"/>
            </w:tcMar>
            <w:vAlign w:val="center"/>
          </w:tcPr>
          <w:p w14:paraId="52615BB8" w14:textId="77777777" w:rsidR="001C4CD7" w:rsidRDefault="00FB69A7">
            <w:pPr>
              <w:rPr>
                <w:rFonts w:ascii="Arial" w:eastAsia="Arial" w:hAnsi="Arial" w:cs="Arial"/>
              </w:rPr>
            </w:pPr>
            <w:r>
              <w:rPr>
                <w:rFonts w:ascii="Arial" w:eastAsia="Arial" w:hAnsi="Arial" w:cs="Arial"/>
              </w:rPr>
              <w:t>Small per device, large in aggregate</w:t>
            </w:r>
          </w:p>
        </w:tc>
        <w:tc>
          <w:tcPr>
            <w:tcW w:w="2033" w:type="dxa"/>
            <w:tcMar>
              <w:top w:w="90" w:type="dxa"/>
              <w:bottom w:w="90" w:type="dxa"/>
            </w:tcMar>
            <w:vAlign w:val="center"/>
          </w:tcPr>
          <w:p w14:paraId="7C088D96" w14:textId="77777777" w:rsidR="001C4CD7" w:rsidRDefault="00FB69A7">
            <w:pPr>
              <w:rPr>
                <w:rFonts w:ascii="Arial" w:eastAsia="Arial" w:hAnsi="Arial" w:cs="Arial"/>
              </w:rPr>
            </w:pPr>
            <w:r>
              <w:rPr>
                <w:rFonts w:ascii="Arial" w:eastAsia="Arial" w:hAnsi="Arial" w:cs="Arial"/>
              </w:rPr>
              <w:t>Centralized management is easiest from the cloud, but fog nodes can cache/distribute updates locally to reduce cloud egress and handle intermittent connectivity.</w:t>
            </w:r>
          </w:p>
        </w:tc>
      </w:tr>
    </w:tbl>
    <w:p w14:paraId="221BB839" w14:textId="77777777" w:rsidR="001C4CD7" w:rsidRDefault="00FB69A7">
      <w:pPr>
        <w:pStyle w:val="Heading3"/>
        <w:rPr>
          <w:rFonts w:ascii="Arial" w:eastAsia="Arial" w:hAnsi="Arial" w:cs="Arial"/>
        </w:rPr>
      </w:pPr>
      <w:r>
        <w:rPr>
          <w:rFonts w:ascii="Arial" w:eastAsia="Arial" w:hAnsi="Arial" w:cs="Arial"/>
        </w:rPr>
        <w:lastRenderedPageBreak/>
        <w:t>A. Edge/Fog/Cloud Architecture Explanation</w:t>
      </w:r>
    </w:p>
    <w:tbl>
      <w:tblPr>
        <w:tblStyle w:val="ac"/>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20D70C86" w14:textId="77777777">
        <w:trPr>
          <w:jc w:val="center"/>
        </w:trPr>
        <w:tc>
          <w:tcPr>
            <w:tcW w:w="10166" w:type="dxa"/>
            <w:tcMar>
              <w:top w:w="90" w:type="dxa"/>
              <w:bottom w:w="90" w:type="dxa"/>
            </w:tcMar>
            <w:vAlign w:val="center"/>
          </w:tcPr>
          <w:p w14:paraId="1C771E6D" w14:textId="77777777" w:rsidR="001C4CD7" w:rsidRDefault="00FB69A7">
            <w:pPr>
              <w:rPr>
                <w:rFonts w:ascii="Arial" w:eastAsia="Arial" w:hAnsi="Arial" w:cs="Arial"/>
              </w:rPr>
            </w:pPr>
            <w:r>
              <w:rPr>
                <w:rFonts w:ascii="Arial" w:eastAsia="Arial" w:hAnsi="Arial" w:cs="Arial"/>
              </w:rPr>
              <w:t>Edge (on/near the sensor device): runs the smallest, fastest logic – threshold checks and immediate local actuation – because network round-trips to the cloud are too slow for a millisecond-scale response and the device may briefly lose connectivity.</w:t>
            </w:r>
            <w:r>
              <w:rPr>
                <w:rFonts w:ascii="Arial" w:eastAsia="Arial" w:hAnsi="Arial" w:cs="Arial"/>
              </w:rPr>
              <w:br/>
            </w:r>
            <w:r>
              <w:rPr>
                <w:rFonts w:ascii="Arial" w:eastAsia="Arial" w:hAnsi="Arial" w:cs="Arial"/>
              </w:rPr>
              <w:t>Fog (local gateway/mini-server serving a cluster of sensors, e.g. per intersection or district): aggregates and filters raw readings from many edge devices, reducing the volume of data sent onward and enabling near-real-time coordination across a small area (e.g. syncing several traffic lights) without needing the cloud.</w:t>
            </w:r>
            <w:r>
              <w:rPr>
                <w:rFonts w:ascii="Arial" w:eastAsia="Arial" w:hAnsi="Arial" w:cs="Arial"/>
              </w:rPr>
              <w:br/>
            </w:r>
            <w:r>
              <w:rPr>
                <w:rFonts w:ascii="Arial" w:eastAsia="Arial" w:hAnsi="Arial" w:cs="Arial"/>
              </w:rPr>
              <w:t>Cloud: receives the filtered/aggregated data for storage, historical analytics, dashboards, and training of any predictive models, and pushes configuration/firmware changes back down through the fog layer to the edge devices.</w:t>
            </w:r>
          </w:p>
        </w:tc>
      </w:tr>
    </w:tbl>
    <w:p w14:paraId="75082ABF" w14:textId="77777777" w:rsidR="001C4CD7" w:rsidRDefault="00FB69A7">
      <w:pPr>
        <w:pStyle w:val="Heading3"/>
        <w:rPr>
          <w:rFonts w:ascii="Arial" w:eastAsia="Arial" w:hAnsi="Arial" w:cs="Arial"/>
        </w:rPr>
      </w:pPr>
      <w:r>
        <w:rPr>
          <w:rFonts w:ascii="Arial" w:eastAsia="Arial" w:hAnsi="Arial" w:cs="Arial"/>
        </w:rPr>
        <w:t>B. Capstone Extension or Direct Cloud Access Justification</w:t>
      </w:r>
    </w:p>
    <w:tbl>
      <w:tblPr>
        <w:tblStyle w:val="ad"/>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65F6DECE" w14:textId="77777777">
        <w:trPr>
          <w:jc w:val="center"/>
        </w:trPr>
        <w:tc>
          <w:tcPr>
            <w:tcW w:w="10166" w:type="dxa"/>
            <w:tcMar>
              <w:top w:w="90" w:type="dxa"/>
              <w:bottom w:w="90" w:type="dxa"/>
            </w:tcMar>
            <w:vAlign w:val="center"/>
          </w:tcPr>
          <w:p w14:paraId="555CD8D2" w14:textId="77777777" w:rsidR="001C4CD7" w:rsidRDefault="00FB69A7">
            <w:pPr>
              <w:rPr>
                <w:rFonts w:ascii="Arial" w:eastAsia="Arial" w:hAnsi="Arial" w:cs="Arial"/>
              </w:rPr>
            </w:pPr>
            <w:proofErr w:type="spellStart"/>
            <w:r>
              <w:rPr>
                <w:rFonts w:ascii="Arial" w:eastAsia="Arial" w:hAnsi="Arial" w:cs="Arial"/>
              </w:rPr>
              <w:t>SkillForge</w:t>
            </w:r>
            <w:proofErr w:type="spellEnd"/>
            <w:r>
              <w:rPr>
                <w:rFonts w:ascii="Arial" w:eastAsia="Arial" w:hAnsi="Arial" w:cs="Arial"/>
              </w:rPr>
              <w:t xml:space="preserve"> itself is not latency-critical like a smart-city sensor grid, so it uses direct cloud access for essentially everything – there is no edge/fog tier because there are no physical sensors requiring sub-second local decisions. The justification for direct cloud access is that every user interaction (viewing course material, submitting a quiz, reading a recommendation report) can tolerate normal internet round-trip latency (tens to a few hundred milliseconds, or even a few seconds for the recommendation-analyt</w:t>
            </w:r>
            <w:r>
              <w:rPr>
                <w:rFonts w:ascii="Arial" w:eastAsia="Arial" w:hAnsi="Arial" w:cs="Arial"/>
              </w:rPr>
              <w:t>ics computation), and centralizing all logic in the cloud keeps the architecture simple, consistent, and easy to scale/monitor across many classes and departments. The one plausible extension mirroring Case 3 would be a fog-style local cache in a classroom/lab with unreliable internet: recently accessed course material and a locally cached copy of a student's last recommendation report could be served from a lab gateway so learning is not blocked by connectivity, while quiz submissions still sync to the clo</w:t>
            </w:r>
            <w:r>
              <w:rPr>
                <w:rFonts w:ascii="Arial" w:eastAsia="Arial" w:hAnsi="Arial" w:cs="Arial"/>
              </w:rPr>
              <w:t>ud once connectivity returns.</w:t>
            </w:r>
          </w:p>
        </w:tc>
      </w:tr>
    </w:tbl>
    <w:p w14:paraId="4ACE81F7" w14:textId="77777777" w:rsidR="001C4CD7" w:rsidRDefault="00FB69A7">
      <w:pPr>
        <w:pStyle w:val="Heading1"/>
        <w:rPr>
          <w:rFonts w:ascii="Arial" w:eastAsia="Arial" w:hAnsi="Arial" w:cs="Arial"/>
        </w:rPr>
      </w:pPr>
      <w:r>
        <w:rPr>
          <w:rFonts w:ascii="Arial" w:eastAsia="Arial" w:hAnsi="Arial" w:cs="Arial"/>
        </w:rPr>
        <w:t>Final Capstone Cloud Access Architecture</w:t>
      </w:r>
    </w:p>
    <w:p w14:paraId="6F5CC79B"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Show Browser/Mobile Client.</w:t>
      </w:r>
    </w:p>
    <w:p w14:paraId="55626E35"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Show hosted frontend or app access path.</w:t>
      </w:r>
    </w:p>
    <w:p w14:paraId="3C2ACC7C"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Show REST API endpoint and authentication check.</w:t>
      </w:r>
    </w:p>
    <w:p w14:paraId="50F373BB"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Show backend/serverless logic.</w:t>
      </w:r>
    </w:p>
    <w:p w14:paraId="26ABC01A"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Show database, object/blob storage, logs and monitoring.</w:t>
      </w:r>
    </w:p>
    <w:p w14:paraId="25F55FE4"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Label the arrows: request, response, upload, event, notification or monitoring signal.</w:t>
      </w:r>
    </w:p>
    <w:p w14:paraId="516C7B61" w14:textId="77777777" w:rsidR="001C4CD7" w:rsidRDefault="00FB69A7">
      <w:pPr>
        <w:pStyle w:val="Heading3"/>
        <w:rPr>
          <w:rFonts w:ascii="Arial" w:eastAsia="Arial" w:hAnsi="Arial" w:cs="Arial"/>
        </w:rPr>
      </w:pPr>
      <w:r>
        <w:rPr>
          <w:rFonts w:ascii="Arial" w:eastAsia="Arial" w:hAnsi="Arial" w:cs="Arial"/>
        </w:rPr>
        <w:lastRenderedPageBreak/>
        <w:t>Final Diagram and Explanation</w:t>
      </w:r>
    </w:p>
    <w:tbl>
      <w:tblPr>
        <w:tblStyle w:val="ae"/>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705718AF" w14:textId="77777777">
        <w:trPr>
          <w:jc w:val="center"/>
        </w:trPr>
        <w:tc>
          <w:tcPr>
            <w:tcW w:w="10166" w:type="dxa"/>
            <w:tcMar>
              <w:top w:w="90" w:type="dxa"/>
              <w:bottom w:w="90" w:type="dxa"/>
            </w:tcMar>
            <w:vAlign w:val="center"/>
          </w:tcPr>
          <w:p w14:paraId="49C61201" w14:textId="77777777" w:rsidR="001C4CD7" w:rsidRDefault="00FB69A7">
            <w:pPr>
              <w:rPr>
                <w:rFonts w:ascii="Arial" w:eastAsia="Arial" w:hAnsi="Arial" w:cs="Arial"/>
              </w:rPr>
            </w:pPr>
            <w:r>
              <w:rPr>
                <w:rFonts w:ascii="Arial" w:eastAsia="Arial" w:hAnsi="Arial" w:cs="Arial"/>
                <w:noProof/>
              </w:rPr>
              <w:drawing>
                <wp:inline distT="0" distB="0" distL="114300" distR="114300" wp14:anchorId="3C9ABC61" wp14:editId="1739BC0B">
                  <wp:extent cx="5760720" cy="339579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60720" cy="3395793"/>
                          </a:xfrm>
                          <a:prstGeom prst="rect">
                            <a:avLst/>
                          </a:prstGeom>
                          <a:ln/>
                        </pic:spPr>
                      </pic:pic>
                    </a:graphicData>
                  </a:graphic>
                </wp:inline>
              </w:drawing>
            </w:r>
          </w:p>
          <w:p w14:paraId="4EAD7B11" w14:textId="77777777" w:rsidR="001C4CD7" w:rsidRDefault="00FB69A7">
            <w:pPr>
              <w:rPr>
                <w:rFonts w:ascii="Arial" w:eastAsia="Arial" w:hAnsi="Arial" w:cs="Arial"/>
              </w:rPr>
            </w:pPr>
            <w:r>
              <w:rPr>
                <w:rFonts w:ascii="Arial Unicode MS" w:eastAsia="Arial Unicode MS" w:hAnsi="Arial Unicode MS" w:cs="Arial Unicode MS"/>
              </w:rPr>
              <w:t>Browser/Mobile Client → Hosted Frontend: the student/faculty client loads the static app (HTML/JS or app bundle) from a CDN-backed hosted frontend, so the UI itself is served with low latency and no backend compute cost.</w:t>
            </w:r>
            <w:r>
              <w:rPr>
                <w:rFonts w:ascii="Arial Unicode MS" w:eastAsia="Arial Unicode MS" w:hAnsi="Arial Unicode MS" w:cs="Arial Unicode MS"/>
              </w:rPr>
              <w:br/>
              <w:t>Hosted Frontend → REST API Gateway: once loaded, the app calls the REST API over HTTPS; the gateway performs the auth check (validating the student/faculty token) before any request reaches business logic.</w:t>
            </w:r>
            <w:r>
              <w:rPr>
                <w:rFonts w:ascii="Arial Unicode MS" w:eastAsia="Arial Unicode MS" w:hAnsi="Arial Unicode MS" w:cs="Arial Unicode MS"/>
              </w:rPr>
              <w:br/>
            </w:r>
            <w:r>
              <w:rPr>
                <w:rFonts w:ascii="Arial Unicode MS" w:eastAsia="Arial Unicode MS" w:hAnsi="Arial Unicode MS" w:cs="Arial Unicode MS"/>
              </w:rPr>
              <w:t>REST API Gateway → Backend/Serverless Logic: validated requests are routed to the CO-Attainment Service or, after a quiz is scored, to the serverless Recommendation Engine that implements the recommendation-analytics logic.</w:t>
            </w:r>
            <w:r>
              <w:rPr>
                <w:rFonts w:ascii="Arial Unicode MS" w:eastAsia="Arial Unicode MS" w:hAnsi="Arial Unicode MS" w:cs="Arial Unicode MS"/>
              </w:rPr>
              <w:br/>
            </w:r>
            <w:r>
              <w:rPr>
                <w:rFonts w:ascii="Arial Unicode MS" w:eastAsia="Arial Unicode MS" w:hAnsi="Arial Unicode MS" w:cs="Arial Unicode MS"/>
              </w:rPr>
              <w:t>Backend → Database &amp; Object/Blob Storage: structured data (student profiles, quiz scores, CO attainment records) is read/written to the managed database; course material and generated recommendation reports are uploaded to object storage, and a completed report upload can trigger a downstream notification event to the student (notification arrow).</w:t>
            </w:r>
            <w:r>
              <w:rPr>
                <w:rFonts w:ascii="Arial Unicode MS" w:eastAsia="Arial Unicode MS" w:hAnsi="Arial Unicode MS" w:cs="Arial Unicode MS"/>
              </w:rPr>
              <w:br/>
            </w:r>
            <w:r>
              <w:rPr>
                <w:rFonts w:ascii="Arial Unicode MS" w:eastAsia="Arial Unicode MS" w:hAnsi="Arial Unicode MS" w:cs="Arial Unicode MS"/>
              </w:rPr>
              <w:t>Backend → Logs &amp; Monitoring: every layer emits a monitoring signal so failures and latency spikes (e.g. a stuck attainment calculation) are observable without accessing student data directly.</w:t>
            </w:r>
            <w:r>
              <w:rPr>
                <w:rFonts w:ascii="Arial Unicode MS" w:eastAsia="Arial Unicode MS" w:hAnsi="Arial Unicode MS" w:cs="Arial Unicode MS"/>
              </w:rPr>
              <w:br/>
              <w:t>This single diagram satisfies the checklist: client, hosted frontend, authenticated REST endpoint, backend/serverless logic, database + object storage, logs/monitoring, and labeled arrows for request, response, upload, event/notification and monitoring signal.</w:t>
            </w:r>
          </w:p>
        </w:tc>
      </w:tr>
    </w:tbl>
    <w:p w14:paraId="585AE5C9" w14:textId="77777777" w:rsidR="001C4CD7" w:rsidRDefault="00FB69A7">
      <w:pPr>
        <w:pStyle w:val="Heading1"/>
        <w:rPr>
          <w:rFonts w:ascii="Arial" w:eastAsia="Arial" w:hAnsi="Arial" w:cs="Arial"/>
        </w:rPr>
      </w:pPr>
      <w:r>
        <w:rPr>
          <w:rFonts w:ascii="Arial" w:eastAsia="Arial" w:hAnsi="Arial" w:cs="Arial"/>
        </w:rPr>
        <w:t>Submission Checklist</w:t>
      </w:r>
    </w:p>
    <w:p w14:paraId="322E45BC"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Template completed in DOCX format.</w:t>
      </w:r>
    </w:p>
    <w:p w14:paraId="3435FE7C"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Diagrams pasted clearly in the document.</w:t>
      </w:r>
    </w:p>
    <w:p w14:paraId="1670B5F0"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GitHub repository contains DOCX/PDF, diagrams and README.</w:t>
      </w:r>
    </w:p>
    <w:p w14:paraId="7D007853"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Google Classroom submission contains GitHub link.</w:t>
      </w:r>
    </w:p>
    <w:p w14:paraId="1614F494" w14:textId="77777777" w:rsidR="001C4CD7" w:rsidRDefault="00FB69A7">
      <w:pPr>
        <w:ind w:left="216"/>
        <w:rPr>
          <w:rFonts w:ascii="Arial" w:eastAsia="Arial" w:hAnsi="Arial" w:cs="Arial"/>
        </w:rPr>
      </w:pPr>
      <w:r>
        <w:rPr>
          <w:rFonts w:ascii="Arial" w:eastAsia="Arial" w:hAnsi="Arial" w:cs="Arial"/>
          <w:color w:val="1565C0"/>
          <w:sz w:val="22"/>
          <w:szCs w:val="22"/>
        </w:rPr>
        <w:t>☐</w:t>
      </w:r>
      <w:r>
        <w:rPr>
          <w:rFonts w:ascii="Arial" w:eastAsia="Arial" w:hAnsi="Arial" w:cs="Arial"/>
          <w:color w:val="1565C0"/>
          <w:sz w:val="22"/>
          <w:szCs w:val="22"/>
        </w:rPr>
        <w:t xml:space="preserve"> </w:t>
      </w:r>
      <w:r>
        <w:rPr>
          <w:rFonts w:ascii="Arial" w:eastAsia="Arial" w:hAnsi="Arial" w:cs="Arial"/>
          <w:sz w:val="20"/>
          <w:szCs w:val="20"/>
        </w:rPr>
        <w:t>Sensitive credentials are not visible anywhere.</w:t>
      </w:r>
    </w:p>
    <w:p w14:paraId="3CF77EF3" w14:textId="77777777" w:rsidR="001C4CD7" w:rsidRDefault="00FB69A7">
      <w:pPr>
        <w:pStyle w:val="Heading1"/>
        <w:rPr>
          <w:rFonts w:ascii="Arial" w:eastAsia="Arial" w:hAnsi="Arial" w:cs="Arial"/>
        </w:rPr>
      </w:pPr>
      <w:r>
        <w:rPr>
          <w:rFonts w:ascii="Arial" w:eastAsia="Arial" w:hAnsi="Arial" w:cs="Arial"/>
        </w:rPr>
        <w:lastRenderedPageBreak/>
        <w:t>Student Assurance</w:t>
      </w:r>
    </w:p>
    <w:tbl>
      <w:tblPr>
        <w:tblStyle w:val="af"/>
        <w:tblW w:w="10166" w:type="dxa"/>
        <w:jc w:val="center"/>
        <w:tblInd w:w="0" w:type="dxa"/>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ayout w:type="fixed"/>
        <w:tblLook w:val="0400" w:firstRow="0" w:lastRow="0" w:firstColumn="0" w:lastColumn="0" w:noHBand="0" w:noVBand="1"/>
      </w:tblPr>
      <w:tblGrid>
        <w:gridCol w:w="10166"/>
      </w:tblGrid>
      <w:tr w:rsidR="001C4CD7" w14:paraId="61B231BC" w14:textId="77777777">
        <w:trPr>
          <w:jc w:val="center"/>
        </w:trPr>
        <w:tc>
          <w:tcPr>
            <w:tcW w:w="10166" w:type="dxa"/>
            <w:shd w:val="clear" w:color="auto" w:fill="EAF4FF"/>
            <w:tcMar>
              <w:top w:w="90" w:type="dxa"/>
              <w:bottom w:w="90" w:type="dxa"/>
            </w:tcMar>
            <w:vAlign w:val="center"/>
          </w:tcPr>
          <w:p w14:paraId="4CE5EFF9" w14:textId="77777777" w:rsidR="00A74541" w:rsidRDefault="00FB69A7">
            <w:pPr>
              <w:rPr>
                <w:rFonts w:ascii="Arial" w:eastAsia="Arial" w:hAnsi="Arial" w:cs="Arial"/>
                <w:b/>
                <w:bCs/>
                <w:color w:val="0B2748"/>
                <w:sz w:val="19"/>
                <w:szCs w:val="19"/>
              </w:rPr>
            </w:pPr>
            <w:r>
              <w:rPr>
                <w:rFonts w:ascii="Arial" w:eastAsia="Arial" w:hAnsi="Arial" w:cs="Arial"/>
                <w:b/>
                <w:bCs/>
                <w:color w:val="0B2748"/>
                <w:sz w:val="19"/>
                <w:szCs w:val="19"/>
              </w:rPr>
              <w:t>Declaration</w:t>
            </w:r>
            <w:r>
              <w:rPr>
                <w:rFonts w:ascii="Arial" w:eastAsia="Arial" w:hAnsi="Arial" w:cs="Arial"/>
                <w:b/>
                <w:bCs/>
                <w:color w:val="0B2748"/>
                <w:sz w:val="19"/>
                <w:szCs w:val="19"/>
              </w:rPr>
              <w:br/>
              <w:t>I confirm that this case-study answer, cloud access design, diagrams and capstone extensions were prepared individually by me for the stated capstone title.</w:t>
            </w:r>
            <w:r>
              <w:rPr>
                <w:rFonts w:ascii="Arial" w:eastAsia="Arial" w:hAnsi="Arial" w:cs="Arial"/>
                <w:b/>
                <w:bCs/>
                <w:color w:val="0B2748"/>
                <w:sz w:val="19"/>
                <w:szCs w:val="19"/>
              </w:rPr>
              <w:br/>
            </w:r>
            <w:r>
              <w:rPr>
                <w:rFonts w:ascii="Arial" w:eastAsia="Arial" w:hAnsi="Arial" w:cs="Arial"/>
                <w:b/>
                <w:bCs/>
                <w:color w:val="0B2748"/>
                <w:sz w:val="19"/>
                <w:szCs w:val="19"/>
              </w:rPr>
              <w:br/>
              <w:t xml:space="preserve">Student Signature: </w:t>
            </w:r>
            <w:r w:rsidR="00A74541">
              <w:rPr>
                <w:rFonts w:ascii="Arial" w:eastAsia="Arial" w:hAnsi="Arial" w:cs="Arial"/>
                <w:b/>
                <w:bCs/>
                <w:color w:val="0B2748"/>
                <w:sz w:val="19"/>
                <w:szCs w:val="19"/>
              </w:rPr>
              <w:t xml:space="preserve">MUKILAN.R  </w:t>
            </w:r>
          </w:p>
          <w:p w14:paraId="7DCDF80E" w14:textId="2464DFAF" w:rsidR="001C4CD7" w:rsidRDefault="00FB69A7">
            <w:pPr>
              <w:rPr>
                <w:rFonts w:ascii="Arial" w:eastAsia="Arial" w:hAnsi="Arial" w:cs="Arial"/>
              </w:rPr>
            </w:pPr>
            <w:r>
              <w:rPr>
                <w:rFonts w:ascii="Arial" w:eastAsia="Arial" w:hAnsi="Arial" w:cs="Arial"/>
                <w:b/>
                <w:bCs/>
                <w:color w:val="0B2748"/>
                <w:sz w:val="19"/>
                <w:szCs w:val="19"/>
              </w:rPr>
              <w:t xml:space="preserve"> Date: ____________________</w:t>
            </w:r>
          </w:p>
        </w:tc>
      </w:tr>
    </w:tbl>
    <w:p w14:paraId="0C2AF4DB" w14:textId="77777777" w:rsidR="001C4CD7" w:rsidRDefault="001C4CD7">
      <w:pPr>
        <w:widowControl w:val="0"/>
        <w:pBdr>
          <w:top w:val="nil"/>
          <w:left w:val="nil"/>
          <w:bottom w:val="nil"/>
          <w:right w:val="nil"/>
          <w:between w:val="nil"/>
        </w:pBdr>
        <w:spacing w:after="0"/>
        <w:rPr>
          <w:rFonts w:ascii="Arial" w:eastAsia="Arial" w:hAnsi="Arial" w:cs="Arial"/>
        </w:rPr>
      </w:pPr>
    </w:p>
    <w:sectPr w:rsidR="001C4CD7">
      <w:pgSz w:w="12240" w:h="15840"/>
      <w:pgMar w:top="936" w:right="1037" w:bottom="936" w:left="10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2ECED16-0FEF-499E-9D47-B87D29B97561}"/>
  </w:font>
  <w:font w:name="Play">
    <w:charset w:val="00"/>
    <w:family w:val="auto"/>
    <w:pitch w:val="default"/>
    <w:embedBold r:id="rId2" w:fontKey="{DD0FDEF0-2C23-46B6-89EC-4256B50B7E31}"/>
  </w:font>
  <w:font w:name="Calibri">
    <w:panose1 w:val="020F0502020204030204"/>
    <w:charset w:val="00"/>
    <w:family w:val="swiss"/>
    <w:pitch w:val="variable"/>
    <w:sig w:usb0="E4002EFF" w:usb1="C200247B" w:usb2="00000009" w:usb3="00000000" w:csb0="000001FF" w:csb1="00000000"/>
    <w:embedRegular r:id="rId3" w:fontKey="{15E02044-D39E-48D6-8D24-4F4CD8F0E233}"/>
    <w:embedItalic r:id="rId4" w:fontKey="{55EF83A9-41A3-4BF6-BA1A-05237FD4C138}"/>
    <w:embedBoldItalic r:id="rId5" w:fontKey="{14664703-D2BF-40B3-A14E-996C115C328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2D15DE72-DA0A-4B09-A9AC-69B3E19FC9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CD7"/>
    <w:rsid w:val="001C4CD7"/>
    <w:rsid w:val="003071F8"/>
    <w:rsid w:val="00A66B40"/>
    <w:rsid w:val="00A74541"/>
    <w:rsid w:val="00F81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ED4DE"/>
  <w15:docId w15:val="{8FC313ED-7323-498E-ADE3-CCB5FBA1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IN"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60" w:after="80"/>
      <w:outlineLvl w:val="0"/>
    </w:pPr>
    <w:rPr>
      <w:rFonts w:ascii="Play" w:eastAsia="Play" w:hAnsi="Play" w:cs="Play"/>
      <w:b/>
      <w:bCs/>
      <w:color w:val="0B2748"/>
      <w:sz w:val="30"/>
      <w:szCs w:val="3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b/>
      <w:bCs/>
      <w:color w:val="1565C0"/>
      <w:sz w:val="25"/>
      <w:szCs w:val="25"/>
    </w:rPr>
  </w:style>
  <w:style w:type="paragraph" w:styleId="Heading3">
    <w:name w:val="heading 3"/>
    <w:basedOn w:val="Normal"/>
    <w:next w:val="Normal"/>
    <w:uiPriority w:val="9"/>
    <w:unhideWhenUsed/>
    <w:qFormat/>
    <w:pPr>
      <w:keepNext/>
      <w:keepLines/>
      <w:spacing w:before="160" w:after="80"/>
      <w:outlineLvl w:val="2"/>
    </w:pPr>
    <w:rPr>
      <w:rFonts w:ascii="Play" w:eastAsia="Play" w:hAnsi="Play" w:cs="Play"/>
      <w:b/>
      <w:bCs/>
      <w:color w:val="0B2748"/>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2023</Words>
  <Characters>11537</Characters>
  <Application>Microsoft Office Word</Application>
  <DocSecurity>0</DocSecurity>
  <Lines>96</Lines>
  <Paragraphs>27</Paragraphs>
  <ScaleCrop>false</ScaleCrop>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MUKIL</dc:creator>
  <cp:lastModifiedBy>Mukilan R</cp:lastModifiedBy>
  <cp:revision>2</cp:revision>
  <dcterms:created xsi:type="dcterms:W3CDTF">2026-08-14T02:57:00Z</dcterms:created>
  <dcterms:modified xsi:type="dcterms:W3CDTF">2026-08-14T02:57:00Z</dcterms:modified>
</cp:coreProperties>
</file>