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06060"/>
          <w:sz w:val="36"/>
        </w:rPr>
        <w:t>DUOTHAN 6.0</w:t>
      </w:r>
    </w:p>
    <w:p>
      <w:pPr>
        <w:jc w:val="center"/>
      </w:pPr>
      <w:r>
        <w:rPr>
          <w:b/>
          <w:color w:val="C81E3A"/>
          <w:sz w:val="60"/>
        </w:rPr>
        <w:t>Phase 03 · FORTIFY</w:t>
      </w:r>
    </w:p>
    <w:p>
      <w:pPr>
        <w:jc w:val="center"/>
      </w:pPr>
      <w:r>
        <w:rPr>
          <w:color w:val="1A1A1A"/>
          <w:sz w:val="32"/>
        </w:rPr>
        <w:t>Duothan Banking Platform — Deployment &amp; Operations Submission</w:t>
      </w:r>
    </w:p>
    <w:p/>
    <w:p>
      <w:pPr>
        <w:jc w:val="center"/>
      </w:pPr>
      <w:r>
        <w:rPr>
          <w:i/>
          <w:color w:val="606060"/>
          <w:sz w:val="22"/>
        </w:rPr>
        <w:t>Build the platform. Prove it works. Defend the system you designed, live in production.</w:t>
      </w:r>
    </w:p>
    <w:p/>
    <w:p/>
    <w:p/>
    <w:p/>
    <w:p/>
    <w:p/>
    <w:tbl>
      <w:tblPr>
        <w:tblW w:type="auto" w:w="0"/>
        <w:jc w:val="center"/>
        <w:tblLayout w:type="autofit"/>
        <w:tblLook w:firstColumn="1" w:firstRow="1" w:lastColumn="0" w:lastRow="0" w:noHBand="0" w:noVBand="1" w:val="04A0"/>
      </w:tblPr>
      <w:tblGrid>
        <w:gridCol w:w="4320"/>
        <w:gridCol w:w="4320"/>
      </w:tblGrid>
      <w:tr>
        <w:tc>
          <w:tcPr>
            <w:tcW w:type="dxa" w:w="4320"/>
          </w:tcPr>
          <w:p>
            <w:r/>
            <w:r>
              <w:rPr>
                <w:b/>
                <w:sz w:val="21"/>
              </w:rPr>
              <w:t>Team / Project</w:t>
            </w:r>
          </w:p>
        </w:tc>
        <w:tc>
          <w:tcPr>
            <w:tcW w:type="dxa" w:w="4320"/>
          </w:tcPr>
          <w:p>
            <w:r/>
            <w:r>
              <w:rPr>
                <w:sz w:val="21"/>
              </w:rPr>
              <w:t>Duothan Banking Platform</w:t>
            </w:r>
          </w:p>
        </w:tc>
      </w:tr>
      <w:tr>
        <w:tc>
          <w:tcPr>
            <w:tcW w:type="dxa" w:w="4320"/>
          </w:tcPr>
          <w:p>
            <w:r/>
            <w:r>
              <w:rPr>
                <w:b/>
                <w:sz w:val="21"/>
              </w:rPr>
              <w:t>GitHub Repository</w:t>
            </w:r>
          </w:p>
        </w:tc>
        <w:tc>
          <w:tcPr>
            <w:tcW w:type="dxa" w:w="4320"/>
          </w:tcPr>
          <w:p>
            <w:r/>
            <w:r>
              <w:rPr>
                <w:sz w:val="21"/>
              </w:rPr>
              <w:t>[ADD PUBLIC REPO LINK]</w:t>
            </w:r>
          </w:p>
        </w:tc>
      </w:tr>
      <w:tr>
        <w:tc>
          <w:tcPr>
            <w:tcW w:type="dxa" w:w="4320"/>
          </w:tcPr>
          <w:p>
            <w:r/>
            <w:r>
              <w:rPr>
                <w:b/>
                <w:sz w:val="21"/>
              </w:rPr>
              <w:t>Live Application URL</w:t>
            </w:r>
          </w:p>
        </w:tc>
        <w:tc>
          <w:tcPr>
            <w:tcW w:type="dxa" w:w="4320"/>
          </w:tcPr>
          <w:p>
            <w:r/>
            <w:r>
              <w:rPr>
                <w:sz w:val="21"/>
              </w:rPr>
              <w:t>[ADD LIVE URL]</w:t>
            </w:r>
          </w:p>
        </w:tc>
      </w:tr>
      <w:tr>
        <w:tc>
          <w:tcPr>
            <w:tcW w:type="dxa" w:w="4320"/>
          </w:tcPr>
          <w:p>
            <w:r/>
            <w:r>
              <w:rPr>
                <w:b/>
                <w:sz w:val="21"/>
              </w:rPr>
              <w:t>Submission Date</w:t>
            </w:r>
          </w:p>
        </w:tc>
        <w:tc>
          <w:tcPr>
            <w:tcW w:type="dxa" w:w="4320"/>
          </w:tcPr>
          <w:p>
            <w:r/>
            <w:r>
              <w:rPr>
                <w:sz w:val="21"/>
              </w:rPr>
              <w:t>[ADD DATE]</w:t>
            </w:r>
          </w:p>
        </w:tc>
      </w:tr>
      <w:tr>
        <w:tc>
          <w:tcPr>
            <w:tcW w:type="dxa" w:w="4320"/>
          </w:tcPr>
          <w:p>
            <w:r/>
            <w:r>
              <w:rPr>
                <w:b/>
                <w:sz w:val="21"/>
              </w:rPr>
              <w:t>Document</w:t>
            </w:r>
          </w:p>
        </w:tc>
        <w:tc>
          <w:tcPr>
            <w:tcW w:type="dxa" w:w="4320"/>
          </w:tcPr>
          <w:p>
            <w:r/>
            <w:r>
              <w:rPr>
                <w:sz w:val="21"/>
              </w:rPr>
              <w:t>Phase 03 deployment &amp; operations report</w:t>
            </w:r>
          </w:p>
        </w:tc>
      </w:tr>
    </w:tbl>
    <w:p>
      <w:r>
        <w:br w:type="page"/>
      </w:r>
    </w:p>
    <w:p>
      <w:pPr>
        <w:spacing w:before="360" w:after="120"/>
        <w:pBdr>
          <w:bottom w:val="single" w:sz="8" w:space="4" w:color="C81E3A"/>
        </w:pBdr>
      </w:pPr>
      <w:r>
        <w:rPr>
          <w:b/>
          <w:color w:val="C81E3A"/>
          <w:sz w:val="36"/>
        </w:rPr>
        <w:t>01 · Context &amp; Mission</w:t>
      </w:r>
    </w:p>
    <w:p>
      <w:pPr>
        <w:spacing w:after="160"/>
      </w:pPr>
      <w:r>
        <w:rPr>
          <w:b w:val="0"/>
          <w:i w:val="0"/>
          <w:sz w:val="22"/>
        </w:rPr>
        <w:t>Phase 02 (REBUILD) delivered a working banking application — the architecture, the services, and the money-movement logic all held up under review. Phase 03 (FORTIFY) asks a different question: does the platform survive outside a repository? Can it be deployed, released, scaled, observed, and defended the way a real production banking service would need to be?</w:t>
      </w:r>
    </w:p>
    <w:p>
      <w:pPr>
        <w:spacing w:after="160"/>
      </w:pPr>
      <w:r>
        <w:rPr>
          <w:b w:val="0"/>
          <w:i w:val="0"/>
          <w:sz w:val="22"/>
        </w:rPr>
        <w:t>This document explains, in plain terms, what was implemented to take the Duothan Banking Platform from "runs on my machine" to "runs in production, releases itself, and can prove it is healthy" — mapped directly against the four Phase 03 evaluation criteria: deployment &amp; environment consistency, build &amp; release automation, infrastructure &amp; configuration management, and operational visibility, alongside the security and reliability work that supports all of them.</w:t>
      </w:r>
    </w:p>
    <w:p>
      <w:pPr>
        <w:spacing w:before="360" w:after="120"/>
        <w:pBdr>
          <w:bottom w:val="single" w:sz="8" w:space="4" w:color="C81E3A"/>
        </w:pBdr>
      </w:pPr>
      <w:r>
        <w:rPr>
          <w:b/>
          <w:color w:val="C81E3A"/>
          <w:sz w:val="36"/>
        </w:rPr>
        <w:t>02 · System at a Glance</w:t>
      </w:r>
    </w:p>
    <w:p>
      <w:pPr>
        <w:spacing w:after="160"/>
      </w:pPr>
      <w:r>
        <w:rPr>
          <w:b w:val="0"/>
          <w:i w:val="0"/>
          <w:sz w:val="22"/>
        </w:rPr>
        <w:t>The Duothan Banking Platform is a full-stack digital banking prototype: a React single-page application (client) and an Express REST API (server), backed by MongoDB, sharing a single npm workspace monorepo. The two halves are built and deployed as independent, independently versioned containers — the client behind nginx, the API as a standalone Node service — which is what the brief's "independent services" requirement calls for at this system's scale (a single coherent banking domain does not need a microservices split to be independently deployable).</w:t>
      </w:r>
    </w:p>
    <w:p>
      <w:pPr>
        <w:spacing w:before="120" w:after="40"/>
        <w:jc w:val="center"/>
      </w:pPr>
      <w:r>
        <w:rPr>
          <w:i/>
          <w:color w:val="606060"/>
          <w:sz w:val="20"/>
        </w:rPr>
        <w:t>[ INSERT SCREENSHOT: High-level architecture diagram (client, API, MongoDB, Redis, CI/CD)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High-level architecture diagram (client, API, MongoDB, Redis, CI/CD)</w:t>
      </w:r>
    </w:p>
    <w:p/>
    <w:p>
      <w:pPr>
        <w:spacing w:before="240" w:after="80"/>
      </w:pPr>
      <w:r>
        <w:rPr>
          <w:b/>
          <w:color w:val="1A1A1A"/>
          <w:sz w:val="26"/>
        </w:rPr>
        <w:t>Production request path</w:t>
      </w:r>
    </w:p>
    <w:p>
      <w:pPr>
        <w:pStyle w:val="ListBullet"/>
        <w:spacing w:after="60"/>
      </w:pPr>
      <w:r>
        <w:t>Browser and web/mobile clients reach the React SPA, served from an nginx container (or Netlify).</w:t>
      </w:r>
    </w:p>
    <w:p>
      <w:pPr>
        <w:pStyle w:val="ListBullet"/>
        <w:spacing w:after="60"/>
      </w:pPr>
      <w:r>
        <w:t>The SPA calls the Express API over HTTPS, pinned to a single allowed origin via CORS.</w:t>
      </w:r>
    </w:p>
    <w:p>
      <w:pPr>
        <w:pStyle w:val="ListBullet"/>
        <w:spacing w:after="60"/>
      </w:pPr>
      <w:r>
        <w:t>The API talks to MongoDB Atlas for all persistent data, using transactions for every money-moving write.</w:t>
      </w:r>
    </w:p>
    <w:p>
      <w:pPr>
        <w:pStyle w:val="ListBullet"/>
        <w:spacing w:after="60"/>
      </w:pPr>
      <w:r>
        <w:t>Redis backs rate limiting, so limits hold correctly once the API is scaled to more than one instance.</w:t>
      </w:r>
    </w:p>
    <w:p>
      <w:pPr>
        <w:pStyle w:val="ListBullet"/>
        <w:spacing w:after="60"/>
      </w:pPr>
      <w:r>
        <w:t>An SMTP provider delivers verification codes, password resets, and notifications.</w:t>
      </w:r>
    </w:p>
    <w:p>
      <w:pPr>
        <w:spacing w:before="360" w:after="120"/>
        <w:pBdr>
          <w:bottom w:val="single" w:sz="8" w:space="4" w:color="C81E3A"/>
        </w:pBdr>
      </w:pPr>
      <w:r>
        <w:rPr>
          <w:b/>
          <w:color w:val="C81E3A"/>
          <w:sz w:val="36"/>
        </w:rPr>
        <w:t>03 · Service Deployment &amp; Environment Consistency</w:t>
      </w:r>
    </w:p>
    <w:p>
      <w:pPr>
        <w:spacing w:after="160"/>
      </w:pPr>
      <w:r>
        <w:rPr>
          <w:b w:val="0"/>
          <w:i w:val="0"/>
          <w:sz w:val="22"/>
        </w:rPr>
        <w:t>Both services are containerized with multi-stage Dockerfiles so that the exact same image runs locally, in CI, and in production — eliminating "it worked on my machine" drift.</w:t>
      </w:r>
    </w:p>
    <w:p>
      <w:pPr>
        <w:pStyle w:val="ListBullet"/>
        <w:spacing w:after="60"/>
      </w:pPr>
      <w:r>
        <w:rPr>
          <w:b/>
        </w:rPr>
        <w:t xml:space="preserve">server/Dockerfile — </w:t>
      </w:r>
      <w:r>
        <w:t>Node.js 20 (Alpine), non-root container user, and a container-level health check.</w:t>
      </w:r>
    </w:p>
    <w:p>
      <w:pPr>
        <w:pStyle w:val="ListBullet"/>
        <w:spacing w:after="60"/>
      </w:pPr>
      <w:r>
        <w:rPr>
          <w:b/>
        </w:rPr>
        <w:t xml:space="preserve">client/Dockerfile — </w:t>
      </w:r>
      <w:r>
        <w:t>Multi-stage build (Node build stage → nginx runtime), SPA fallback routing, and the same security headers used in the Netlify config.</w:t>
      </w:r>
    </w:p>
    <w:p>
      <w:pPr>
        <w:pStyle w:val="ListBullet"/>
        <w:spacing w:after="60"/>
      </w:pPr>
      <w:r>
        <w:rPr>
          <w:b/>
        </w:rPr>
        <w:t xml:space="preserve">docker-compose.yml — </w:t>
      </w:r>
      <w:r>
        <w:t>Runs the API, the client, MongoDB as a single-node replica set (required for multi-document transactions), and Redis together, so the full stack starts with one command.</w:t>
      </w:r>
    </w:p>
    <w:p>
      <w:pPr>
        <w:pStyle w:val="ListBullet"/>
        <w:spacing w:after="60"/>
      </w:pPr>
      <w:r>
        <w:rPr>
          <w:b/>
        </w:rPr>
        <w:t xml:space="preserve">.dockerignore (client &amp; server) — </w:t>
      </w:r>
      <w:r>
        <w:t>Keep build context small and avoid leaking local secrets or node_modules into images.</w:t>
      </w:r>
    </w:p>
    <w:p>
      <w:pPr>
        <w:spacing w:before="120" w:after="40"/>
        <w:jc w:val="center"/>
      </w:pPr>
      <w:r>
        <w:rPr>
          <w:i/>
          <w:color w:val="606060"/>
          <w:sz w:val="20"/>
        </w:rPr>
        <w:t>[ INSERT SCREENSHOT: docker compose up — all services healthy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docker compose up — all services healthy</w:t>
      </w:r>
    </w:p>
    <w:p/>
    <w:p>
      <w:pPr>
        <w:spacing w:before="120" w:after="40"/>
        <w:jc w:val="center"/>
      </w:pPr>
      <w:r>
        <w:rPr>
          <w:i/>
          <w:color w:val="606060"/>
          <w:sz w:val="20"/>
        </w:rPr>
        <w:t>[ INSERT SCREENSHOT: Deployed application home / login screen (live URL)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Deployed application home / login screen (live URL)</w:t>
      </w:r>
    </w:p>
    <w:p/>
    <w:p>
      <w:pPr>
        <w:spacing w:before="240" w:after="80"/>
      </w:pPr>
      <w:r>
        <w:rPr>
          <w:b/>
          <w:color w:val="1A1A1A"/>
          <w:sz w:val="26"/>
        </w:rPr>
        <w:t>Configuration, not code, changes between environments</w:t>
      </w:r>
    </w:p>
    <w:p>
      <w:pPr>
        <w:spacing w:after="160"/>
      </w:pPr>
      <w:r>
        <w:rPr>
          <w:b w:val="0"/>
          <w:i w:val="0"/>
          <w:sz w:val="22"/>
        </w:rPr>
        <w:t>Every environment-specific value (database URI, secrets, allowed origin, SMTP credentials, log level, Redis URL) is supplied through environment variables, validated at boot by a strict schema (config/env.js). Production hard-fails on placeholder secrets, duplicate secrets, a non-HTTPS client URL, or a missing database URI — so a misconfigured deploy fails loudly at startup instead of quietly in production.</w:t>
      </w:r>
    </w:p>
    <w:p>
      <w:pPr>
        <w:spacing w:before="360" w:after="120"/>
        <w:pBdr>
          <w:bottom w:val="single" w:sz="8" w:space="4" w:color="C81E3A"/>
        </w:pBdr>
      </w:pPr>
      <w:r>
        <w:rPr>
          <w:b/>
          <w:color w:val="C81E3A"/>
          <w:sz w:val="36"/>
        </w:rPr>
        <w:t>04 · Build &amp; Release Automation</w:t>
      </w:r>
    </w:p>
    <w:p>
      <w:pPr>
        <w:spacing w:after="160"/>
      </w:pPr>
      <w:r>
        <w:rPr>
          <w:b w:val="0"/>
          <w:i w:val="0"/>
          <w:sz w:val="22"/>
        </w:rPr>
        <w:t>Release is fully automated through GitHub Actions — nothing reaches production by hand. Three workflows cover continuous integration, continuous delivery, and security scanning.</w:t>
      </w:r>
    </w:p>
    <w:p>
      <w:pPr>
        <w:spacing w:before="240" w:after="80"/>
      </w:pPr>
      <w:r>
        <w:rPr>
          <w:b/>
          <w:color w:val="1A1A1A"/>
          <w:sz w:val="26"/>
        </w:rPr>
        <w:t>Continuous Integration — ci.yml</w:t>
      </w:r>
    </w:p>
    <w:p>
      <w:pPr>
        <w:spacing w:after="160"/>
      </w:pPr>
      <w:r>
        <w:rPr>
          <w:b w:val="0"/>
          <w:i w:val="0"/>
          <w:sz w:val="22"/>
        </w:rPr>
        <w:t>Runs on every pull request and every push to main:</w:t>
      </w:r>
    </w:p>
    <w:p>
      <w:pPr>
        <w:pStyle w:val="ListBullet"/>
        <w:spacing w:after="60"/>
      </w:pPr>
      <w:r>
        <w:t>install → lint → format check → automated tests (client and server) → client production build → npm audit → Docker build of both images (validates the images build cleanly, without publishing them).</w:t>
      </w:r>
    </w:p>
    <w:p>
      <w:pPr>
        <w:spacing w:before="120" w:after="40"/>
        <w:jc w:val="center"/>
      </w:pPr>
      <w:r>
        <w:rPr>
          <w:i/>
          <w:color w:val="606060"/>
          <w:sz w:val="20"/>
        </w:rPr>
        <w:t>[ INSERT SCREENSHOT: GitHub Actions — CI workflow run, all steps green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GitHub Actions — CI workflow run, all steps green</w:t>
      </w:r>
    </w:p>
    <w:p/>
    <w:p>
      <w:pPr>
        <w:spacing w:before="240" w:after="80"/>
      </w:pPr>
      <w:r>
        <w:rPr>
          <w:b/>
          <w:color w:val="1A1A1A"/>
          <w:sz w:val="26"/>
        </w:rPr>
        <w:t>Continuous Delivery — cd.yml</w:t>
      </w:r>
    </w:p>
    <w:p>
      <w:pPr>
        <w:spacing w:after="160"/>
      </w:pPr>
      <w:r>
        <w:rPr>
          <w:b w:val="0"/>
          <w:i w:val="0"/>
          <w:sz w:val="22"/>
        </w:rPr>
        <w:t>Runs on every push to main:</w:t>
      </w:r>
    </w:p>
    <w:p>
      <w:pPr>
        <w:pStyle w:val="ListBullet"/>
        <w:spacing w:after="60"/>
      </w:pPr>
      <w:r>
        <w:t>Builds and pushes both container images to GitHub Container Registry (GHCR), tagged both latest and with the commit's short SHA — every deployed image is traceable to an exact commit.</w:t>
      </w:r>
    </w:p>
    <w:p>
      <w:pPr>
        <w:pStyle w:val="ListBullet"/>
        <w:spacing w:after="60"/>
      </w:pPr>
      <w:r>
        <w:t>Triggers the production deploy hook and then polls the live readiness endpoint for up to ~100 seconds as an automated smoke test.</w:t>
      </w:r>
    </w:p>
    <w:p>
      <w:pPr>
        <w:pStyle w:val="ListBullet"/>
        <w:spacing w:after="60"/>
      </w:pPr>
      <w:r>
        <w:t>A failed smoke test surfaces as a GitHub Actions error, and rollback is a one-click redeploy of the previous known-good image tag from GHCR.</w:t>
      </w:r>
    </w:p>
    <w:p>
      <w:pPr>
        <w:spacing w:before="120" w:after="40"/>
        <w:jc w:val="center"/>
      </w:pPr>
      <w:r>
        <w:rPr>
          <w:i/>
          <w:color w:val="606060"/>
          <w:sz w:val="20"/>
        </w:rPr>
        <w:t>[ INSERT SCREENSHOT: GitHub Actions — CD workflow run, image pushed to GHCR, smoke test passed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GitHub Actions — CD workflow run, image pushed to GHCR, smoke test passed</w:t>
      </w:r>
    </w:p>
    <w:p/>
    <w:p>
      <w:pPr>
        <w:spacing w:before="120" w:after="40"/>
        <w:jc w:val="center"/>
      </w:pPr>
      <w:r>
        <w:rPr>
          <w:i/>
          <w:color w:val="606060"/>
          <w:sz w:val="20"/>
        </w:rPr>
        <w:t>[ INSERT SCREENSHOT: GHCR package listing showing tagged image history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GHCR package listing showing tagged image history</w:t>
      </w:r>
    </w:p>
    <w:p/>
    <w:p>
      <w:pPr>
        <w:spacing w:before="240" w:after="80"/>
      </w:pPr>
      <w:r>
        <w:rPr>
          <w:b/>
          <w:color w:val="1A1A1A"/>
          <w:sz w:val="26"/>
        </w:rPr>
        <w:t>Security scanning — codeql.yml</w:t>
      </w:r>
    </w:p>
    <w:p>
      <w:pPr>
        <w:spacing w:after="160"/>
      </w:pPr>
      <w:r>
        <w:rPr>
          <w:b w:val="0"/>
          <w:i w:val="0"/>
          <w:sz w:val="22"/>
        </w:rPr>
        <w:t>CodeQL static analysis plus a Trivy filesystem vulnerability scan, run on every push/PR and on a weekly schedule, with results uploaded to the repository Security tab.</w:t>
      </w:r>
    </w:p>
    <w:p>
      <w:pPr>
        <w:spacing w:before="240" w:after="80"/>
      </w:pPr>
      <w:r>
        <w:rPr>
          <w:b/>
          <w:color w:val="1A1A1A"/>
          <w:sz w:val="26"/>
        </w:rPr>
        <w:t>Change control</w:t>
      </w:r>
    </w:p>
    <w:p>
      <w:pPr>
        <w:pStyle w:val="ListBullet"/>
        <w:spacing w:after="60"/>
      </w:pPr>
      <w:r>
        <w:t>Branch protection on main requires the CI checks to pass before a merge is allowed.</w:t>
      </w:r>
    </w:p>
    <w:p>
      <w:pPr>
        <w:pStyle w:val="ListBullet"/>
        <w:spacing w:after="60"/>
      </w:pPr>
      <w:r>
        <w:t>Dependabot opens weekly update PRs for npm dependencies, GitHub Actions versions, and both Dockerfiles, keeping the supply chain patched automatically.</w:t>
      </w:r>
    </w:p>
    <w:p>
      <w:pPr>
        <w:spacing w:before="360" w:after="120"/>
        <w:pBdr>
          <w:bottom w:val="single" w:sz="8" w:space="4" w:color="C81E3A"/>
        </w:pBdr>
      </w:pPr>
      <w:r>
        <w:rPr>
          <w:b/>
          <w:color w:val="C81E3A"/>
          <w:sz w:val="36"/>
        </w:rPr>
        <w:t>05 · Automated Infrastructure &amp; Configuration Management</w:t>
      </w:r>
    </w:p>
    <w:p>
      <w:pPr>
        <w:spacing w:after="160"/>
      </w:pPr>
      <w:r>
        <w:rPr>
          <w:b w:val="0"/>
          <w:i w:val="0"/>
          <w:sz w:val="22"/>
        </w:rPr>
        <w:t>Infrastructure is defined as code and lives in the repository alongside the application, so the entire deployable system — not just the app — is reviewable and reproducible.</w:t>
      </w:r>
    </w:p>
    <w:tbl>
      <w:tblPr>
        <w:tblStyle w:val="LightGrid-Accent2"/>
        <w:tblW w:type="auto" w:w="0"/>
        <w:jc w:val="center"/>
        <w:tblLook w:firstColumn="1" w:firstRow="1" w:lastColumn="0" w:lastRow="0" w:noHBand="0" w:noVBand="1" w:val="04A0"/>
      </w:tblPr>
      <w:tblGrid>
        <w:gridCol w:w="4320"/>
        <w:gridCol w:w="4320"/>
      </w:tblGrid>
      <w:tr>
        <w:tc>
          <w:tcPr>
            <w:tcW w:type="dxa" w:w="4320"/>
            <w:shd w:val="clear" w:color="auto" w:fill="C81E3A"/>
          </w:tcPr>
          <w:p>
            <w:r/>
            <w:r>
              <w:rPr>
                <w:b/>
                <w:color w:val="FFFFFF"/>
                <w:sz w:val="20"/>
              </w:rPr>
              <w:t>File</w:t>
            </w:r>
          </w:p>
        </w:tc>
        <w:tc>
          <w:tcPr>
            <w:tcW w:type="dxa" w:w="4320"/>
            <w:shd w:val="clear" w:color="auto" w:fill="C81E3A"/>
          </w:tcPr>
          <w:p>
            <w:r/>
            <w:r>
              <w:rPr>
                <w:b/>
                <w:color w:val="FFFFFF"/>
                <w:sz w:val="20"/>
              </w:rPr>
              <w:t>Purpose</w:t>
            </w:r>
          </w:p>
        </w:tc>
      </w:tr>
      <w:tr>
        <w:tc>
          <w:tcPr>
            <w:tcW w:type="dxa" w:w="4320"/>
          </w:tcPr>
          <w:p>
            <w:r/>
            <w:r>
              <w:rPr>
                <w:sz w:val="20"/>
              </w:rPr>
              <w:t>server/Dockerfile</w:t>
            </w:r>
          </w:p>
        </w:tc>
        <w:tc>
          <w:tcPr>
            <w:tcW w:type="dxa" w:w="4320"/>
          </w:tcPr>
          <w:p>
            <w:r/>
            <w:r>
              <w:rPr>
                <w:sz w:val="20"/>
              </w:rPr>
              <w:t>Reproducible API build image</w:t>
            </w:r>
          </w:p>
        </w:tc>
      </w:tr>
      <w:tr>
        <w:tc>
          <w:tcPr>
            <w:tcW w:type="dxa" w:w="4320"/>
          </w:tcPr>
          <w:p>
            <w:r/>
            <w:r>
              <w:rPr>
                <w:sz w:val="20"/>
              </w:rPr>
              <w:t>client/Dockerfile</w:t>
            </w:r>
          </w:p>
        </w:tc>
        <w:tc>
          <w:tcPr>
            <w:tcW w:type="dxa" w:w="4320"/>
          </w:tcPr>
          <w:p>
            <w:r/>
            <w:r>
              <w:rPr>
                <w:sz w:val="20"/>
              </w:rPr>
              <w:t>Reproducible SPA build + nginx serving image</w:t>
            </w:r>
          </w:p>
        </w:tc>
      </w:tr>
      <w:tr>
        <w:tc>
          <w:tcPr>
            <w:tcW w:type="dxa" w:w="4320"/>
          </w:tcPr>
          <w:p>
            <w:r/>
            <w:r>
              <w:rPr>
                <w:sz w:val="20"/>
              </w:rPr>
              <w:t>docker-compose.yml</w:t>
            </w:r>
          </w:p>
        </w:tc>
        <w:tc>
          <w:tcPr>
            <w:tcW w:type="dxa" w:w="4320"/>
          </w:tcPr>
          <w:p>
            <w:r/>
            <w:r>
              <w:rPr>
                <w:sz w:val="20"/>
              </w:rPr>
              <w:t>Full local stack: API, client, MongoDB replica set, Redis</w:t>
            </w:r>
          </w:p>
        </w:tc>
      </w:tr>
      <w:tr>
        <w:tc>
          <w:tcPr>
            <w:tcW w:type="dxa" w:w="4320"/>
          </w:tcPr>
          <w:p>
            <w:r/>
            <w:r>
              <w:rPr>
                <w:sz w:val="20"/>
              </w:rPr>
              <w:t>render.yaml</w:t>
            </w:r>
          </w:p>
        </w:tc>
        <w:tc>
          <w:tcPr>
            <w:tcW w:type="dxa" w:w="4320"/>
          </w:tcPr>
          <w:p>
            <w:r/>
            <w:r>
              <w:rPr>
                <w:sz w:val="20"/>
              </w:rPr>
              <w:t>Managed-platform service blueprint for the API</w:t>
            </w:r>
          </w:p>
        </w:tc>
      </w:tr>
      <w:tr>
        <w:tc>
          <w:tcPr>
            <w:tcW w:type="dxa" w:w="4320"/>
          </w:tcPr>
          <w:p>
            <w:r/>
            <w:r>
              <w:rPr>
                <w:sz w:val="20"/>
              </w:rPr>
              <w:t>netlify.toml</w:t>
            </w:r>
          </w:p>
        </w:tc>
        <w:tc>
          <w:tcPr>
            <w:tcW w:type="dxa" w:w="4320"/>
          </w:tcPr>
          <w:p>
            <w:r/>
            <w:r>
              <w:rPr>
                <w:sz w:val="20"/>
              </w:rPr>
              <w:t>Static-hosting build &amp; SPA routing config for the client</w:t>
            </w:r>
          </w:p>
        </w:tc>
      </w:tr>
      <w:tr>
        <w:tc>
          <w:tcPr>
            <w:tcW w:type="dxa" w:w="4320"/>
          </w:tcPr>
          <w:p>
            <w:r/>
            <w:r>
              <w:rPr>
                <w:sz w:val="20"/>
              </w:rPr>
              <w:t>.github/workflows/*.yml</w:t>
            </w:r>
          </w:p>
        </w:tc>
        <w:tc>
          <w:tcPr>
            <w:tcW w:type="dxa" w:w="4320"/>
          </w:tcPr>
          <w:p>
            <w:r/>
            <w:r>
              <w:rPr>
                <w:sz w:val="20"/>
              </w:rPr>
              <w:t>CI, CD, and security-scan pipelines as code</w:t>
            </w:r>
          </w:p>
        </w:tc>
      </w:tr>
      <w:tr>
        <w:tc>
          <w:tcPr>
            <w:tcW w:type="dxa" w:w="4320"/>
          </w:tcPr>
          <w:p>
            <w:r/>
            <w:r>
              <w:rPr>
                <w:sz w:val="20"/>
              </w:rPr>
              <w:t>.github/dependabot.yml</w:t>
            </w:r>
          </w:p>
        </w:tc>
        <w:tc>
          <w:tcPr>
            <w:tcW w:type="dxa" w:w="4320"/>
          </w:tcPr>
          <w:p>
            <w:r/>
            <w:r>
              <w:rPr>
                <w:sz w:val="20"/>
              </w:rPr>
              <w:t>Automated dependency-update policy</w:t>
            </w:r>
          </w:p>
        </w:tc>
      </w:tr>
    </w:tbl>
    <w:p/>
    <w:p>
      <w:pPr>
        <w:spacing w:after="160"/>
      </w:pPr>
      <w:r>
        <w:rPr>
          <w:b w:val="0"/>
          <w:i w:val="0"/>
          <w:sz w:val="22"/>
        </w:rPr>
        <w:t>Secrets are never committed — every environment file is a placeholder-only .env.example, and a preflight script (npm run preflight:deploy) checks for tracked secrets and required configuration before a deploy is attempted.</w:t>
      </w:r>
    </w:p>
    <w:p>
      <w:pPr>
        <w:spacing w:before="360" w:after="120"/>
        <w:pBdr>
          <w:bottom w:val="single" w:sz="8" w:space="4" w:color="C81E3A"/>
        </w:pBdr>
      </w:pPr>
      <w:r>
        <w:rPr>
          <w:b/>
          <w:color w:val="C81E3A"/>
          <w:sz w:val="36"/>
        </w:rPr>
        <w:t>06 · Operational Visibility &amp; System Health</w:t>
      </w:r>
    </w:p>
    <w:p>
      <w:pPr>
        <w:spacing w:after="160"/>
      </w:pPr>
      <w:r>
        <w:rPr>
          <w:b w:val="0"/>
          <w:i w:val="0"/>
          <w:sz w:val="22"/>
        </w:rPr>
        <w:t>The platform reports its own health and performance so problems are visible before a customer feels them, rather than discovered from a support ticket.</w:t>
      </w:r>
    </w:p>
    <w:tbl>
      <w:tblPr>
        <w:tblStyle w:val="LightGrid-Accent2"/>
        <w:tblW w:type="auto" w:w="0"/>
        <w:jc w:val="center"/>
        <w:tblLook w:firstColumn="1" w:firstRow="1" w:lastColumn="0" w:lastRow="0" w:noHBand="0" w:noVBand="1" w:val="04A0"/>
      </w:tblPr>
      <w:tblGrid>
        <w:gridCol w:w="4320"/>
        <w:gridCol w:w="4320"/>
      </w:tblGrid>
      <w:tr>
        <w:tc>
          <w:tcPr>
            <w:tcW w:type="dxa" w:w="4320"/>
            <w:shd w:val="clear" w:color="auto" w:fill="C81E3A"/>
          </w:tcPr>
          <w:p>
            <w:r/>
            <w:r>
              <w:rPr>
                <w:b/>
                <w:color w:val="FFFFFF"/>
                <w:sz w:val="20"/>
              </w:rPr>
              <w:t>Endpoint / Mechanism</w:t>
            </w:r>
          </w:p>
        </w:tc>
        <w:tc>
          <w:tcPr>
            <w:tcW w:type="dxa" w:w="4320"/>
            <w:shd w:val="clear" w:color="auto" w:fill="C81E3A"/>
          </w:tcPr>
          <w:p>
            <w:r/>
            <w:r>
              <w:rPr>
                <w:b/>
                <w:color w:val="FFFFFF"/>
                <w:sz w:val="20"/>
              </w:rPr>
              <w:t>What it provides</w:t>
            </w:r>
          </w:p>
        </w:tc>
      </w:tr>
      <w:tr>
        <w:tc>
          <w:tcPr>
            <w:tcW w:type="dxa" w:w="4320"/>
          </w:tcPr>
          <w:p>
            <w:r/>
            <w:r>
              <w:rPr>
                <w:sz w:val="20"/>
              </w:rPr>
              <w:t>GET /api/health</w:t>
            </w:r>
          </w:p>
        </w:tc>
        <w:tc>
          <w:tcPr>
            <w:tcW w:type="dxa" w:w="4320"/>
          </w:tcPr>
          <w:p>
            <w:r/>
            <w:r>
              <w:rPr>
                <w:sz w:val="20"/>
              </w:rPr>
              <w:t>Liveness — always 200 once the process is running</w:t>
            </w:r>
          </w:p>
        </w:tc>
      </w:tr>
      <w:tr>
        <w:tc>
          <w:tcPr>
            <w:tcW w:type="dxa" w:w="4320"/>
          </w:tcPr>
          <w:p>
            <w:r/>
            <w:r>
              <w:rPr>
                <w:sz w:val="20"/>
              </w:rPr>
              <w:t>GET /api/health/ready</w:t>
            </w:r>
          </w:p>
        </w:tc>
        <w:tc>
          <w:tcPr>
            <w:tcW w:type="dxa" w:w="4320"/>
          </w:tcPr>
          <w:p>
            <w:r/>
            <w:r>
              <w:rPr>
                <w:sz w:val="20"/>
              </w:rPr>
              <w:t>Readiness — pings MongoDB and (in production) requires SMTP configured; 503 until both are true</w:t>
            </w:r>
          </w:p>
        </w:tc>
      </w:tr>
      <w:tr>
        <w:tc>
          <w:tcPr>
            <w:tcW w:type="dxa" w:w="4320"/>
          </w:tcPr>
          <w:p>
            <w:r/>
            <w:r>
              <w:rPr>
                <w:sz w:val="20"/>
              </w:rPr>
              <w:t>GET /api/metrics</w:t>
            </w:r>
          </w:p>
        </w:tc>
        <w:tc>
          <w:tcPr>
            <w:tcW w:type="dxa" w:w="4320"/>
          </w:tcPr>
          <w:p>
            <w:r/>
            <w:r>
              <w:rPr>
                <w:sz w:val="20"/>
              </w:rPr>
              <w:t>Prometheus-format metrics: request latency/status histograms, default Node process metrics</w:t>
            </w:r>
          </w:p>
        </w:tc>
      </w:tr>
      <w:tr>
        <w:tc>
          <w:tcPr>
            <w:tcW w:type="dxa" w:w="4320"/>
          </w:tcPr>
          <w:p>
            <w:r/>
            <w:r>
              <w:rPr>
                <w:sz w:val="20"/>
              </w:rPr>
              <w:t>Structured JSON logs (pino)</w:t>
            </w:r>
          </w:p>
        </w:tc>
        <w:tc>
          <w:tcPr>
            <w:tcW w:type="dxa" w:w="4320"/>
          </w:tcPr>
          <w:p>
            <w:r/>
            <w:r>
              <w:rPr>
                <w:sz w:val="20"/>
              </w:rPr>
              <w:t>Replaces raw console logging in production; log level controlled by LOG_LEVEL</w:t>
            </w:r>
          </w:p>
        </w:tc>
      </w:tr>
      <w:tr>
        <w:tc>
          <w:tcPr>
            <w:tcW w:type="dxa" w:w="4320"/>
          </w:tcPr>
          <w:p>
            <w:r/>
            <w:r>
              <w:rPr>
                <w:sz w:val="20"/>
              </w:rPr>
              <w:t>x-request-id correlation</w:t>
            </w:r>
          </w:p>
        </w:tc>
        <w:tc>
          <w:tcPr>
            <w:tcW w:type="dxa" w:w="4320"/>
          </w:tcPr>
          <w:p>
            <w:r/>
            <w:r>
              <w:rPr>
                <w:sz w:val="20"/>
              </w:rPr>
              <w:t>Every request gets a correlation ID, echoed in the response and included in error logs</w:t>
            </w:r>
          </w:p>
        </w:tc>
      </w:tr>
    </w:tbl>
    <w:p/>
    <w:p>
      <w:pPr>
        <w:spacing w:before="120" w:after="40"/>
        <w:jc w:val="center"/>
      </w:pPr>
      <w:r>
        <w:rPr>
          <w:i/>
          <w:color w:val="606060"/>
          <w:sz w:val="20"/>
        </w:rPr>
        <w:t>[ INSERT SCREENSHOT: /api/health/ready response — database connected, status 200 ]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/api/health/ready response — database connected, status 200</w:t>
      </w:r>
    </w:p>
    <w:p/>
    <w:p>
      <w:pPr>
        <w:spacing w:before="120" w:after="40"/>
        <w:jc w:val="center"/>
      </w:pPr>
      <w:r>
        <w:rPr>
          <w:i/>
          <w:color w:val="606060"/>
          <w:sz w:val="20"/>
        </w:rPr>
        <w:t>[ INSERT SCREENSHOT: /api/metrics — Prometheus output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/api/metrics — Prometheus output</w:t>
      </w:r>
    </w:p>
    <w:p/>
    <w:p>
      <w:pPr>
        <w:spacing w:before="120" w:after="40"/>
        <w:jc w:val="center"/>
      </w:pPr>
      <w:r>
        <w:rPr>
          <w:i/>
          <w:color w:val="606060"/>
          <w:sz w:val="20"/>
        </w:rPr>
        <w:t>[ INSERT SCREENSHOT: Structured JSON log output with request-id correlation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Structured JSON log output with request-id correlation</w:t>
      </w:r>
    </w:p>
    <w:p/>
    <w:p>
      <w:pPr>
        <w:spacing w:after="160"/>
      </w:pPr>
      <w:r>
        <w:rPr>
          <w:b w:val="0"/>
          <w:i w:val="0"/>
          <w:sz w:val="22"/>
        </w:rPr>
        <w:t>These endpoints are the same ones used as container/load-balancer health checks and as the CD pipeline's post-deploy smoke test — operational visibility and release automation reinforce each other.</w:t>
      </w:r>
    </w:p>
    <w:p>
      <w:pPr>
        <w:spacing w:before="360" w:after="120"/>
        <w:pBdr>
          <w:bottom w:val="single" w:sz="8" w:space="4" w:color="C81E3A"/>
        </w:pBdr>
      </w:pPr>
      <w:r>
        <w:rPr>
          <w:b/>
          <w:color w:val="C81E3A"/>
          <w:sz w:val="36"/>
        </w:rPr>
        <w:t>07 · Security Practices &amp; Protection of Sensitive Data</w:t>
      </w:r>
    </w:p>
    <w:p>
      <w:pPr>
        <w:spacing w:after="160"/>
      </w:pPr>
      <w:r>
        <w:rPr>
          <w:b w:val="0"/>
          <w:i w:val="0"/>
          <w:sz w:val="22"/>
        </w:rPr>
        <w:t>Security was audited end-to-end for Phase 03 and hardened at every layer, on top of the money-handling invariants already enforced since Phase 02.</w:t>
      </w:r>
    </w:p>
    <w:p>
      <w:pPr>
        <w:spacing w:before="240" w:after="80"/>
      </w:pPr>
      <w:r>
        <w:rPr>
          <w:b/>
          <w:color w:val="1A1A1A"/>
          <w:sz w:val="26"/>
        </w:rPr>
        <w:t>Hardening completed this phase</w:t>
      </w:r>
    </w:p>
    <w:p>
      <w:pPr>
        <w:pStyle w:val="ListBullet"/>
        <w:spacing w:after="60"/>
      </w:pPr>
      <w:r>
        <w:t>OTP codes now hash with a dedicated secret, fully independent from the JWT signing secret.</w:t>
      </w:r>
    </w:p>
    <w:p>
      <w:pPr>
        <w:pStyle w:val="ListBullet"/>
        <w:spacing w:after="60"/>
      </w:pPr>
      <w:r>
        <w:t>CSRF protection no longer trusts a missing Origin header; state-changing requests without a valid origin are rejected.</w:t>
      </w:r>
    </w:p>
    <w:p>
      <w:pPr>
        <w:pStyle w:val="ListBullet"/>
        <w:spacing w:after="60"/>
      </w:pPr>
      <w:r>
        <w:t>NODE_ENV must be set explicitly in production — no silent fallback to development-mode behaviour.</w:t>
      </w:r>
    </w:p>
    <w:p>
      <w:pPr>
        <w:pStyle w:val="ListBullet"/>
        <w:spacing w:after="60"/>
      </w:pPr>
      <w:r>
        <w:t>OTP resend no longer resets the attempt budget, closing a brute-force workaround.</w:t>
      </w:r>
    </w:p>
    <w:p>
      <w:pPr>
        <w:pStyle w:val="ListBullet"/>
        <w:spacing w:after="60"/>
      </w:pPr>
      <w:r>
        <w:t>Dedicated rate limits added to the refresh and logout endpoints.</w:t>
      </w:r>
    </w:p>
    <w:p>
      <w:pPr>
        <w:pStyle w:val="ListBullet"/>
        <w:spacing w:after="60"/>
      </w:pPr>
      <w:r>
        <w:t>Sensitive values (reset tokens, raw error detail) removed from logs and URLs.</w:t>
      </w:r>
    </w:p>
    <w:p>
      <w:pPr>
        <w:pStyle w:val="ListBullet"/>
        <w:spacing w:after="60"/>
      </w:pPr>
      <w:r>
        <w:t>Revoked trusted devices can no longer complete a new login.</w:t>
      </w:r>
    </w:p>
    <w:p>
      <w:pPr>
        <w:spacing w:before="240" w:after="80"/>
      </w:pPr>
      <w:r>
        <w:rPr>
          <w:b/>
          <w:color w:val="1A1A1A"/>
          <w:sz w:val="26"/>
        </w:rPr>
        <w:t>Carried forward from the core platform</w:t>
      </w:r>
    </w:p>
    <w:p>
      <w:pPr>
        <w:pStyle w:val="ListBullet"/>
        <w:spacing w:after="60"/>
      </w:pPr>
      <w:r>
        <w:t>All monetary amounts are integer minor units; every financial write runs inside a MongoDB transaction with conditional, race-safe balance checks.</w:t>
      </w:r>
    </w:p>
    <w:p>
      <w:pPr>
        <w:pStyle w:val="ListBullet"/>
        <w:spacing w:after="60"/>
      </w:pPr>
      <w:r>
        <w:t>Idempotency keys are mandatory on every money-moving endpoint.</w:t>
      </w:r>
    </w:p>
    <w:p>
      <w:pPr>
        <w:pStyle w:val="ListBullet"/>
        <w:spacing w:after="60"/>
      </w:pPr>
      <w:r>
        <w:t>Short-lived access tokens plus rotating HttpOnly refresh cookies; passwords are never recoverable, only reset.</w:t>
      </w:r>
    </w:p>
    <w:p>
      <w:pPr>
        <w:pStyle w:val="ListBullet"/>
        <w:spacing w:after="60"/>
      </w:pPr>
      <w:r>
        <w:t>Helmet, CORS pinned to the deployed client origin, request sanitization, and layered rate limiting across the API.</w:t>
      </w:r>
    </w:p>
    <w:p>
      <w:pPr>
        <w:spacing w:before="120" w:after="40"/>
        <w:jc w:val="center"/>
      </w:pPr>
      <w:r>
        <w:rPr>
          <w:i/>
          <w:color w:val="606060"/>
          <w:sz w:val="20"/>
        </w:rPr>
        <w:t>[ INSERT SCREENSHOT: npm audit / CodeQL security tab — clean or triaged results ]</w:t>
      </w:r>
    </w:p>
    <w:tbl>
      <w:tblPr>
        <w:tblW w:type="auto" w:w="0"/>
        <w:jc w:val="center"/>
        <w:tblLook w:firstColumn="1" w:firstRow="1" w:lastColumn="0" w:lastRow="0" w:noHBand="0" w:noVBand="1" w:val="04A0"/>
      </w:tblPr>
      <w:tblGrid>
        <w:gridCol w:w="8640"/>
      </w:tblGrid>
      <w:tr>
        <w:tc>
          <w:tcPr>
            <w:tcW w:type="dxa" w:w="7920"/>
            <w:shd w:val="clear" w:color="auto" w:fill="F2F2F2"/>
          </w:tcPr>
          <w:p>
            <w:pPr>
              <w:jc w:val="center"/>
            </w:pPr>
            <w:r/>
          </w:p>
          <w:p/>
          <w:p/>
          <w:p/>
        </w:tc>
      </w:tr>
    </w:tbl>
    <w:p>
      <w:pPr>
        <w:jc w:val="center"/>
      </w:pPr>
      <w:r>
        <w:rPr>
          <w:i/>
          <w:color w:val="606060"/>
          <w:sz w:val="18"/>
        </w:rPr>
        <w:t>Figure — npm audit / CodeQL security tab — clean or triaged results</w:t>
      </w:r>
    </w:p>
    <w:p/>
    <w:p>
      <w:pPr>
        <w:spacing w:before="360" w:after="120"/>
        <w:pBdr>
          <w:bottom w:val="single" w:sz="8" w:space="4" w:color="C81E3A"/>
        </w:pBdr>
      </w:pPr>
      <w:r>
        <w:rPr>
          <w:b/>
          <w:color w:val="C81E3A"/>
          <w:sz w:val="36"/>
        </w:rPr>
        <w:t>08 · Scalability, Availability &amp; Reliability</w:t>
      </w:r>
    </w:p>
    <w:p>
      <w:pPr>
        <w:pStyle w:val="ListBullet"/>
        <w:spacing w:after="60"/>
      </w:pPr>
      <w:r>
        <w:t>The API is stateless (JWT access tokens, DB-backed refresh tokens) and safe to run as multiple replicas behind a load balancer.</w:t>
      </w:r>
    </w:p>
    <w:p>
      <w:pPr>
        <w:pStyle w:val="ListBullet"/>
        <w:spacing w:after="60"/>
      </w:pPr>
      <w:r>
        <w:t>Rate limiting is backed by Redis when configured, so limits are enforced consistently across replicas instead of resetting per-instance.</w:t>
      </w:r>
    </w:p>
    <w:p>
      <w:pPr>
        <w:pStyle w:val="ListBullet"/>
        <w:spacing w:after="60"/>
      </w:pPr>
      <w:r>
        <w:t>Graceful shutdown drains in-flight requests and stops the background scheduler cleanly before the process exits, avoiding dropped requests during a redeploy.</w:t>
      </w:r>
    </w:p>
    <w:p>
      <w:pPr>
        <w:pStyle w:val="ListBullet"/>
        <w:spacing w:after="60"/>
      </w:pPr>
      <w:r>
        <w:t>A real allowance scheduler runs hourly, disbursing due payments through the same transactional transfer path used for interactive transfers, with idempotency keys preventing double-payment on restart.</w:t>
      </w:r>
    </w:p>
    <w:p>
      <w:pPr>
        <w:spacing w:before="360" w:after="120"/>
        <w:pBdr>
          <w:bottom w:val="single" w:sz="8" w:space="4" w:color="C81E3A"/>
        </w:pBdr>
      </w:pPr>
      <w:r>
        <w:rPr>
          <w:b/>
          <w:color w:val="C81E3A"/>
          <w:sz w:val="36"/>
        </w:rPr>
        <w:t>09 · Submission Deliverables</w:t>
      </w:r>
    </w:p>
    <w:tbl>
      <w:tblPr>
        <w:tblStyle w:val="LightGrid-Accent2"/>
        <w:tblW w:type="auto" w:w="0"/>
        <w:jc w:val="center"/>
        <w:tblLook w:firstColumn="1" w:firstRow="1" w:lastColumn="0" w:lastRow="0" w:noHBand="0" w:noVBand="1" w:val="04A0"/>
      </w:tblPr>
      <w:tblGrid>
        <w:gridCol w:w="4320"/>
        <w:gridCol w:w="4320"/>
      </w:tblGrid>
      <w:tr>
        <w:tc>
          <w:tcPr>
            <w:tcW w:type="dxa" w:w="4320"/>
            <w:shd w:val="clear" w:color="auto" w:fill="C81E3A"/>
          </w:tcPr>
          <w:p>
            <w:r/>
            <w:r>
              <w:rPr>
                <w:b/>
                <w:color w:val="FFFFFF"/>
                <w:sz w:val="20"/>
              </w:rPr>
              <w:t>Deliverable</w:t>
            </w:r>
          </w:p>
        </w:tc>
        <w:tc>
          <w:tcPr>
            <w:tcW w:type="dxa" w:w="4320"/>
            <w:shd w:val="clear" w:color="auto" w:fill="C81E3A"/>
          </w:tcPr>
          <w:p>
            <w:r/>
            <w:r>
              <w:rPr>
                <w:b/>
                <w:color w:val="FFFFFF"/>
                <w:sz w:val="20"/>
              </w:rPr>
              <w:t>Status</w:t>
            </w:r>
          </w:p>
        </w:tc>
      </w:tr>
      <w:tr>
        <w:tc>
          <w:tcPr>
            <w:tcW w:type="dxa" w:w="4320"/>
          </w:tcPr>
          <w:p>
            <w:r/>
            <w:r>
              <w:rPr>
                <w:sz w:val="20"/>
              </w:rPr>
              <w:t>Public GitHub repository (code + infrastructure + pipeline config)</w:t>
            </w:r>
          </w:p>
        </w:tc>
        <w:tc>
          <w:tcPr>
            <w:tcW w:type="dxa" w:w="4320"/>
          </w:tcPr>
          <w:p>
            <w:r/>
            <w:r>
              <w:rPr>
                <w:sz w:val="20"/>
              </w:rPr>
              <w:t>[CONFIRM / ADD LINK]</w:t>
            </w:r>
          </w:p>
        </w:tc>
      </w:tr>
      <w:tr>
        <w:tc>
          <w:tcPr>
            <w:tcW w:type="dxa" w:w="4320"/>
          </w:tcPr>
          <w:p>
            <w:r/>
            <w:r>
              <w:rPr>
                <w:sz w:val="20"/>
              </w:rPr>
              <w:t>Live deployed application URL, reachable and functional</w:t>
            </w:r>
          </w:p>
        </w:tc>
        <w:tc>
          <w:tcPr>
            <w:tcW w:type="dxa" w:w="4320"/>
          </w:tcPr>
          <w:p>
            <w:r/>
            <w:r>
              <w:rPr>
                <w:sz w:val="20"/>
              </w:rPr>
              <w:t>[CONFIRM / ADD LINK]</w:t>
            </w:r>
          </w:p>
        </w:tc>
      </w:tr>
      <w:tr>
        <w:tc>
          <w:tcPr>
            <w:tcW w:type="dxa" w:w="4320"/>
          </w:tcPr>
          <w:p>
            <w:r/>
            <w:r>
              <w:rPr>
                <w:sz w:val="20"/>
              </w:rPr>
              <w:t>Deployment documentation with screenshots</w:t>
            </w:r>
          </w:p>
        </w:tc>
        <w:tc>
          <w:tcPr>
            <w:tcW w:type="dxa" w:w="4320"/>
          </w:tcPr>
          <w:p>
            <w:r/>
            <w:r>
              <w:rPr>
                <w:sz w:val="20"/>
              </w:rPr>
              <w:t>This document</w:t>
            </w:r>
          </w:p>
        </w:tc>
      </w:tr>
    </w:tbl>
    <w:p/>
    <w:p>
      <w:pPr>
        <w:spacing w:after="160"/>
      </w:pPr>
      <w:r>
        <w:rPr>
          <w:b w:val="0"/>
          <w:i/>
          <w:sz w:val="22"/>
        </w:rPr>
        <w:t>Submission form: duothan.ieeensbm.org/submission</w:t>
      </w:r>
    </w:p>
    <w:p>
      <w:pPr>
        <w:spacing w:before="360" w:after="120"/>
        <w:pBdr>
          <w:bottom w:val="single" w:sz="8" w:space="4" w:color="C81E3A"/>
        </w:pBdr>
      </w:pPr>
      <w:r>
        <w:rPr>
          <w:b/>
          <w:color w:val="C81E3A"/>
          <w:sz w:val="36"/>
        </w:rPr>
        <w:t>10 · Summary</w:t>
      </w:r>
    </w:p>
    <w:p>
      <w:pPr>
        <w:spacing w:after="160"/>
      </w:pPr>
      <w:r>
        <w:rPr>
          <w:b w:val="0"/>
          <w:i w:val="0"/>
          <w:sz w:val="22"/>
        </w:rPr>
        <w:t>Across Phase 03, the Duothan Banking Platform moved from a well-built application to a system that deploys itself, verifies its own releases, reports its own health, and defends itself against the classes of attack a real banking service faces. Every release reaches production through the same automated pipeline, every environment is defined as code, and the running system can be inspected — not guessed at — at any point in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