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1 October 2026</w:t>
            </w:r>
          </w:p>
        </w:tc>
      </w:tr>
      <w:tr w:rsidR="004360B1" w14:paraId="7890E6B7" w14:textId="77777777">
        <w:tc>
          <w:tcPr>
            <w:tcW w:w="4508" w:type="dxa"/>
          </w:tcPr>
          <w:p w14:paraId="0C019381" w14:textId="77777777" w:rsidR="004360B1" w:rsidRDefault="00000000">
            <w:r>
              <w:t>Team ID</w:t>
            </w:r>
          </w:p>
        </w:tc>
        <w:tc>
          <w:tcPr>
            <w:tcW w:w="4508" w:type="dxa"/>
          </w:tcPr>
          <w:p>
            <w:r>
              <w:t>SWTID-2026-3491</w:t>
            </w:r>
          </w:p>
        </w:tc>
      </w:tr>
      <w:tr w:rsidR="004360B1" w14:paraId="51E034FC" w14:textId="77777777">
        <w:tc>
          <w:tcPr>
            <w:tcW w:w="4508" w:type="dxa"/>
          </w:tcPr>
          <w:p w14:paraId="69F005D8" w14:textId="77777777" w:rsidR="004360B1" w:rsidRDefault="00000000">
            <w:r>
              <w:t>Project Name</w:t>
            </w:r>
          </w:p>
        </w:tc>
        <w:tc>
          <w:tcPr>
            <w:tcW w:w="4508" w:type="dxa"/>
          </w:tcPr>
          <w:p>
            <w:r>
              <w:t>ServiceNow Employee Spreadsheet Import using Transform Maps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r>
        <w:t>Customer Problem: HR administrators or ServiceNow admins may need to import employee details from spreadsheets. Manual entry can take time, and repeated imports can create duplicate employee records if matching is not handled.</w:t>
      </w:r>
    </w:p>
    <w:p>
      <w:r>
        <w:t>Target Customer: HR administrator or ServiceNow administrator responsible for loading employee records.</w:t>
      </w:r>
    </w:p>
    <w:p>
      <w:r>
        <w:t>Proposed Solution: Use ServiceNow Import Sets to load spreadsheet rows into the Employee Import staging table, then use a Transform Map to map the fields into the Employee Test target table.</w:t>
      </w:r>
    </w:p>
    <w:p>
      <w:r>
        <w:t>Problem–Solution Fit: The import workflow addresses spreadsheet-based employee data entry by providing a repeatable import and field-mapping process. Coalesce on Employee ID can identify existing records so re-imported rows update matching records rather than creating duplicates.</w:t>
      </w:r>
    </w:p>
    <w:p>
      <w:r>
        <w:t>Expected Benefits: Reduce repetitive manual entry, keep employee fields organized, and support review of inserted, updated, or ignored rows through transform results. These are expected benefits; actual measured outcomes are not provided.</w:t>
      </w:r>
    </w:p>
    <w:p>
      <w:r>
        <w:t>Validation: Import a sample employee spreadsheet, verify Employee ID, Employee Name, Email, Department, and Location in the target table, then re-import matching Employee IDs and inspect the transform results.</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