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1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SWTID-2026-3491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>
            <w:r>
              <w:t>10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>
            <w:r>
              <w:rPr>
                <w:rFonts w:ascii="Aptos" w:hAnsi="Aptos"/>
                <w:sz w:val="16"/>
              </w:rPr>
              <w:t>S.No.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Parameter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Values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rFonts w:ascii="Aptos" w:hAnsi="Aptos"/>
                <w:sz w:val="16"/>
              </w:rPr>
              <w:t>1.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Data Quality / Validation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No ML model is trained in this project. Validate source row count, required fields, Employee ID matching and inserted/updated/ignored totals from transform history. Record measured values after execution.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To be captured during execution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rFonts w:ascii="Aptos" w:hAnsi="Aptos"/>
                <w:sz w:val="16"/>
              </w:rPr>
              <w:t>2.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Process Tuning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ML hyperparameter tuning is not applicable. Verify field mappings, enable Coalesce on Employee ID, and perform a controlled repeat import. Compare target records with transform history.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To be captured during execution</w:t>
            </w:r>
          </w:p>
        </w:tc>
      </w:tr>
    </w:tbl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